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40" w:right="111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29"/>
          <w:szCs w:val="29"/>
        </w:rPr>
      </w:pPr>
    </w:p>
    <w:p>
      <w:pPr>
        <w:spacing w:before="0"/>
        <w:ind w:left="138" w:right="1117"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138" w:right="1117" w:firstLine="0"/>
        <w:jc w:val="center"/>
        <w:rPr>
          <w:rFonts w:ascii="宋体" w:hAnsi="宋体" w:cs="宋体" w:eastAsia="宋体" w:hint="default"/>
          <w:sz w:val="32"/>
          <w:szCs w:val="32"/>
        </w:rPr>
      </w:pPr>
      <w:r>
        <w:rPr>
          <w:rFonts w:ascii="宋体" w:hAnsi="宋体" w:cs="宋体" w:eastAsia="宋体" w:hint="default"/>
          <w:b/>
          <w:bCs/>
          <w:sz w:val="32"/>
          <w:szCs w:val="32"/>
        </w:rPr>
        <w:t>二</w:t>
      </w:r>
      <w:r>
        <w:rPr>
          <w:rFonts w:ascii="宋体" w:hAnsi="宋体" w:cs="宋体" w:eastAsia="宋体" w:hint="default"/>
          <w:b/>
          <w:bCs/>
          <w:spacing w:val="-83"/>
          <w:sz w:val="32"/>
          <w:szCs w:val="32"/>
        </w:rPr>
        <w:t> </w:t>
      </w:r>
      <w:r>
        <w:rPr>
          <w:rFonts w:ascii="宋体" w:hAnsi="宋体" w:cs="宋体" w:eastAsia="宋体" w:hint="default"/>
          <w:b/>
          <w:bCs/>
          <w:sz w:val="32"/>
          <w:szCs w:val="32"/>
        </w:rPr>
        <w:t>O</w:t>
      </w:r>
      <w:r>
        <w:rPr>
          <w:rFonts w:ascii="宋体" w:hAnsi="宋体" w:cs="宋体" w:eastAsia="宋体" w:hint="default"/>
          <w:b/>
          <w:bCs/>
          <w:spacing w:val="-83"/>
          <w:sz w:val="32"/>
          <w:szCs w:val="32"/>
        </w:rPr>
        <w:t> </w:t>
      </w:r>
      <w:r>
        <w:rPr>
          <w:rFonts w:ascii="宋体" w:hAnsi="宋体" w:cs="宋体" w:eastAsia="宋体" w:hint="default"/>
          <w:b/>
          <w:bCs/>
          <w:sz w:val="32"/>
          <w:szCs w:val="32"/>
        </w:rPr>
        <w:t>一六年三月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226" w:top="1060" w:bottom="142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5"/>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10" w:lineRule="auto" w:before="161"/>
        <w:ind w:left="154" w:right="112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公司负责人郭为、主管会计工作负责人辛昕及会计机构负责人（会计主管</w:t>
      </w:r>
      <w:r>
        <w:rPr>
          <w:rFonts w:ascii="宋体" w:hAnsi="宋体" w:cs="宋体" w:eastAsia="宋体" w:hint="default"/>
          <w:b/>
          <w:bCs/>
          <w:spacing w:val="3"/>
          <w:w w:val="99"/>
          <w:sz w:val="28"/>
          <w:szCs w:val="28"/>
        </w:rPr>
        <w:t> </w:t>
      </w:r>
      <w:r>
        <w:rPr>
          <w:rFonts w:ascii="宋体" w:hAnsi="宋体" w:cs="宋体" w:eastAsia="宋体" w:hint="default"/>
          <w:b/>
          <w:bCs/>
          <w:sz w:val="28"/>
          <w:szCs w:val="28"/>
        </w:rPr>
        <w:t>人员）任军声明：保证年度报告中财务报告的真实、准确、完整。</w:t>
      </w:r>
      <w:r>
        <w:rPr>
          <w:rFonts w:ascii="宋体" w:hAnsi="宋体" w:cs="宋体" w:eastAsia="宋体" w:hint="default"/>
          <w:sz w:val="28"/>
          <w:szCs w:val="28"/>
        </w:rPr>
      </w:r>
    </w:p>
    <w:p>
      <w:pPr>
        <w:spacing w:line="472" w:lineRule="auto" w:before="158"/>
        <w:ind w:left="716" w:right="113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信永中和会计师事务所（特殊普通合伙）为本公司出具了标准无保留意见</w:t>
      </w:r>
      <w:r>
        <w:rPr>
          <w:rFonts w:ascii="宋体" w:hAnsi="宋体" w:cs="宋体" w:eastAsia="宋体" w:hint="default"/>
          <w:spacing w:val="3"/>
          <w:sz w:val="28"/>
          <w:szCs w:val="28"/>
        </w:rPr>
      </w:r>
    </w:p>
    <w:p>
      <w:pPr>
        <w:spacing w:line="386" w:lineRule="auto" w:before="0"/>
        <w:ind w:left="154" w:right="1135" w:firstLine="0"/>
        <w:jc w:val="left"/>
        <w:rPr>
          <w:rFonts w:ascii="宋体" w:hAnsi="宋体" w:cs="宋体" w:eastAsia="宋体" w:hint="default"/>
          <w:sz w:val="28"/>
          <w:szCs w:val="28"/>
        </w:rPr>
      </w:pPr>
      <w:r>
        <w:rPr>
          <w:rFonts w:ascii="宋体" w:hAnsi="宋体" w:cs="宋体" w:eastAsia="宋体" w:hint="default"/>
          <w:b/>
          <w:bCs/>
          <w:spacing w:val="-3"/>
          <w:sz w:val="28"/>
          <w:szCs w:val="28"/>
        </w:rPr>
        <w:t>的审计报告。本公司</w:t>
      </w:r>
      <w:r>
        <w:rPr>
          <w:rFonts w:ascii="宋体" w:hAnsi="宋体" w:cs="宋体" w:eastAsia="宋体" w:hint="default"/>
          <w:b/>
          <w:bCs/>
          <w:spacing w:val="-95"/>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27"/>
          <w:sz w:val="28"/>
          <w:szCs w:val="28"/>
        </w:rPr>
        <w:t> </w:t>
      </w:r>
      <w:r>
        <w:rPr>
          <w:rFonts w:ascii="宋体" w:hAnsi="宋体" w:cs="宋体" w:eastAsia="宋体" w:hint="default"/>
          <w:b/>
          <w:bCs/>
          <w:sz w:val="28"/>
          <w:szCs w:val="28"/>
        </w:rPr>
        <w:t>年年度报告涉及的未来计划等前瞻性陈述，不构成公</w:t>
      </w:r>
      <w:r>
        <w:rPr>
          <w:rFonts w:ascii="宋体" w:hAnsi="宋体" w:cs="宋体" w:eastAsia="宋体" w:hint="default"/>
          <w:b/>
          <w:bCs/>
          <w:w w:val="99"/>
          <w:sz w:val="28"/>
          <w:szCs w:val="28"/>
        </w:rPr>
        <w:t> </w:t>
      </w:r>
      <w:r>
        <w:rPr>
          <w:rFonts w:ascii="宋体" w:hAnsi="宋体" w:cs="宋体" w:eastAsia="宋体" w:hint="default"/>
          <w:b/>
          <w:bCs/>
          <w:sz w:val="28"/>
          <w:szCs w:val="28"/>
        </w:rPr>
        <w:t>司对投资者的实质承诺，敬请广大投资者注意投资风险。</w:t>
      </w:r>
      <w:r>
        <w:rPr>
          <w:rFonts w:ascii="宋体" w:hAnsi="宋体" w:cs="宋体" w:eastAsia="宋体" w:hint="default"/>
          <w:sz w:val="28"/>
          <w:szCs w:val="28"/>
        </w:rPr>
      </w:r>
    </w:p>
    <w:p>
      <w:pPr>
        <w:spacing w:line="400" w:lineRule="auto" w:before="186"/>
        <w:ind w:left="154" w:right="1137"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司存在市场竞争风险、产品技术风险、人才流失等风险，敬请广大投资者注意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2"/>
          <w:sz w:val="28"/>
          <w:szCs w:val="28"/>
        </w:rPr>
        <w:t>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第四节九、管理层讨论与分析（四）公司可能面</w:t>
      </w:r>
      <w:r>
        <w:rPr>
          <w:rFonts w:ascii="宋体" w:hAnsi="宋体" w:cs="宋体" w:eastAsia="宋体" w:hint="default"/>
          <w:b/>
          <w:bCs/>
          <w:w w:val="99"/>
          <w:sz w:val="28"/>
          <w:szCs w:val="28"/>
        </w:rPr>
        <w:t> </w:t>
      </w:r>
      <w:r>
        <w:rPr>
          <w:rFonts w:ascii="宋体" w:hAnsi="宋体" w:cs="宋体" w:eastAsia="宋体" w:hint="default"/>
          <w:b/>
          <w:bCs/>
          <w:sz w:val="28"/>
          <w:szCs w:val="28"/>
        </w:rPr>
        <w:t>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公司经本次董事会审议通过的利润分配预案为：公司拟以未来实施</w:t>
      </w:r>
      <w:r>
        <w:rPr>
          <w:rFonts w:ascii="宋体" w:hAnsi="宋体" w:cs="宋体" w:eastAsia="宋体" w:hint="default"/>
          <w:b/>
          <w:bCs/>
          <w:spacing w:val="-110"/>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41"/>
          <w:sz w:val="28"/>
          <w:szCs w:val="28"/>
        </w:rPr>
        <w:t> </w:t>
      </w:r>
      <w:r>
        <w:rPr>
          <w:rFonts w:ascii="宋体" w:hAnsi="宋体" w:cs="宋体" w:eastAsia="宋体" w:hint="default"/>
          <w:b/>
          <w:bCs/>
          <w:sz w:val="28"/>
          <w:szCs w:val="28"/>
        </w:rPr>
        <w:t>年</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度权益分配方案时股权登记日的总股本为基数，向全体股东每</w:t>
      </w:r>
      <w:r>
        <w:rPr>
          <w:rFonts w:ascii="宋体" w:hAnsi="宋体" w:cs="宋体" w:eastAsia="宋体" w:hint="default"/>
          <w:b/>
          <w:bCs/>
          <w:spacing w:val="-11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0"/>
          <w:sz w:val="28"/>
          <w:szCs w:val="28"/>
        </w:rPr>
        <w:t> </w:t>
      </w:r>
      <w:r>
        <w:rPr>
          <w:rFonts w:ascii="宋体" w:hAnsi="宋体" w:cs="宋体" w:eastAsia="宋体" w:hint="default"/>
          <w:b/>
          <w:bCs/>
          <w:sz w:val="28"/>
          <w:szCs w:val="28"/>
        </w:rPr>
        <w:t>股派发现金红</w:t>
      </w:r>
      <w:r>
        <w:rPr>
          <w:rFonts w:ascii="宋体" w:hAnsi="宋体" w:cs="宋体" w:eastAsia="宋体" w:hint="default"/>
          <w:sz w:val="28"/>
          <w:szCs w:val="28"/>
        </w:rPr>
      </w:r>
    </w:p>
    <w:p>
      <w:pPr>
        <w:spacing w:before="237"/>
        <w:ind w:left="154" w:right="1135" w:firstLine="0"/>
        <w:jc w:val="left"/>
        <w:rPr>
          <w:rFonts w:ascii="宋体" w:hAnsi="宋体" w:cs="宋体" w:eastAsia="宋体" w:hint="default"/>
          <w:sz w:val="28"/>
          <w:szCs w:val="28"/>
        </w:rPr>
      </w:pP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0.4</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不</w:t>
      </w:r>
      <w:r>
        <w:rPr>
          <w:rFonts w:ascii="宋体" w:hAnsi="宋体" w:cs="宋体" w:eastAsia="宋体" w:hint="default"/>
          <w:b/>
          <w:bCs/>
          <w:w w:val="99"/>
          <w:sz w:val="28"/>
          <w:szCs w:val="28"/>
        </w:rPr>
        <w:t>以公积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转增股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226" w:header="747" w:top="1060" w:bottom="142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6"/>
          <w:szCs w:val="26"/>
        </w:rPr>
      </w:pPr>
    </w:p>
    <w:p>
      <w:pPr>
        <w:spacing w:line="460" w:lineRule="exact" w:before="0"/>
        <w:ind w:left="141" w:right="11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3">
            <w:r>
              <w:rPr/>
              <w:t>第四节管理层讨论与分析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65</w:t>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74</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7">
            <w:r>
              <w:rPr/>
              <w:t>第八节董事、监事、高级管理人员和员工情况</w:t>
            </w:r>
            <w:r>
              <w:rPr>
                <w:rFonts w:ascii="Times New Roman" w:hAnsi="Times New Roman" w:cs="Times New Roman" w:eastAsia="Times New Roman" w:hint="default"/>
              </w:rPr>
              <w:tab/>
              <w:t>75</w:t>
            </w:r>
          </w:hyperlink>
        </w:p>
        <w:p>
          <w:pPr>
            <w:pStyle w:val="TOC1"/>
            <w:tabs>
              <w:tab w:pos="9783" w:val="right" w:leader="dot"/>
            </w:tabs>
            <w:spacing w:line="240" w:lineRule="auto"/>
            <w:ind w:left="154" w:right="0"/>
            <w:jc w:val="left"/>
            <w:rPr>
              <w:rFonts w:ascii="Times New Roman" w:hAnsi="Times New Roman" w:cs="Times New Roman" w:eastAsia="Times New Roman" w:hint="default"/>
            </w:rPr>
          </w:pPr>
          <w:hyperlink w:history="true" w:anchor="_bookmark8">
            <w:r>
              <w:rPr/>
              <w:t>第九节公司治理</w:t>
            </w:r>
            <w:r>
              <w:rPr>
                <w:rFonts w:ascii="Times New Roman" w:hAnsi="Times New Roman" w:cs="Times New Roman" w:eastAsia="Times New Roman" w:hint="default"/>
              </w:rPr>
              <w:tab/>
              <w:t>84</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9">
            <w:r>
              <w:rPr/>
              <w:t>第十节财务报告</w:t>
            </w:r>
            <w:r>
              <w:rPr>
                <w:rFonts w:ascii="Times New Roman" w:hAnsi="Times New Roman" w:cs="Times New Roman" w:eastAsia="Times New Roman" w:hint="default"/>
              </w:rPr>
              <w:tab/>
              <w:t>93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第十一节备查文件目录</w:t>
            </w:r>
            <w:r>
              <w:rPr>
                <w:rFonts w:ascii="Times New Roman" w:hAnsi="Times New Roman" w:cs="Times New Roman" w:eastAsia="Times New Roman" w:hint="default"/>
              </w:rPr>
              <w:tab/>
              <w:t>200</w:t>
            </w:r>
          </w:hyperlink>
        </w:p>
      </w:sdtContent>
    </w:sdt>
    <w:p>
      <w:pPr>
        <w:spacing w:after="0" w:line="240" w:lineRule="auto"/>
        <w:jc w:val="left"/>
        <w:rPr>
          <w:rFonts w:ascii="Times New Roman" w:hAnsi="Times New Roman" w:cs="Times New Roman" w:eastAsia="Times New Roman" w:hint="default"/>
        </w:rPr>
        <w:sectPr>
          <w:pgSz w:w="11910" w:h="16840"/>
          <w:pgMar w:header="747" w:footer="1226" w:top="1060" w:bottom="1420" w:left="980" w:right="0"/>
        </w:sectPr>
      </w:pPr>
    </w:p>
    <w:p>
      <w:pPr>
        <w:spacing w:before="946"/>
        <w:ind w:left="141" w:right="11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536"/>
        <w:gridCol w:w="600"/>
        <w:gridCol w:w="5434"/>
      </w:tblGrid>
      <w:tr>
        <w:trPr>
          <w:trHeight w:val="413" w:hRule="exact"/>
        </w:trPr>
        <w:tc>
          <w:tcPr>
            <w:tcW w:w="35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本公司、公司、神州信息</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太光电信、原上市公司、</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太光</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天津信锐</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天津信锐投资合伙企业（有限合伙）</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InfinityI-China Investments (Israel)</w:t>
            </w:r>
            <w:r>
              <w:rPr>
                <w:rFonts w:ascii="Times New Roman"/>
                <w:spacing w:val="-2"/>
                <w:sz w:val="18"/>
              </w:rPr>
              <w:t> </w:t>
            </w:r>
            <w:r>
              <w:rPr>
                <w:rFonts w:ascii="Times New Roman"/>
                <w:spacing w:val="-5"/>
                <w:sz w:val="18"/>
              </w:rPr>
              <w:t>,L.P.</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南京汇庆天下科技有限公司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DCSL</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Digital China Software (BVI)</w:t>
            </w:r>
            <w:r>
              <w:rPr>
                <w:rFonts w:ascii="Times New Roman"/>
                <w:spacing w:val="-8"/>
                <w:sz w:val="18"/>
              </w:rPr>
              <w:t> </w:t>
            </w:r>
            <w:r>
              <w:rPr>
                <w:rFonts w:ascii="Times New Roman"/>
                <w:sz w:val="18"/>
              </w:rPr>
              <w:t>Limited</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08"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信息系统公司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系统集成公司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鼎捷公司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神州信息北京分公司</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神州数码信息服务股份有限公司北京分公司</w:t>
            </w:r>
          </w:p>
        </w:tc>
      </w:tr>
      <w:tr>
        <w:trPr>
          <w:trHeight w:val="407" w:hRule="exact"/>
        </w:trPr>
        <w:tc>
          <w:tcPr>
            <w:tcW w:w="3536"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16" w:hRule="exact"/>
        </w:trPr>
        <w:tc>
          <w:tcPr>
            <w:tcW w:w="3536"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1226" w:top="1060" w:bottom="14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24" w:right="1135"/>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113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285"/>
        <w:gridCol w:w="2954"/>
        <w:gridCol w:w="2157"/>
        <w:gridCol w:w="2175"/>
      </w:tblGrid>
      <w:tr>
        <w:trPr>
          <w:trHeight w:val="500" w:hRule="exact"/>
        </w:trPr>
        <w:tc>
          <w:tcPr>
            <w:tcW w:w="22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12" w:space="0" w:color="000000"/>
              <w:left w:val="single" w:sz="6" w:space="0" w:color="000000"/>
              <w:bottom w:val="single" w:sz="18" w:space="0" w:color="D2D2D2"/>
              <w:right w:val="single" w:sz="6"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21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5" w:type="dxa"/>
            <w:tcBorders>
              <w:top w:val="single" w:sz="12" w:space="0" w:color="000000"/>
              <w:left w:val="single" w:sz="6" w:space="0" w:color="000000"/>
              <w:bottom w:val="single" w:sz="18" w:space="0" w:color="D2D2D2"/>
              <w:right w:val="single" w:sz="12" w:space="0" w:color="000000"/>
            </w:tcBorders>
          </w:tcPr>
          <w:p>
            <w:pPr>
              <w:pStyle w:val="TableParagraph"/>
              <w:spacing w:line="240" w:lineRule="auto" w:before="122"/>
              <w:ind w:left="20" w:right="0"/>
              <w:jc w:val="left"/>
              <w:rPr>
                <w:rFonts w:ascii="Times New Roman" w:hAnsi="Times New Roman" w:cs="Times New Roman" w:eastAsia="Times New Roman" w:hint="default"/>
                <w:sz w:val="18"/>
                <w:szCs w:val="18"/>
              </w:rPr>
            </w:pPr>
            <w:r>
              <w:rPr>
                <w:rFonts w:ascii="Times New Roman"/>
                <w:sz w:val="18"/>
              </w:rPr>
              <w:t>000555</w:t>
            </w:r>
          </w:p>
        </w:tc>
      </w:tr>
      <w:tr>
        <w:trPr>
          <w:trHeight w:val="445"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left="1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2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21"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sz w:val="18"/>
              </w:rPr>
              <w:t>Digital China Information Service Company</w:t>
            </w:r>
            <w:r>
              <w:rPr>
                <w:rFonts w:ascii="Times New Roman"/>
                <w:spacing w:val="-10"/>
                <w:sz w:val="18"/>
              </w:rPr>
              <w:t> </w:t>
            </w:r>
            <w:r>
              <w:rPr>
                <w:rFonts w:ascii="Times New Roman"/>
                <w:sz w:val="18"/>
              </w:rPr>
              <w:t>Ltd.</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sz w:val="18"/>
              </w:rPr>
              <w:t>DCITS</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68"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深圳市南山区科发路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1" w:right="0"/>
              <w:jc w:val="left"/>
              <w:rPr>
                <w:rFonts w:ascii="Times New Roman" w:hAnsi="Times New Roman" w:cs="Times New Roman" w:eastAsia="Times New Roman" w:hint="default"/>
                <w:sz w:val="18"/>
                <w:szCs w:val="18"/>
              </w:rPr>
            </w:pPr>
            <w:r>
              <w:rPr>
                <w:rFonts w:ascii="Times New Roman"/>
                <w:sz w:val="18"/>
              </w:rPr>
              <w:t>518057</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left="21"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号神州数码大厦五层</w:t>
            </w:r>
          </w:p>
        </w:tc>
      </w:tr>
      <w:tr>
        <w:trPr>
          <w:trHeight w:val="470"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21" w:right="0"/>
              <w:jc w:val="left"/>
              <w:rPr>
                <w:rFonts w:ascii="Times New Roman" w:hAnsi="Times New Roman" w:cs="Times New Roman" w:eastAsia="Times New Roman" w:hint="default"/>
                <w:sz w:val="18"/>
                <w:szCs w:val="18"/>
              </w:rPr>
            </w:pPr>
            <w:r>
              <w:rPr>
                <w:rFonts w:ascii="Times New Roman"/>
                <w:sz w:val="18"/>
              </w:rPr>
              <w:t>100080</w:t>
            </w:r>
          </w:p>
        </w:tc>
      </w:tr>
      <w:tr>
        <w:trPr>
          <w:trHeight w:val="469" w:hRule="exact"/>
        </w:trPr>
        <w:tc>
          <w:tcPr>
            <w:tcW w:w="22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21" w:right="0"/>
              <w:jc w:val="left"/>
              <w:rPr>
                <w:rFonts w:ascii="Times New Roman" w:hAnsi="Times New Roman" w:cs="Times New Roman" w:eastAsia="Times New Roman" w:hint="default"/>
                <w:sz w:val="18"/>
                <w:szCs w:val="18"/>
              </w:rPr>
            </w:pPr>
            <w:hyperlink r:id="rId8">
              <w:r>
                <w:rPr>
                  <w:rFonts w:ascii="Times New Roman"/>
                  <w:sz w:val="18"/>
                </w:rPr>
                <w:t>www.dcits.com</w:t>
              </w:r>
            </w:hyperlink>
          </w:p>
        </w:tc>
      </w:tr>
      <w:tr>
        <w:trPr>
          <w:trHeight w:val="477" w:hRule="exact"/>
        </w:trPr>
        <w:tc>
          <w:tcPr>
            <w:tcW w:w="22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left="21" w:right="0"/>
              <w:jc w:val="left"/>
              <w:rPr>
                <w:rFonts w:ascii="Times New Roman" w:hAnsi="Times New Roman" w:cs="Times New Roman" w:eastAsia="Times New Roman" w:hint="default"/>
                <w:sz w:val="18"/>
                <w:szCs w:val="18"/>
              </w:rPr>
            </w:pPr>
            <w:hyperlink r:id="rId9">
              <w:r>
                <w:rPr>
                  <w:rFonts w:ascii="Times New Roman"/>
                  <w:sz w:val="18"/>
                </w:rPr>
                <w:t>dcits-ir@dcits.com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269"/>
        <w:gridCol w:w="3687"/>
        <w:gridCol w:w="3614"/>
      </w:tblGrid>
      <w:tr>
        <w:trPr>
          <w:trHeight w:val="443" w:hRule="exact"/>
        </w:trPr>
        <w:tc>
          <w:tcPr>
            <w:tcW w:w="226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68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0"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87"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3614"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孙端阳</w:t>
            </w: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号神州数码大厦五层</w:t>
            </w:r>
          </w:p>
        </w:tc>
        <w:tc>
          <w:tcPr>
            <w:tcW w:w="36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号神州数码大厦五层</w:t>
            </w: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010-61853676</w:t>
            </w:r>
          </w:p>
        </w:tc>
        <w:tc>
          <w:tcPr>
            <w:tcW w:w="36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010-61853676</w:t>
            </w: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010-62694810</w:t>
            </w:r>
          </w:p>
        </w:tc>
        <w:tc>
          <w:tcPr>
            <w:tcW w:w="36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010-62694810</w:t>
            </w:r>
          </w:p>
        </w:tc>
      </w:tr>
      <w:tr>
        <w:trPr>
          <w:trHeight w:val="473" w:hRule="exact"/>
        </w:trPr>
        <w:tc>
          <w:tcPr>
            <w:tcW w:w="22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9">
              <w:r>
                <w:rPr>
                  <w:rFonts w:ascii="Times New Roman"/>
                  <w:sz w:val="18"/>
                </w:rPr>
                <w:t>dcits-ir@dcits.com</w:t>
              </w:r>
            </w:hyperlink>
          </w:p>
        </w:tc>
        <w:tc>
          <w:tcPr>
            <w:tcW w:w="361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9">
              <w:r>
                <w:rPr>
                  <w:rFonts w:ascii="Times New Roman"/>
                  <w:sz w:val="18"/>
                </w:rPr>
                <w:t>dcits-ir@dcits.com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1226" w:top="1060" w:bottom="142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2"/>
        <w:spacing w:line="240" w:lineRule="auto" w:before="26"/>
        <w:ind w:left="154" w:right="113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994"/>
        <w:gridCol w:w="5575"/>
      </w:tblGrid>
      <w:tr>
        <w:trPr>
          <w:trHeight w:val="474" w:hRule="exact"/>
        </w:trPr>
        <w:tc>
          <w:tcPr>
            <w:tcW w:w="39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4" w:hRule="exact"/>
        </w:trPr>
        <w:tc>
          <w:tcPr>
            <w:tcW w:w="39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75" w:hRule="exact"/>
        </w:trPr>
        <w:tc>
          <w:tcPr>
            <w:tcW w:w="39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北京市海淀区苏州街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号神州数码大厦五层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5"/>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spacing w:before="44"/>
        <w:ind w:left="0" w:right="1138" w:firstLine="0"/>
        <w:jc w:val="right"/>
        <w:rPr>
          <w:rFonts w:ascii="宋体" w:hAnsi="宋体" w:cs="宋体" w:eastAsia="宋体" w:hint="default"/>
          <w:sz w:val="18"/>
          <w:szCs w:val="18"/>
        </w:rPr>
      </w:pPr>
      <w:r>
        <w:rPr/>
        <w:pict>
          <v:shape style="position:absolute;margin-left:55.919998pt;margin-top:-25.028311pt;width:480.7pt;height:518.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6733"/>
                  </w:tblGrid>
                  <w:tr>
                    <w:trPr>
                      <w:trHeight w:val="473" w:hRule="exact"/>
                    </w:trPr>
                    <w:tc>
                      <w:tcPr>
                        <w:tcW w:w="28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72619812-4</w:t>
                        </w:r>
                      </w:p>
                    </w:tc>
                  </w:tr>
                  <w:tr>
                    <w:trPr>
                      <w:trHeight w:val="7506" w:hRule="exact"/>
                    </w:trPr>
                    <w:tc>
                      <w:tcPr>
                        <w:tcW w:w="28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7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、公司上市以来经营范围为：涤纶化纤、织物印染、化纤原料。主要产品为涤纶长丝</w:t>
                        </w:r>
                      </w:p>
                      <w:p>
                        <w:pPr>
                          <w:pStyle w:val="TableParagraph"/>
                          <w:spacing w:line="300" w:lineRule="auto" w:before="102"/>
                          <w:ind w:left="23" w:right="9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日，公司经营范围变更为：涤纶化纤、织物印染、化纤原料；生产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 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日，公司的经营范围变更为：涤纶化纤、织物印染、化纤原料；生 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 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w:t>
                        </w:r>
                      </w:p>
                      <w:p>
                        <w:pPr>
                          <w:pStyle w:val="TableParagraph"/>
                          <w:spacing w:line="319" w:lineRule="auto" w:before="52"/>
                          <w:ind w:left="23"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日，公司经营范围变更为：生产、销售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TEC5200 </w:t>
                        </w:r>
                        <w:r>
                          <w:rPr>
                            <w:rFonts w:ascii="宋体" w:hAnsi="宋体" w:cs="宋体" w:eastAsia="宋体" w:hint="default"/>
                            <w:sz w:val="18"/>
                            <w:szCs w:val="18"/>
                          </w:rPr>
                          <w:t>综合业务接入网 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w:t>
                        </w:r>
                      </w:p>
                      <w:p>
                        <w:pPr>
                          <w:pStyle w:val="TableParagraph"/>
                          <w:spacing w:line="319" w:lineRule="auto"/>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 设备；经营进出口业务；电子产品的销售；房地产开发与投资；物业管理（法律、行 </w:t>
                        </w:r>
                        <w:r>
                          <w:rPr>
                            <w:rFonts w:ascii="宋体" w:hAnsi="宋体" w:cs="宋体" w:eastAsia="宋体" w:hint="default"/>
                            <w:spacing w:val="-3"/>
                            <w:sz w:val="18"/>
                            <w:szCs w:val="18"/>
                          </w:rPr>
                          <w:t>政法规、国务院决定禁止的项目除外，限制的项目须取得许可后方可经营）。</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p>
                      <w:p>
                        <w:pPr>
                          <w:pStyle w:val="TableParagraph"/>
                          <w:spacing w:line="314" w:lineRule="auto"/>
                          <w:ind w:left="23" w:right="2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日，经营范围进行了工商变更：研究、开发金融自助设备及相关应用软件 销售本公司所研发产品并提供售后服务；提供信息技术及相关技术的咨询、开发、技 术服务；软件开发、信息系统的集成并提供售后服务；从事信息系统集成配套计算机 硬件及零件、网络设备、多媒体产品、电子信息产品及通讯产品、办公自动化设备、 仪器仪表、电器及印刷照排设备的批发、进出口及相关业务。</w:t>
                        </w:r>
                      </w:p>
                      <w:p>
                        <w:pPr>
                          <w:pStyle w:val="TableParagraph"/>
                          <w:spacing w:line="300" w:lineRule="auto" w:before="60"/>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日办理了有关注册地址变更的工商变更登记手续，并取得了 </w:t>
                        </w:r>
                        <w:r>
                          <w:rPr>
                            <w:rFonts w:ascii="宋体" w:hAnsi="宋体" w:cs="宋体" w:eastAsia="宋体" w:hint="default"/>
                            <w:spacing w:val="-3"/>
                            <w:sz w:val="18"/>
                            <w:szCs w:val="18"/>
                          </w:rPr>
                          <w:t>深圳市市场监督管理局换发的《企业法人营业执照》，公司住所由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深圳市福田区滨河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区路北与彩田路东联合广场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深圳市南山区科发路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号金融服 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365" w:hRule="exact"/>
                    </w:trPr>
                    <w:tc>
                      <w:tcPr>
                        <w:tcW w:w="283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7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32,412,428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43.57%</w:t>
                        </w:r>
                        <w:r>
                          <w:rPr>
                            <w:rFonts w:ascii="宋体" w:hAnsi="宋体" w:cs="宋体" w:eastAsia="宋体" w:hint="default"/>
                            <w:sz w:val="18"/>
                            <w:szCs w:val="18"/>
                          </w:rPr>
                          <w:t>，成为本公司的控股股东。</w:t>
                        </w:r>
                      </w:p>
                      <w:p>
                        <w:pPr>
                          <w:pStyle w:val="TableParagraph"/>
                          <w:spacing w:line="302" w:lineRule="auto" w:before="101"/>
                          <w:ind w:left="23"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月及</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月本公司原第一大股东贵州省凯里涤纶厂因逾期未能归还银行贷 款遭诉讼，其持本公司的股份被法院强行拍卖。</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日，深圳市太光科技有限公司与本公司原发起人股东广东金龙基企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业有限公司等八家股东达成协议，收购前述八家股东所持有本公司的股份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19,897,057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，成为本公司控股股东。</w:t>
                        </w:r>
                      </w:p>
                    </w:tc>
                  </w:tr>
                </w:tbl>
                <w:p>
                  <w:pPr/>
                </w:p>
              </w:txbxContent>
            </v:textbox>
            <w10:wrap type="none"/>
          </v:shape>
        </w:pict>
      </w:r>
      <w:r>
        <w:rPr>
          <w:rFonts w:ascii="宋体" w:hAnsi="宋体" w:cs="宋体" w:eastAsia="宋体" w:hint="default"/>
          <w:sz w:val="18"/>
          <w:szCs w:val="18"/>
        </w:rPr>
        <w:t>。</w:t>
      </w:r>
    </w:p>
    <w:p>
      <w:pPr>
        <w:spacing w:before="116"/>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836"/>
        <w:gridCol w:w="6733"/>
      </w:tblGrid>
      <w:tr>
        <w:trPr>
          <w:trHeight w:val="333" w:hRule="exact"/>
        </w:trPr>
        <w:tc>
          <w:tcPr>
            <w:tcW w:w="2836" w:type="dxa"/>
            <w:vMerge w:val="restart"/>
            <w:tcBorders>
              <w:top w:val="single" w:sz="12" w:space="0" w:color="000000"/>
              <w:left w:val="single" w:sz="12" w:space="0" w:color="000000"/>
              <w:right w:val="single" w:sz="4" w:space="0" w:color="000000"/>
            </w:tcBorders>
            <w:shd w:val="clear" w:color="auto" w:fill="D2D2D2"/>
          </w:tcPr>
          <w:p>
            <w:pPr/>
          </w:p>
        </w:tc>
        <w:tc>
          <w:tcPr>
            <w:tcW w:w="6733" w:type="dxa"/>
            <w:tcBorders>
              <w:top w:val="single" w:sz="12" w:space="0" w:color="000000"/>
              <w:left w:val="single" w:sz="4" w:space="0" w:color="000000"/>
              <w:bottom w:val="nil" w:sz="6" w:space="0" w:color="auto"/>
              <w:right w:val="single" w:sz="12"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日，本公司第一大股东深圳市太光科技有限公司更名为深圳市申昌</w:t>
            </w:r>
          </w:p>
        </w:tc>
      </w:tr>
      <w:tr>
        <w:trPr>
          <w:trHeight w:val="33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科技有限公司，于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日更名为昆山市申昌科技有限公司。</w:t>
            </w:r>
          </w:p>
        </w:tc>
      </w:tr>
      <w:tr>
        <w:trPr>
          <w:trHeight w:val="33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日，公司第一大股东变更为神码软件，持有公司股份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194,770,055</w:t>
            </w:r>
          </w:p>
        </w:tc>
      </w:tr>
      <w:tr>
        <w:trPr>
          <w:trHeight w:val="333"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45.17%</w:t>
            </w:r>
            <w:r>
              <w:rPr>
                <w:rFonts w:ascii="宋体" w:hAnsi="宋体" w:cs="宋体" w:eastAsia="宋体" w:hint="default"/>
                <w:sz w:val="18"/>
                <w:szCs w:val="18"/>
              </w:rPr>
              <w:t>。</w:t>
            </w:r>
          </w:p>
        </w:tc>
      </w:tr>
      <w:tr>
        <w:trPr>
          <w:trHeight w:val="33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w:t>
            </w:r>
          </w:p>
        </w:tc>
      </w:tr>
      <w:tr>
        <w:trPr>
          <w:trHeight w:val="313"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产重组事项中的非公开发行股份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20,520,227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股上市流通，公司股本由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431,214,014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股增</w:t>
            </w:r>
          </w:p>
        </w:tc>
      </w:tr>
      <w:tr>
        <w:trPr>
          <w:trHeight w:val="33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加为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451,734,241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股，公司第一大股东仍为神码软件，持股比例降为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w:t>
            </w:r>
            <w:r>
              <w:rPr>
                <w:rFonts w:ascii="宋体" w:hAnsi="宋体" w:cs="宋体" w:eastAsia="宋体" w:hint="default"/>
                <w:sz w:val="18"/>
                <w:szCs w:val="18"/>
              </w:rPr>
              <w:t>。</w:t>
            </w:r>
          </w:p>
        </w:tc>
      </w:tr>
      <w:tr>
        <w:trPr>
          <w:trHeight w:val="331"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日，公司关于向特定对象发行股份购买资产并募集配套资金的资产</w:t>
            </w:r>
          </w:p>
        </w:tc>
      </w:tr>
      <w:tr>
        <w:trPr>
          <w:trHeight w:val="313"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重组事项中的配套募集股份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7,171,717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股上市流通，公司股本增加到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3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公司第一大股东仍为神码软件，持股比例降为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r>
        <w:trPr>
          <w:trHeight w:val="331"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披露了《</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年半年度资本公积金转增股本实施公告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半年度资本公积金转增股本方案实施完毕，公司总股本</w:t>
            </w:r>
          </w:p>
        </w:tc>
      </w:tr>
      <w:tr>
        <w:trPr>
          <w:trHeight w:val="313" w:hRule="exact"/>
        </w:trPr>
        <w:tc>
          <w:tcPr>
            <w:tcW w:w="2836" w:type="dxa"/>
            <w:vMerge/>
            <w:tcBorders>
              <w:left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股。公司第一大股东仍为神码软件，持股比例仍</w:t>
            </w:r>
          </w:p>
        </w:tc>
      </w:tr>
      <w:tr>
        <w:trPr>
          <w:trHeight w:val="362" w:hRule="exact"/>
        </w:trPr>
        <w:tc>
          <w:tcPr>
            <w:tcW w:w="2836" w:type="dxa"/>
            <w:vMerge/>
            <w:tcBorders>
              <w:left w:val="single" w:sz="12" w:space="0" w:color="000000"/>
              <w:bottom w:val="single" w:sz="12" w:space="0" w:color="000000"/>
              <w:right w:val="single" w:sz="4" w:space="0" w:color="000000"/>
            </w:tcBorders>
            <w:shd w:val="clear" w:color="auto" w:fill="D2D2D2"/>
          </w:tcPr>
          <w:p>
            <w:pPr/>
          </w:p>
        </w:tc>
        <w:tc>
          <w:tcPr>
            <w:tcW w:w="6733" w:type="dxa"/>
            <w:tcBorders>
              <w:top w:val="nil" w:sz="6" w:space="0" w:color="auto"/>
              <w:left w:val="single" w:sz="4" w:space="0" w:color="000000"/>
              <w:bottom w:val="single" w:sz="12" w:space="0" w:color="000000"/>
              <w:right w:val="single" w:sz="12"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t>公司聘请的会计师事务所</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663"/>
        <w:gridCol w:w="6906"/>
      </w:tblGrid>
      <w:tr>
        <w:trPr>
          <w:trHeight w:val="473" w:hRule="exact"/>
        </w:trPr>
        <w:tc>
          <w:tcPr>
            <w:tcW w:w="26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5"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75" w:hRule="exact"/>
        </w:trPr>
        <w:tc>
          <w:tcPr>
            <w:tcW w:w="26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公司聘请的报告期内履行持续督导职责的保荐机构</w:t>
      </w:r>
    </w:p>
    <w:p>
      <w:pPr>
        <w:spacing w:line="240" w:lineRule="auto" w:before="10"/>
        <w:rPr>
          <w:rFonts w:ascii="宋体" w:hAnsi="宋体" w:cs="宋体" w:eastAsia="宋体" w:hint="default"/>
          <w:sz w:val="17"/>
          <w:szCs w:val="17"/>
        </w:rPr>
      </w:pPr>
    </w:p>
    <w:p>
      <w:pPr>
        <w:pStyle w:val="BodyText"/>
        <w:spacing w:line="420" w:lineRule="auto"/>
        <w:ind w:left="154"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公司聘请的报告期内履行持续督导职责的财务顾问</w:t>
      </w:r>
    </w:p>
    <w:p>
      <w:pPr>
        <w:pStyle w:val="BodyText"/>
        <w:spacing w:line="240" w:lineRule="auto" w:before="75"/>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393"/>
        <w:gridCol w:w="2393"/>
        <w:gridCol w:w="2392"/>
        <w:gridCol w:w="2391"/>
      </w:tblGrid>
      <w:tr>
        <w:trPr>
          <w:trHeight w:val="413" w:hRule="exact"/>
        </w:trPr>
        <w:tc>
          <w:tcPr>
            <w:tcW w:w="23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6"/>
              <w:ind w:left="64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6"/>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40" w:hRule="exact"/>
        </w:trPr>
        <w:tc>
          <w:tcPr>
            <w:tcW w:w="2393" w:type="dxa"/>
            <w:tcBorders>
              <w:top w:val="single" w:sz="16" w:space="0" w:color="D2D2D2"/>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16" w:space="0" w:color="D2D2D2"/>
              <w:left w:val="single" w:sz="4" w:space="0" w:color="000000"/>
              <w:bottom w:val="single" w:sz="12"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田磊、江亮君、刘冠勋、钟凯</w:t>
            </w:r>
          </w:p>
        </w:tc>
        <w:tc>
          <w:tcPr>
            <w:tcW w:w="2391" w:type="dxa"/>
            <w:tcBorders>
              <w:top w:val="single" w:sz="16" w:space="0" w:color="D2D2D2"/>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t>公司是否因会计政策变更及会计差错更正等追溯调整或重述以前年度会计数据</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2"/>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837"/>
        <w:gridCol w:w="1683"/>
        <w:gridCol w:w="1684"/>
        <w:gridCol w:w="1684"/>
        <w:gridCol w:w="1683"/>
      </w:tblGrid>
      <w:tr>
        <w:trPr>
          <w:trHeight w:val="443" w:hRule="exact"/>
        </w:trPr>
        <w:tc>
          <w:tcPr>
            <w:tcW w:w="283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68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89" w:hRule="exact"/>
        </w:trPr>
        <w:tc>
          <w:tcPr>
            <w:tcW w:w="28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3" w:type="dxa"/>
            <w:tcBorders>
              <w:top w:val="single" w:sz="16" w:space="0" w:color="D2D2D2"/>
              <w:left w:val="single" w:sz="13" w:space="0" w:color="D2D2D2"/>
              <w:bottom w:val="single" w:sz="12" w:space="0" w:color="000000"/>
              <w:right w:val="single" w:sz="4" w:space="0" w:color="000000"/>
            </w:tcBorders>
          </w:tcPr>
          <w:p>
            <w:pPr>
              <w:pStyle w:val="TableParagraph"/>
              <w:spacing w:line="240" w:lineRule="auto" w:before="122"/>
              <w:ind w:left="378" w:right="0"/>
              <w:jc w:val="left"/>
              <w:rPr>
                <w:rFonts w:ascii="Times New Roman" w:hAnsi="Times New Roman" w:cs="Times New Roman" w:eastAsia="Times New Roman" w:hint="default"/>
                <w:sz w:val="18"/>
                <w:szCs w:val="18"/>
              </w:rPr>
            </w:pPr>
            <w:r>
              <w:rPr>
                <w:rFonts w:ascii="Times New Roman"/>
                <w:sz w:val="18"/>
              </w:rPr>
              <w:t>6,712,855,773.20</w:t>
            </w:r>
          </w:p>
        </w:tc>
        <w:tc>
          <w:tcPr>
            <w:tcW w:w="1684"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left="391" w:right="0"/>
              <w:jc w:val="left"/>
              <w:rPr>
                <w:rFonts w:ascii="Times New Roman" w:hAnsi="Times New Roman" w:cs="Times New Roman" w:eastAsia="Times New Roman" w:hint="default"/>
                <w:sz w:val="18"/>
                <w:szCs w:val="18"/>
              </w:rPr>
            </w:pPr>
            <w:r>
              <w:rPr>
                <w:rFonts w:ascii="Times New Roman"/>
                <w:sz w:val="18"/>
              </w:rPr>
              <w:t>6,559,007,918.00</w:t>
            </w:r>
          </w:p>
        </w:tc>
        <w:tc>
          <w:tcPr>
            <w:tcW w:w="1684"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2.35%</w:t>
            </w:r>
          </w:p>
        </w:tc>
        <w:tc>
          <w:tcPr>
            <w:tcW w:w="1683" w:type="dxa"/>
            <w:tcBorders>
              <w:top w:val="single" w:sz="16" w:space="0" w:color="D2D2D2"/>
              <w:left w:val="single" w:sz="4" w:space="0" w:color="000000"/>
              <w:bottom w:val="single" w:sz="12" w:space="0" w:color="000000"/>
              <w:right w:val="single" w:sz="12" w:space="0" w:color="000000"/>
            </w:tcBorders>
          </w:tcPr>
          <w:p>
            <w:pPr>
              <w:pStyle w:val="TableParagraph"/>
              <w:spacing w:line="240" w:lineRule="auto" w:before="122"/>
              <w:ind w:left="391" w:right="0"/>
              <w:jc w:val="left"/>
              <w:rPr>
                <w:rFonts w:ascii="Times New Roman" w:hAnsi="Times New Roman" w:cs="Times New Roman" w:eastAsia="Times New Roman" w:hint="default"/>
                <w:sz w:val="18"/>
                <w:szCs w:val="18"/>
              </w:rPr>
            </w:pPr>
            <w:r>
              <w:rPr>
                <w:rFonts w:ascii="Times New Roman"/>
                <w:sz w:val="18"/>
              </w:rPr>
              <w:t>7,713,438,140.57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837"/>
        <w:gridCol w:w="228"/>
        <w:gridCol w:w="1455"/>
        <w:gridCol w:w="1684"/>
        <w:gridCol w:w="1684"/>
        <w:gridCol w:w="1683"/>
      </w:tblGrid>
      <w:tr>
        <w:trPr>
          <w:trHeight w:val="473" w:hRule="exact"/>
        </w:trPr>
        <w:tc>
          <w:tcPr>
            <w:tcW w:w="28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350,620,327.31</w:t>
            </w:r>
          </w:p>
        </w:tc>
        <w:tc>
          <w:tcPr>
            <w:tcW w:w="16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279,531,140.01</w:t>
            </w:r>
          </w:p>
        </w:tc>
        <w:tc>
          <w:tcPr>
            <w:tcW w:w="16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25.43%</w:t>
            </w:r>
          </w:p>
        </w:tc>
        <w:tc>
          <w:tcPr>
            <w:tcW w:w="168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254,718,777.19</w:t>
            </w:r>
          </w:p>
        </w:tc>
      </w:tr>
      <w:tr>
        <w:trPr>
          <w:trHeight w:val="714"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326,443,876.20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264,882,742.13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23.24%</w:t>
            </w:r>
          </w:p>
        </w:tc>
        <w:tc>
          <w:tcPr>
            <w:tcW w:w="16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231,444,635.10</w:t>
            </w:r>
          </w:p>
        </w:tc>
      </w:tr>
      <w:tr>
        <w:trPr>
          <w:trHeight w:val="465"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78,386,638.78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503,133,542.65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-84.42%</w:t>
            </w:r>
          </w:p>
        </w:tc>
        <w:tc>
          <w:tcPr>
            <w:tcW w:w="16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161,089,588.21</w:t>
            </w:r>
          </w:p>
        </w:tc>
      </w:tr>
      <w:tr>
        <w:trPr>
          <w:trHeight w:val="464"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0.3820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0.3241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17.86%</w:t>
            </w:r>
          </w:p>
        </w:tc>
        <w:tc>
          <w:tcPr>
            <w:tcW w:w="16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0.3988</w:t>
            </w:r>
          </w:p>
        </w:tc>
      </w:tr>
      <w:tr>
        <w:trPr>
          <w:trHeight w:val="463"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0.3820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0.3241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17.86%</w:t>
            </w:r>
          </w:p>
        </w:tc>
        <w:tc>
          <w:tcPr>
            <w:tcW w:w="16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0.3988</w:t>
            </w:r>
          </w:p>
        </w:tc>
      </w:tr>
      <w:tr>
        <w:trPr>
          <w:trHeight w:val="500"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3" w:type="dxa"/>
            <w:gridSpan w:val="2"/>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1101" w:right="0"/>
              <w:jc w:val="left"/>
              <w:rPr>
                <w:rFonts w:ascii="Times New Roman" w:hAnsi="Times New Roman" w:cs="Times New Roman" w:eastAsia="Times New Roman" w:hint="default"/>
                <w:sz w:val="18"/>
                <w:szCs w:val="18"/>
              </w:rPr>
            </w:pPr>
            <w:r>
              <w:rPr>
                <w:rFonts w:ascii="Times New Roman"/>
                <w:sz w:val="18"/>
              </w:rPr>
              <w:t>11.34%</w:t>
            </w:r>
          </w:p>
        </w:tc>
        <w:tc>
          <w:tcPr>
            <w:tcW w:w="168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13.69%</w:t>
            </w:r>
          </w:p>
        </w:tc>
        <w:tc>
          <w:tcPr>
            <w:tcW w:w="168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-2.35%</w:t>
            </w:r>
          </w:p>
        </w:tc>
        <w:tc>
          <w:tcPr>
            <w:tcW w:w="1683"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14.23%</w:t>
            </w:r>
          </w:p>
        </w:tc>
      </w:tr>
      <w:tr>
        <w:trPr>
          <w:trHeight w:val="428"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6"/>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63"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90" w:right="0"/>
              <w:jc w:val="left"/>
              <w:rPr>
                <w:rFonts w:ascii="Times New Roman" w:hAnsi="Times New Roman" w:cs="Times New Roman" w:eastAsia="Times New Roman" w:hint="default"/>
                <w:sz w:val="18"/>
                <w:szCs w:val="18"/>
              </w:rPr>
            </w:pPr>
            <w:r>
              <w:rPr>
                <w:rFonts w:ascii="Times New Roman"/>
                <w:sz w:val="18"/>
              </w:rPr>
              <w:t>7,371,660,930.73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6,403,363,384.41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15.12%</w:t>
            </w:r>
          </w:p>
        </w:tc>
        <w:tc>
          <w:tcPr>
            <w:tcW w:w="16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6,032,824,327.11</w:t>
            </w:r>
          </w:p>
        </w:tc>
      </w:tr>
      <w:tr>
        <w:trPr>
          <w:trHeight w:val="475" w:hRule="exact"/>
        </w:trPr>
        <w:tc>
          <w:tcPr>
            <w:tcW w:w="28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3,249,319,003.38</w:t>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2,929,881,997.26</w:t>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10.90%</w:t>
            </w:r>
          </w:p>
        </w:tc>
        <w:tc>
          <w:tcPr>
            <w:tcW w:w="16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1,901,763,457.00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13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公司报告期不存在按照国际会计准则与按照中国会计准则披露的财务报告中净利润和净资产差异情况。</w:t>
      </w:r>
    </w:p>
    <w:p>
      <w:pPr>
        <w:spacing w:line="240" w:lineRule="auto" w:before="9"/>
        <w:rPr>
          <w:rFonts w:ascii="宋体" w:hAnsi="宋体" w:cs="宋体" w:eastAsia="宋体" w:hint="default"/>
          <w:sz w:val="19"/>
          <w:szCs w:val="19"/>
        </w:rPr>
      </w:pPr>
    </w:p>
    <w:p>
      <w:pPr>
        <w:pStyle w:val="Heading6"/>
        <w:spacing w:line="240" w:lineRule="auto"/>
        <w:ind w:left="153" w:right="113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13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公司报告期不存在按照境外会计准则与按照中国会计准则披露的财务报告中净利润和净资产差异情况。</w:t>
      </w:r>
    </w:p>
    <w:p>
      <w:pPr>
        <w:spacing w:line="240" w:lineRule="auto" w:before="11"/>
        <w:rPr>
          <w:rFonts w:ascii="宋体" w:hAnsi="宋体" w:cs="宋体" w:eastAsia="宋体" w:hint="default"/>
          <w:sz w:val="17"/>
          <w:szCs w:val="17"/>
        </w:rPr>
      </w:pPr>
    </w:p>
    <w:p>
      <w:pPr>
        <w:pStyle w:val="Heading2"/>
        <w:spacing w:line="240" w:lineRule="auto"/>
        <w:ind w:right="1135"/>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10"/>
        <w:gridCol w:w="1749"/>
        <w:gridCol w:w="1736"/>
        <w:gridCol w:w="1738"/>
        <w:gridCol w:w="1736"/>
      </w:tblGrid>
      <w:tr>
        <w:trPr>
          <w:trHeight w:val="443" w:hRule="exact"/>
        </w:trPr>
        <w:tc>
          <w:tcPr>
            <w:tcW w:w="261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1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0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0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79" w:hRule="exact"/>
        </w:trPr>
        <w:tc>
          <w:tcPr>
            <w:tcW w:w="26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9"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1,140,674,820.00</w:t>
            </w:r>
          </w:p>
        </w:tc>
        <w:tc>
          <w:tcPr>
            <w:tcW w:w="173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1,729,668,330.28</w:t>
            </w:r>
          </w:p>
        </w:tc>
        <w:tc>
          <w:tcPr>
            <w:tcW w:w="173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1,657,259,482.43</w:t>
            </w:r>
          </w:p>
        </w:tc>
        <w:tc>
          <w:tcPr>
            <w:tcW w:w="173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2,185,253,140.49</w:t>
            </w:r>
          </w:p>
        </w:tc>
      </w:tr>
      <w:tr>
        <w:trPr>
          <w:trHeight w:val="464" w:hRule="exact"/>
        </w:trPr>
        <w:tc>
          <w:tcPr>
            <w:tcW w:w="26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24,085,077.64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87,397,529.34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68,876,752.85</w:t>
            </w:r>
          </w:p>
        </w:tc>
        <w:tc>
          <w:tcPr>
            <w:tcW w:w="1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170,260,967.48</w:t>
            </w:r>
          </w:p>
        </w:tc>
      </w:tr>
      <w:tr>
        <w:trPr>
          <w:trHeight w:val="714" w:hRule="exact"/>
        </w:trPr>
        <w:tc>
          <w:tcPr>
            <w:tcW w:w="26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20,880,860.00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85,268,230.98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64,287,592.67</w:t>
            </w:r>
          </w:p>
        </w:tc>
        <w:tc>
          <w:tcPr>
            <w:tcW w:w="173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156,007,192.55</w:t>
            </w:r>
          </w:p>
        </w:tc>
      </w:tr>
      <w:tr>
        <w:trPr>
          <w:trHeight w:val="475" w:hRule="exact"/>
        </w:trPr>
        <w:tc>
          <w:tcPr>
            <w:tcW w:w="26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9"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-373,316,602.92</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-160,678,681.69</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9,024,504.94</w:t>
            </w:r>
          </w:p>
        </w:tc>
        <w:tc>
          <w:tcPr>
            <w:tcW w:w="173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603,357,418.45</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1226" w:top="1060" w:bottom="142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54" w:right="113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822"/>
        <w:gridCol w:w="199"/>
        <w:gridCol w:w="1170"/>
        <w:gridCol w:w="1371"/>
        <w:gridCol w:w="1372"/>
        <w:gridCol w:w="635"/>
      </w:tblGrid>
      <w:tr>
        <w:trPr>
          <w:trHeight w:val="458" w:hRule="exact"/>
        </w:trPr>
        <w:tc>
          <w:tcPr>
            <w:tcW w:w="482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7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7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63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80"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99" w:type="dxa"/>
            <w:tcBorders>
              <w:top w:val="single" w:sz="16" w:space="0" w:color="D2D2D2"/>
              <w:left w:val="single" w:sz="4" w:space="0" w:color="000000"/>
              <w:bottom w:val="single" w:sz="4" w:space="0" w:color="000000"/>
              <w:right w:val="nil" w:sz="6" w:space="0" w:color="auto"/>
            </w:tcBorders>
          </w:tcPr>
          <w:p>
            <w:pPr>
              <w:pStyle w:val="TableParagraph"/>
              <w:spacing w:line="240" w:lineRule="auto" w:before="82"/>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70" w:type="dxa"/>
            <w:tcBorders>
              <w:top w:val="single" w:sz="16" w:space="0" w:color="D2D2D2"/>
              <w:left w:val="nil" w:sz="6" w:space="0" w:color="auto"/>
              <w:bottom w:val="single" w:sz="4" w:space="0" w:color="000000"/>
              <w:right w:val="single" w:sz="4" w:space="0" w:color="000000"/>
            </w:tcBorders>
          </w:tcPr>
          <w:p>
            <w:pPr>
              <w:pStyle w:val="TableParagraph"/>
              <w:spacing w:line="240" w:lineRule="auto" w:before="122"/>
              <w:ind w:left="138" w:right="0"/>
              <w:jc w:val="left"/>
              <w:rPr>
                <w:rFonts w:ascii="Times New Roman" w:hAnsi="Times New Roman" w:cs="Times New Roman" w:eastAsia="Times New Roman" w:hint="default"/>
                <w:sz w:val="18"/>
                <w:szCs w:val="18"/>
              </w:rPr>
            </w:pPr>
            <w:r>
              <w:rPr>
                <w:rFonts w:ascii="Times New Roman"/>
                <w:sz w:val="18"/>
              </w:rPr>
              <w:t>-7,428,287.96</w:t>
            </w:r>
          </w:p>
        </w:tc>
        <w:tc>
          <w:tcPr>
            <w:tcW w:w="137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w w:val="95"/>
                <w:sz w:val="18"/>
              </w:rPr>
              <w:t>-456,221.41</w:t>
            </w:r>
            <w:r>
              <w:rPr>
                <w:rFonts w:ascii="Times New Roman"/>
                <w:sz w:val="18"/>
              </w:rPr>
            </w:r>
          </w:p>
        </w:tc>
        <w:tc>
          <w:tcPr>
            <w:tcW w:w="137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-943,872.49</w:t>
            </w:r>
            <w:r>
              <w:rPr>
                <w:rFonts w:ascii="Times New Roman"/>
                <w:sz w:val="18"/>
              </w:rPr>
            </w:r>
          </w:p>
        </w:tc>
        <w:tc>
          <w:tcPr>
            <w:tcW w:w="635" w:type="dxa"/>
            <w:tcBorders>
              <w:top w:val="single" w:sz="16" w:space="0" w:color="D2D2D2"/>
              <w:left w:val="single" w:sz="4" w:space="0" w:color="000000"/>
              <w:bottom w:val="single" w:sz="4" w:space="0" w:color="000000"/>
              <w:right w:val="single" w:sz="12" w:space="0" w:color="000000"/>
            </w:tcBorders>
          </w:tcPr>
          <w:p>
            <w:pPr/>
          </w:p>
        </w:tc>
      </w:tr>
      <w:tr>
        <w:trPr>
          <w:trHeight w:val="71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0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25,987,319.34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19,255,629.29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42,447,258.62</w:t>
            </w: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-2,207,547.16</w:t>
            </w:r>
          </w:p>
        </w:tc>
        <w:tc>
          <w:tcPr>
            <w:tcW w:w="1372"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1338"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10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3,524,517.48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-10,424,057.88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-860,252.99</w:t>
            </w:r>
            <w:r>
              <w:rPr>
                <w:rFonts w:ascii="Times New Roman"/>
                <w:sz w:val="18"/>
              </w:rPr>
            </w: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06" w:right="0"/>
              <w:jc w:val="left"/>
              <w:rPr>
                <w:rFonts w:ascii="Times New Roman" w:hAnsi="Times New Roman" w:cs="Times New Roman" w:eastAsia="Times New Roman" w:hint="default"/>
                <w:sz w:val="18"/>
                <w:szCs w:val="18"/>
              </w:rPr>
            </w:pPr>
            <w:r>
              <w:rPr>
                <w:rFonts w:ascii="Times New Roman"/>
                <w:sz w:val="18"/>
              </w:rPr>
              <w:t>6,756.52</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8" w:right="0"/>
              <w:jc w:val="left"/>
              <w:rPr>
                <w:rFonts w:ascii="Times New Roman" w:hAnsi="Times New Roman" w:cs="Times New Roman" w:eastAsia="Times New Roman" w:hint="default"/>
                <w:sz w:val="18"/>
                <w:szCs w:val="18"/>
              </w:rPr>
            </w:pPr>
            <w:r>
              <w:rPr>
                <w:rFonts w:ascii="Times New Roman"/>
                <w:sz w:val="18"/>
              </w:rPr>
              <w:t>11,860,810.48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200,889.68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784,172.53</w:t>
            </w: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822"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46" w:right="0"/>
              <w:jc w:val="left"/>
              <w:rPr>
                <w:rFonts w:ascii="Times New Roman" w:hAnsi="Times New Roman" w:cs="Times New Roman" w:eastAsia="Times New Roman" w:hint="default"/>
                <w:sz w:val="18"/>
                <w:szCs w:val="18"/>
              </w:rPr>
            </w:pPr>
            <w:r>
              <w:rPr>
                <w:rFonts w:ascii="Times New Roman"/>
                <w:sz w:val="18"/>
              </w:rPr>
              <w:t>-5,315.78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17,276,443.95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-1,332,948.27</w:t>
            </w: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92" w:right="0"/>
              <w:jc w:val="left"/>
              <w:rPr>
                <w:rFonts w:ascii="Times New Roman" w:hAnsi="Times New Roman" w:cs="Times New Roman" w:eastAsia="Times New Roman" w:hint="default"/>
                <w:sz w:val="18"/>
                <w:szCs w:val="18"/>
              </w:rPr>
            </w:pPr>
            <w:r>
              <w:rPr>
                <w:rFonts w:ascii="Times New Roman"/>
                <w:sz w:val="18"/>
              </w:rPr>
              <w:t>3,498,230.43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4,040,651.53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268,013.58</w:t>
            </w:r>
          </w:p>
        </w:tc>
        <w:tc>
          <w:tcPr>
            <w:tcW w:w="635"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8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98" w:right="0"/>
              <w:jc w:val="left"/>
              <w:rPr>
                <w:rFonts w:ascii="Times New Roman" w:hAnsi="Times New Roman" w:cs="Times New Roman" w:eastAsia="Times New Roman" w:hint="default"/>
                <w:sz w:val="18"/>
                <w:szCs w:val="18"/>
              </w:rPr>
            </w:pPr>
            <w:r>
              <w:rPr>
                <w:rFonts w:ascii="Times New Roman"/>
                <w:sz w:val="18"/>
              </w:rPr>
              <w:t>6,271,118.54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4,956,087.06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16,552,201.73</w:t>
            </w:r>
          </w:p>
        </w:tc>
        <w:tc>
          <w:tcPr>
            <w:tcW w:w="635" w:type="dxa"/>
            <w:tcBorders>
              <w:top w:val="single" w:sz="4" w:space="0" w:color="000000"/>
              <w:left w:val="single" w:sz="4" w:space="0" w:color="000000"/>
              <w:bottom w:val="single" w:sz="16" w:space="0" w:color="D2D2D2"/>
              <w:right w:val="single" w:sz="12" w:space="0" w:color="000000"/>
            </w:tcBorders>
          </w:tcPr>
          <w:p>
            <w:pPr/>
          </w:p>
        </w:tc>
      </w:tr>
      <w:tr>
        <w:trPr>
          <w:trHeight w:val="473" w:hRule="exact"/>
        </w:trPr>
        <w:tc>
          <w:tcPr>
            <w:tcW w:w="48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08" w:right="0"/>
              <w:jc w:val="left"/>
              <w:rPr>
                <w:rFonts w:ascii="Times New Roman" w:hAnsi="Times New Roman" w:cs="Times New Roman" w:eastAsia="Times New Roman" w:hint="default"/>
                <w:sz w:val="18"/>
                <w:szCs w:val="18"/>
              </w:rPr>
            </w:pPr>
            <w:r>
              <w:rPr>
                <w:rFonts w:ascii="Times New Roman"/>
                <w:sz w:val="18"/>
              </w:rPr>
              <w:t>24,176,451.11</w:t>
            </w:r>
          </w:p>
        </w:tc>
        <w:tc>
          <w:tcPr>
            <w:tcW w:w="13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14,648,397.88</w:t>
            </w:r>
          </w:p>
        </w:tc>
        <w:tc>
          <w:tcPr>
            <w:tcW w:w="1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23,274,142.09</w:t>
            </w:r>
          </w:p>
        </w:tc>
        <w:tc>
          <w:tcPr>
            <w:tcW w:w="63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非经常性损益》定义界定的非经常性损</w:t>
      </w:r>
    </w:p>
    <w:p>
      <w:pPr>
        <w:pStyle w:val="BodyText"/>
        <w:spacing w:line="386" w:lineRule="auto" w:before="177"/>
        <w:ind w:right="1116"/>
        <w:jc w:val="left"/>
      </w:pPr>
      <w:r>
        <w:rPr/>
        <w:t>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10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386" w:lineRule="auto"/>
        <w:ind w:right="1116"/>
        <w:jc w:val="left"/>
      </w:pPr>
      <w:r>
        <w:rPr/>
        <w:t>公司报告期不存在将根据《公开发行证券的公司信息披露解释性公告第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非经常性损益》定义、列 举的非经常性损益项目界定为经常性损益的项目的情形。</w:t>
      </w:r>
    </w:p>
    <w:p>
      <w:pPr>
        <w:spacing w:after="0" w:line="386"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1135"/>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5"/>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123" w:firstLine="420"/>
        <w:jc w:val="left"/>
      </w:pPr>
      <w:r>
        <w:rPr/>
        <w:t>公司是中国信息服务产业的领导企业，近</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年来一直以业务模式创新和技术产品应用引领和推动中 国信息化进程及信息服务产业的发展，为金融、政企、电信、农业等重点行业提供整合的</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服务。公司 参与了国家</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spacing w:val="-3"/>
        </w:rPr>
        <w:t>服务标准（</w:t>
      </w:r>
      <w:r>
        <w:rPr>
          <w:rFonts w:ascii="Times New Roman" w:hAnsi="Times New Roman" w:cs="Times New Roman" w:eastAsia="Times New Roman" w:hint="default"/>
          <w:spacing w:val="-3"/>
        </w:rPr>
        <w:t>ITSS</w:t>
      </w:r>
      <w:r>
        <w:rPr>
          <w:spacing w:val="-3"/>
        </w:rPr>
        <w:t>）的制定和推广，是</w:t>
      </w:r>
      <w:r>
        <w:rPr>
          <w:rFonts w:ascii="Times New Roman" w:hAnsi="Times New Roman" w:cs="Times New Roman" w:eastAsia="Times New Roman" w:hint="default"/>
          <w:spacing w:val="-3"/>
        </w:rPr>
        <w:t>“</w:t>
      </w:r>
      <w:r>
        <w:rPr>
          <w:spacing w:val="-3"/>
        </w:rPr>
        <w:t>国家安全可靠计算机信息系统集成重点企业</w:t>
      </w:r>
      <w:r>
        <w:rPr>
          <w:rFonts w:ascii="Times New Roman" w:hAnsi="Times New Roman" w:cs="Times New Roman" w:eastAsia="Times New Roman" w:hint="default"/>
          <w:spacing w:val="-3"/>
        </w:rPr>
        <w:t>”</w:t>
      </w:r>
      <w:r>
        <w:rPr>
          <w:spacing w:val="-3"/>
        </w:rPr>
        <w:t>，获颁全</w:t>
      </w:r>
      <w:r>
        <w:rPr>
          <w:spacing w:val="-103"/>
        </w:rPr>
        <w:t> </w:t>
      </w:r>
      <w:r>
        <w:rPr>
          <w:spacing w:val="-103"/>
        </w:rPr>
      </w:r>
      <w:r>
        <w:rPr/>
        <w:t>国首个运维服务一级资质，并被评为</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年度中国软件行业领军企业</w:t>
      </w:r>
      <w:r>
        <w:rPr>
          <w:rFonts w:ascii="Times New Roman" w:hAnsi="Times New Roman" w:cs="Times New Roman" w:eastAsia="Times New Roman" w:hint="default"/>
        </w:rPr>
        <w:t>”</w:t>
      </w:r>
      <w:r>
        <w:rPr/>
        <w:t>，不断引领中国</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服务产业走向 标准化和自主创新之路。</w:t>
      </w:r>
    </w:p>
    <w:p>
      <w:pPr>
        <w:pStyle w:val="BodyText"/>
        <w:spacing w:line="240" w:lineRule="auto" w:before="106"/>
        <w:ind w:left="574" w:right="0"/>
        <w:jc w:val="left"/>
      </w:pPr>
      <w:r>
        <w:rPr>
          <w:spacing w:val="-6"/>
        </w:rPr>
        <w:t>公司的主营业务包括技术服务、农业信息化、应用软件开发、金融专用设备相关业务及集成解决方案。</w:t>
      </w:r>
    </w:p>
    <w:p>
      <w:pPr>
        <w:spacing w:line="240" w:lineRule="auto" w:before="10"/>
        <w:rPr>
          <w:rFonts w:ascii="宋体" w:hAnsi="宋体" w:cs="宋体" w:eastAsia="宋体" w:hint="default"/>
          <w:sz w:val="17"/>
          <w:szCs w:val="17"/>
        </w:rPr>
      </w:pPr>
    </w:p>
    <w:p>
      <w:pPr>
        <w:pStyle w:val="BodyText"/>
        <w:spacing w:line="240" w:lineRule="auto"/>
        <w:ind w:left="574" w:right="1135"/>
        <w:jc w:val="left"/>
      </w:pPr>
      <w:r>
        <w:rPr/>
        <w:t>（</w:t>
      </w:r>
      <w:r>
        <w:rPr>
          <w:rFonts w:ascii="Times New Roman" w:hAnsi="Times New Roman" w:cs="Times New Roman" w:eastAsia="Times New Roman" w:hint="default"/>
        </w:rPr>
        <w:t>1</w:t>
      </w:r>
      <w:r>
        <w:rPr/>
        <w:t>）技术服务</w:t>
      </w:r>
    </w:p>
    <w:p>
      <w:pPr>
        <w:spacing w:line="240" w:lineRule="auto" w:before="6"/>
        <w:rPr>
          <w:rFonts w:ascii="宋体" w:hAnsi="宋体" w:cs="宋体" w:eastAsia="宋体" w:hint="default"/>
          <w:sz w:val="16"/>
          <w:szCs w:val="16"/>
        </w:rPr>
      </w:pPr>
    </w:p>
    <w:p>
      <w:pPr>
        <w:pStyle w:val="BodyText"/>
        <w:spacing w:line="388" w:lineRule="auto"/>
        <w:ind w:left="154" w:right="1118" w:firstLine="420"/>
        <w:jc w:val="left"/>
      </w:pPr>
      <w:r>
        <w:rPr>
          <w:spacing w:val="-3"/>
        </w:rPr>
        <w:t>公司技术服务业务主要为电信、金融、政企等行业客户提供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spacing w:val="-4"/>
        </w:rPr>
        <w:t>规划咨询、系统运行维护、质量测试、</w:t>
      </w:r>
      <w:r>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管理外包、数据处理及云服务等专业化服务，形成了覆盖用户</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全生命周期的服务。公司努力推进服 务模式创新，于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年起全面推行技术服务产品化和标准化，建立了先进的</w:t>
      </w:r>
      <w:r>
        <w:rPr>
          <w:rFonts w:ascii="Times New Roman" w:hAnsi="Times New Roman" w:cs="Times New Roman" w:eastAsia="Times New Roman" w:hint="default"/>
        </w:rPr>
        <w:t>“</w:t>
      </w:r>
      <w:r>
        <w:rPr/>
        <w:t>锐行服务</w:t>
      </w:r>
      <w:r>
        <w:rPr>
          <w:rFonts w:ascii="Times New Roman" w:hAnsi="Times New Roman" w:cs="Times New Roman" w:eastAsia="Times New Roman" w:hint="default"/>
        </w:rPr>
        <w:t>”</w:t>
      </w:r>
      <w:r>
        <w:rPr/>
        <w:t>产品体系。</w:t>
      </w:r>
      <w:r>
        <w:rPr>
          <w:rFonts w:ascii="Times New Roman" w:hAnsi="Times New Roman" w:cs="Times New Roman" w:eastAsia="Times New Roman" w:hint="default"/>
        </w:rPr>
        <w:t>2015 </w:t>
      </w:r>
      <w:r>
        <w:rPr>
          <w:spacing w:val="-3"/>
        </w:rPr>
        <w:t>年，公司发布的</w:t>
      </w:r>
      <w:r>
        <w:rPr>
          <w:rFonts w:ascii="Times New Roman" w:hAnsi="Times New Roman" w:cs="Times New Roman" w:eastAsia="Times New Roman" w:hint="default"/>
          <w:spacing w:val="-3"/>
        </w:rPr>
        <w:t>“</w:t>
      </w:r>
      <w:r>
        <w:rPr>
          <w:spacing w:val="-3"/>
        </w:rPr>
        <w:t>锐行服务</w:t>
      </w:r>
      <w:r>
        <w:rPr>
          <w:rFonts w:ascii="Times New Roman" w:hAnsi="Times New Roman" w:cs="Times New Roman" w:eastAsia="Times New Roman" w:hint="default"/>
          <w:spacing w:val="-3"/>
        </w:rPr>
        <w:t>”4.0</w:t>
      </w:r>
      <w:r>
        <w:rPr>
          <w:rFonts w:ascii="Times New Roman" w:hAnsi="Times New Roman" w:cs="Times New Roman" w:eastAsia="Times New Roman" w:hint="default"/>
          <w:spacing w:val="32"/>
        </w:rPr>
        <w:t> </w:t>
      </w:r>
      <w:r>
        <w:rPr>
          <w:spacing w:val="-3"/>
        </w:rPr>
        <w:t>版，进一步提高了服务流程管理的智能化水平、响应效率及业务并发处理能</w:t>
      </w:r>
      <w:r>
        <w:rPr>
          <w:spacing w:val="-98"/>
        </w:rPr>
        <w:t> </w:t>
      </w:r>
      <w:r>
        <w:rPr>
          <w:spacing w:val="-98"/>
        </w:rPr>
      </w:r>
      <w:r>
        <w:rPr/>
        <w:t>力。同时，公司适应</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服务发展趋势，整合产业上下游资源，大力推进服务的平台化，由专业</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服务提 供商向</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服务产业链整合者迈进。近年来，随着国内单一集成业务市场规模趋于饱和，公司的技术服务 </w:t>
      </w:r>
      <w:r>
        <w:rPr>
          <w:spacing w:val="-1"/>
        </w:rPr>
        <w:t>业务作为替代性需求获得了持续增长，成为公司规模第二大的业务板块，在服务的标准化、运维保障能力</w:t>
      </w:r>
      <w:r>
        <w:rPr>
          <w:spacing w:val="-83"/>
        </w:rPr>
        <w:t> </w:t>
      </w:r>
      <w:r>
        <w:rPr>
          <w:spacing w:val="-83"/>
        </w:rPr>
      </w:r>
      <w:r>
        <w:rPr/>
        <w:t>及管理体系等方面处于国内领先地位。</w:t>
      </w:r>
    </w:p>
    <w:p>
      <w:pPr>
        <w:pStyle w:val="BodyText"/>
        <w:spacing w:line="240" w:lineRule="auto" w:before="102"/>
        <w:ind w:left="573" w:right="1135"/>
        <w:jc w:val="left"/>
      </w:pPr>
      <w:r>
        <w:rPr/>
        <w:t>（</w:t>
      </w:r>
      <w:r>
        <w:rPr>
          <w:rFonts w:ascii="Times New Roman" w:hAnsi="Times New Roman" w:cs="Times New Roman" w:eastAsia="Times New Roman" w:hint="default"/>
        </w:rPr>
        <w:t>2</w:t>
      </w:r>
      <w:r>
        <w:rPr/>
        <w:t>）农业信息化</w:t>
      </w:r>
    </w:p>
    <w:p>
      <w:pPr>
        <w:spacing w:line="240" w:lineRule="auto" w:before="8"/>
        <w:rPr>
          <w:rFonts w:ascii="宋体" w:hAnsi="宋体" w:cs="宋体" w:eastAsia="宋体" w:hint="default"/>
          <w:sz w:val="16"/>
          <w:szCs w:val="16"/>
        </w:rPr>
      </w:pPr>
    </w:p>
    <w:p>
      <w:pPr>
        <w:pStyle w:val="BodyText"/>
        <w:spacing w:line="396" w:lineRule="auto"/>
        <w:ind w:right="1118" w:firstLine="52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年公司通过并购中农信达正式进入农业信息化领域，面向政府、农业企业及个人用户，提供农 </w:t>
      </w:r>
      <w:r>
        <w:rPr>
          <w:spacing w:val="-1"/>
        </w:rPr>
        <w:t>村土地确权、农村产权流转交易、农村土地征信、智慧农村软件开发等服务，在农业信息化领域快速形成</w:t>
      </w:r>
      <w:r>
        <w:rPr>
          <w:spacing w:val="-86"/>
        </w:rPr>
        <w:t> </w:t>
      </w:r>
      <w:r>
        <w:rPr>
          <w:spacing w:val="-86"/>
        </w:rPr>
      </w:r>
      <w:r>
        <w:rPr>
          <w:spacing w:val="-2"/>
        </w:rPr>
        <w:t>了领先优势。</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5"/>
        </w:rPr>
        <w:t> </w:t>
      </w:r>
      <w:r>
        <w:rPr>
          <w:spacing w:val="-2"/>
        </w:rPr>
        <w:t>年，公司进一步完善</w:t>
      </w:r>
      <w:r>
        <w:rPr>
          <w:rFonts w:ascii="Times New Roman" w:hAnsi="Times New Roman" w:cs="Times New Roman" w:eastAsia="Times New Roman" w:hint="default"/>
          <w:spacing w:val="-2"/>
        </w:rPr>
        <w:t>“</w:t>
      </w:r>
      <w:r>
        <w:rPr>
          <w:spacing w:val="-2"/>
        </w:rPr>
        <w:t>互联网农业</w:t>
      </w:r>
      <w:r>
        <w:rPr>
          <w:rFonts w:ascii="Times New Roman" w:hAnsi="Times New Roman" w:cs="Times New Roman" w:eastAsia="Times New Roman" w:hint="default"/>
          <w:spacing w:val="-2"/>
        </w:rPr>
        <w:t>”</w:t>
      </w:r>
      <w:r>
        <w:rPr>
          <w:spacing w:val="-2"/>
        </w:rPr>
        <w:t>战略布局，通过并购旗硕科技，并与全国唯一的农业</w:t>
      </w:r>
      <w:r>
        <w:rPr>
          <w:spacing w:val="-98"/>
        </w:rPr>
        <w:t> </w:t>
      </w:r>
      <w:r>
        <w:rPr>
          <w:spacing w:val="-98"/>
        </w:rPr>
      </w:r>
      <w:r>
        <w:rPr>
          <w:spacing w:val="-1"/>
        </w:rPr>
        <w:t>高新技术示范区杨凌成立合资公司，进一步进入农业物联网、农技大数据、农产品溯源认证、农业配套金</w:t>
      </w:r>
      <w:r>
        <w:rPr>
          <w:spacing w:val="-86"/>
        </w:rPr>
        <w:t> </w:t>
      </w:r>
      <w:r>
        <w:rPr>
          <w:spacing w:val="-86"/>
        </w:rPr>
      </w:r>
      <w:r>
        <w:rPr>
          <w:spacing w:val="-1"/>
        </w:rPr>
        <w:t>融等服务领域，形成了产品、运营等多元发展模式，全力打造智慧农业生态圈，为我国提升农业现代化水</w:t>
      </w:r>
      <w:r>
        <w:rPr>
          <w:spacing w:val="-86"/>
        </w:rPr>
        <w:t> </w:t>
      </w:r>
      <w:r>
        <w:rPr>
          <w:spacing w:val="-86"/>
        </w:rPr>
      </w:r>
      <w:r>
        <w:rPr/>
        <w:t>平助力。以</w:t>
      </w:r>
      <w:r>
        <w:rPr>
          <w:spacing w:val="-52"/>
        </w:rPr>
        <w:t> </w:t>
      </w:r>
      <w:r>
        <w:rPr>
          <w:rFonts w:ascii="Times New Roman" w:hAnsi="Times New Roman" w:cs="Times New Roman" w:eastAsia="Times New Roman" w:hint="default"/>
        </w:rPr>
        <w:t>2013 </w:t>
      </w:r>
      <w:r>
        <w:rPr/>
        <w:t>年政府</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号文件宣布启动农村土地确权工作以来，我国农村和农业的改革持续升温，农 地确权需求预计将在</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年集中释放。公司的农业信息化业务也保持了高速增长，</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2"/>
        </w:rPr>
        <w:t> </w:t>
      </w:r>
      <w:r>
        <w:rPr/>
        <w:t>年度收入 同比增长</w:t>
      </w:r>
      <w:r>
        <w:rPr>
          <w:spacing w:val="-54"/>
        </w:rPr>
        <w:t> </w:t>
      </w:r>
      <w:r>
        <w:rPr>
          <w:rFonts w:ascii="Times New Roman" w:hAnsi="Times New Roman" w:cs="Times New Roman" w:eastAsia="Times New Roman" w:hint="default"/>
        </w:rPr>
        <w:t>575.37%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年度收入同比增长</w:t>
      </w:r>
      <w:r>
        <w:rPr>
          <w:spacing w:val="-54"/>
        </w:rPr>
        <w:t> </w:t>
      </w:r>
      <w:r>
        <w:rPr>
          <w:rFonts w:ascii="Times New Roman" w:hAnsi="Times New Roman" w:cs="Times New Roman" w:eastAsia="Times New Roman" w:hint="default"/>
        </w:rPr>
        <w:t>89.66%</w:t>
      </w:r>
      <w:r>
        <w:rPr/>
        <w:t>，成为公司新的业务增长点。</w:t>
      </w:r>
    </w:p>
    <w:p>
      <w:pPr>
        <w:spacing w:after="0" w:line="396"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417" w:lineRule="auto" w:before="175"/>
        <w:ind w:left="573" w:right="0"/>
        <w:jc w:val="left"/>
      </w:pPr>
      <w:r>
        <w:rPr/>
        <w:t>（</w:t>
      </w:r>
      <w:r>
        <w:rPr>
          <w:rFonts w:ascii="Times New Roman" w:hAnsi="Times New Roman" w:cs="Times New Roman" w:eastAsia="Times New Roman" w:hint="default"/>
        </w:rPr>
        <w:t>3</w:t>
      </w:r>
      <w:r>
        <w:rPr/>
        <w:t>）应用软件开发 公司应用软件开发业务面向金融、政企、智慧城市等行业客户，提供业务软件的设计、开发、测试、</w:t>
      </w:r>
    </w:p>
    <w:p>
      <w:pPr>
        <w:pStyle w:val="BodyText"/>
        <w:spacing w:line="393" w:lineRule="auto" w:before="37"/>
        <w:ind w:right="1025"/>
        <w:jc w:val="left"/>
      </w:pPr>
      <w:r>
        <w:rPr/>
        <w:t>维护等专业服务。公司以行业应用实践引领软件产品的研发创新，形成了包括系统软件、平台支撑软件、</w:t>
      </w:r>
      <w:r>
        <w:rPr>
          <w:spacing w:val="-38"/>
        </w:rPr>
        <w:t> </w:t>
      </w:r>
      <w:r>
        <w:rPr>
          <w:spacing w:val="-38"/>
        </w:rPr>
      </w:r>
      <w:r>
        <w:rPr/>
        <w:t>行业应用软件、</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运维管理软件在内的丰富产品体系。应用软件业务在公司业务布局中具有重要的地位，</w:t>
      </w:r>
      <w:r>
        <w:rPr>
          <w:spacing w:val="-98"/>
        </w:rPr>
        <w:t> </w:t>
      </w:r>
      <w:r>
        <w:rPr>
          <w:spacing w:val="-98"/>
        </w:rPr>
      </w:r>
      <w:r>
        <w:rPr/>
        <w:t>能够与其他业务协同为行业客户提供高品质、高价值且颇具粘性的</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综合服务。公司应用软件业务主要 分为产品模式、云模式、定制开发三种业务模式。我国的信息化正进入以应用创新为主的新时代，各行各 业在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战略推动下，加强了资源整合、流程再造和服务创新，公司的应用软件开发业务也保持了 较快增长，特别是依托云计算、大数据等先进技术提供的</w:t>
      </w:r>
      <w:r>
        <w:rPr>
          <w:spacing w:val="-57"/>
        </w:rPr>
        <w:t> </w:t>
      </w:r>
      <w:r>
        <w:rPr>
          <w:rFonts w:ascii="Times New Roman" w:hAnsi="Times New Roman" w:cs="Times New Roman" w:eastAsia="Times New Roman" w:hint="default"/>
        </w:rPr>
        <w:t>SaaS</w:t>
      </w:r>
      <w:r>
        <w:rPr>
          <w:rFonts w:ascii="Times New Roman" w:hAnsi="Times New Roman" w:cs="Times New Roman" w:eastAsia="Times New Roman" w:hint="default"/>
          <w:spacing w:val="-5"/>
        </w:rPr>
        <w:t> </w:t>
      </w:r>
      <w:r>
        <w:rPr/>
        <w:t>及</w:t>
      </w:r>
      <w:r>
        <w:rPr>
          <w:spacing w:val="-58"/>
        </w:rPr>
        <w:t> </w:t>
      </w:r>
      <w:r>
        <w:rPr>
          <w:rFonts w:ascii="Times New Roman" w:hAnsi="Times New Roman" w:cs="Times New Roman" w:eastAsia="Times New Roman" w:hint="default"/>
        </w:rPr>
        <w:t>PaaS</w:t>
      </w:r>
      <w:r>
        <w:rPr>
          <w:rFonts w:ascii="Times New Roman" w:hAnsi="Times New Roman" w:cs="Times New Roman" w:eastAsia="Times New Roman" w:hint="default"/>
          <w:spacing w:val="-6"/>
        </w:rPr>
        <w:t> </w:t>
      </w:r>
      <w:r>
        <w:rPr/>
        <w:t>服务，创新了业务模式，提升了公 司的业务价值。</w:t>
      </w:r>
    </w:p>
    <w:p>
      <w:pPr>
        <w:pStyle w:val="BodyText"/>
        <w:spacing w:line="417" w:lineRule="auto" w:before="99"/>
        <w:ind w:left="573" w:right="1177"/>
        <w:jc w:val="left"/>
      </w:pPr>
      <w:r>
        <w:rPr/>
        <w:t>（</w:t>
      </w:r>
      <w:r>
        <w:rPr>
          <w:rFonts w:ascii="Times New Roman" w:hAnsi="Times New Roman" w:cs="Times New Roman" w:eastAsia="Times New Roman" w:hint="default"/>
        </w:rPr>
        <w:t>4</w:t>
      </w:r>
      <w:r>
        <w:rPr/>
        <w:t>）金融专用设备相关业务 公司金融专用设备相关业务主要为城商行、农商行、股份制银行等金融机构提供</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产品及相关技</w:t>
      </w:r>
    </w:p>
    <w:p>
      <w:pPr>
        <w:pStyle w:val="BodyText"/>
        <w:spacing w:line="391" w:lineRule="auto" w:before="5"/>
        <w:ind w:right="1014"/>
        <w:jc w:val="left"/>
      </w:pPr>
      <w:r>
        <w:rPr>
          <w:spacing w:val="-3"/>
        </w:rPr>
        <w:t>术服务，具体包括</w:t>
      </w:r>
      <w:r>
        <w:rPr>
          <w:spacing w:val="-49"/>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spacing w:val="-4"/>
        </w:rPr>
        <w:t>产品的设计、生产、销售、维护、运营等服务，业务模式分产品销售、运营服务、</w:t>
      </w:r>
      <w:r>
        <w:rPr>
          <w:spacing w:val="-98"/>
        </w:rPr>
        <w:t> </w:t>
      </w:r>
      <w:r>
        <w:rPr>
          <w:spacing w:val="-98"/>
        </w:rPr>
      </w:r>
      <w:r>
        <w:rPr>
          <w:spacing w:val="-7"/>
        </w:rPr>
        <w:t>其他技术服务三种。公司自主研发的</w:t>
      </w:r>
      <w:r>
        <w:rPr>
          <w:spacing w:val="-54"/>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w w:val="99"/>
        </w:rPr>
        <w:t> </w:t>
      </w:r>
      <w:r>
        <w:rPr/>
        <w:t>产品主要有</w:t>
      </w:r>
      <w:r>
        <w:rPr>
          <w:spacing w:val="-54"/>
        </w:rPr>
        <w:t> </w:t>
      </w:r>
      <w:r>
        <w:rPr>
          <w:rFonts w:ascii="Times New Roman" w:hAnsi="Times New Roman" w:cs="Times New Roman" w:eastAsia="Times New Roman" w:hint="default"/>
        </w:rPr>
        <w:t>C6000</w:t>
      </w:r>
      <w:r>
        <w:rPr>
          <w:rFonts w:ascii="Times New Roman" w:hAnsi="Times New Roman" w:cs="Times New Roman" w:eastAsia="Times New Roman" w:hint="default"/>
          <w:spacing w:val="-2"/>
        </w:rPr>
        <w:t> </w:t>
      </w:r>
      <w:r>
        <w:rPr/>
        <w:t>系列和</w:t>
      </w:r>
      <w:r>
        <w:rPr>
          <w:spacing w:val="-54"/>
        </w:rPr>
        <w:t> </w:t>
      </w:r>
      <w:r>
        <w:rPr>
          <w:rFonts w:ascii="Times New Roman" w:hAnsi="Times New Roman" w:cs="Times New Roman" w:eastAsia="Times New Roman" w:hint="default"/>
          <w:spacing w:val="-1"/>
        </w:rPr>
        <w:t>C7000 </w:t>
      </w:r>
      <w:r>
        <w:rPr>
          <w:spacing w:val="-8"/>
        </w:rPr>
        <w:t>系列，具有完整自主知识产权，</w:t>
      </w:r>
      <w:r>
        <w:rPr>
          <w:spacing w:val="-101"/>
        </w:rPr>
        <w:t> </w:t>
      </w:r>
      <w:r>
        <w:rPr>
          <w:spacing w:val="-101"/>
        </w:rPr>
      </w:r>
      <w:r>
        <w:rPr/>
        <w:t>拥有</w:t>
      </w:r>
      <w:r>
        <w:rPr>
          <w:spacing w:val="-54"/>
        </w:rPr>
        <w:t> </w:t>
      </w:r>
      <w:r>
        <w:rPr>
          <w:rFonts w:ascii="Times New Roman" w:hAnsi="Times New Roman" w:cs="Times New Roman" w:eastAsia="Times New Roman" w:hint="default"/>
        </w:rPr>
        <w:t>3 </w:t>
      </w:r>
      <w:r>
        <w:rPr/>
        <w:t>项专利和多项软件著作权，是北京市自主创新产品。</w:t>
      </w:r>
      <w:r>
        <w:rPr>
          <w:rFonts w:ascii="Times New Roman" w:hAnsi="Times New Roman" w:cs="Times New Roman" w:eastAsia="Times New Roman" w:hint="default"/>
        </w:rPr>
        <w:t>2015 </w:t>
      </w:r>
      <w:r>
        <w:rPr/>
        <w:t>年，公司与日本</w:t>
      </w:r>
      <w:r>
        <w:rPr>
          <w:spacing w:val="-53"/>
        </w:rPr>
        <w:t> </w:t>
      </w:r>
      <w:r>
        <w:rPr>
          <w:rFonts w:ascii="Times New Roman" w:hAnsi="Times New Roman" w:cs="Times New Roman" w:eastAsia="Times New Roman" w:hint="default"/>
        </w:rPr>
        <w:t>OKI</w:t>
      </w:r>
      <w:r>
        <w:rPr>
          <w:rFonts w:ascii="Times New Roman" w:hAnsi="Times New Roman" w:cs="Times New Roman" w:eastAsia="Times New Roman" w:hint="default"/>
          <w:spacing w:val="-2"/>
        </w:rPr>
        <w:t> </w:t>
      </w:r>
      <w:r>
        <w:rPr/>
        <w:t>达成战略合作，提 </w:t>
      </w:r>
      <w:r>
        <w:rPr>
          <w:spacing w:val="-4"/>
        </w:rPr>
        <w:t>升技术研发及产品竞争力，并联合发布了新产品</w:t>
      </w:r>
      <w:r>
        <w:rPr>
          <w:spacing w:val="-48"/>
        </w:rPr>
        <w:t> </w:t>
      </w:r>
      <w:r>
        <w:rPr>
          <w:rFonts w:ascii="Times New Roman" w:hAnsi="Times New Roman" w:cs="Times New Roman" w:eastAsia="Times New Roman" w:hint="default"/>
        </w:rPr>
        <w:t>C9000</w:t>
      </w:r>
      <w:r>
        <w:rPr>
          <w:rFonts w:ascii="Times New Roman" w:hAnsi="Times New Roman" w:cs="Times New Roman" w:eastAsia="Times New Roman" w:hint="default"/>
          <w:spacing w:val="5"/>
        </w:rPr>
        <w:t> </w:t>
      </w:r>
      <w:r>
        <w:rPr>
          <w:spacing w:val="-4"/>
        </w:rPr>
        <w:t>系列。金融机具是金融信息化必不可少的专用设备，</w:t>
      </w:r>
      <w:r>
        <w:rPr/>
        <w:t> 与全球及欧美发达国家相比，我国</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t>等金融机具的保有量仍然偏少，市场远未饱和，特别是中小金融 市场，公司将发挥中小金融市场覆盖、运维服务网络、应用软件创新等优势，加快金融专用设备相关业务 的发展。</w:t>
      </w:r>
    </w:p>
    <w:p>
      <w:pPr>
        <w:pStyle w:val="BodyText"/>
        <w:spacing w:line="420" w:lineRule="auto" w:before="100"/>
        <w:ind w:left="573" w:right="0"/>
        <w:jc w:val="left"/>
      </w:pPr>
      <w:r>
        <w:rPr/>
        <w:t>（</w:t>
      </w:r>
      <w:r>
        <w:rPr>
          <w:rFonts w:ascii="Times New Roman" w:hAnsi="Times New Roman" w:cs="Times New Roman" w:eastAsia="Times New Roman" w:hint="default"/>
        </w:rPr>
        <w:t>5</w:t>
      </w:r>
      <w:r>
        <w:rPr/>
        <w:t>）集成解决方案 </w:t>
      </w:r>
      <w:r>
        <w:rPr>
          <w:spacing w:val="-1"/>
        </w:rPr>
        <w:t>公司集成解决方案业务主要是与全球主流软硬件厂商合作，为金融、电信、政企、军队、能源等行业</w:t>
      </w:r>
    </w:p>
    <w:p>
      <w:pPr>
        <w:pStyle w:val="BodyText"/>
        <w:spacing w:line="400" w:lineRule="auto" w:before="35"/>
        <w:ind w:right="1120"/>
        <w:jc w:val="left"/>
      </w:pPr>
      <w:r>
        <w:rPr/>
        <w:t>客户提供</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基础设施搭建、运维管理、解决方案等综合信息化服务，具体包括</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基础设施产品及系统的 采购、安装、调试、集成、维护等一条龙服务。公司与全球</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余家顶尖</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公司建立了战略合作关系， </w:t>
      </w:r>
      <w:r>
        <w:rPr>
          <w:spacing w:val="-1"/>
        </w:rPr>
        <w:t>大型项目管理及跨平台集成整合能力在国内首屈一指，先后承建了众多国家战略性工程项目。近年，随着</w:t>
      </w:r>
      <w:r>
        <w:rPr>
          <w:spacing w:val="-83"/>
        </w:rPr>
        <w:t> </w:t>
      </w:r>
      <w:r>
        <w:rPr>
          <w:spacing w:val="-83"/>
        </w:rPr>
      </w:r>
      <w:r>
        <w:rPr>
          <w:spacing w:val="-1"/>
        </w:rPr>
        <w:t>国内单一集成业务市场规模趋于饱和，公司集成解决方案业务向新一代数据中心建设管理、虚拟化等服务</w:t>
      </w:r>
      <w:r>
        <w:rPr>
          <w:spacing w:val="-81"/>
        </w:rPr>
        <w:t> </w:t>
      </w:r>
      <w:r>
        <w:rPr>
          <w:spacing w:val="-81"/>
        </w:rPr>
      </w:r>
      <w:r>
        <w:rPr>
          <w:spacing w:val="-1"/>
        </w:rPr>
        <w:t>创新和升级，并主动优化业务结构，放弃了一些低毛利或周期较长的项目。随着国家安全可控战略的持续</w:t>
      </w:r>
      <w:r>
        <w:rPr>
          <w:spacing w:val="-83"/>
        </w:rPr>
        <w:t> </w:t>
      </w:r>
      <w:r>
        <w:rPr>
          <w:spacing w:val="-83"/>
        </w:rPr>
      </w:r>
      <w:r>
        <w:rPr/>
        <w:t>推进，公司也将迎来更多大型项目整合服务的市场机遇。</w:t>
      </w:r>
    </w:p>
    <w:p>
      <w:pPr>
        <w:spacing w:after="0" w:line="400"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before="26"/>
        <w:ind w:right="1135"/>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561"/>
        <w:gridCol w:w="8008"/>
      </w:tblGrid>
      <w:tr>
        <w:trPr>
          <w:trHeight w:val="938" w:hRule="exact"/>
        </w:trPr>
        <w:tc>
          <w:tcPr>
            <w:tcW w:w="1561" w:type="dxa"/>
            <w:tcBorders>
              <w:top w:val="single" w:sz="12" w:space="0" w:color="000000"/>
              <w:left w:val="single" w:sz="12" w:space="0" w:color="000000"/>
              <w:bottom w:val="single" w:sz="16" w:space="0" w:color="D9D9D9"/>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63"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，主要原因是在建工程本期全部转入固定资产所致</w:t>
            </w:r>
          </w:p>
        </w:tc>
      </w:tr>
      <w:tr>
        <w:trPr>
          <w:trHeight w:val="46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73.78%</w:t>
            </w:r>
            <w:r>
              <w:rPr>
                <w:rFonts w:ascii="宋体" w:hAnsi="宋体" w:cs="宋体" w:eastAsia="宋体" w:hint="default"/>
                <w:sz w:val="18"/>
                <w:szCs w:val="18"/>
              </w:rPr>
              <w:t>，主要原因是报告期以票据结算的销售货款增加所致</w:t>
            </w:r>
          </w:p>
        </w:tc>
      </w:tr>
      <w:tr>
        <w:trPr>
          <w:trHeight w:val="71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255.35%</w:t>
            </w:r>
            <w:r>
              <w:rPr>
                <w:rFonts w:ascii="宋体" w:hAnsi="宋体" w:cs="宋体" w:eastAsia="宋体" w:hint="default"/>
                <w:sz w:val="18"/>
                <w:szCs w:val="18"/>
              </w:rPr>
              <w:t>，主要原因是预付北京中智创展管理咨询有限公司、北京旗硕 基业科技股份有限公司股权收购款所致</w:t>
            </w:r>
          </w:p>
        </w:tc>
      </w:tr>
      <w:tr>
        <w:trPr>
          <w:trHeight w:val="46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92.56%</w:t>
            </w:r>
            <w:r>
              <w:rPr>
                <w:rFonts w:ascii="宋体" w:hAnsi="宋体" w:cs="宋体" w:eastAsia="宋体" w:hint="default"/>
                <w:sz w:val="18"/>
                <w:szCs w:val="18"/>
              </w:rPr>
              <w:t>，主要原因是大额项目尚未完成验收所致</w:t>
            </w:r>
          </w:p>
        </w:tc>
      </w:tr>
      <w:tr>
        <w:trPr>
          <w:trHeight w:val="463"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90.01%</w:t>
            </w:r>
            <w:r>
              <w:rPr>
                <w:rFonts w:ascii="宋体" w:hAnsi="宋体" w:cs="宋体" w:eastAsia="宋体" w:hint="default"/>
                <w:sz w:val="18"/>
                <w:szCs w:val="18"/>
              </w:rPr>
              <w:t>，主要原因是年初理财产品本期到期所致</w:t>
            </w:r>
          </w:p>
        </w:tc>
      </w:tr>
      <w:tr>
        <w:trPr>
          <w:trHeight w:val="46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31.57%</w:t>
            </w:r>
            <w:r>
              <w:rPr>
                <w:rFonts w:ascii="宋体" w:hAnsi="宋体" w:cs="宋体" w:eastAsia="宋体" w:hint="default"/>
                <w:sz w:val="18"/>
                <w:szCs w:val="18"/>
              </w:rPr>
              <w:t>，主要原因是报告期内按照出资协议第二期出资所致</w:t>
            </w:r>
          </w:p>
        </w:tc>
      </w:tr>
      <w:tr>
        <w:trPr>
          <w:trHeight w:val="46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年末余额为 </w:t>
            </w:r>
            <w:r>
              <w:rPr>
                <w:rFonts w:ascii="Times New Roman" w:hAnsi="Times New Roman" w:cs="Times New Roman" w:eastAsia="Times New Roman" w:hint="default"/>
                <w:sz w:val="18"/>
                <w:szCs w:val="18"/>
              </w:rPr>
              <w:t>21,176,651.37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元，年初余额为零，主要原因是研究开发项目资本化所致</w:t>
            </w:r>
          </w:p>
        </w:tc>
      </w:tr>
      <w:tr>
        <w:trPr>
          <w:trHeight w:val="473" w:hRule="exact"/>
        </w:trPr>
        <w:tc>
          <w:tcPr>
            <w:tcW w:w="156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0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30.27%</w:t>
            </w:r>
            <w:r>
              <w:rPr>
                <w:rFonts w:ascii="宋体" w:hAnsi="宋体" w:cs="宋体" w:eastAsia="宋体" w:hint="default"/>
                <w:sz w:val="18"/>
                <w:szCs w:val="18"/>
              </w:rPr>
              <w:t>，主要原因是坏账准备减少所致</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6"/>
        <w:spacing w:line="240" w:lineRule="auto" w:before="35"/>
        <w:ind w:right="113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1135"/>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4" w:right="0" w:firstLine="420"/>
        <w:jc w:val="left"/>
      </w:pPr>
      <w:r>
        <w:rPr/>
        <w:t>公司作为我国</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服务产业的领导企业，依托</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智慧农村</w:t>
      </w:r>
      <w:r>
        <w:rPr>
          <w:rFonts w:ascii="Times New Roman" w:hAnsi="Times New Roman" w:cs="Times New Roman" w:eastAsia="Times New Roman" w:hint="default"/>
        </w:rPr>
        <w:t>”</w:t>
      </w:r>
      <w:r>
        <w:rPr/>
        <w:t>的产业互联网整体发展战略，为行 业用户提供专业技术服务、农业信息化、应用软件开发、金融专用设备相关业务和集成解决方案等</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 </w:t>
      </w:r>
      <w:r>
        <w:rPr>
          <w:spacing w:val="-8"/>
          <w:w w:val="100"/>
        </w:rPr>
        <w:t>品及服务。同时，公司适应技术升级和大型行业</w:t>
      </w:r>
      <w:r>
        <w:rPr>
          <w:rFonts w:ascii="Times New Roman" w:hAnsi="Times New Roman" w:cs="Times New Roman" w:eastAsia="Times New Roman" w:hint="default"/>
          <w:spacing w:val="-8"/>
          <w:w w:val="100"/>
        </w:rPr>
        <w:t>“</w:t>
      </w:r>
      <w:r>
        <w:rPr>
          <w:spacing w:val="-8"/>
          <w:w w:val="100"/>
        </w:rPr>
        <w:t>互联网</w:t>
      </w:r>
      <w:r>
        <w:rPr>
          <w:rFonts w:ascii="Times New Roman" w:hAnsi="Times New Roman" w:cs="Times New Roman" w:eastAsia="Times New Roman" w:hint="default"/>
          <w:spacing w:val="-8"/>
          <w:w w:val="100"/>
        </w:rPr>
        <w:t>+”</w:t>
      </w:r>
      <w:r>
        <w:rPr>
          <w:spacing w:val="-8"/>
          <w:w w:val="100"/>
        </w:rPr>
        <w:t>的发展趋势，全力推进互联网开放平台</w:t>
      </w:r>
      <w:r>
        <w:rPr>
          <w:spacing w:val="-15"/>
          <w:w w:val="100"/>
        </w:rPr>
        <w:t> </w:t>
      </w:r>
      <w:r>
        <w:rPr>
          <w:rFonts w:ascii="Times New Roman" w:hAnsi="Times New Roman" w:cs="Times New Roman" w:eastAsia="Times New Roman" w:hint="default"/>
          <w:spacing w:val="-1"/>
          <w:w w:val="99"/>
        </w:rPr>
        <w:t>Sm@rtOP</w:t>
      </w:r>
      <w:r>
        <w:rPr>
          <w:spacing w:val="-1"/>
          <w:w w:val="99"/>
        </w:rPr>
        <w:t>、</w:t>
      </w:r>
      <w:r>
        <w:rPr>
          <w:spacing w:val="-96"/>
          <w:w w:val="99"/>
        </w:rPr>
        <w:t> </w:t>
      </w:r>
      <w:r>
        <w:rPr/>
        <w:t>云服务、大数据模型、平台运营等新业务和新模式的发展，助力</w:t>
      </w:r>
      <w:r>
        <w:rPr>
          <w:spacing w:val="-57"/>
        </w:rPr>
        <w:t> </w:t>
      </w:r>
      <w:r>
        <w:rPr>
          <w:rFonts w:ascii="Times New Roman" w:hAnsi="Times New Roman" w:cs="Times New Roman" w:eastAsia="Times New Roman" w:hint="default"/>
        </w:rPr>
        <w:t>ITSS</w:t>
      </w:r>
      <w:r>
        <w:rPr>
          <w:rFonts w:ascii="Times New Roman" w:hAnsi="Times New Roman" w:cs="Times New Roman" w:eastAsia="Times New Roman" w:hint="default"/>
          <w:spacing w:val="-5"/>
        </w:rPr>
        <w:t> </w:t>
      </w:r>
      <w:r>
        <w:rPr/>
        <w:t>国家</w:t>
      </w:r>
      <w:r>
        <w:rPr>
          <w:spacing w:val="-58"/>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服务标准的制定和执行，推 动安全可靠计算机信息系统在金融、政府等行业的应用推广，为我国国民经济重点行业的转型升级和</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产业的自主创新而持续发力。公司的核心竞争能力主要体现在以下几个方面：</w:t>
      </w:r>
    </w:p>
    <w:p>
      <w:pPr>
        <w:pStyle w:val="BodyText"/>
        <w:spacing w:line="420" w:lineRule="auto" w:before="104"/>
        <w:ind w:left="574" w:right="0"/>
        <w:jc w:val="left"/>
      </w:pPr>
      <w:r>
        <w:rPr>
          <w:rFonts w:ascii="Times New Roman" w:hAnsi="Times New Roman" w:cs="Times New Roman" w:eastAsia="Times New Roman" w:hint="default"/>
        </w:rPr>
        <w:t>1</w:t>
      </w:r>
      <w:r>
        <w:rPr/>
        <w:t>、战略布局及业务模式创新能力 </w:t>
      </w:r>
      <w:r>
        <w:rPr>
          <w:spacing w:val="-5"/>
        </w:rPr>
        <w:t>公司在长期的发展中，秉承</w:t>
      </w:r>
      <w:r>
        <w:rPr>
          <w:rFonts w:ascii="Times New Roman" w:hAnsi="Times New Roman" w:cs="Times New Roman" w:eastAsia="Times New Roman" w:hint="default"/>
          <w:spacing w:val="-5"/>
        </w:rPr>
        <w:t>“</w:t>
      </w:r>
      <w:r>
        <w:rPr>
          <w:spacing w:val="-5"/>
        </w:rPr>
        <w:t>责任、激情、创新</w:t>
      </w:r>
      <w:r>
        <w:rPr>
          <w:rFonts w:ascii="Times New Roman" w:hAnsi="Times New Roman" w:cs="Times New Roman" w:eastAsia="Times New Roman" w:hint="default"/>
          <w:spacing w:val="-5"/>
        </w:rPr>
        <w:t>”</w:t>
      </w:r>
      <w:r>
        <w:rPr>
          <w:spacing w:val="-5"/>
        </w:rPr>
        <w:t>的企业文化，本着为客户、投资人和员工负责的精神，</w:t>
      </w:r>
    </w:p>
    <w:p>
      <w:pPr>
        <w:pStyle w:val="BodyText"/>
        <w:spacing w:line="441" w:lineRule="auto" w:before="4"/>
        <w:ind w:left="574" w:right="0" w:hanging="420"/>
        <w:jc w:val="left"/>
      </w:pPr>
      <w:r>
        <w:rPr/>
        <w:t>持续推进战略布局优化和业务模式创新，保障公司业务的可持续发展和有效增长。 </w:t>
      </w:r>
      <w:r>
        <w:rPr>
          <w:spacing w:val="-1"/>
        </w:rPr>
        <w:t>公司关注行业及业务生命周期的变化，不断寻求低饱和、高成长、高利润的领域及业务，引领行业发</w:t>
      </w:r>
    </w:p>
    <w:p>
      <w:pPr>
        <w:spacing w:after="0" w:line="441"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393" w:lineRule="auto" w:before="174"/>
        <w:ind w:right="1024"/>
        <w:jc w:val="left"/>
      </w:pPr>
      <w:r>
        <w:rPr/>
        <w:t>展趋势</w:t>
      </w:r>
      <w:r>
        <w:rPr>
          <w:rFonts w:ascii="Times New Roman" w:hAnsi="Times New Roman" w:cs="Times New Roman" w:eastAsia="Times New Roman" w:hint="default"/>
        </w:rPr>
        <w:t>,</w:t>
      </w:r>
      <w:r>
        <w:rPr/>
        <w:t>并主动开发满足客户的先进需求，推进新老业务的更替和业务结构优化。</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年，公司自有高价 </w:t>
      </w:r>
      <w:r>
        <w:rPr>
          <w:spacing w:val="-3"/>
        </w:rPr>
        <w:t>值业务的占比进一步提升；同时通过打造智慧农业生态圈推进国家农业现代化建设，全面布局农业产业链；</w:t>
      </w:r>
      <w:r>
        <w:rPr>
          <w:spacing w:val="-92"/>
        </w:rPr>
        <w:t> </w:t>
      </w:r>
      <w:r>
        <w:rPr>
          <w:spacing w:val="-92"/>
        </w:rPr>
      </w:r>
      <w:r>
        <w:rPr/>
        <w:t>研发推出互联网开放平台产品，助力大型行业客户拥抱</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，公司的战略布局能力赢得了业界的盛 赞。</w:t>
      </w:r>
    </w:p>
    <w:p>
      <w:pPr>
        <w:pStyle w:val="BodyText"/>
        <w:spacing w:line="400" w:lineRule="auto" w:before="97"/>
        <w:ind w:right="1130" w:firstLine="420"/>
        <w:jc w:val="both"/>
      </w:pPr>
      <w:r>
        <w:rPr>
          <w:spacing w:val="-1"/>
        </w:rPr>
        <w:t>此外，公司最早探索、持续布局行业软件服务的平台化，积极推进行业公共云平台业务的发展，从根</w:t>
      </w:r>
      <w:r>
        <w:rPr/>
        <w:t> </w:t>
      </w:r>
      <w:r>
        <w:rPr>
          <w:spacing w:val="-1"/>
        </w:rPr>
        <w:t>本上优化软件业务的盈利模式和盈利能力；并利用云计算的长尾效应，将公司的客户群由原来的大中型客</w:t>
      </w:r>
      <w:r>
        <w:rPr>
          <w:spacing w:val="-81"/>
        </w:rPr>
        <w:t> </w:t>
      </w:r>
      <w:r>
        <w:rPr>
          <w:spacing w:val="-81"/>
        </w:rPr>
      </w:r>
      <w:r>
        <w:rPr>
          <w:spacing w:val="-1"/>
        </w:rPr>
        <w:t>户延伸到小微型客户市场，公司的服务能力和市场覆盖获得显著提升，形成了</w:t>
      </w:r>
      <w:r>
        <w:rPr>
          <w:rFonts w:ascii="Times New Roman" w:hAnsi="Times New Roman" w:cs="Times New Roman" w:eastAsia="Times New Roman" w:hint="default"/>
          <w:spacing w:val="-1"/>
        </w:rPr>
        <w:t>“</w:t>
      </w:r>
      <w:r>
        <w:rPr>
          <w:spacing w:val="-1"/>
        </w:rPr>
        <w:t>大客户产品化服务</w:t>
      </w:r>
      <w:r>
        <w:rPr>
          <w:rFonts w:ascii="Times New Roman" w:hAnsi="Times New Roman" w:cs="Times New Roman" w:eastAsia="Times New Roman" w:hint="default"/>
          <w:spacing w:val="-1"/>
        </w:rPr>
        <w:t>+</w:t>
      </w:r>
      <w:r>
        <w:rPr>
          <w:spacing w:val="-1"/>
        </w:rPr>
        <w:t>小微客</w:t>
      </w:r>
      <w:r>
        <w:rPr>
          <w:spacing w:val="-81"/>
        </w:rPr>
        <w:t> </w:t>
      </w:r>
      <w:r>
        <w:rPr/>
        <w:t>户平台化服务</w:t>
      </w:r>
      <w:r>
        <w:rPr>
          <w:rFonts w:ascii="Times New Roman" w:hAnsi="Times New Roman" w:cs="Times New Roman" w:eastAsia="Times New Roman" w:hint="default"/>
        </w:rPr>
        <w:t>”</w:t>
      </w:r>
      <w:r>
        <w:rPr/>
        <w:t>的行业全覆盖模式。</w:t>
      </w:r>
    </w:p>
    <w:p>
      <w:pPr>
        <w:pStyle w:val="BodyText"/>
        <w:spacing w:line="417" w:lineRule="auto" w:before="62"/>
        <w:ind w:left="574" w:right="0"/>
        <w:jc w:val="left"/>
      </w:pPr>
      <w:r>
        <w:rPr>
          <w:rFonts w:ascii="Times New Roman" w:hAnsi="Times New Roman" w:cs="Times New Roman" w:eastAsia="Times New Roman" w:hint="default"/>
        </w:rPr>
        <w:t>2</w:t>
      </w:r>
      <w:r>
        <w:rPr/>
        <w:t>、应用技术研发及创新能力 </w:t>
      </w:r>
      <w:r>
        <w:rPr>
          <w:spacing w:val="-1"/>
        </w:rPr>
        <w:t>公司多年来秉承国际视野、本土服务的发展理念，具备了领先的技术创新和产品研发能力，拥有卓越</w:t>
      </w:r>
    </w:p>
    <w:p>
      <w:pPr>
        <w:pStyle w:val="BodyText"/>
        <w:spacing w:line="398" w:lineRule="auto" w:before="37"/>
        <w:ind w:right="0"/>
        <w:jc w:val="left"/>
      </w:pPr>
      <w:r>
        <w:rPr/>
        <w:t>的技术研发队伍，积累了 </w:t>
      </w:r>
      <w:r>
        <w:rPr>
          <w:rFonts w:ascii="Times New Roman" w:hAnsi="Times New Roman" w:cs="Times New Roman" w:eastAsia="Times New Roman" w:hint="default"/>
        </w:rPr>
        <w:t>500 </w:t>
      </w:r>
      <w:r>
        <w:rPr/>
        <w:t>多项软件著作权及技术专利。公司设有高规格的技术研发机构</w:t>
      </w:r>
      <w:r>
        <w:rPr>
          <w:rFonts w:ascii="Times New Roman" w:hAnsi="Times New Roman" w:cs="Times New Roman" w:eastAsia="Times New Roman" w:hint="default"/>
        </w:rPr>
        <w:t>——</w:t>
      </w:r>
      <w:r>
        <w:rPr/>
        <w:t>工程院，</w:t>
      </w:r>
      <w:r>
        <w:rPr>
          <w:spacing w:val="-88"/>
        </w:rPr>
        <w:t> </w:t>
      </w:r>
      <w:r>
        <w:rPr/>
        <w:t>并在西安、成都、北京、无锡建立了大规模的技术研发基地，对国内外技术发展趋势进行前瞻性的跟踪研</w:t>
      </w:r>
      <w:r>
        <w:rPr/>
        <w:t> 发，持续引领我国行业应用的发展。</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年，公司在大数据建模分析方面，表现突出。其中，人口宏观管 理与决策数据模型为国家</w:t>
      </w:r>
      <w:r>
        <w:rPr>
          <w:rFonts w:ascii="Times New Roman" w:hAnsi="Times New Roman" w:cs="Times New Roman" w:eastAsia="Times New Roman" w:hint="default"/>
        </w:rPr>
        <w:t>“</w:t>
      </w:r>
      <w:r>
        <w:rPr/>
        <w:t>单独两孩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全二胎</w:t>
      </w:r>
      <w:r>
        <w:rPr>
          <w:rFonts w:ascii="Times New Roman" w:hAnsi="Times New Roman" w:cs="Times New Roman" w:eastAsia="Times New Roman" w:hint="default"/>
        </w:rPr>
        <w:t>”</w:t>
      </w:r>
      <w:r>
        <w:rPr/>
        <w:t>人口政策的制定提供了决策支撑，并在全国</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4"/>
        </w:rPr>
        <w:t>个省、</w:t>
      </w:r>
      <w:r>
        <w:rPr>
          <w:rFonts w:ascii="Times New Roman" w:hAnsi="Times New Roman" w:cs="Times New Roman" w:eastAsia="Times New Roman" w:hint="default"/>
          <w:spacing w:val="-4"/>
        </w:rPr>
        <w:t>3000</w:t>
      </w:r>
      <w:r>
        <w:rPr>
          <w:rFonts w:ascii="Times New Roman" w:hAnsi="Times New Roman" w:cs="Times New Roman" w:eastAsia="Times New Roman" w:hint="default"/>
        </w:rPr>
        <w:t> </w:t>
      </w:r>
      <w:r>
        <w:rPr/>
        <w:t>多个县推广应用。在金融行业，推出银行利率风险定价模型，帮助银行在利率市场化改革完成后，打造风 </w:t>
      </w:r>
      <w:r>
        <w:rPr>
          <w:spacing w:val="-3"/>
        </w:rPr>
        <w:t>险定价的核心竞争力；在税务行业，公司承建的金税三期</w:t>
      </w:r>
      <w:r>
        <w:rPr>
          <w:rFonts w:ascii="Times New Roman" w:hAnsi="Times New Roman" w:cs="Times New Roman" w:eastAsia="Times New Roman" w:hint="default"/>
          <w:spacing w:val="-3"/>
        </w:rPr>
        <w:t>“</w:t>
      </w:r>
      <w:r>
        <w:rPr>
          <w:spacing w:val="-3"/>
        </w:rPr>
        <w:t>管理决策平台</w:t>
      </w:r>
      <w:r>
        <w:rPr>
          <w:rFonts w:ascii="Times New Roman" w:hAnsi="Times New Roman" w:cs="Times New Roman" w:eastAsia="Times New Roman" w:hint="default"/>
          <w:spacing w:val="-3"/>
        </w:rPr>
        <w:t>”</w:t>
      </w:r>
      <w:r>
        <w:rPr>
          <w:spacing w:val="-3"/>
        </w:rPr>
        <w:t>，推广至全国</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spacing w:val="-4"/>
        </w:rPr>
        <w:t>个省份，将集中</w:t>
      </w:r>
      <w:r>
        <w:rPr>
          <w:spacing w:val="-87"/>
        </w:rPr>
        <w:t> </w:t>
      </w:r>
      <w:r>
        <w:rPr>
          <w:spacing w:val="-87"/>
        </w:rPr>
      </w:r>
      <w:r>
        <w:rPr/>
        <w:t>全国纳税大数据，进行深度建模分析应用，支撑国家财税改革；在农业领域，公司以农业大数据为基础，</w:t>
      </w:r>
      <w:r>
        <w:rPr>
          <w:spacing w:val="-38"/>
        </w:rPr>
        <w:t> </w:t>
      </w:r>
      <w:r>
        <w:rPr>
          <w:spacing w:val="-38"/>
        </w:rPr>
      </w:r>
      <w:r>
        <w:rPr/>
        <w:t>快速构建了覆盖土地、征信、生产经营、农产品认证等多领域的服务能力。此外，公司不断提高业务的产</w:t>
      </w:r>
      <w:r>
        <w:rPr/>
        <w:t> 品化和云化，基于云计算等新技术，进一步增强了</w:t>
      </w:r>
      <w:r>
        <w:rPr>
          <w:spacing w:val="-53"/>
        </w:rPr>
        <w:t> </w:t>
      </w:r>
      <w:r>
        <w:rPr>
          <w:rFonts w:ascii="Times New Roman" w:hAnsi="Times New Roman" w:cs="Times New Roman" w:eastAsia="Times New Roman" w:hint="default"/>
        </w:rPr>
        <w:t>PaaS</w:t>
      </w:r>
      <w:r>
        <w:rPr>
          <w:rFonts w:ascii="Times New Roman" w:hAnsi="Times New Roman" w:cs="Times New Roman" w:eastAsia="Times New Roman" w:hint="default"/>
          <w:spacing w:val="-1"/>
        </w:rPr>
        <w:t> </w:t>
      </w:r>
      <w:r>
        <w:rPr/>
        <w:t>及</w:t>
      </w:r>
      <w:r>
        <w:rPr>
          <w:spacing w:val="-54"/>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平台的技术研发，提升了云服务能力。</w:t>
      </w:r>
    </w:p>
    <w:p>
      <w:pPr>
        <w:pStyle w:val="BodyText"/>
        <w:spacing w:line="240" w:lineRule="auto" w:before="63"/>
        <w:ind w:left="573" w:right="1135"/>
        <w:jc w:val="left"/>
      </w:pPr>
      <w:r>
        <w:rPr>
          <w:rFonts w:ascii="Times New Roman" w:hAnsi="Times New Roman" w:cs="Times New Roman" w:eastAsia="Times New Roman" w:hint="default"/>
        </w:rPr>
        <w:t>3</w:t>
      </w:r>
      <w:r>
        <w:rPr/>
        <w:t>、大型行业市场覆盖及综合服务能力</w:t>
      </w:r>
    </w:p>
    <w:p>
      <w:pPr>
        <w:spacing w:line="240" w:lineRule="auto" w:before="8"/>
        <w:rPr>
          <w:rFonts w:ascii="宋体" w:hAnsi="宋体" w:cs="宋体" w:eastAsia="宋体" w:hint="default"/>
          <w:sz w:val="16"/>
          <w:szCs w:val="16"/>
        </w:rPr>
      </w:pPr>
    </w:p>
    <w:p>
      <w:pPr>
        <w:pStyle w:val="BodyText"/>
        <w:spacing w:line="398" w:lineRule="auto"/>
        <w:ind w:right="1118" w:firstLine="420"/>
        <w:jc w:val="left"/>
      </w:pPr>
      <w:r>
        <w:rPr/>
        <w:t>公司是国内最早、最大的整合</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服务商之一，在我国金融、电信、政府、制造、农业等国民经济重 </w:t>
      </w:r>
      <w:r>
        <w:rPr>
          <w:spacing w:val="-5"/>
        </w:rPr>
        <w:t>点行业拥有三十年的服务经验、大量成功案例和数万家优质行业用户群，市场覆盖能力强，客户资源丰富，</w:t>
      </w:r>
      <w:r>
        <w:rPr>
          <w:spacing w:val="-101"/>
        </w:rPr>
        <w:t> </w:t>
      </w:r>
      <w:r>
        <w:rPr>
          <w:spacing w:val="-101"/>
        </w:rPr>
      </w:r>
      <w:r>
        <w:rPr/>
        <w:t>具有领先的行业市场地位和良好的用户口碑。</w:t>
      </w:r>
    </w:p>
    <w:p>
      <w:pPr>
        <w:pStyle w:val="BodyText"/>
        <w:spacing w:line="398" w:lineRule="auto" w:before="93"/>
        <w:ind w:right="0" w:firstLine="420"/>
        <w:jc w:val="left"/>
      </w:pPr>
      <w:r>
        <w:rPr>
          <w:spacing w:val="-1"/>
        </w:rPr>
        <w:t>公司以客户为中心，持续优化组织结构和业务流程，建立了完善的客户服务体系，可为行业用户提供</w:t>
      </w:r>
      <w:r>
        <w:rPr/>
        <w:t> 规划咨询、设计开发、整合集成、运营外包等端到端的全面</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服务。公司持续专注行业核心技术产品的 研发，在大型行业用户高性能、高可靠性、复杂系统的建设服务方面技术领先、同步国际。</w:t>
      </w:r>
    </w:p>
    <w:p>
      <w:pPr>
        <w:spacing w:after="0" w:line="398"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07" w:right="1135"/>
        <w:jc w:val="left"/>
        <w:rPr>
          <w:b w:val="0"/>
          <w:bCs w:val="0"/>
        </w:rPr>
      </w:pPr>
      <w:bookmarkStart w:name="第四节管理层讨论与分析" w:id="23"/>
      <w:bookmarkEnd w:id="23"/>
      <w:r>
        <w:rPr>
          <w:b w:val="0"/>
          <w:bCs w:val="0"/>
        </w:rPr>
      </w:r>
      <w:bookmarkStart w:name="_bookmark3" w:id="24"/>
      <w:bookmarkEnd w:id="24"/>
      <w:r>
        <w:rPr>
          <w:b w:val="0"/>
          <w:bCs w:val="0"/>
        </w:rPr>
      </w:r>
      <w:r>
        <w:rPr/>
        <w:t>第四节管理层讨论与分析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5"/>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spacing w:val="-2"/>
        </w:rPr>
        <w:t>年，</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战略及创新创业成为我国经济发展的重要引擎。国务院颁发关于积极推进</w:t>
      </w:r>
      <w:r>
        <w:rPr>
          <w:rFonts w:ascii="Times New Roman" w:hAnsi="Times New Roman" w:cs="Times New Roman" w:eastAsia="Times New Roman" w:hint="default"/>
          <w:spacing w:val="-2"/>
        </w:rPr>
        <w:t>“</w:t>
      </w:r>
      <w:r>
        <w:rPr>
          <w:spacing w:val="-2"/>
        </w:rPr>
        <w:t>互联网</w:t>
      </w:r>
    </w:p>
    <w:p>
      <w:pPr>
        <w:pStyle w:val="BodyText"/>
        <w:spacing w:line="393" w:lineRule="auto" w:before="177"/>
        <w:ind w:right="0"/>
        <w:jc w:val="left"/>
      </w:pPr>
      <w:r>
        <w:rPr>
          <w:rFonts w:ascii="Times New Roman" w:hAnsi="Times New Roman" w:cs="Times New Roman" w:eastAsia="Times New Roman" w:hint="default"/>
          <w:spacing w:val="-1"/>
        </w:rPr>
        <w:t>+”</w:t>
      </w:r>
      <w:r>
        <w:rPr>
          <w:spacing w:val="-1"/>
        </w:rPr>
        <w:t>的行动指导意见，推动互联网从生活工具向生产要素转变，互联网与传统产业的结合也更加紧密。下半</w:t>
      </w:r>
      <w:r>
        <w:rPr>
          <w:spacing w:val="-86"/>
        </w:rPr>
        <w:t> </w:t>
      </w:r>
      <w:r>
        <w:rPr>
          <w:spacing w:val="-86"/>
        </w:rPr>
      </w:r>
      <w:r>
        <w:rPr>
          <w:spacing w:val="-2"/>
        </w:rPr>
        <w:t>年，</w:t>
      </w:r>
      <w:r>
        <w:rPr>
          <w:rFonts w:ascii="Times New Roman" w:hAnsi="Times New Roman" w:cs="Times New Roman" w:eastAsia="Times New Roman" w:hint="default"/>
          <w:spacing w:val="-2"/>
        </w:rPr>
        <w:t>“</w:t>
      </w:r>
      <w:r>
        <w:rPr>
          <w:spacing w:val="-2"/>
        </w:rPr>
        <w:t>供给侧改革</w:t>
      </w:r>
      <w:r>
        <w:rPr>
          <w:rFonts w:ascii="Times New Roman" w:hAnsi="Times New Roman" w:cs="Times New Roman" w:eastAsia="Times New Roman" w:hint="default"/>
          <w:spacing w:val="-2"/>
        </w:rPr>
        <w:t>”</w:t>
      </w:r>
      <w:r>
        <w:rPr>
          <w:spacing w:val="-2"/>
        </w:rPr>
        <w:t>则打开了中国产业升级的新通道</w:t>
      </w:r>
      <w:r>
        <w:rPr>
          <w:rFonts w:ascii="Times New Roman" w:hAnsi="Times New Roman" w:cs="Times New Roman" w:eastAsia="Times New Roman" w:hint="default"/>
          <w:spacing w:val="-2"/>
        </w:rPr>
        <w:t>,</w:t>
      </w:r>
      <w:r>
        <w:rPr>
          <w:spacing w:val="-2"/>
        </w:rPr>
        <w:t>优化供给体系以适应需求结构的变化成为经济转型升级</w:t>
      </w:r>
      <w:r>
        <w:rPr>
          <w:spacing w:val="-61"/>
        </w:rPr>
        <w:t> </w:t>
      </w:r>
      <w:r>
        <w:rPr/>
        <w:t>的明确方向。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与供给侧改革叠加，全面引发了产业互联网化热潮，中国以互联网为基础的创新 </w:t>
      </w:r>
      <w:r>
        <w:rPr>
          <w:spacing w:val="-1"/>
        </w:rPr>
        <w:t>也由消费端向产业端转变。受此影响，我国信息技术产业的竞争和发展模式也出现新的变化，开始从单一</w:t>
      </w:r>
      <w:r>
        <w:rPr>
          <w:spacing w:val="-83"/>
        </w:rPr>
        <w:t> </w:t>
      </w:r>
      <w:r>
        <w:rPr>
          <w:spacing w:val="-83"/>
        </w:rPr>
      </w:r>
      <w:r>
        <w:rPr>
          <w:spacing w:val="-1"/>
        </w:rPr>
        <w:t>企业竞争演进为产业链和生态圈的竞争，信息技术企业的竞争力也由技术产品为主的专业服务能力向跨界</w:t>
      </w:r>
      <w:r>
        <w:rPr>
          <w:spacing w:val="-81"/>
        </w:rPr>
        <w:t> </w:t>
      </w:r>
      <w:r>
        <w:rPr>
          <w:spacing w:val="-81"/>
        </w:rPr>
      </w:r>
      <w:r>
        <w:rPr>
          <w:spacing w:val="-2"/>
        </w:rPr>
        <w:t>融合创新能力转变。神州信息凭借三十年服务于我国大型行业的优势积累</w:t>
      </w:r>
      <w:r>
        <w:rPr>
          <w:rFonts w:ascii="Times New Roman" w:hAnsi="Times New Roman" w:cs="Times New Roman" w:eastAsia="Times New Roman" w:hint="default"/>
          <w:spacing w:val="-2"/>
        </w:rPr>
        <w:t>,</w:t>
      </w:r>
      <w:r>
        <w:rPr>
          <w:spacing w:val="-2"/>
        </w:rPr>
        <w:t>把握行业进一步互联网化的发展</w:t>
      </w:r>
      <w:r>
        <w:rPr>
          <w:spacing w:val="-86"/>
        </w:rPr>
        <w:t> </w:t>
      </w:r>
      <w:r>
        <w:rPr/>
        <w:t>机遇</w:t>
      </w:r>
      <w:r>
        <w:rPr>
          <w:rFonts w:ascii="Times New Roman" w:hAnsi="Times New Roman" w:cs="Times New Roman" w:eastAsia="Times New Roman" w:hint="default"/>
        </w:rPr>
        <w:t>,</w:t>
      </w:r>
      <w:r>
        <w:rPr/>
        <w:t>确立了</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智慧农村</w:t>
      </w:r>
      <w:r>
        <w:rPr>
          <w:rFonts w:ascii="Times New Roman" w:hAnsi="Times New Roman" w:cs="Times New Roman" w:eastAsia="Times New Roman" w:hint="default"/>
        </w:rPr>
        <w:t>”</w:t>
      </w:r>
      <w:r>
        <w:rPr/>
        <w:t>的产业互联网发展战略，运用云计算、大数据、物联网等先进技术，全 面推进</w:t>
      </w:r>
      <w:r>
        <w:rPr>
          <w:rFonts w:ascii="Times New Roman" w:hAnsi="Times New Roman" w:cs="Times New Roman" w:eastAsia="Times New Roman" w:hint="default"/>
        </w:rPr>
        <w:t>“</w:t>
      </w:r>
      <w:r>
        <w:rPr/>
        <w:t>产品化</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的业务发展新模式。</w:t>
      </w:r>
    </w:p>
    <w:p>
      <w:pPr>
        <w:pStyle w:val="BodyText"/>
        <w:spacing w:line="391" w:lineRule="auto" w:before="68"/>
        <w:ind w:right="1026"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7"/>
        </w:rPr>
        <w:t>年，我国农业领域进一步推进要素改革，中国作为世界第一农业大国，农业产业焕发出勃勃生机，</w:t>
      </w:r>
      <w:r>
        <w:rPr/>
        <w:t> 发展潜力和空间开始逐步释放。为把握农业现代化的发展机遇，推动</w:t>
      </w:r>
      <w:r>
        <w:rPr>
          <w:rFonts w:ascii="Times New Roman" w:hAnsi="Times New Roman" w:cs="Times New Roman" w:eastAsia="Times New Roman" w:hint="default"/>
        </w:rPr>
        <w:t>“</w:t>
      </w:r>
      <w:r>
        <w:rPr/>
        <w:t>互联网农业</w:t>
      </w:r>
      <w:r>
        <w:rPr>
          <w:rFonts w:ascii="Times New Roman" w:hAnsi="Times New Roman" w:cs="Times New Roman" w:eastAsia="Times New Roman" w:hint="default"/>
        </w:rPr>
        <w:t>”</w:t>
      </w:r>
      <w:r>
        <w:rPr/>
        <w:t>战略发展，加强了农业 领域的投资并购，产业链布局日臻完善和深入。</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月，公司通过中农信达成功并购农业物联网领先 企业</w:t>
      </w:r>
      <w:r>
        <w:rPr>
          <w:rFonts w:ascii="Times New Roman" w:hAnsi="Times New Roman" w:cs="Times New Roman" w:eastAsia="Times New Roman" w:hint="default"/>
        </w:rPr>
        <w:t>--</w:t>
      </w:r>
      <w:r>
        <w:rPr/>
        <w:t>北京旗硕基业科技股份有限公司，实现了对农业生产过程的监控、数据分析和智能管理。</w:t>
      </w:r>
      <w:r>
        <w:rPr>
          <w:rFonts w:ascii="Times New Roman" w:hAnsi="Times New Roman" w:cs="Times New Roman" w:eastAsia="Times New Roman" w:hint="default"/>
        </w:rPr>
        <w:t>2015 </w:t>
      </w:r>
      <w:r>
        <w:rPr/>
        <w:t>年</w:t>
      </w:r>
      <w:r>
        <w:rPr>
          <w:spacing w:val="-77"/>
        </w:rPr>
        <w:t> </w:t>
      </w:r>
      <w:r>
        <w:rPr>
          <w:rFonts w:ascii="Times New Roman" w:hAnsi="Times New Roman" w:cs="Times New Roman" w:eastAsia="Times New Roman" w:hint="default"/>
          <w:spacing w:val="-8"/>
        </w:rPr>
        <w:t>11 </w:t>
      </w:r>
      <w:r>
        <w:rPr>
          <w:spacing w:val="-3"/>
        </w:rPr>
        <w:t>月，公司又宣布与国家唯一的农业高科技示范区</w:t>
      </w:r>
      <w:r>
        <w:rPr>
          <w:rFonts w:ascii="Times New Roman" w:hAnsi="Times New Roman" w:cs="Times New Roman" w:eastAsia="Times New Roman" w:hint="default"/>
          <w:spacing w:val="-3"/>
        </w:rPr>
        <w:t>——</w:t>
      </w:r>
      <w:r>
        <w:rPr>
          <w:spacing w:val="-3"/>
        </w:rPr>
        <w:t>陕西杨凌达成战略及资本合作，基于农产品溯源认证、</w:t>
      </w:r>
      <w:r>
        <w:rPr>
          <w:spacing w:val="-92"/>
        </w:rPr>
        <w:t> </w:t>
      </w:r>
      <w:r>
        <w:rPr>
          <w:spacing w:val="-92"/>
        </w:rPr>
      </w:r>
      <w:r>
        <w:rPr/>
        <w:t>涉农专利及农业专家资源等大数据资源，打造标准化、权威性、可运营的农业大数据平台和农业溯源认证</w:t>
      </w:r>
      <w:r>
        <w:rPr/>
        <w:t> </w:t>
      </w:r>
      <w:r>
        <w:rPr>
          <w:spacing w:val="-16"/>
        </w:rPr>
        <w:t>体系。经过</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6"/>
        </w:rPr>
        <w:t>年的发展，公司</w:t>
      </w:r>
      <w:r>
        <w:rPr>
          <w:rFonts w:ascii="Times New Roman" w:hAnsi="Times New Roman" w:cs="Times New Roman" w:eastAsia="Times New Roman" w:hint="default"/>
          <w:spacing w:val="-6"/>
        </w:rPr>
        <w:t>“</w:t>
      </w:r>
      <w:r>
        <w:rPr>
          <w:spacing w:val="-6"/>
        </w:rPr>
        <w:t>互联网农业</w:t>
      </w:r>
      <w:r>
        <w:rPr>
          <w:rFonts w:ascii="Times New Roman" w:hAnsi="Times New Roman" w:cs="Times New Roman" w:eastAsia="Times New Roman" w:hint="default"/>
          <w:spacing w:val="-6"/>
        </w:rPr>
        <w:t>”</w:t>
      </w:r>
      <w:r>
        <w:rPr>
          <w:spacing w:val="-6"/>
        </w:rPr>
        <w:t>战略已覆盖农地确权及产权交易、农业物联网、农技大数据、</w:t>
      </w:r>
      <w:r>
        <w:rPr>
          <w:spacing w:val="-100"/>
        </w:rPr>
        <w:t> </w:t>
      </w:r>
      <w:r>
        <w:rPr>
          <w:spacing w:val="-100"/>
        </w:rPr>
      </w:r>
      <w:r>
        <w:rPr/>
        <w:t>农产品安全溯源认证、农业金融服务等领域，为我国现代农业服务体系的构建及农业产业链增值奠定了基</w:t>
      </w:r>
      <w:r>
        <w:rPr/>
        <w:t> 础。</w:t>
      </w:r>
    </w:p>
    <w:p>
      <w:pPr>
        <w:pStyle w:val="BodyText"/>
        <w:spacing w:line="398" w:lineRule="auto" w:before="100"/>
        <w:ind w:right="1131"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年，公司基于</w:t>
      </w:r>
      <w:r>
        <w:rPr>
          <w:rFonts w:ascii="Times New Roman" w:hAnsi="Times New Roman" w:cs="Times New Roman" w:eastAsia="Times New Roman" w:hint="default"/>
        </w:rPr>
        <w:t>“</w:t>
      </w:r>
      <w:r>
        <w:rPr/>
        <w:t>产业互联网</w:t>
      </w:r>
      <w:r>
        <w:rPr>
          <w:rFonts w:ascii="Times New Roman" w:hAnsi="Times New Roman" w:cs="Times New Roman" w:eastAsia="Times New Roman" w:hint="default"/>
        </w:rPr>
        <w:t>”</w:t>
      </w:r>
      <w:r>
        <w:rPr/>
        <w:t>发展战略，为帮助行业用户积极拥抱</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，加强了新技术、新 产品的研发和应用推广。其中，公司推出的跨行业软件产品</w:t>
      </w:r>
      <w:r>
        <w:rPr>
          <w:rFonts w:ascii="Times New Roman" w:hAnsi="Times New Roman" w:cs="Times New Roman" w:eastAsia="Times New Roman" w:hint="default"/>
        </w:rPr>
        <w:t>——</w:t>
      </w:r>
      <w:r>
        <w:rPr/>
        <w:t>企业服务总线</w:t>
      </w:r>
      <w:r>
        <w:rPr>
          <w:spacing w:val="-83"/>
        </w:rPr>
        <w:t> </w:t>
      </w:r>
      <w:r>
        <w:rPr>
          <w:rFonts w:ascii="Times New Roman" w:hAnsi="Times New Roman" w:cs="Times New Roman" w:eastAsia="Times New Roman" w:hint="default"/>
        </w:rPr>
        <w:t>Sm@rtESB</w:t>
      </w:r>
      <w:r>
        <w:rPr>
          <w:rFonts w:ascii="Times New Roman" w:hAnsi="Times New Roman" w:cs="Times New Roman" w:eastAsia="Times New Roman" w:hint="default"/>
          <w:spacing w:val="-31"/>
        </w:rPr>
        <w:t> </w:t>
      </w:r>
      <w:r>
        <w:rPr/>
        <w:t>及互联网开放平 台</w:t>
      </w:r>
      <w:r>
        <w:rPr>
          <w:spacing w:val="-35"/>
        </w:rPr>
        <w:t> </w:t>
      </w:r>
      <w:r>
        <w:rPr>
          <w:rFonts w:ascii="Times New Roman" w:hAnsi="Times New Roman" w:cs="Times New Roman" w:eastAsia="Times New Roman" w:hint="default"/>
          <w:spacing w:val="-7"/>
        </w:rPr>
        <w:t>Sm@rtOP</w:t>
      </w:r>
      <w:r>
        <w:rPr>
          <w:spacing w:val="-7"/>
        </w:rPr>
        <w:t>，赢得了众多银行、证券、政府、企业等行业用户的合作应用，对大型行业用户的互联网创新、</w:t>
      </w:r>
      <w:r>
        <w:rPr>
          <w:spacing w:val="-101"/>
        </w:rPr>
        <w:t> </w:t>
      </w:r>
      <w:r>
        <w:rPr>
          <w:spacing w:val="-101"/>
        </w:rPr>
      </w:r>
      <w:r>
        <w:rPr>
          <w:spacing w:val="-1"/>
        </w:rPr>
        <w:t>流程再造、架构开放有着重要的支撑作用。此外，公司也依托国内领先的大数据分析建模技术，支持行业</w:t>
      </w:r>
      <w:r>
        <w:rPr>
          <w:spacing w:val="-86"/>
        </w:rPr>
        <w:t> </w:t>
      </w:r>
      <w:r>
        <w:rPr>
          <w:spacing w:val="-86"/>
        </w:rPr>
      </w:r>
      <w:r>
        <w:rPr>
          <w:spacing w:val="-1"/>
        </w:rPr>
        <w:t>用户的量化分析、科学决策、管理及服务的精细化升级，帮助行业用户提高市场竞争力，优化资源配置与</w:t>
      </w:r>
      <w:r>
        <w:rPr>
          <w:spacing w:val="-86"/>
        </w:rPr>
        <w:t> </w:t>
      </w:r>
      <w:r>
        <w:rPr>
          <w:spacing w:val="-86"/>
        </w:rPr>
      </w:r>
      <w:r>
        <w:rPr>
          <w:spacing w:val="-1"/>
        </w:rPr>
        <w:t>效益。继人口、社保、智慧城市等行业以外，公司的大数据模型技术在银行利率风险定价、企业及个人征</w:t>
      </w:r>
      <w:r>
        <w:rPr>
          <w:spacing w:val="-83"/>
        </w:rPr>
        <w:t> </w:t>
      </w:r>
      <w:r>
        <w:rPr>
          <w:spacing w:val="-83"/>
        </w:rPr>
      </w:r>
      <w:r>
        <w:rPr>
          <w:spacing w:val="-1"/>
        </w:rPr>
        <w:t>信、纳税服务、智慧农业等领域进一步落地应用，为我国大型行业的转型升级和服务创新提供了有力的技</w:t>
      </w:r>
    </w:p>
    <w:p>
      <w:pPr>
        <w:spacing w:after="0" w:line="398" w:lineRule="auto"/>
        <w:jc w:val="both"/>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5"/>
        <w:jc w:val="left"/>
      </w:pPr>
      <w:r>
        <w:rPr/>
        <w:t>术保障。</w:t>
      </w:r>
    </w:p>
    <w:p>
      <w:pPr>
        <w:spacing w:line="240" w:lineRule="auto" w:before="9"/>
        <w:rPr>
          <w:rFonts w:ascii="宋体" w:hAnsi="宋体" w:cs="宋体" w:eastAsia="宋体" w:hint="default"/>
          <w:sz w:val="17"/>
          <w:szCs w:val="17"/>
        </w:rPr>
      </w:pPr>
    </w:p>
    <w:p>
      <w:pPr>
        <w:pStyle w:val="BodyText"/>
        <w:spacing w:line="386" w:lineRule="auto"/>
        <w:ind w:right="1130" w:firstLine="420"/>
        <w:jc w:val="both"/>
      </w:pPr>
      <w:r>
        <w:rPr>
          <w:rFonts w:ascii="Times New Roman" w:hAnsi="Times New Roman" w:cs="Times New Roman" w:eastAsia="Times New Roman" w:hint="default"/>
        </w:rPr>
        <w:t>2015 </w:t>
      </w:r>
      <w:r>
        <w:rPr/>
        <w:t>年，我国的信息网络安全工作进一步推进，公司作为我国</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服务领先企业和国家信息安全战略 </w:t>
      </w:r>
      <w:r>
        <w:rPr>
          <w:spacing w:val="-3"/>
        </w:rPr>
        <w:t>的重要支持者，联合另外四家国内知名</w:t>
      </w:r>
      <w:r>
        <w:rPr>
          <w:spacing w:val="-66"/>
        </w:rPr>
        <w:t> </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企业成立了</w:t>
      </w:r>
      <w:r>
        <w:rPr>
          <w:rFonts w:ascii="Times New Roman" w:hAnsi="Times New Roman" w:cs="Times New Roman" w:eastAsia="Times New Roman" w:hint="default"/>
        </w:rPr>
        <w:t>"</w:t>
      </w:r>
      <w:r>
        <w:rPr/>
        <w:t>龙安联盟</w:t>
      </w:r>
      <w:r>
        <w:rPr>
          <w:rFonts w:ascii="Times New Roman" w:hAnsi="Times New Roman" w:cs="Times New Roman" w:eastAsia="Times New Roman" w:hint="default"/>
        </w:rPr>
        <w:t>"</w:t>
      </w:r>
      <w:r>
        <w:rPr/>
        <w:t>，加强了安全可靠解决方案的联合研发和 产业链整合。</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月，龙安联盟推出首款</w:t>
      </w:r>
      <w:r>
        <w:rPr>
          <w:rFonts w:ascii="Times New Roman" w:hAnsi="Times New Roman" w:cs="Times New Roman" w:eastAsia="Times New Roman" w:hint="default"/>
        </w:rPr>
        <w:t>“</w:t>
      </w:r>
      <w:r>
        <w:rPr/>
        <w:t>自主可控一体机</w:t>
      </w:r>
      <w:r>
        <w:rPr>
          <w:rFonts w:ascii="Times New Roman" w:hAnsi="Times New Roman" w:cs="Times New Roman" w:eastAsia="Times New Roman" w:hint="default"/>
        </w:rPr>
        <w:t>”</w:t>
      </w:r>
      <w:r>
        <w:rPr/>
        <w:t>，在一体化解决方案基础上形成了</w:t>
      </w:r>
      <w:r>
        <w:rPr>
          <w:rFonts w:ascii="Times New Roman" w:hAnsi="Times New Roman" w:cs="Times New Roman" w:eastAsia="Times New Roman" w:hint="default"/>
        </w:rPr>
        <w:t>“</w:t>
      </w:r>
      <w:r>
        <w:rPr/>
        <w:t>应用 </w:t>
      </w:r>
      <w:r>
        <w:rPr>
          <w:spacing w:val="-3"/>
        </w:rPr>
        <w:t>定义、软硬结合、深度优化</w:t>
      </w:r>
      <w:r>
        <w:rPr>
          <w:rFonts w:ascii="Times New Roman" w:hAnsi="Times New Roman" w:cs="Times New Roman" w:eastAsia="Times New Roman" w:hint="default"/>
          <w:spacing w:val="-3"/>
        </w:rPr>
        <w:t>”</w:t>
      </w:r>
      <w:r>
        <w:rPr>
          <w:spacing w:val="-3"/>
        </w:rPr>
        <w:t>的标准化安全可靠产品。同时，公司凭借参与国家信息技术服务标准（</w:t>
      </w:r>
      <w:r>
        <w:rPr>
          <w:rFonts w:ascii="Times New Roman" w:hAnsi="Times New Roman" w:cs="Times New Roman" w:eastAsia="Times New Roman" w:hint="default"/>
          <w:spacing w:val="-3"/>
        </w:rPr>
        <w:t>ITSS</w:t>
      </w:r>
      <w:r>
        <w:rPr>
          <w:spacing w:val="-3"/>
        </w:rPr>
        <w:t>）</w:t>
      </w:r>
      <w:r>
        <w:rPr>
          <w:spacing w:val="-89"/>
        </w:rPr>
        <w:t> </w:t>
      </w:r>
      <w:r>
        <w:rPr/>
        <w:t>制定的经验，推动了我国首个全国产化</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运维服务体系的研究制定，并获颁全国首个</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运维服务一级资 质。</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月，公司也进一步中标量子保密通信</w:t>
      </w:r>
      <w:r>
        <w:rPr>
          <w:rFonts w:ascii="Times New Roman" w:hAnsi="Times New Roman" w:cs="Times New Roman" w:eastAsia="Times New Roman" w:hint="default"/>
        </w:rPr>
        <w:t>“</w:t>
      </w:r>
      <w:r>
        <w:rPr/>
        <w:t>京沪干线</w:t>
      </w:r>
      <w:r>
        <w:rPr>
          <w:rFonts w:ascii="Times New Roman" w:hAnsi="Times New Roman" w:cs="Times New Roman" w:eastAsia="Times New Roman" w:hint="default"/>
        </w:rPr>
        <w:t>”</w:t>
      </w:r>
      <w:r>
        <w:rPr/>
        <w:t>技术验证及应用示范项目主干网络建设项 目，支撑了国家量子通信等大型信息安全系统的建设，形成良好的示范效果。</w:t>
      </w:r>
    </w:p>
    <w:p>
      <w:pPr>
        <w:spacing w:line="240" w:lineRule="auto" w:before="2"/>
        <w:rPr>
          <w:rFonts w:ascii="宋体" w:hAnsi="宋体" w:cs="宋体" w:eastAsia="宋体" w:hint="default"/>
          <w:sz w:val="20"/>
          <w:szCs w:val="20"/>
        </w:rPr>
      </w:pPr>
    </w:p>
    <w:p>
      <w:pPr>
        <w:pStyle w:val="Heading2"/>
        <w:spacing w:line="240" w:lineRule="auto"/>
        <w:ind w:left="154" w:right="1135"/>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54" w:right="0"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年，我国全面推进经济社会的改革创新和转型升级，信息技术在新一轮产业升级中也具有更加重 要的作用和意义。神州信息受益于我国金融、电信、政企、农业等国民经济重点行业信息化的快速发展，</w:t>
      </w:r>
      <w:r>
        <w:rPr>
          <w:spacing w:val="-38"/>
        </w:rPr>
        <w:t> </w:t>
      </w:r>
      <w:r>
        <w:rPr>
          <w:spacing w:val="-38"/>
        </w:rPr>
      </w:r>
      <w:r>
        <w:rPr/>
        <w:t>业务取得了良好的发展。公司</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年全年实现营业收入</w:t>
      </w:r>
      <w:r>
        <w:rPr>
          <w:spacing w:val="-62"/>
        </w:rPr>
        <w:t> </w:t>
      </w:r>
      <w:r>
        <w:rPr>
          <w:rFonts w:ascii="Times New Roman" w:hAnsi="Times New Roman" w:cs="Times New Roman" w:eastAsia="Times New Roman" w:hint="default"/>
        </w:rPr>
        <w:t>67.13</w:t>
      </w:r>
      <w:r>
        <w:rPr>
          <w:rFonts w:ascii="Times New Roman" w:hAnsi="Times New Roman" w:cs="Times New Roman" w:eastAsia="Times New Roman" w:hint="default"/>
          <w:spacing w:val="-9"/>
        </w:rPr>
        <w:t> </w:t>
      </w:r>
      <w:r>
        <w:rPr/>
        <w:t>亿元，较上年度同期增长</w:t>
      </w:r>
      <w:r>
        <w:rPr>
          <w:spacing w:val="-63"/>
        </w:rPr>
        <w:t> </w:t>
      </w:r>
      <w:r>
        <w:rPr>
          <w:rFonts w:ascii="Times New Roman" w:hAnsi="Times New Roman" w:cs="Times New Roman" w:eastAsia="Times New Roman" w:hint="default"/>
        </w:rPr>
        <w:t>2.35%</w:t>
      </w:r>
      <w:r>
        <w:rPr/>
        <w:t>；毛利率达</w:t>
      </w:r>
    </w:p>
    <w:p>
      <w:pPr>
        <w:pStyle w:val="BodyText"/>
        <w:spacing w:line="386" w:lineRule="auto" w:before="24"/>
        <w:ind w:right="1025"/>
        <w:jc w:val="left"/>
      </w:pPr>
      <w:r>
        <w:rPr/>
        <w:t>到</w:t>
      </w:r>
      <w:r>
        <w:rPr>
          <w:spacing w:val="-55"/>
        </w:rPr>
        <w:t> </w:t>
      </w:r>
      <w:r>
        <w:rPr>
          <w:rFonts w:ascii="Times New Roman" w:hAnsi="Times New Roman" w:cs="Times New Roman" w:eastAsia="Times New Roman" w:hint="default"/>
        </w:rPr>
        <w:t>20.66%</w:t>
      </w:r>
      <w:r>
        <w:rPr/>
        <w:t>，较上年度同期提升了</w:t>
      </w:r>
      <w:r>
        <w:rPr>
          <w:spacing w:val="-55"/>
        </w:rPr>
        <w:t> </w:t>
      </w:r>
      <w:r>
        <w:rPr>
          <w:rFonts w:ascii="Times New Roman" w:hAnsi="Times New Roman" w:cs="Times New Roman" w:eastAsia="Times New Roman" w:hint="default"/>
        </w:rPr>
        <w:t>2.34</w:t>
      </w:r>
      <w:r>
        <w:rPr>
          <w:rFonts w:ascii="Times New Roman" w:hAnsi="Times New Roman" w:cs="Times New Roman" w:eastAsia="Times New Roman" w:hint="default"/>
          <w:spacing w:val="-2"/>
        </w:rPr>
        <w:t> </w:t>
      </w:r>
      <w:r>
        <w:rPr/>
        <w:t>个百分点；实现归属于母公司股东的净利润</w:t>
      </w:r>
      <w:r>
        <w:rPr>
          <w:spacing w:val="-54"/>
        </w:rPr>
        <w:t> </w:t>
      </w:r>
      <w:r>
        <w:rPr>
          <w:rFonts w:ascii="Times New Roman" w:hAnsi="Times New Roman" w:cs="Times New Roman" w:eastAsia="Times New Roman" w:hint="default"/>
        </w:rPr>
        <w:t>3.51</w:t>
      </w:r>
      <w:r>
        <w:rPr>
          <w:rFonts w:ascii="Times New Roman" w:hAnsi="Times New Roman" w:cs="Times New Roman" w:eastAsia="Times New Roman" w:hint="default"/>
          <w:spacing w:val="-2"/>
        </w:rPr>
        <w:t> </w:t>
      </w:r>
      <w:r>
        <w:rPr/>
        <w:t>亿元，较上年度同 比增长 </w:t>
      </w:r>
      <w:r>
        <w:rPr>
          <w:rFonts w:ascii="Times New Roman" w:hAnsi="Times New Roman" w:cs="Times New Roman" w:eastAsia="Times New Roman" w:hint="default"/>
        </w:rPr>
        <w:t>25.43%</w:t>
      </w:r>
      <w:r>
        <w:rPr/>
        <w:t>；扣除非经常性损益后归属于母公司股东的净利润 </w:t>
      </w:r>
      <w:r>
        <w:rPr>
          <w:rFonts w:ascii="Times New Roman" w:hAnsi="Times New Roman" w:cs="Times New Roman" w:eastAsia="Times New Roman" w:hint="default"/>
        </w:rPr>
        <w:t>3.26 </w:t>
      </w:r>
      <w:r>
        <w:rPr/>
        <w:t>亿元，较上年度同期增长</w:t>
      </w:r>
      <w:r>
        <w:rPr>
          <w:spacing w:val="-76"/>
        </w:rPr>
        <w:t> </w:t>
      </w:r>
      <w:r>
        <w:rPr>
          <w:rFonts w:ascii="Times New Roman" w:hAnsi="Times New Roman" w:cs="Times New Roman" w:eastAsia="Times New Roman" w:hint="default"/>
        </w:rPr>
        <w:t>23.24%</w:t>
      </w:r>
      <w:r>
        <w:rPr/>
        <w:t>。</w:t>
      </w:r>
    </w:p>
    <w:p>
      <w:pPr>
        <w:pStyle w:val="BodyText"/>
        <w:spacing w:line="386" w:lineRule="auto" w:before="75"/>
        <w:ind w:left="154" w:right="0" w:firstLine="420"/>
        <w:jc w:val="left"/>
      </w:pPr>
      <w:r>
        <w:rPr>
          <w:spacing w:val="-1"/>
        </w:rPr>
        <w:t>公司主营业务技术服务、农业信息化、应用软件开发、金融专用设备相关业务及集成解决方案，</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年的发展情况如下：</w:t>
      </w:r>
    </w:p>
    <w:p>
      <w:pPr>
        <w:pStyle w:val="Heading6"/>
        <w:spacing w:line="240" w:lineRule="auto" w:before="104"/>
        <w:ind w:left="576" w:right="1135"/>
        <w:jc w:val="left"/>
        <w:rPr>
          <w:b w:val="0"/>
          <w:bCs w:val="0"/>
        </w:rPr>
      </w:pPr>
      <w:r>
        <w:rPr/>
        <w:t>技术服务</w:t>
      </w:r>
      <w:r>
        <w:rPr>
          <w:b w:val="0"/>
          <w:bCs w:val="0"/>
        </w:rPr>
      </w:r>
    </w:p>
    <w:p>
      <w:pPr>
        <w:spacing w:line="240" w:lineRule="auto" w:before="9"/>
        <w:rPr>
          <w:rFonts w:ascii="宋体" w:hAnsi="宋体" w:cs="宋体" w:eastAsia="宋体" w:hint="default"/>
          <w:b/>
          <w:bCs/>
          <w:sz w:val="17"/>
          <w:szCs w:val="17"/>
        </w:rPr>
      </w:pPr>
    </w:p>
    <w:p>
      <w:pPr>
        <w:pStyle w:val="BodyText"/>
        <w:spacing w:line="386" w:lineRule="auto"/>
        <w:ind w:right="918"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年，随着信息化发展阶段及</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spacing w:val="-3"/>
        </w:rPr>
        <w:t>技术的升级，企业</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运维服务逐渐由产品级向系统级、数据中心 </w:t>
      </w:r>
      <w:r>
        <w:rPr>
          <w:spacing w:val="-19"/>
        </w:rPr>
        <w:t>级转变，由</w:t>
      </w:r>
      <w:r>
        <w:rPr>
          <w:spacing w:val="-49"/>
        </w:rPr>
        <w:t> </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3"/>
        </w:rPr>
        <w:t> </w:t>
      </w:r>
      <w:r>
        <w:rPr>
          <w:spacing w:val="-3"/>
        </w:rPr>
        <w:t>运维向业务运维升级。公司技术服务业务持续创新产品</w:t>
      </w:r>
      <w:r>
        <w:rPr>
          <w:rFonts w:ascii="Times New Roman" w:hAnsi="Times New Roman" w:cs="Times New Roman" w:eastAsia="Times New Roman" w:hint="default"/>
          <w:spacing w:val="-3"/>
        </w:rPr>
        <w:t>,</w:t>
      </w:r>
      <w:r>
        <w:rPr>
          <w:spacing w:val="-3"/>
        </w:rPr>
        <w:t>正式推出</w:t>
      </w:r>
      <w:r>
        <w:rPr>
          <w:rFonts w:ascii="Times New Roman" w:hAnsi="Times New Roman" w:cs="Times New Roman" w:eastAsia="Times New Roman" w:hint="default"/>
          <w:spacing w:val="-3"/>
        </w:rPr>
        <w:t>“</w:t>
      </w:r>
      <w:r>
        <w:rPr>
          <w:spacing w:val="-3"/>
        </w:rPr>
        <w:t>锐行服务</w:t>
      </w:r>
      <w:r>
        <w:rPr>
          <w:rFonts w:ascii="Times New Roman" w:hAnsi="Times New Roman" w:cs="Times New Roman" w:eastAsia="Times New Roman" w:hint="default"/>
          <w:spacing w:val="-3"/>
        </w:rPr>
        <w:t>”V4.0</w:t>
      </w:r>
      <w:r>
        <w:rPr>
          <w:rFonts w:ascii="Times New Roman" w:hAnsi="Times New Roman" w:cs="Times New Roman" w:eastAsia="Times New Roman" w:hint="default"/>
          <w:spacing w:val="4"/>
        </w:rPr>
        <w:t> </w:t>
      </w:r>
      <w:r>
        <w:rPr>
          <w:spacing w:val="-1"/>
        </w:rPr>
        <w:t>产品体系，</w:t>
      </w:r>
      <w:r>
        <w:rPr>
          <w:spacing w:val="-92"/>
        </w:rPr>
        <w:t> </w:t>
      </w:r>
      <w:r>
        <w:rPr>
          <w:spacing w:val="-92"/>
        </w:rPr>
      </w:r>
      <w:r>
        <w:rPr>
          <w:spacing w:val="-6"/>
        </w:rPr>
        <w:t>持续提升技术服务业务的竞争力。</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8"/>
        </w:rPr>
        <w:t> </w:t>
      </w:r>
      <w:r>
        <w:rPr>
          <w:spacing w:val="-8"/>
        </w:rPr>
        <w:t>年，公司技术服务业务实现收入</w:t>
      </w:r>
      <w:r>
        <w:rPr>
          <w:spacing w:val="-71"/>
        </w:rPr>
        <w:t> </w:t>
      </w:r>
      <w:r>
        <w:rPr>
          <w:rFonts w:ascii="Times New Roman" w:hAnsi="Times New Roman" w:cs="Times New Roman" w:eastAsia="Times New Roman" w:hint="default"/>
          <w:spacing w:val="-1"/>
        </w:rPr>
        <w:t>17.44</w:t>
      </w:r>
      <w:r>
        <w:rPr>
          <w:rFonts w:ascii="Times New Roman" w:hAnsi="Times New Roman" w:cs="Times New Roman" w:eastAsia="Times New Roman" w:hint="default"/>
          <w:spacing w:val="-18"/>
        </w:rPr>
        <w:t> </w:t>
      </w:r>
      <w:r>
        <w:rPr>
          <w:spacing w:val="-10"/>
        </w:rPr>
        <w:t>亿元，较上年度同期增长</w:t>
      </w:r>
      <w:r>
        <w:rPr>
          <w:spacing w:val="-71"/>
        </w:rPr>
        <w:t> </w:t>
      </w:r>
      <w:r>
        <w:rPr>
          <w:rFonts w:ascii="Times New Roman" w:hAnsi="Times New Roman" w:cs="Times New Roman" w:eastAsia="Times New Roman" w:hint="default"/>
          <w:spacing w:val="-1"/>
        </w:rPr>
        <w:t>2.32%</w:t>
      </w:r>
      <w:r>
        <w:rPr>
          <w:spacing w:val="-1"/>
        </w:rPr>
        <w:t>；</w:t>
      </w:r>
      <w:r>
        <w:rPr>
          <w:spacing w:val="-103"/>
        </w:rPr>
        <w:t> </w:t>
      </w:r>
      <w:r>
        <w:rPr/>
        <w:t>业务毛利率达到</w:t>
      </w:r>
      <w:r>
        <w:rPr>
          <w:spacing w:val="-53"/>
        </w:rPr>
        <w:t> </w:t>
      </w:r>
      <w:r>
        <w:rPr>
          <w:rFonts w:ascii="Times New Roman" w:hAnsi="Times New Roman" w:cs="Times New Roman" w:eastAsia="Times New Roman" w:hint="default"/>
        </w:rPr>
        <w:t>26.34%</w:t>
      </w:r>
      <w:r>
        <w:rPr/>
        <w:t>，较上年度同期提升</w:t>
      </w:r>
      <w:r>
        <w:rPr>
          <w:spacing w:val="-53"/>
        </w:rPr>
        <w:t> </w:t>
      </w:r>
      <w:r>
        <w:rPr>
          <w:rFonts w:ascii="Times New Roman" w:hAnsi="Times New Roman" w:cs="Times New Roman" w:eastAsia="Times New Roman" w:hint="default"/>
        </w:rPr>
        <w:t>2.78</w:t>
      </w:r>
      <w:r>
        <w:rPr>
          <w:rFonts w:ascii="Times New Roman" w:hAnsi="Times New Roman" w:cs="Times New Roman" w:eastAsia="Times New Roman" w:hint="default"/>
          <w:spacing w:val="-1"/>
        </w:rPr>
        <w:t> </w:t>
      </w:r>
      <w:r>
        <w:rPr/>
        <w:t>个百分点。其中，测试评估、运维服务及外包服务等产 品均实现签约突破，分别签约招商银行、西南证券、广东电信等客户。公司多年来积极参与国家</w:t>
      </w:r>
      <w:r>
        <w:rPr>
          <w:spacing w:val="-52"/>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 标准的制定和推广，并在安全可靠的</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运维体系构建方面取得突破。</w:t>
      </w:r>
    </w:p>
    <w:p>
      <w:pPr>
        <w:pStyle w:val="Heading6"/>
        <w:spacing w:line="240" w:lineRule="auto" w:before="76"/>
        <w:ind w:left="576" w:right="1135"/>
        <w:jc w:val="left"/>
        <w:rPr>
          <w:b w:val="0"/>
          <w:bCs w:val="0"/>
        </w:rPr>
      </w:pPr>
      <w:r>
        <w:rPr/>
        <w:t>农业信息化</w:t>
      </w:r>
      <w:r>
        <w:rPr>
          <w:b w:val="0"/>
          <w:bCs w:val="0"/>
        </w:rPr>
      </w:r>
    </w:p>
    <w:p>
      <w:pPr>
        <w:spacing w:line="240" w:lineRule="auto" w:before="10"/>
        <w:rPr>
          <w:rFonts w:ascii="宋体" w:hAnsi="宋体" w:cs="宋体" w:eastAsia="宋体" w:hint="default"/>
          <w:b/>
          <w:bCs/>
          <w:sz w:val="17"/>
          <w:szCs w:val="17"/>
        </w:rPr>
      </w:pPr>
    </w:p>
    <w:p>
      <w:pPr>
        <w:pStyle w:val="BodyText"/>
        <w:spacing w:line="386" w:lineRule="auto"/>
        <w:ind w:right="1130"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2"/>
        </w:rPr>
        <w:t>年，在各级政府的大力推动下，我国农村土地确权工作进度开始加快。公司农业信息化业务把握</w:t>
      </w:r>
      <w:r>
        <w:rPr/>
        <w:t> </w:t>
      </w:r>
      <w:r>
        <w:rPr>
          <w:spacing w:val="-12"/>
        </w:rPr>
        <w:t>市场机遇，实现了高速增长。</w:t>
      </w:r>
      <w:r>
        <w:rPr>
          <w:rFonts w:ascii="Times New Roman" w:hAnsi="Times New Roman" w:cs="Times New Roman" w:eastAsia="Times New Roman" w:hint="default"/>
          <w:spacing w:val="-12"/>
        </w:rPr>
        <w:t>2015</w:t>
      </w:r>
      <w:r>
        <w:rPr>
          <w:rFonts w:ascii="Times New Roman" w:hAnsi="Times New Roman" w:cs="Times New Roman" w:eastAsia="Times New Roman" w:hint="default"/>
        </w:rPr>
        <w:t> </w:t>
      </w:r>
      <w:r>
        <w:rPr>
          <w:spacing w:val="-8"/>
        </w:rPr>
        <w:t>年，农业信息化业务实现收入</w:t>
      </w:r>
      <w:r>
        <w:rPr>
          <w:spacing w:val="-52"/>
        </w:rPr>
        <w:t> </w:t>
      </w:r>
      <w:r>
        <w:rPr>
          <w:rFonts w:ascii="Times New Roman" w:hAnsi="Times New Roman" w:cs="Times New Roman" w:eastAsia="Times New Roman" w:hint="default"/>
        </w:rPr>
        <w:t>2.59</w:t>
      </w:r>
      <w:r>
        <w:rPr>
          <w:rFonts w:ascii="Times New Roman" w:hAnsi="Times New Roman" w:cs="Times New Roman" w:eastAsia="Times New Roman" w:hint="default"/>
          <w:spacing w:val="1"/>
        </w:rPr>
        <w:t> </w:t>
      </w:r>
      <w:r>
        <w:rPr>
          <w:spacing w:val="-8"/>
        </w:rPr>
        <w:t>亿元，较上年度全年收入增长</w:t>
      </w:r>
      <w:r>
        <w:rPr>
          <w:spacing w:val="-53"/>
        </w:rPr>
        <w:t> </w:t>
      </w:r>
      <w:r>
        <w:rPr>
          <w:rFonts w:ascii="Times New Roman" w:hAnsi="Times New Roman" w:cs="Times New Roman" w:eastAsia="Times New Roman" w:hint="default"/>
        </w:rPr>
        <w:t>89.66%</w:t>
      </w:r>
      <w:r>
        <w:rPr/>
        <w:t>， 并表收入增长</w:t>
      </w:r>
      <w:r>
        <w:rPr>
          <w:spacing w:val="-48"/>
        </w:rPr>
        <w:t> </w:t>
      </w:r>
      <w:r>
        <w:rPr>
          <w:rFonts w:ascii="Times New Roman" w:hAnsi="Times New Roman" w:cs="Times New Roman" w:eastAsia="Times New Roman" w:hint="default"/>
          <w:spacing w:val="-5"/>
        </w:rPr>
        <w:t>768.99%</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5"/>
        </w:rPr>
        <w:t> </w:t>
      </w:r>
      <w:r>
        <w:rPr>
          <w:spacing w:val="-1"/>
        </w:rPr>
        <w:t>年实际并表收入仅为农业信息化第</w:t>
      </w:r>
      <w:r>
        <w:rPr>
          <w:spacing w:val="-4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spacing w:val="-13"/>
        </w:rPr>
        <w:t>月的收入）；业务毛利率达到</w:t>
      </w:r>
      <w:r>
        <w:rPr>
          <w:spacing w:val="-48"/>
        </w:rPr>
        <w:t> </w:t>
      </w:r>
      <w:r>
        <w:rPr>
          <w:rFonts w:ascii="Times New Roman" w:hAnsi="Times New Roman" w:cs="Times New Roman" w:eastAsia="Times New Roman" w:hint="default"/>
        </w:rPr>
        <w:t>50.41%</w:t>
      </w:r>
      <w:r>
        <w:rPr/>
        <w:t>，</w:t>
      </w:r>
    </w:p>
    <w:p>
      <w:pPr>
        <w:spacing w:after="0" w:line="386" w:lineRule="auto"/>
        <w:jc w:val="both"/>
        <w:sectPr>
          <w:footerReference w:type="default" r:id="rId11"/>
          <w:pgSz w:w="11910" w:h="16840"/>
          <w:pgMar w:footer="1226" w:header="747" w:top="1060" w:bottom="1420" w:left="980" w:right="0"/>
          <w:pgNumType w:start="15"/>
        </w:sectPr>
      </w:pPr>
    </w:p>
    <w:p>
      <w:pPr>
        <w:spacing w:line="240" w:lineRule="auto" w:before="0"/>
        <w:rPr>
          <w:rFonts w:ascii="宋体" w:hAnsi="宋体" w:cs="宋体" w:eastAsia="宋体" w:hint="default"/>
          <w:sz w:val="20"/>
          <w:szCs w:val="20"/>
        </w:rPr>
      </w:pPr>
    </w:p>
    <w:p>
      <w:pPr>
        <w:pStyle w:val="BodyText"/>
        <w:spacing w:line="417" w:lineRule="auto" w:before="175"/>
        <w:ind w:left="573" w:right="1117" w:hanging="420"/>
        <w:jc w:val="left"/>
      </w:pPr>
      <w:r>
        <w:rPr/>
        <w:t>因市场竞争的影响较去年同期下降</w:t>
      </w:r>
      <w:r>
        <w:rPr>
          <w:spacing w:val="-53"/>
        </w:rPr>
        <w:t> </w:t>
      </w:r>
      <w:r>
        <w:rPr>
          <w:rFonts w:ascii="Times New Roman" w:hAnsi="Times New Roman" w:cs="Times New Roman" w:eastAsia="Times New Roman" w:hint="default"/>
        </w:rPr>
        <w:t>3.20</w:t>
      </w:r>
      <w:r>
        <w:rPr>
          <w:rFonts w:ascii="Times New Roman" w:hAnsi="Times New Roman" w:cs="Times New Roman" w:eastAsia="Times New Roman" w:hint="default"/>
          <w:spacing w:val="-1"/>
        </w:rPr>
        <w:t> </w:t>
      </w:r>
      <w:r>
        <w:rPr/>
        <w:t>个百分点。 报告期内，公司</w:t>
      </w:r>
      <w:r>
        <w:rPr>
          <w:rFonts w:ascii="Times New Roman" w:hAnsi="Times New Roman" w:cs="Times New Roman" w:eastAsia="Times New Roman" w:hint="default"/>
        </w:rPr>
        <w:t>“</w:t>
      </w:r>
      <w:r>
        <w:rPr/>
        <w:t>互联网农业</w:t>
      </w:r>
      <w:r>
        <w:rPr>
          <w:rFonts w:ascii="Times New Roman" w:hAnsi="Times New Roman" w:cs="Times New Roman" w:eastAsia="Times New Roman" w:hint="default"/>
        </w:rPr>
        <w:t>”</w:t>
      </w:r>
      <w:r>
        <w:rPr/>
        <w:t>战略取得重要进展，进一步并购旗硕科技，合资成立杨凌农业云服务公</w:t>
      </w:r>
    </w:p>
    <w:p>
      <w:pPr>
        <w:pStyle w:val="BodyText"/>
        <w:spacing w:line="398" w:lineRule="auto" w:before="5"/>
        <w:ind w:right="0"/>
        <w:jc w:val="left"/>
      </w:pPr>
      <w:r>
        <w:rPr>
          <w:spacing w:val="-2"/>
        </w:rPr>
        <w:t>司，业务覆盖从土地确权及流转</w:t>
      </w:r>
      <w:r>
        <w:rPr>
          <w:rFonts w:ascii="Times New Roman" w:hAnsi="Times New Roman" w:cs="Times New Roman" w:eastAsia="Times New Roman" w:hint="default"/>
          <w:spacing w:val="-2"/>
        </w:rPr>
        <w:t>,</w:t>
      </w:r>
      <w:r>
        <w:rPr>
          <w:spacing w:val="-2"/>
        </w:rPr>
        <w:t>扩展到农业物联网、农业大数据、农产品溯源认证等领域。其中，农地确</w:t>
      </w:r>
      <w:r>
        <w:rPr>
          <w:spacing w:val="-88"/>
        </w:rPr>
        <w:t> </w:t>
      </w:r>
      <w:r>
        <w:rPr>
          <w:spacing w:val="-88"/>
        </w:rPr>
      </w:r>
      <w:r>
        <w:rPr>
          <w:spacing w:val="-1"/>
        </w:rPr>
        <w:t>权业务把握国家推进整省试点的市场机遇，进一步扩展到了河北省以外的更多省份，新增宁夏、陕西、天</w:t>
      </w:r>
      <w:r>
        <w:rPr>
          <w:spacing w:val="-85"/>
        </w:rPr>
        <w:t> </w:t>
      </w:r>
      <w:r>
        <w:rPr>
          <w:spacing w:val="-85"/>
        </w:rPr>
      </w:r>
      <w:r>
        <w:rPr/>
        <w:t>津三个省级平台。迄今，公司已累计为全国</w:t>
      </w:r>
      <w:r>
        <w:rPr>
          <w:spacing w:val="-53"/>
        </w:rPr>
        <w:t> </w:t>
      </w:r>
      <w:r>
        <w:rPr>
          <w:rFonts w:ascii="Times New Roman" w:hAnsi="Times New Roman" w:cs="Times New Roman" w:eastAsia="Times New Roman" w:hint="default"/>
        </w:rPr>
        <w:t>460</w:t>
      </w:r>
      <w:r>
        <w:rPr>
          <w:rFonts w:ascii="Times New Roman" w:hAnsi="Times New Roman" w:cs="Times New Roman" w:eastAsia="Times New Roman" w:hint="default"/>
          <w:spacing w:val="-1"/>
        </w:rPr>
        <w:t> </w:t>
      </w:r>
      <w:r>
        <w:rPr/>
        <w:t>个市县提供了农村土地确权服务，为</w:t>
      </w:r>
      <w:r>
        <w:rPr>
          <w:spacing w:val="-53"/>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多个市县搭建了 </w:t>
      </w:r>
      <w:r>
        <w:rPr>
          <w:spacing w:val="-1"/>
        </w:rPr>
        <w:t>农村产权交易平台，围绕土地流转和农业规模化经营，积极探索和布局配套的金融、技术、数据等深度服</w:t>
      </w:r>
      <w:r>
        <w:rPr>
          <w:spacing w:val="-85"/>
        </w:rPr>
        <w:t> </w:t>
      </w:r>
      <w:r>
        <w:rPr>
          <w:spacing w:val="-85"/>
        </w:rPr>
      </w:r>
      <w:r>
        <w:rPr/>
        <w:t>务，探索一、二、三产业融合发展的</w:t>
      </w:r>
      <w:r>
        <w:rPr>
          <w:rFonts w:ascii="Times New Roman" w:hAnsi="Times New Roman" w:cs="Times New Roman" w:eastAsia="Times New Roman" w:hint="default"/>
        </w:rPr>
        <w:t>“</w:t>
      </w:r>
      <w:r>
        <w:rPr/>
        <w:t>互联网农业</w:t>
      </w:r>
      <w:r>
        <w:rPr>
          <w:rFonts w:ascii="Times New Roman" w:hAnsi="Times New Roman" w:cs="Times New Roman" w:eastAsia="Times New Roman" w:hint="default"/>
        </w:rPr>
        <w:t>”</w:t>
      </w:r>
      <w:r>
        <w:rPr/>
        <w:t>新模式。</w:t>
      </w:r>
    </w:p>
    <w:p>
      <w:pPr>
        <w:pStyle w:val="Heading6"/>
        <w:spacing w:line="240" w:lineRule="auto" w:before="64"/>
        <w:ind w:left="576" w:right="1135"/>
        <w:jc w:val="left"/>
        <w:rPr>
          <w:b w:val="0"/>
          <w:bCs w:val="0"/>
        </w:rPr>
      </w:pPr>
      <w:r>
        <w:rPr/>
        <w:t>应用软件开发及云服务</w:t>
      </w:r>
      <w:r>
        <w:rPr>
          <w:b w:val="0"/>
          <w:bCs w:val="0"/>
        </w:rPr>
      </w:r>
    </w:p>
    <w:p>
      <w:pPr>
        <w:spacing w:line="240" w:lineRule="auto" w:before="9"/>
        <w:rPr>
          <w:rFonts w:ascii="宋体" w:hAnsi="宋体" w:cs="宋体" w:eastAsia="宋体" w:hint="default"/>
          <w:b/>
          <w:bCs/>
          <w:sz w:val="17"/>
          <w:szCs w:val="17"/>
        </w:rPr>
      </w:pPr>
    </w:p>
    <w:p>
      <w:pPr>
        <w:pStyle w:val="BodyText"/>
        <w:spacing w:line="386" w:lineRule="auto"/>
        <w:ind w:left="154" w:right="1131" w:firstLine="420"/>
        <w:jc w:val="both"/>
      </w:pPr>
      <w:r>
        <w:rPr>
          <w:rFonts w:ascii="Times New Roman" w:hAnsi="Times New Roman" w:cs="Times New Roman" w:eastAsia="Times New Roman" w:hint="default"/>
        </w:rPr>
        <w:t>2015 </w:t>
      </w:r>
      <w:r>
        <w:rPr/>
        <w:t>年，金融、电信、政企等行业的改革进一步深化，业务流程优化、运营效率提升以及</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架构的 开放重构成为行业用户</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建设新热点，也为公司应用软件开发业务带来了增长动力。</w:t>
      </w:r>
      <w:r>
        <w:rPr>
          <w:rFonts w:ascii="Times New Roman" w:hAnsi="Times New Roman" w:cs="Times New Roman" w:eastAsia="Times New Roman" w:hint="default"/>
        </w:rPr>
        <w:t>2015 </w:t>
      </w:r>
      <w:r>
        <w:rPr/>
        <w:t>年，公司应用 软件开发业务加强了新产品的研发和推出，大力推进云服务和大数据业务的增长，报告期内实现收入</w:t>
      </w:r>
      <w:r>
        <w:rPr>
          <w:spacing w:val="-73"/>
        </w:rPr>
        <w:t> </w:t>
      </w:r>
      <w:r>
        <w:rPr>
          <w:rFonts w:ascii="Times New Roman" w:hAnsi="Times New Roman" w:cs="Times New Roman" w:eastAsia="Times New Roman" w:hint="default"/>
        </w:rPr>
        <w:t>6.00 </w:t>
      </w:r>
      <w:r>
        <w:rPr/>
        <w:t>亿元，较上年度同期增长</w:t>
      </w:r>
      <w:r>
        <w:rPr>
          <w:spacing w:val="-54"/>
        </w:rPr>
        <w:t> </w:t>
      </w:r>
      <w:r>
        <w:rPr>
          <w:rFonts w:ascii="Times New Roman" w:hAnsi="Times New Roman" w:cs="Times New Roman" w:eastAsia="Times New Roman" w:hint="default"/>
        </w:rPr>
        <w:t>5.94%</w:t>
      </w:r>
      <w:r>
        <w:rPr/>
        <w:t>；业务毛利率达到</w:t>
      </w:r>
      <w:r>
        <w:rPr>
          <w:spacing w:val="-53"/>
        </w:rPr>
        <w:t> </w:t>
      </w:r>
      <w:r>
        <w:rPr>
          <w:rFonts w:ascii="Times New Roman" w:hAnsi="Times New Roman" w:cs="Times New Roman" w:eastAsia="Times New Roman" w:hint="default"/>
        </w:rPr>
        <w:t>38.71%</w:t>
      </w:r>
      <w:r>
        <w:rPr/>
        <w:t>，较上年度同期提高</w:t>
      </w:r>
      <w:r>
        <w:rPr>
          <w:spacing w:val="-53"/>
        </w:rPr>
        <w:t> </w:t>
      </w:r>
      <w:r>
        <w:rPr>
          <w:rFonts w:ascii="Times New Roman" w:hAnsi="Times New Roman" w:cs="Times New Roman" w:eastAsia="Times New Roman" w:hint="default"/>
        </w:rPr>
        <w:t>9.46</w:t>
      </w:r>
      <w:r>
        <w:rPr>
          <w:rFonts w:ascii="Times New Roman" w:hAnsi="Times New Roman" w:cs="Times New Roman" w:eastAsia="Times New Roman" w:hint="default"/>
          <w:spacing w:val="-1"/>
        </w:rPr>
        <w:t> </w:t>
      </w:r>
      <w:r>
        <w:rPr/>
        <w:t>个百分点。</w:t>
      </w:r>
    </w:p>
    <w:p>
      <w:pPr>
        <w:pStyle w:val="BodyText"/>
        <w:spacing w:line="386" w:lineRule="auto" w:before="74"/>
        <w:ind w:right="1130" w:firstLine="420"/>
        <w:jc w:val="both"/>
      </w:pPr>
      <w:r>
        <w:rPr/>
        <w:t>在金融行业，公司发布了银行新一代互联网化应用架构</w:t>
      </w:r>
      <w:r>
        <w:rPr>
          <w:spacing w:val="-60"/>
        </w:rPr>
        <w:t> </w:t>
      </w:r>
      <w:hyperlink r:id="rId13">
        <w:r>
          <w:rPr>
            <w:rFonts w:ascii="Times New Roman" w:hAnsi="Times New Roman" w:cs="Times New Roman" w:eastAsia="Times New Roman" w:hint="default"/>
          </w:rPr>
          <w:t>ModelB@nk4.0</w:t>
        </w:r>
      </w:hyperlink>
      <w:r>
        <w:rPr/>
        <w:t>；金融云平台新增银行客户</w:t>
      </w:r>
      <w:r>
        <w:rPr>
          <w:spacing w:val="-60"/>
        </w:rPr>
        <w:t> </w:t>
      </w:r>
      <w:r>
        <w:rPr>
          <w:rFonts w:ascii="Times New Roman" w:hAnsi="Times New Roman" w:cs="Times New Roman" w:eastAsia="Times New Roman" w:hint="default"/>
        </w:rPr>
        <w:t>33 </w:t>
      </w:r>
      <w:r>
        <w:rPr>
          <w:spacing w:val="-3"/>
        </w:rPr>
        <w:t>家；企业服务总线</w:t>
      </w:r>
      <w:r>
        <w:rPr>
          <w:spacing w:val="-84"/>
        </w:rPr>
        <w:t> </w:t>
      </w:r>
      <w:r>
        <w:rPr>
          <w:rFonts w:ascii="Times New Roman" w:hAnsi="Times New Roman" w:cs="Times New Roman" w:eastAsia="Times New Roman" w:hint="default"/>
        </w:rPr>
        <w:t>ESB</w:t>
      </w:r>
      <w:r>
        <w:rPr>
          <w:rFonts w:ascii="Times New Roman" w:hAnsi="Times New Roman" w:cs="Times New Roman" w:eastAsia="Times New Roman" w:hint="default"/>
          <w:spacing w:val="-32"/>
        </w:rPr>
        <w:t> </w:t>
      </w:r>
      <w:r>
        <w:rPr/>
        <w:t>新签约恒丰银行、湖南农信、宁波银行等十家银行客户，并在证券行业的证通公司 获得应用。在税务行业，公司承建的</w:t>
      </w:r>
      <w:r>
        <w:rPr>
          <w:rFonts w:ascii="Times New Roman" w:hAnsi="Times New Roman" w:cs="Times New Roman" w:eastAsia="Times New Roman" w:hint="default"/>
        </w:rPr>
        <w:t>“</w:t>
      </w:r>
      <w:r>
        <w:rPr/>
        <w:t>金税三期</w:t>
      </w:r>
      <w:r>
        <w:rPr>
          <w:rFonts w:ascii="Times New Roman" w:hAnsi="Times New Roman" w:cs="Times New Roman" w:eastAsia="Times New Roman" w:hint="default"/>
        </w:rPr>
        <w:t>”</w:t>
      </w:r>
      <w:r>
        <w:rPr/>
        <w:t>管理决策平台成功推广至全国</w:t>
      </w:r>
      <w:r>
        <w:rPr>
          <w:spacing w:val="-81"/>
        </w:rPr>
        <w:t> </w:t>
      </w:r>
      <w:r>
        <w:rPr>
          <w:rFonts w:ascii="Times New Roman" w:hAnsi="Times New Roman" w:cs="Times New Roman" w:eastAsia="Times New Roman" w:hint="default"/>
        </w:rPr>
        <w:t>16</w:t>
      </w:r>
      <w:r>
        <w:rPr>
          <w:rFonts w:ascii="Times New Roman" w:hAnsi="Times New Roman" w:cs="Times New Roman" w:eastAsia="Times New Roman" w:hint="default"/>
          <w:spacing w:val="-28"/>
        </w:rPr>
        <w:t> </w:t>
      </w:r>
      <w:r>
        <w:rPr>
          <w:spacing w:val="-4"/>
        </w:rPr>
        <w:t>个省，税务大数据服务的</w:t>
      </w:r>
      <w:r>
        <w:rPr/>
        <w:t> 市场覆盖进一步扩大。</w:t>
      </w:r>
    </w:p>
    <w:p>
      <w:pPr>
        <w:pStyle w:val="BodyText"/>
        <w:spacing w:line="240" w:lineRule="auto" w:before="104"/>
        <w:ind w:left="57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2"/>
        </w:rPr>
        <w:t>年，公司智慧城市解决方案业务持续发力，服务城市的数量及建设内容不断增加。在北京，公司</w:t>
      </w:r>
    </w:p>
    <w:p>
      <w:pPr>
        <w:pStyle w:val="BodyText"/>
        <w:spacing w:line="386" w:lineRule="auto" w:before="177"/>
        <w:ind w:right="1130"/>
        <w:jc w:val="both"/>
      </w:pPr>
      <w:r>
        <w:rPr>
          <w:spacing w:val="-3"/>
        </w:rPr>
        <w:t>开发了</w:t>
      </w:r>
      <w:r>
        <w:rPr>
          <w:rFonts w:ascii="Times New Roman" w:hAnsi="Times New Roman" w:cs="Times New Roman" w:eastAsia="Times New Roman" w:hint="default"/>
          <w:spacing w:val="-3"/>
        </w:rPr>
        <w:t>“</w:t>
      </w:r>
      <w:r>
        <w:rPr>
          <w:spacing w:val="-3"/>
        </w:rPr>
        <w:t>中关村国家自主创新示范区</w:t>
      </w:r>
      <w:r>
        <w:rPr>
          <w:rFonts w:ascii="Times New Roman" w:hAnsi="Times New Roman" w:cs="Times New Roman" w:eastAsia="Times New Roman" w:hint="default"/>
          <w:spacing w:val="-3"/>
        </w:rPr>
        <w:t>”</w:t>
      </w:r>
      <w:r>
        <w:rPr>
          <w:spacing w:val="-3"/>
        </w:rPr>
        <w:t>融合创新服务平台；智慧城市顶层规划，签约</w:t>
      </w:r>
      <w:r>
        <w:rPr>
          <w:spacing w:val="-50"/>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年冬奥会主办城市 之一的张家口崇礼，以及吉林省长吉新区和宜宾临港经济技术开发区</w:t>
      </w:r>
      <w:r>
        <w:rPr>
          <w:rFonts w:ascii="Times New Roman" w:hAnsi="Times New Roman" w:cs="Times New Roman" w:eastAsia="Times New Roman" w:hint="default"/>
        </w:rPr>
        <w:t>“</w:t>
      </w:r>
      <w:r>
        <w:rPr/>
        <w:t>智慧临港</w:t>
      </w:r>
      <w:r>
        <w:rPr>
          <w:rFonts w:ascii="Times New Roman" w:hAnsi="Times New Roman" w:cs="Times New Roman" w:eastAsia="Times New Roman" w:hint="default"/>
        </w:rPr>
        <w:t>”</w:t>
      </w:r>
      <w:r>
        <w:rPr/>
        <w:t>的总体规划，有力地支持 了控股智慧城市战略的落地发展。</w:t>
      </w:r>
    </w:p>
    <w:p>
      <w:pPr>
        <w:pStyle w:val="Heading6"/>
        <w:spacing w:line="240" w:lineRule="auto" w:before="104"/>
        <w:ind w:left="576" w:right="1135"/>
        <w:jc w:val="left"/>
        <w:rPr>
          <w:b w:val="0"/>
          <w:bCs w:val="0"/>
        </w:rPr>
      </w:pPr>
      <w:r>
        <w:rPr/>
        <w:t>金融专用设备相关业务</w:t>
      </w:r>
      <w:r>
        <w:rPr>
          <w:b w:val="0"/>
          <w:bCs w:val="0"/>
        </w:rPr>
      </w:r>
    </w:p>
    <w:p>
      <w:pPr>
        <w:spacing w:line="240" w:lineRule="auto" w:before="9"/>
        <w:rPr>
          <w:rFonts w:ascii="宋体" w:hAnsi="宋体" w:cs="宋体" w:eastAsia="宋体" w:hint="default"/>
          <w:b/>
          <w:bCs/>
          <w:sz w:val="17"/>
          <w:szCs w:val="17"/>
        </w:rPr>
      </w:pPr>
    </w:p>
    <w:p>
      <w:pPr>
        <w:pStyle w:val="BodyText"/>
        <w:spacing w:line="391" w:lineRule="auto"/>
        <w:ind w:right="1131" w:firstLine="420"/>
        <w:jc w:val="both"/>
      </w:pPr>
      <w:r>
        <w:rPr>
          <w:rFonts w:ascii="Times New Roman" w:hAnsi="Times New Roman" w:cs="Times New Roman" w:eastAsia="Times New Roman" w:hint="default"/>
        </w:rPr>
        <w:t>2015 </w:t>
      </w:r>
      <w:r>
        <w:rPr/>
        <w:t>年，我国利率市场化改革基本完成，银行业市场酝酿变革，</w:t>
      </w:r>
      <w:r>
        <w:rPr>
          <w:rFonts w:ascii="Times New Roman" w:hAnsi="Times New Roman" w:cs="Times New Roman" w:eastAsia="Times New Roman" w:hint="default"/>
        </w:rPr>
        <w:t>ATM</w:t>
      </w:r>
      <w:r>
        <w:rPr>
          <w:rFonts w:ascii="Times New Roman" w:hAnsi="Times New Roman" w:cs="Times New Roman" w:eastAsia="Times New Roman" w:hint="default"/>
          <w:spacing w:val="-16"/>
        </w:rPr>
        <w:t> </w:t>
      </w:r>
      <w:r>
        <w:rPr/>
        <w:t>市场也出现变化。报告期内， 公司金融专用设备相关业务实现收入</w:t>
      </w:r>
      <w:r>
        <w:rPr>
          <w:spacing w:val="-55"/>
        </w:rPr>
        <w:t> </w:t>
      </w:r>
      <w:r>
        <w:rPr>
          <w:rFonts w:ascii="Times New Roman" w:hAnsi="Times New Roman" w:cs="Times New Roman" w:eastAsia="Times New Roman" w:hint="default"/>
        </w:rPr>
        <w:t>4.15</w:t>
      </w:r>
      <w:r>
        <w:rPr>
          <w:rFonts w:ascii="Times New Roman" w:hAnsi="Times New Roman" w:cs="Times New Roman" w:eastAsia="Times New Roman" w:hint="default"/>
          <w:spacing w:val="-2"/>
        </w:rPr>
        <w:t> </w:t>
      </w:r>
      <w:r>
        <w:rPr/>
        <w:t>亿元，较上年度同期下降</w:t>
      </w:r>
      <w:r>
        <w:rPr>
          <w:spacing w:val="-56"/>
        </w:rPr>
        <w:t> </w:t>
      </w:r>
      <w:r>
        <w:rPr>
          <w:rFonts w:ascii="Times New Roman" w:hAnsi="Times New Roman" w:cs="Times New Roman" w:eastAsia="Times New Roman" w:hint="default"/>
        </w:rPr>
        <w:t>11.52%</w:t>
      </w:r>
      <w:r>
        <w:rPr/>
        <w:t>，市场竞争加剧导致单机价格 下降，是本年度收入下降的主要原因；业务毛利率达到</w:t>
      </w:r>
      <w:r>
        <w:rPr>
          <w:spacing w:val="-54"/>
        </w:rPr>
        <w:t> </w:t>
      </w:r>
      <w:r>
        <w:rPr>
          <w:rFonts w:ascii="Times New Roman" w:hAnsi="Times New Roman" w:cs="Times New Roman" w:eastAsia="Times New Roman" w:hint="default"/>
        </w:rPr>
        <w:t>40.47%</w:t>
      </w:r>
      <w:r>
        <w:rPr/>
        <w:t>，较上年度同期提高</w:t>
      </w:r>
      <w:r>
        <w:rPr>
          <w:spacing w:val="-54"/>
        </w:rPr>
        <w:t> </w:t>
      </w:r>
      <w:r>
        <w:rPr>
          <w:rFonts w:ascii="Times New Roman" w:hAnsi="Times New Roman" w:cs="Times New Roman" w:eastAsia="Times New Roman" w:hint="default"/>
        </w:rPr>
        <w:t>4.18</w:t>
      </w:r>
      <w:r>
        <w:rPr>
          <w:rFonts w:ascii="Times New Roman" w:hAnsi="Times New Roman" w:cs="Times New Roman" w:eastAsia="Times New Roman" w:hint="default"/>
          <w:spacing w:val="-2"/>
        </w:rPr>
        <w:t> </w:t>
      </w:r>
      <w:r>
        <w:rPr/>
        <w:t>个百分点。公司 金融专用设备相关业务不断优化产品设计，提升生产效能，抓住机遇与</w:t>
      </w:r>
      <w:r>
        <w:rPr>
          <w:spacing w:val="-73"/>
        </w:rPr>
        <w:t> </w:t>
      </w:r>
      <w:r>
        <w:rPr>
          <w:rFonts w:ascii="Times New Roman" w:hAnsi="Times New Roman" w:cs="Times New Roman" w:eastAsia="Times New Roman" w:hint="default"/>
        </w:rPr>
        <w:t>OKI</w:t>
      </w:r>
      <w:r>
        <w:rPr>
          <w:rFonts w:ascii="Times New Roman" w:hAnsi="Times New Roman" w:cs="Times New Roman" w:eastAsia="Times New Roman" w:hint="default"/>
          <w:spacing w:val="-21"/>
        </w:rPr>
        <w:t> </w:t>
      </w:r>
      <w:r>
        <w:rPr>
          <w:spacing w:val="-3"/>
        </w:rPr>
        <w:t>达成战略合作，提升产品竞争</w:t>
      </w:r>
      <w:r>
        <w:rPr/>
        <w:t> </w:t>
      </w:r>
      <w:r>
        <w:rPr>
          <w:spacing w:val="-1"/>
        </w:rPr>
        <w:t>力；持续扩展产品线，推出了银铁通新产品；同时整合社会资源，加强市场营销和运维运营服务能力，保</w:t>
      </w:r>
      <w:r>
        <w:rPr>
          <w:spacing w:val="-83"/>
        </w:rPr>
        <w:t> </w:t>
      </w:r>
      <w:r>
        <w:rPr>
          <w:spacing w:val="-83"/>
        </w:rPr>
      </w:r>
      <w:r>
        <w:rPr/>
        <w:t>证业务的持续发展。</w:t>
      </w:r>
    </w:p>
    <w:p>
      <w:pPr>
        <w:pStyle w:val="Heading6"/>
        <w:spacing w:line="240" w:lineRule="auto" w:before="101"/>
        <w:ind w:left="576" w:right="1135"/>
        <w:jc w:val="left"/>
        <w:rPr>
          <w:b w:val="0"/>
          <w:bCs w:val="0"/>
        </w:rPr>
      </w:pPr>
      <w:r>
        <w:rPr/>
        <w:t>集成解决方案</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574" w:right="0"/>
        <w:jc w:val="left"/>
      </w:pPr>
      <w:r>
        <w:rPr>
          <w:rFonts w:ascii="Times New Roman" w:hAnsi="Times New Roman" w:cs="Times New Roman" w:eastAsia="Times New Roman" w:hint="default"/>
        </w:rPr>
        <w:t>2015  </w:t>
      </w:r>
      <w:r>
        <w:rPr>
          <w:rFonts w:ascii="Times New Roman" w:hAnsi="Times New Roman" w:cs="Times New Roman" w:eastAsia="Times New Roman" w:hint="default"/>
          <w:spacing w:val="23"/>
        </w:rPr>
        <w:t> </w:t>
      </w:r>
      <w:r>
        <w:rPr/>
        <w:t>年，受益于国家信息安全战略及大型项目复杂集成服务优势，公司集成解决方案业务实现收入</w:t>
      </w:r>
    </w:p>
    <w:p>
      <w:pPr>
        <w:spacing w:after="0" w:line="240" w:lineRule="auto"/>
        <w:jc w:val="left"/>
        <w:sectPr>
          <w:footerReference w:type="default" r:id="rId12"/>
          <w:pgSz w:w="11910" w:h="16840"/>
          <w:pgMar w:footer="1226" w:header="747" w:top="1060" w:bottom="1420" w:left="980" w:right="0"/>
          <w:pgNumType w:start="16"/>
        </w:sectPr>
      </w:pPr>
    </w:p>
    <w:p>
      <w:pPr>
        <w:spacing w:line="240" w:lineRule="auto" w:before="0"/>
        <w:rPr>
          <w:rFonts w:ascii="宋体" w:hAnsi="宋体" w:cs="宋体" w:eastAsia="宋体" w:hint="default"/>
          <w:sz w:val="20"/>
          <w:szCs w:val="20"/>
        </w:rPr>
      </w:pPr>
    </w:p>
    <w:p>
      <w:pPr>
        <w:pStyle w:val="BodyText"/>
        <w:spacing w:line="386" w:lineRule="auto" w:before="174"/>
        <w:ind w:right="1129"/>
        <w:jc w:val="both"/>
      </w:pPr>
      <w:r>
        <w:rPr>
          <w:rFonts w:ascii="Times New Roman" w:hAnsi="Times New Roman" w:cs="Times New Roman" w:eastAsia="Times New Roman" w:hint="default"/>
        </w:rPr>
        <w:t>36.95</w:t>
      </w:r>
      <w:r>
        <w:rPr>
          <w:rFonts w:ascii="Times New Roman" w:hAnsi="Times New Roman" w:cs="Times New Roman" w:eastAsia="Times New Roman" w:hint="default"/>
          <w:spacing w:val="-12"/>
        </w:rPr>
        <w:t> </w:t>
      </w:r>
      <w:r>
        <w:rPr/>
        <w:t>亿，较上年度同期下降</w:t>
      </w:r>
      <w:r>
        <w:rPr>
          <w:spacing w:val="-65"/>
        </w:rPr>
        <w:t> </w:t>
      </w:r>
      <w:r>
        <w:rPr>
          <w:rFonts w:ascii="Times New Roman" w:hAnsi="Times New Roman" w:cs="Times New Roman" w:eastAsia="Times New Roman" w:hint="default"/>
        </w:rPr>
        <w:t>2.49%,</w:t>
      </w:r>
      <w:r>
        <w:rPr/>
        <w:t>同比降幅收窄；业务毛利率达到</w:t>
      </w:r>
      <w:r>
        <w:rPr>
          <w:spacing w:val="-64"/>
        </w:rPr>
        <w:t> </w:t>
      </w:r>
      <w:r>
        <w:rPr>
          <w:rFonts w:ascii="Times New Roman" w:hAnsi="Times New Roman" w:cs="Times New Roman" w:eastAsia="Times New Roman" w:hint="default"/>
        </w:rPr>
        <w:t>10.73%</w:t>
      </w:r>
      <w:r>
        <w:rPr/>
        <w:t>，较上年度同期下降</w:t>
      </w:r>
      <w:r>
        <w:rPr>
          <w:spacing w:val="-65"/>
        </w:rPr>
        <w:t> </w:t>
      </w:r>
      <w:r>
        <w:rPr>
          <w:rFonts w:ascii="Times New Roman" w:hAnsi="Times New Roman" w:cs="Times New Roman" w:eastAsia="Times New Roman" w:hint="default"/>
        </w:rPr>
        <w:t>1.09</w:t>
      </w:r>
      <w:r>
        <w:rPr>
          <w:rFonts w:ascii="Times New Roman" w:hAnsi="Times New Roman" w:cs="Times New Roman" w:eastAsia="Times New Roman" w:hint="default"/>
          <w:spacing w:val="-12"/>
        </w:rPr>
        <w:t> </w:t>
      </w:r>
      <w:r>
        <w:rPr/>
        <w:t>个百</w:t>
      </w:r>
      <w:r>
        <w:rPr>
          <w:spacing w:val="1"/>
        </w:rPr>
        <w:t> </w:t>
      </w:r>
      <w:r>
        <w:rPr>
          <w:spacing w:val="-3"/>
        </w:rPr>
        <w:t>分点，因部分战略客户在开拓初期毛利率较低所致。报告期内，公司完成了国家战略项目量子保密通信</w:t>
      </w:r>
      <w:r>
        <w:rPr>
          <w:rFonts w:ascii="Times New Roman" w:hAnsi="Times New Roman" w:cs="Times New Roman" w:eastAsia="Times New Roman" w:hint="default"/>
          <w:spacing w:val="-3"/>
        </w:rPr>
        <w:t>“</w:t>
      </w:r>
      <w:r>
        <w:rPr>
          <w:spacing w:val="-3"/>
        </w:rPr>
        <w:t>京</w:t>
      </w:r>
      <w:r>
        <w:rPr>
          <w:spacing w:val="-81"/>
        </w:rPr>
        <w:t> </w:t>
      </w:r>
      <w:r>
        <w:rPr>
          <w:spacing w:val="-2"/>
          <w:w w:val="100"/>
        </w:rPr>
        <w:t>沪干线</w:t>
      </w:r>
      <w:r>
        <w:rPr>
          <w:rFonts w:ascii="Times New Roman" w:hAnsi="Times New Roman" w:cs="Times New Roman" w:eastAsia="Times New Roman" w:hint="default"/>
          <w:spacing w:val="-2"/>
          <w:w w:val="100"/>
        </w:rPr>
        <w:t>”</w:t>
      </w:r>
      <w:r>
        <w:rPr>
          <w:spacing w:val="-2"/>
          <w:w w:val="100"/>
        </w:rPr>
        <w:t>技术验证及应用示范项目室内联调系统的建设，并进一步中标量子保密通信</w:t>
      </w:r>
      <w:r>
        <w:rPr>
          <w:rFonts w:ascii="Times New Roman" w:hAnsi="Times New Roman" w:cs="Times New Roman" w:eastAsia="Times New Roman" w:hint="default"/>
          <w:spacing w:val="-2"/>
          <w:w w:val="100"/>
        </w:rPr>
        <w:t>“</w:t>
      </w:r>
      <w:r>
        <w:rPr>
          <w:spacing w:val="-2"/>
          <w:w w:val="100"/>
        </w:rPr>
        <w:t>京沪干线</w:t>
      </w:r>
      <w:r>
        <w:rPr>
          <w:rFonts w:ascii="Times New Roman" w:hAnsi="Times New Roman" w:cs="Times New Roman" w:eastAsia="Times New Roman" w:hint="default"/>
          <w:spacing w:val="-2"/>
          <w:w w:val="100"/>
        </w:rPr>
        <w:t>”</w:t>
      </w:r>
      <w:r>
        <w:rPr>
          <w:spacing w:val="-2"/>
          <w:w w:val="100"/>
        </w:rPr>
        <w:t>主干网络的</w:t>
      </w:r>
      <w:r>
        <w:rPr>
          <w:spacing w:val="-102"/>
          <w:w w:val="100"/>
        </w:rPr>
        <w:t> </w:t>
      </w:r>
      <w:r>
        <w:rPr/>
        <w:t>建设项目，引领量子通信技术的应用推广，示范效应明显。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6"/>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86"/>
        <w:gridCol w:w="1417"/>
        <w:gridCol w:w="1383"/>
        <w:gridCol w:w="1736"/>
        <w:gridCol w:w="1559"/>
        <w:gridCol w:w="1486"/>
      </w:tblGrid>
      <w:tr>
        <w:trPr>
          <w:trHeight w:val="262" w:hRule="exact"/>
        </w:trPr>
        <w:tc>
          <w:tcPr>
            <w:tcW w:w="198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80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96"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6"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5" w:hRule="exact"/>
        </w:trPr>
        <w:tc>
          <w:tcPr>
            <w:tcW w:w="1986" w:type="dxa"/>
            <w:vMerge w:val="restart"/>
            <w:tcBorders>
              <w:top w:val="nil" w:sz="6" w:space="0" w:color="auto"/>
              <w:left w:val="single" w:sz="12" w:space="0" w:color="000000"/>
              <w:right w:val="single" w:sz="4" w:space="0" w:color="000000"/>
            </w:tcBorders>
            <w:shd w:val="clear" w:color="auto" w:fill="D2D2D2"/>
          </w:tcPr>
          <w:p>
            <w:pPr/>
          </w:p>
        </w:tc>
        <w:tc>
          <w:tcPr>
            <w:tcW w:w="2800" w:type="dxa"/>
            <w:gridSpan w:val="2"/>
            <w:vMerge/>
            <w:tcBorders>
              <w:left w:val="single" w:sz="4" w:space="0" w:color="000000"/>
              <w:bottom w:val="single" w:sz="4" w:space="0" w:color="000000"/>
              <w:right w:val="single" w:sz="4" w:space="0" w:color="000000"/>
            </w:tcBorders>
            <w:shd w:val="clear" w:color="auto" w:fill="D2D2D2"/>
          </w:tcPr>
          <w:p>
            <w:pPr/>
          </w:p>
        </w:tc>
        <w:tc>
          <w:tcPr>
            <w:tcW w:w="3296" w:type="dxa"/>
            <w:gridSpan w:val="2"/>
            <w:vMerge/>
            <w:tcBorders>
              <w:left w:val="single" w:sz="4" w:space="0" w:color="000000"/>
              <w:bottom w:val="single" w:sz="4" w:space="0" w:color="000000"/>
              <w:right w:val="single" w:sz="4" w:space="0" w:color="000000"/>
            </w:tcBorders>
            <w:shd w:val="clear" w:color="auto" w:fill="D2D2D2"/>
          </w:tcPr>
          <w:p>
            <w:pPr/>
          </w:p>
        </w:tc>
        <w:tc>
          <w:tcPr>
            <w:tcW w:w="1486"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7" w:hRule="exact"/>
        </w:trPr>
        <w:tc>
          <w:tcPr>
            <w:tcW w:w="1986" w:type="dxa"/>
            <w:vMerge/>
            <w:tcBorders>
              <w:left w:val="single" w:sz="12"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5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14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86" w:type="dxa"/>
            <w:vMerge/>
            <w:tcBorders>
              <w:left w:val="single" w:sz="4" w:space="0" w:color="000000"/>
              <w:bottom w:val="nil" w:sz="6" w:space="0" w:color="auto"/>
              <w:right w:val="single" w:sz="12" w:space="0" w:color="000000"/>
            </w:tcBorders>
            <w:shd w:val="clear" w:color="auto" w:fill="D2D2D2"/>
          </w:tcPr>
          <w:p>
            <w:pPr/>
          </w:p>
        </w:tc>
      </w:tr>
      <w:tr>
        <w:trPr>
          <w:trHeight w:val="252" w:hRule="exact"/>
        </w:trPr>
        <w:tc>
          <w:tcPr>
            <w:tcW w:w="1986"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6"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95" w:hRule="exact"/>
        </w:trPr>
        <w:tc>
          <w:tcPr>
            <w:tcW w:w="19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17" w:type="dxa"/>
            <w:tcBorders>
              <w:top w:val="single" w:sz="16" w:space="0" w:color="D2D2D2"/>
              <w:left w:val="single" w:sz="9" w:space="0" w:color="D2D2D2"/>
              <w:bottom w:val="single" w:sz="17" w:space="0" w:color="D2D2D2"/>
              <w:right w:val="single" w:sz="13" w:space="0" w:color="D2D2D2"/>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6,712,855,773.20</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736" w:type="dxa"/>
            <w:tcBorders>
              <w:top w:val="single" w:sz="16" w:space="0" w:color="D2D2D2"/>
              <w:left w:val="single" w:sz="13" w:space="0" w:color="D2D2D2"/>
              <w:bottom w:val="single" w:sz="17" w:space="0" w:color="D2D2D2"/>
              <w:right w:val="single" w:sz="9" w:space="0" w:color="D2D2D2"/>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spacing w:val="-1"/>
                <w:sz w:val="18"/>
              </w:rPr>
              <w:t>6,559,007,918.00</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86" w:type="dxa"/>
            <w:tcBorders>
              <w:top w:val="single" w:sz="4" w:space="0" w:color="000000"/>
              <w:left w:val="single" w:sz="13" w:space="0" w:color="D2D2D2"/>
              <w:bottom w:val="single" w:sz="17" w:space="0" w:color="D2D2D2"/>
              <w:right w:val="single" w:sz="12" w:space="0" w:color="000000"/>
            </w:tcBorders>
          </w:tcPr>
          <w:p>
            <w:pPr>
              <w:pStyle w:val="TableParagraph"/>
              <w:spacing w:line="240" w:lineRule="auto" w:before="138"/>
              <w:ind w:right="9"/>
              <w:jc w:val="right"/>
              <w:rPr>
                <w:rFonts w:ascii="Times New Roman" w:hAnsi="Times New Roman" w:cs="Times New Roman" w:eastAsia="Times New Roman" w:hint="default"/>
                <w:sz w:val="18"/>
                <w:szCs w:val="18"/>
              </w:rPr>
            </w:pPr>
            <w:r>
              <w:rPr>
                <w:rFonts w:ascii="Times New Roman"/>
                <w:sz w:val="18"/>
              </w:rPr>
              <w:t>2.35%</w:t>
            </w:r>
          </w:p>
        </w:tc>
      </w:tr>
      <w:tr>
        <w:trPr>
          <w:trHeight w:val="448"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80" w:hRule="exact"/>
        </w:trPr>
        <w:tc>
          <w:tcPr>
            <w:tcW w:w="1986"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41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6,712,855,773.20</w:t>
            </w:r>
          </w:p>
        </w:tc>
        <w:tc>
          <w:tcPr>
            <w:tcW w:w="138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100.00%</w:t>
            </w:r>
          </w:p>
        </w:tc>
        <w:tc>
          <w:tcPr>
            <w:tcW w:w="173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6,559,007,918.00</w:t>
            </w:r>
          </w:p>
        </w:tc>
        <w:tc>
          <w:tcPr>
            <w:tcW w:w="15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100.00%</w:t>
            </w:r>
          </w:p>
        </w:tc>
        <w:tc>
          <w:tcPr>
            <w:tcW w:w="1486"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2.35%</w:t>
            </w:r>
          </w:p>
        </w:tc>
      </w:tr>
      <w:tr>
        <w:trPr>
          <w:trHeight w:val="448"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1,743,666,433.93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25.97%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1,704,085,194.95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25.98%</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2.32%</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258,844,233.16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29,786,657.68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0.45%</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768.99%</w:t>
            </w:r>
          </w:p>
        </w:tc>
      </w:tr>
      <w:tr>
        <w:trPr>
          <w:trHeight w:val="463"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600,160,489.22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566,520,920.40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8.64%</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5.94%</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415,351,892.14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6.19%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469,413,329.83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7.16%</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pacing w:val="-2"/>
                <w:sz w:val="18"/>
              </w:rPr>
              <w:t>-11.52%</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3,694,832,126.46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55.04%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3,789,201,815.14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57.77%</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-2.49%</w:t>
            </w:r>
          </w:p>
        </w:tc>
      </w:tr>
      <w:tr>
        <w:trPr>
          <w:trHeight w:val="479" w:hRule="exact"/>
        </w:trPr>
        <w:tc>
          <w:tcPr>
            <w:tcW w:w="1986" w:type="dxa"/>
            <w:tcBorders>
              <w:top w:val="single" w:sz="4" w:space="0" w:color="000000"/>
              <w:left w:val="single" w:sz="12" w:space="0" w:color="000000"/>
              <w:bottom w:val="single" w:sz="17" w:space="0" w:color="D2D2D2"/>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7"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598.29</w:t>
            </w:r>
          </w:p>
        </w:tc>
        <w:tc>
          <w:tcPr>
            <w:tcW w:w="1383"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36" w:type="dxa"/>
            <w:tcBorders>
              <w:top w:val="single" w:sz="4" w:space="0" w:color="000000"/>
              <w:left w:val="single" w:sz="4" w:space="0" w:color="000000"/>
              <w:bottom w:val="single" w:sz="17" w:space="0" w:color="D2D2D2"/>
              <w:right w:val="single" w:sz="4" w:space="0" w:color="000000"/>
            </w:tcBorders>
          </w:tcPr>
          <w:p>
            <w:pPr/>
          </w:p>
        </w:tc>
        <w:tc>
          <w:tcPr>
            <w:tcW w:w="1559" w:type="dxa"/>
            <w:tcBorders>
              <w:top w:val="single" w:sz="4" w:space="0" w:color="000000"/>
              <w:left w:val="single" w:sz="4" w:space="0" w:color="000000"/>
              <w:bottom w:val="single" w:sz="17" w:space="0" w:color="D2D2D2"/>
              <w:right w:val="single" w:sz="4" w:space="0" w:color="000000"/>
            </w:tcBorders>
          </w:tcPr>
          <w:p>
            <w:pPr/>
          </w:p>
        </w:tc>
        <w:tc>
          <w:tcPr>
            <w:tcW w:w="1486" w:type="dxa"/>
            <w:tcBorders>
              <w:top w:val="single" w:sz="4" w:space="0" w:color="000000"/>
              <w:left w:val="single" w:sz="4" w:space="0" w:color="000000"/>
              <w:bottom w:val="single" w:sz="17" w:space="0" w:color="D2D2D2"/>
              <w:right w:val="single" w:sz="12" w:space="0" w:color="000000"/>
            </w:tcBorders>
          </w:tcPr>
          <w:p>
            <w:pPr/>
          </w:p>
        </w:tc>
      </w:tr>
      <w:tr>
        <w:trPr>
          <w:trHeight w:val="448"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6,616,369,567.73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6,483,817,419.28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98.85%</w:t>
            </w:r>
          </w:p>
        </w:tc>
        <w:tc>
          <w:tcPr>
            <w:tcW w:w="14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2.04%</w:t>
            </w:r>
          </w:p>
        </w:tc>
      </w:tr>
      <w:tr>
        <w:trPr>
          <w:trHeight w:val="473" w:hRule="exact"/>
        </w:trPr>
        <w:tc>
          <w:tcPr>
            <w:tcW w:w="19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96,486,205.47</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1.44%</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75,190,498.72</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1.15%</w:t>
            </w:r>
          </w:p>
        </w:tc>
        <w:tc>
          <w:tcPr>
            <w:tcW w:w="14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6"/>
        <w:spacing w:line="240" w:lineRule="auto" w:before="35"/>
        <w:ind w:left="153" w:right="113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86"/>
        <w:gridCol w:w="1417"/>
        <w:gridCol w:w="1419"/>
        <w:gridCol w:w="991"/>
        <w:gridCol w:w="1277"/>
        <w:gridCol w:w="1276"/>
        <w:gridCol w:w="1207"/>
      </w:tblGrid>
      <w:tr>
        <w:trPr>
          <w:trHeight w:val="739" w:hRule="exact"/>
        </w:trPr>
        <w:tc>
          <w:tcPr>
            <w:tcW w:w="1986"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37" w:right="47"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48"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80" w:hRule="exact"/>
        </w:trPr>
        <w:tc>
          <w:tcPr>
            <w:tcW w:w="1986"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41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6,712,855,773.20</w:t>
            </w:r>
          </w:p>
        </w:tc>
        <w:tc>
          <w:tcPr>
            <w:tcW w:w="141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5,326,163,296.70</w:t>
            </w:r>
          </w:p>
        </w:tc>
        <w:tc>
          <w:tcPr>
            <w:tcW w:w="99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20.66%</w:t>
            </w:r>
          </w:p>
        </w:tc>
        <w:tc>
          <w:tcPr>
            <w:tcW w:w="127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2.35%</w:t>
            </w:r>
          </w:p>
        </w:tc>
        <w:tc>
          <w:tcPr>
            <w:tcW w:w="127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-0.58%</w:t>
            </w:r>
          </w:p>
        </w:tc>
        <w:tc>
          <w:tcPr>
            <w:tcW w:w="1207"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2.34%</w:t>
            </w:r>
          </w:p>
        </w:tc>
      </w:tr>
      <w:tr>
        <w:trPr>
          <w:trHeight w:val="448"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1,743,666,433.93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1,284,361,772.77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26.34%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-1.40%</w:t>
            </w:r>
          </w:p>
        </w:tc>
        <w:tc>
          <w:tcPr>
            <w:tcW w:w="12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z w:val="18"/>
              </w:rPr>
              <w:t>2.78%</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600,160,489.22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367,854,722.94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-8.22%</w:t>
            </w:r>
          </w:p>
        </w:tc>
        <w:tc>
          <w:tcPr>
            <w:tcW w:w="12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9.46%</w:t>
            </w:r>
          </w:p>
        </w:tc>
      </w:tr>
      <w:tr>
        <w:trPr>
          <w:trHeight w:val="463"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415,351,892.14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247,255,654.68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40.47%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-17.32%</w:t>
            </w:r>
          </w:p>
        </w:tc>
        <w:tc>
          <w:tcPr>
            <w:tcW w:w="12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4.18%</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3,694,832,126.46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3,298,325,705.28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-1.28%</w:t>
            </w:r>
          </w:p>
        </w:tc>
        <w:tc>
          <w:tcPr>
            <w:tcW w:w="12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z w:val="18"/>
              </w:rPr>
              <w:t>-1.09%</w:t>
            </w:r>
          </w:p>
        </w:tc>
      </w:tr>
      <w:tr>
        <w:trPr>
          <w:trHeight w:val="464"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73" w:hRule="exact"/>
        </w:trPr>
        <w:tc>
          <w:tcPr>
            <w:tcW w:w="19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6,616,369,567.73</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5,262,788,133.48</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20.46%</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2.04%</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-1.15%</w:t>
            </w:r>
          </w:p>
        </w:tc>
        <w:tc>
          <w:tcPr>
            <w:tcW w:w="12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2.57%</w:t>
            </w:r>
          </w:p>
        </w:tc>
      </w:tr>
    </w:tbl>
    <w:p>
      <w:pPr>
        <w:spacing w:line="240" w:lineRule="auto" w:before="4"/>
        <w:rPr>
          <w:rFonts w:ascii="宋体" w:hAnsi="宋体" w:cs="宋体" w:eastAsia="宋体" w:hint="default"/>
          <w:sz w:val="5"/>
          <w:szCs w:val="5"/>
        </w:rPr>
      </w:pPr>
    </w:p>
    <w:p>
      <w:pPr>
        <w:pStyle w:val="BodyText"/>
        <w:spacing w:line="386" w:lineRule="auto" w:before="35"/>
        <w:ind w:left="154" w:right="1114"/>
        <w:jc w:val="left"/>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年按报告期末口径调整后的主营业务 数据</w:t>
      </w:r>
    </w:p>
    <w:p>
      <w:pPr>
        <w:pStyle w:val="BodyText"/>
        <w:spacing w:line="240" w:lineRule="auto" w:before="10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40" w:lineRule="auto"/>
        <w:ind w:left="573" w:right="1135"/>
        <w:jc w:val="left"/>
      </w:pPr>
      <w:r>
        <w:rPr>
          <w:rFonts w:ascii="Times New Roman" w:hAnsi="Times New Roman" w:cs="Times New Roman" w:eastAsia="Times New Roman" w:hint="default"/>
        </w:rPr>
        <w:t>1</w:t>
      </w:r>
      <w:r>
        <w:rPr/>
        <w:t>、公司与国家信息中心签署的《合作协议》履行情况</w:t>
      </w:r>
    </w:p>
    <w:p>
      <w:pPr>
        <w:spacing w:line="240" w:lineRule="auto" w:before="6"/>
        <w:rPr>
          <w:rFonts w:ascii="宋体" w:hAnsi="宋体" w:cs="宋体" w:eastAsia="宋体" w:hint="default"/>
          <w:sz w:val="16"/>
          <w:szCs w:val="16"/>
        </w:rPr>
      </w:pPr>
    </w:p>
    <w:p>
      <w:pPr>
        <w:pStyle w:val="BodyText"/>
        <w:spacing w:line="398" w:lineRule="auto"/>
        <w:ind w:left="154" w:right="0" w:firstLine="420"/>
        <w:jc w:val="left"/>
      </w:pPr>
      <w:r>
        <w:rPr/>
        <w:t>公司与国家信息中心于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4"/>
        </w:rPr>
        <w:t> </w:t>
      </w:r>
      <w:r>
        <w:rPr>
          <w:spacing w:val="-5"/>
        </w:rPr>
        <w:t>日签署了《合作协议》。根据本次签署的战略合作，双方将在</w:t>
      </w:r>
      <w:r>
        <w:rPr/>
        <w:t> </w:t>
      </w:r>
      <w:r>
        <w:rPr>
          <w:spacing w:val="-1"/>
        </w:rPr>
        <w:t>政务外网互联网接入的安全监测与保障、工程实践与示范推广、重大课题研究和申报、可持续性服务运营</w:t>
      </w:r>
      <w:r>
        <w:rPr>
          <w:spacing w:val="-83"/>
        </w:rPr>
        <w:t> </w:t>
      </w:r>
      <w:r>
        <w:rPr>
          <w:spacing w:val="-83"/>
        </w:rPr>
      </w:r>
      <w:r>
        <w:rPr/>
        <w:t>模式创新等领域开展长期的、全方位的合作与交流。</w:t>
      </w:r>
    </w:p>
    <w:p>
      <w:pPr>
        <w:pStyle w:val="BodyText"/>
        <w:spacing w:line="408" w:lineRule="auto" w:before="93"/>
        <w:ind w:left="154" w:right="0" w:firstLine="420"/>
        <w:jc w:val="left"/>
      </w:pPr>
      <w:r>
        <w:rPr>
          <w:spacing w:val="-1"/>
        </w:rPr>
        <w:t>截至报告期末，该合作顺利推进，公司已为国家信息中心提供了政务外网互联网接入区网间安全监测</w:t>
      </w:r>
      <w:r>
        <w:rPr/>
        <w:t> </w:t>
      </w:r>
      <w:r>
        <w:rPr>
          <w:spacing w:val="-1"/>
        </w:rPr>
        <w:t>服务。该服务可实现网络通信数据的还原、内容监测审计、日志审计，以及针对网络恶意、可疑行为的监</w:t>
      </w:r>
    </w:p>
    <w:p>
      <w:pPr>
        <w:spacing w:after="0" w:line="408"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0"/>
        <w:jc w:val="left"/>
      </w:pPr>
      <w:r>
        <w:rPr/>
        <w:t>测分析和预警服务。公司根据服务调研，已开始组建安全运营中心，整合多方面的技术力量及资源，后续 可为党政军及重要企事业单位提供安全相关的咨询、检测、风险排查、系统加固、实时监测、应急处置、</w:t>
      </w:r>
      <w:r>
        <w:rPr>
          <w:spacing w:val="-35"/>
        </w:rPr>
        <w:t> </w:t>
      </w:r>
      <w:r>
        <w:rPr>
          <w:spacing w:val="-35"/>
        </w:rPr>
      </w:r>
      <w:r>
        <w:rPr/>
        <w:t>安全培训等全面的</w:t>
      </w:r>
      <w:r>
        <w:rPr>
          <w:rFonts w:ascii="Times New Roman" w:hAnsi="Times New Roman" w:cs="Times New Roman" w:eastAsia="Times New Roman" w:hint="default"/>
        </w:rPr>
        <w:t>“</w:t>
      </w:r>
      <w:r>
        <w:rPr/>
        <w:t>安全即服务</w:t>
      </w:r>
      <w:r>
        <w:rPr>
          <w:rFonts w:ascii="Times New Roman" w:hAnsi="Times New Roman" w:cs="Times New Roman" w:eastAsia="Times New Roman" w:hint="default"/>
        </w:rPr>
        <w:t>”</w:t>
      </w:r>
      <w:r>
        <w:rPr/>
        <w:t>。本着推进我国信息化建设和电子政务健康发展的宗旨，双方定期开展电 子政务领域相关研究、前沿技术及建设实践等交流。</w:t>
      </w:r>
    </w:p>
    <w:p>
      <w:pPr>
        <w:pStyle w:val="BodyText"/>
        <w:spacing w:line="420" w:lineRule="auto" w:before="92"/>
        <w:ind w:left="573" w:right="118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量子保密通信</w:t>
      </w:r>
      <w:r>
        <w:rPr>
          <w:rFonts w:ascii="Times New Roman" w:hAnsi="Times New Roman" w:cs="Times New Roman" w:eastAsia="Times New Roman" w:hint="default"/>
        </w:rPr>
        <w:t>‘</w:t>
      </w:r>
      <w:r>
        <w:rPr/>
        <w:t>京沪干线</w:t>
      </w:r>
      <w:r>
        <w:rPr>
          <w:rFonts w:ascii="Times New Roman" w:hAnsi="Times New Roman" w:cs="Times New Roman" w:eastAsia="Times New Roman" w:hint="default"/>
        </w:rPr>
        <w:t>’</w:t>
      </w:r>
      <w:r>
        <w:rPr/>
        <w:t>技术验证及应用示范项目</w:t>
      </w:r>
      <w:r>
        <w:rPr>
          <w:rFonts w:ascii="Times New Roman" w:hAnsi="Times New Roman" w:cs="Times New Roman" w:eastAsia="Times New Roman" w:hint="default"/>
        </w:rPr>
        <w:t>”</w:t>
      </w:r>
      <w:r>
        <w:rPr/>
        <w:t>履行情况 </w:t>
      </w:r>
      <w:r>
        <w:rPr>
          <w:rFonts w:ascii="Times New Roman" w:hAnsi="Times New Roman" w:cs="Times New Roman" w:eastAsia="Times New Roman" w:hint="default"/>
        </w:rPr>
        <w:t>“</w:t>
      </w:r>
      <w:r>
        <w:rPr/>
        <w:t>量子保密通信</w:t>
      </w:r>
      <w:r>
        <w:rPr>
          <w:rFonts w:ascii="Times New Roman" w:hAnsi="Times New Roman" w:cs="Times New Roman" w:eastAsia="Times New Roman" w:hint="default"/>
        </w:rPr>
        <w:t>‘</w:t>
      </w:r>
      <w:r>
        <w:rPr/>
        <w:t>京沪干线</w:t>
      </w:r>
      <w:r>
        <w:rPr>
          <w:rFonts w:ascii="Times New Roman" w:hAnsi="Times New Roman" w:cs="Times New Roman" w:eastAsia="Times New Roman" w:hint="default"/>
        </w:rPr>
        <w:t>’</w:t>
      </w:r>
      <w:r>
        <w:rPr/>
        <w:t>技术验证及应用示范项目</w:t>
      </w:r>
      <w:r>
        <w:rPr>
          <w:rFonts w:ascii="Times New Roman" w:hAnsi="Times New Roman" w:cs="Times New Roman" w:eastAsia="Times New Roman" w:hint="default"/>
        </w:rPr>
        <w:t>”</w:t>
      </w:r>
      <w:r>
        <w:rPr/>
        <w:t>建设分为量子设备定型、室内联试阶段以及工程</w:t>
      </w:r>
    </w:p>
    <w:p>
      <w:pPr>
        <w:pStyle w:val="BodyText"/>
        <w:spacing w:line="391" w:lineRule="auto" w:before="3"/>
        <w:ind w:right="1130"/>
        <w:jc w:val="both"/>
      </w:pPr>
      <w:r>
        <w:rPr>
          <w:spacing w:val="-3"/>
        </w:rPr>
        <w:t>建设和应用示范阶段等三个阶段。公司于</w:t>
      </w:r>
      <w:r>
        <w:rPr>
          <w:spacing w:val="-52"/>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12 </w:t>
      </w:r>
      <w:r>
        <w:rPr/>
        <w:t>月中标</w:t>
      </w:r>
      <w:r>
        <w:rPr>
          <w:rFonts w:ascii="Times New Roman" w:hAnsi="Times New Roman" w:cs="Times New Roman" w:eastAsia="Times New Roman" w:hint="default"/>
        </w:rPr>
        <w:t>“</w:t>
      </w:r>
      <w:r>
        <w:rPr/>
        <w:t>量子保密通信</w:t>
      </w:r>
      <w:r>
        <w:rPr>
          <w:rFonts w:ascii="Times New Roman" w:hAnsi="Times New Roman" w:cs="Times New Roman" w:eastAsia="Times New Roman" w:hint="default"/>
        </w:rPr>
        <w:t>‘</w:t>
      </w:r>
      <w:r>
        <w:rPr/>
        <w:t>京沪干线</w:t>
      </w:r>
      <w:r>
        <w:rPr>
          <w:rFonts w:ascii="Times New Roman" w:hAnsi="Times New Roman" w:cs="Times New Roman" w:eastAsia="Times New Roman" w:hint="default"/>
        </w:rPr>
        <w:t>’</w:t>
      </w:r>
      <w:r>
        <w:rPr/>
        <w:t>技术验证及应用示范 </w:t>
      </w:r>
      <w:r>
        <w:rPr>
          <w:spacing w:val="-6"/>
        </w:rPr>
        <w:t>项目室内联调系统</w:t>
      </w:r>
      <w:r>
        <w:rPr>
          <w:rFonts w:ascii="Times New Roman" w:hAnsi="Times New Roman" w:cs="Times New Roman" w:eastAsia="Times New Roman" w:hint="default"/>
          <w:spacing w:val="-6"/>
        </w:rPr>
        <w:t>”</w:t>
      </w:r>
      <w:r>
        <w:rPr>
          <w:spacing w:val="-6"/>
        </w:rPr>
        <w:t>，为第二阶段项目，期内已竣工并完成验收。</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4"/>
        </w:rPr>
        <w:t>月，公司中标</w:t>
      </w:r>
      <w:r>
        <w:rPr>
          <w:rFonts w:ascii="Times New Roman" w:hAnsi="Times New Roman" w:cs="Times New Roman" w:eastAsia="Times New Roman" w:hint="default"/>
          <w:spacing w:val="-4"/>
        </w:rPr>
        <w:t>“</w:t>
      </w:r>
      <w:r>
        <w:rPr>
          <w:spacing w:val="-4"/>
        </w:rPr>
        <w:t>量子保密通信</w:t>
      </w:r>
      <w:r>
        <w:rPr>
          <w:rFonts w:ascii="Times New Roman" w:hAnsi="Times New Roman" w:cs="Times New Roman" w:eastAsia="Times New Roman" w:hint="default"/>
          <w:spacing w:val="-4"/>
        </w:rPr>
        <w:t>‘</w:t>
      </w:r>
      <w:r>
        <w:rPr>
          <w:spacing w:val="-4"/>
        </w:rPr>
        <w:t>京</w:t>
      </w:r>
      <w:r>
        <w:rPr>
          <w:spacing w:val="-103"/>
        </w:rPr>
        <w:t> </w:t>
      </w:r>
      <w:r>
        <w:rPr/>
        <w:t>沪干线</w:t>
      </w:r>
      <w:r>
        <w:rPr>
          <w:rFonts w:ascii="Times New Roman" w:hAnsi="Times New Roman" w:cs="Times New Roman" w:eastAsia="Times New Roman" w:hint="default"/>
        </w:rPr>
        <w:t>’</w:t>
      </w:r>
      <w:r>
        <w:rPr/>
        <w:t>技术验证及应用示范项目主干网络量子系统建设集成</w:t>
      </w:r>
      <w:r>
        <w:rPr>
          <w:rFonts w:ascii="Times New Roman" w:hAnsi="Times New Roman" w:cs="Times New Roman" w:eastAsia="Times New Roman" w:hint="default"/>
        </w:rPr>
        <w:t>”</w:t>
      </w:r>
      <w:r>
        <w:rPr/>
        <w:t>项目，为第三阶段项目。第三阶段项目的整 </w:t>
      </w:r>
      <w:r>
        <w:rPr>
          <w:spacing w:val="-1"/>
        </w:rPr>
        <w:t>体目标是完成包含接入节点和中继节点的主干网络量子系统节点的建设，公司负责平台系统及量子密钥分</w:t>
      </w:r>
      <w:r>
        <w:rPr>
          <w:spacing w:val="-81"/>
        </w:rPr>
        <w:t> </w:t>
      </w:r>
      <w:r>
        <w:rPr>
          <w:spacing w:val="-81"/>
        </w:rPr>
      </w:r>
      <w:r>
        <w:rPr/>
        <w:t>发扩容系统的建设。</w:t>
      </w:r>
    </w:p>
    <w:p>
      <w:pPr>
        <w:pStyle w:val="BodyText"/>
        <w:spacing w:line="405" w:lineRule="auto" w:before="99"/>
        <w:ind w:right="0" w:firstLine="420"/>
        <w:jc w:val="left"/>
      </w:pPr>
      <w:r>
        <w:rPr/>
        <w:t>报告期内，公司主要完成了第二阶段项目基于干线节点搭建的室内模拟系统，各链路衰减完全模拟实 际线路，实现了室内最简的运行系统。并基于多节点量子密钥中继技术和常规安全通信协议的加密技术，</w:t>
      </w:r>
      <w:r>
        <w:rPr>
          <w:spacing w:val="-38"/>
        </w:rPr>
        <w:t> </w:t>
      </w:r>
      <w:r>
        <w:rPr>
          <w:spacing w:val="-38"/>
        </w:rPr>
      </w:r>
      <w:r>
        <w:rPr/>
        <w:t>完成了室内验证。验证了大规模量子网络的管理和控制技术，结合量子密钥分发的大吞吐量的数据加密技</w:t>
      </w:r>
      <w:r>
        <w:rPr/>
        <w:t> 术，以及加密数据的传输效率检验。</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日，第二阶段项目通过了专家组的验收评审会，专家 组听取了公司的竣工报告，审阅了验收材料，并进行了现场检查，一致同意通过验收，试验效果良好，为 后续量子通信技术的更大规模应用提供了可借鉴的经验。目前，公司正在开展第三阶段项目的建设工作，</w:t>
      </w:r>
      <w:r>
        <w:rPr>
          <w:spacing w:val="-38"/>
        </w:rPr>
        <w:t> </w:t>
      </w:r>
      <w:r>
        <w:rPr>
          <w:spacing w:val="-38"/>
        </w:rPr>
      </w:r>
      <w:r>
        <w:rPr/>
        <w:t>项目进展情况良好，正在有序推进。</w:t>
      </w:r>
    </w:p>
    <w:p>
      <w:pPr>
        <w:spacing w:line="240" w:lineRule="auto" w:before="7"/>
        <w:rPr>
          <w:rFonts w:ascii="宋体" w:hAnsi="宋体" w:cs="宋体" w:eastAsia="宋体" w:hint="default"/>
          <w:sz w:val="20"/>
          <w:szCs w:val="20"/>
        </w:rPr>
      </w:pPr>
    </w:p>
    <w:p>
      <w:pPr>
        <w:pStyle w:val="Heading6"/>
        <w:spacing w:line="240" w:lineRule="auto"/>
        <w:ind w:left="153" w:right="113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1226" w:top="1060" w:bottom="1420" w:left="980" w:right="0"/>
        </w:sectPr>
      </w:pPr>
    </w:p>
    <w:p>
      <w:pPr>
        <w:pStyle w:val="BodyText"/>
        <w:spacing w:line="240" w:lineRule="auto" w:before="35"/>
        <w:ind w:right="-19"/>
        <w:jc w:val="left"/>
      </w:pPr>
      <w:r>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0"/>
          <w:cols w:num="2" w:equalWidth="0">
            <w:col w:w="1625" w:space="7295"/>
            <w:col w:w="2010"/>
          </w:cols>
        </w:sectPr>
      </w:pP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86"/>
        <w:gridCol w:w="751"/>
        <w:gridCol w:w="1517"/>
        <w:gridCol w:w="1417"/>
        <w:gridCol w:w="1419"/>
        <w:gridCol w:w="1417"/>
        <w:gridCol w:w="1065"/>
      </w:tblGrid>
      <w:tr>
        <w:trPr>
          <w:trHeight w:val="263" w:hRule="exact"/>
        </w:trPr>
        <w:tc>
          <w:tcPr>
            <w:tcW w:w="198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751" w:type="dxa"/>
            <w:tcBorders>
              <w:top w:val="single" w:sz="12" w:space="0" w:color="000000"/>
              <w:left w:val="single" w:sz="4" w:space="0" w:color="000000"/>
              <w:bottom w:val="nil" w:sz="6" w:space="0" w:color="auto"/>
              <w:right w:val="single" w:sz="4" w:space="0" w:color="000000"/>
            </w:tcBorders>
            <w:shd w:val="clear" w:color="auto" w:fill="D2D2D2"/>
          </w:tcPr>
          <w:p>
            <w:pPr/>
          </w:p>
        </w:tc>
        <w:tc>
          <w:tcPr>
            <w:tcW w:w="2934"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5"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5" w:hRule="exact"/>
        </w:trPr>
        <w:tc>
          <w:tcPr>
            <w:tcW w:w="198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34"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1065"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6" w:hRule="exact"/>
        </w:trPr>
        <w:tc>
          <w:tcPr>
            <w:tcW w:w="1986" w:type="dxa"/>
            <w:vMerge/>
            <w:tcBorders>
              <w:left w:val="single" w:sz="12"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5" w:type="dxa"/>
            <w:vMerge/>
            <w:tcBorders>
              <w:left w:val="single" w:sz="4" w:space="0" w:color="000000"/>
              <w:bottom w:val="nil" w:sz="6" w:space="0" w:color="auto"/>
              <w:right w:val="single" w:sz="12" w:space="0" w:color="000000"/>
            </w:tcBorders>
            <w:shd w:val="clear" w:color="auto" w:fill="D2D2D2"/>
          </w:tcPr>
          <w:p>
            <w:pPr/>
          </w:p>
        </w:tc>
      </w:tr>
      <w:tr>
        <w:trPr>
          <w:trHeight w:val="253" w:hRule="exact"/>
        </w:trPr>
        <w:tc>
          <w:tcPr>
            <w:tcW w:w="1986" w:type="dxa"/>
            <w:tcBorders>
              <w:top w:val="nil" w:sz="6" w:space="0" w:color="auto"/>
              <w:left w:val="single" w:sz="12"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065"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89" w:hRule="exact"/>
        </w:trPr>
        <w:tc>
          <w:tcPr>
            <w:tcW w:w="19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751" w:type="dxa"/>
            <w:tcBorders>
              <w:top w:val="single" w:sz="4" w:space="0" w:color="000000"/>
              <w:left w:val="single" w:sz="4" w:space="0" w:color="000000"/>
              <w:bottom w:val="single" w:sz="12" w:space="0" w:color="000000"/>
              <w:right w:val="single" w:sz="4" w:space="0" w:color="000000"/>
            </w:tcBorders>
          </w:tcPr>
          <w:p>
            <w:pPr/>
          </w:p>
        </w:tc>
        <w:tc>
          <w:tcPr>
            <w:tcW w:w="1517"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left="224" w:right="0"/>
              <w:jc w:val="left"/>
              <w:rPr>
                <w:rFonts w:ascii="Times New Roman" w:hAnsi="Times New Roman" w:cs="Times New Roman" w:eastAsia="Times New Roman" w:hint="default"/>
                <w:sz w:val="18"/>
                <w:szCs w:val="18"/>
              </w:rPr>
            </w:pPr>
            <w:r>
              <w:rPr>
                <w:rFonts w:ascii="Times New Roman"/>
                <w:sz w:val="18"/>
              </w:rPr>
              <w:t>5,326,163,296.70</w:t>
            </w:r>
          </w:p>
        </w:tc>
        <w:tc>
          <w:tcPr>
            <w:tcW w:w="1417"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left="739" w:right="0"/>
              <w:jc w:val="left"/>
              <w:rPr>
                <w:rFonts w:ascii="Times New Roman" w:hAnsi="Times New Roman" w:cs="Times New Roman" w:eastAsia="Times New Roman" w:hint="default"/>
                <w:sz w:val="18"/>
                <w:szCs w:val="18"/>
              </w:rPr>
            </w:pPr>
            <w:r>
              <w:rPr>
                <w:rFonts w:ascii="Times New Roman"/>
                <w:sz w:val="18"/>
              </w:rPr>
              <w:t>100.00%</w:t>
            </w:r>
          </w:p>
        </w:tc>
        <w:tc>
          <w:tcPr>
            <w:tcW w:w="1419"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left="124" w:right="0"/>
              <w:jc w:val="left"/>
              <w:rPr>
                <w:rFonts w:ascii="Times New Roman" w:hAnsi="Times New Roman" w:cs="Times New Roman" w:eastAsia="Times New Roman" w:hint="default"/>
                <w:sz w:val="18"/>
                <w:szCs w:val="18"/>
              </w:rPr>
            </w:pPr>
            <w:r>
              <w:rPr>
                <w:rFonts w:ascii="Times New Roman"/>
                <w:sz w:val="18"/>
              </w:rPr>
              <w:t>5,357,409,536.95</w:t>
            </w:r>
          </w:p>
        </w:tc>
        <w:tc>
          <w:tcPr>
            <w:tcW w:w="1417"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122"/>
              <w:ind w:left="739" w:right="0"/>
              <w:jc w:val="left"/>
              <w:rPr>
                <w:rFonts w:ascii="Times New Roman" w:hAnsi="Times New Roman" w:cs="Times New Roman" w:eastAsia="Times New Roman" w:hint="default"/>
                <w:sz w:val="18"/>
                <w:szCs w:val="18"/>
              </w:rPr>
            </w:pPr>
            <w:r>
              <w:rPr>
                <w:rFonts w:ascii="Times New Roman"/>
                <w:sz w:val="18"/>
              </w:rPr>
              <w:t>100.00%</w:t>
            </w:r>
          </w:p>
        </w:tc>
        <w:tc>
          <w:tcPr>
            <w:tcW w:w="10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8"/>
              <w:ind w:left="508" w:right="0"/>
              <w:jc w:val="left"/>
              <w:rPr>
                <w:rFonts w:ascii="Times New Roman" w:hAnsi="Times New Roman" w:cs="Times New Roman" w:eastAsia="Times New Roman" w:hint="default"/>
                <w:sz w:val="18"/>
                <w:szCs w:val="18"/>
              </w:rPr>
            </w:pPr>
            <w:r>
              <w:rPr>
                <w:rFonts w:ascii="Times New Roman"/>
                <w:sz w:val="18"/>
              </w:rPr>
              <w:t>-0.58%</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86"/>
        <w:gridCol w:w="751"/>
        <w:gridCol w:w="1367"/>
        <w:gridCol w:w="1367"/>
        <w:gridCol w:w="1368"/>
        <w:gridCol w:w="1367"/>
        <w:gridCol w:w="1366"/>
      </w:tblGrid>
      <w:tr>
        <w:trPr>
          <w:trHeight w:val="262" w:hRule="exact"/>
        </w:trPr>
        <w:tc>
          <w:tcPr>
            <w:tcW w:w="198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751" w:type="dxa"/>
            <w:tcBorders>
              <w:top w:val="single" w:sz="12"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6"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5" w:hRule="exact"/>
        </w:trPr>
        <w:tc>
          <w:tcPr>
            <w:tcW w:w="198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8" w:hRule="exact"/>
        </w:trPr>
        <w:tc>
          <w:tcPr>
            <w:tcW w:w="1986" w:type="dxa"/>
            <w:vMerge/>
            <w:tcBorders>
              <w:left w:val="single" w:sz="12"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vMerge/>
            <w:tcBorders>
              <w:left w:val="single" w:sz="4" w:space="0" w:color="000000"/>
              <w:bottom w:val="nil" w:sz="6" w:space="0" w:color="auto"/>
              <w:right w:val="single" w:sz="12" w:space="0" w:color="000000"/>
            </w:tcBorders>
            <w:shd w:val="clear" w:color="auto" w:fill="D2D2D2"/>
          </w:tcPr>
          <w:p>
            <w:pPr/>
          </w:p>
        </w:tc>
      </w:tr>
      <w:tr>
        <w:trPr>
          <w:trHeight w:val="252" w:hRule="exact"/>
        </w:trPr>
        <w:tc>
          <w:tcPr>
            <w:tcW w:w="1986" w:type="dxa"/>
            <w:tcBorders>
              <w:top w:val="nil" w:sz="6" w:space="0" w:color="auto"/>
              <w:left w:val="single" w:sz="12"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80"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1,284,361,772.77</w:t>
            </w:r>
          </w:p>
        </w:tc>
        <w:tc>
          <w:tcPr>
            <w:tcW w:w="136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6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1,302,569,052.74</w:t>
            </w:r>
          </w:p>
        </w:tc>
        <w:tc>
          <w:tcPr>
            <w:tcW w:w="136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24.31%</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8"/>
              <w:ind w:right="9"/>
              <w:jc w:val="right"/>
              <w:rPr>
                <w:rFonts w:ascii="Times New Roman" w:hAnsi="Times New Roman" w:cs="Times New Roman" w:eastAsia="Times New Roman" w:hint="default"/>
                <w:sz w:val="18"/>
                <w:szCs w:val="18"/>
              </w:rPr>
            </w:pPr>
            <w:r>
              <w:rPr>
                <w:rFonts w:ascii="Times New Roman"/>
                <w:sz w:val="18"/>
              </w:rPr>
              <w:t>-1.40%</w:t>
            </w:r>
          </w:p>
        </w:tc>
      </w:tr>
      <w:tr>
        <w:trPr>
          <w:trHeight w:val="473" w:hRule="exact"/>
        </w:trPr>
        <w:tc>
          <w:tcPr>
            <w:tcW w:w="19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751"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128,365,099.15</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2.41%</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13,816,553.37</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0.26%</w:t>
            </w:r>
          </w:p>
        </w:tc>
        <w:tc>
          <w:tcPr>
            <w:tcW w:w="13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829.07%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986"/>
        <w:gridCol w:w="751"/>
        <w:gridCol w:w="1367"/>
        <w:gridCol w:w="1367"/>
        <w:gridCol w:w="1368"/>
        <w:gridCol w:w="1367"/>
        <w:gridCol w:w="1366"/>
      </w:tblGrid>
      <w:tr>
        <w:trPr>
          <w:trHeight w:val="473" w:hRule="exact"/>
        </w:trPr>
        <w:tc>
          <w:tcPr>
            <w:tcW w:w="19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751" w:type="dxa"/>
            <w:tcBorders>
              <w:top w:val="single" w:sz="12" w:space="0" w:color="000000"/>
              <w:left w:val="single" w:sz="4" w:space="0" w:color="000000"/>
              <w:bottom w:val="single" w:sz="4" w:space="0" w:color="000000"/>
              <w:right w:val="single" w:sz="4" w:space="0" w:color="000000"/>
            </w:tcBorders>
          </w:tcPr>
          <w:p>
            <w:pP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367,854,722.94</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6.91%</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400,805,717.26</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7.48%</w:t>
            </w:r>
          </w:p>
        </w:tc>
        <w:tc>
          <w:tcPr>
            <w:tcW w:w="136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-8.22%</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247,255,654.68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299,051,163.74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5.58%</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-17.32%</w:t>
            </w:r>
          </w:p>
        </w:tc>
      </w:tr>
      <w:tr>
        <w:trPr>
          <w:trHeight w:val="465" w:hRule="exact"/>
        </w:trPr>
        <w:tc>
          <w:tcPr>
            <w:tcW w:w="19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3,298,325,705.28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3,341,167,049.84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62.37%</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-1.28%</w:t>
            </w:r>
          </w:p>
        </w:tc>
      </w:tr>
      <w:tr>
        <w:trPr>
          <w:trHeight w:val="473" w:hRule="exact"/>
        </w:trPr>
        <w:tc>
          <w:tcPr>
            <w:tcW w:w="19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751"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341.88</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7"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11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本公司合并财务报表范围包括神州数码系统集成服务有限公司、神州数码信息系统有限公司等</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家子公</w:t>
      </w:r>
    </w:p>
    <w:p>
      <w:pPr>
        <w:pStyle w:val="BodyText"/>
        <w:spacing w:line="410" w:lineRule="auto" w:before="3"/>
        <w:ind w:right="0"/>
        <w:jc w:val="left"/>
      </w:pPr>
      <w:r>
        <w:rPr/>
        <w:t>司。与上年相比，本年合并范围因新设增加湖南中农信达信息科技有限公司、贵州中农信达信息技术有限 公司和神州数码融信云技术服务有限公司共计三家子公司，因注销减少神州数码（西安）软件有限公司。</w:t>
      </w:r>
    </w:p>
    <w:p>
      <w:pPr>
        <w:spacing w:line="240" w:lineRule="auto" w:before="3"/>
        <w:rPr>
          <w:rFonts w:ascii="宋体" w:hAnsi="宋体" w:cs="宋体" w:eastAsia="宋体" w:hint="default"/>
          <w:sz w:val="20"/>
          <w:szCs w:val="20"/>
        </w:rPr>
      </w:pPr>
    </w:p>
    <w:p>
      <w:pPr>
        <w:pStyle w:val="Heading6"/>
        <w:spacing w:line="240" w:lineRule="auto"/>
        <w:ind w:right="1135"/>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spacing w:line="571" w:lineRule="auto" w:before="0"/>
        <w:ind w:left="154" w:right="7274" w:firstLine="0"/>
        <w:jc w:val="left"/>
        <w:rPr>
          <w:rFonts w:ascii="宋体" w:hAnsi="宋体" w:cs="宋体" w:eastAsia="宋体" w:hint="default"/>
          <w:sz w:val="21"/>
          <w:szCs w:val="21"/>
        </w:rPr>
      </w:pPr>
      <w:r>
        <w:rPr/>
        <w:pict>
          <v:shape style="position:absolute;margin-left:55.919998pt;margin-top:56.80368pt;width:480.7pt;height:48.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9"/>
                    <w:gridCol w:w="5310"/>
                  </w:tblGrid>
                  <w:tr>
                    <w:trPr>
                      <w:trHeight w:val="475" w:hRule="exact"/>
                    </w:trPr>
                    <w:tc>
                      <w:tcPr>
                        <w:tcW w:w="425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612,281,319.76</w:t>
                        </w:r>
                      </w:p>
                    </w:tc>
                  </w:tr>
                  <w:tr>
                    <w:trPr>
                      <w:trHeight w:val="473" w:hRule="exact"/>
                    </w:trPr>
                    <w:tc>
                      <w:tcPr>
                        <w:tcW w:w="42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9.12%</w:t>
                        </w:r>
                      </w:p>
                    </w:tc>
                  </w:tr>
                </w:tbl>
                <w:p>
                  <w:pPr/>
                </w:p>
              </w:txbxContent>
            </v:textbox>
            <w10:wrap type="none"/>
          </v:shape>
        </w:pict>
      </w: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54" w:right="1135"/>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803"/>
        <w:gridCol w:w="2922"/>
        <w:gridCol w:w="2922"/>
        <w:gridCol w:w="2922"/>
      </w:tblGrid>
      <w:tr>
        <w:trPr>
          <w:trHeight w:val="458" w:hRule="exact"/>
        </w:trPr>
        <w:tc>
          <w:tcPr>
            <w:tcW w:w="80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序号</w:t>
            </w:r>
          </w:p>
        </w:tc>
        <w:tc>
          <w:tcPr>
            <w:tcW w:w="29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9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9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64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80" w:hRule="exact"/>
        </w:trPr>
        <w:tc>
          <w:tcPr>
            <w:tcW w:w="8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38"/>
              <w:ind w:right="9"/>
              <w:jc w:val="center"/>
              <w:rPr>
                <w:rFonts w:ascii="Times New Roman" w:hAnsi="Times New Roman" w:cs="Times New Roman" w:eastAsia="Times New Roman" w:hint="default"/>
                <w:sz w:val="18"/>
                <w:szCs w:val="18"/>
              </w:rPr>
            </w:pPr>
            <w:r>
              <w:rPr>
                <w:rFonts w:ascii="Times New Roman"/>
                <w:sz w:val="18"/>
              </w:rPr>
              <w:t>1</w:t>
            </w:r>
          </w:p>
        </w:tc>
        <w:tc>
          <w:tcPr>
            <w:tcW w:w="292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92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183,557,678.88</w:t>
            </w:r>
          </w:p>
        </w:tc>
        <w:tc>
          <w:tcPr>
            <w:tcW w:w="2922"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2.73%</w:t>
            </w:r>
          </w:p>
        </w:tc>
      </w:tr>
      <w:tr>
        <w:trPr>
          <w:trHeight w:val="464" w:hRule="exact"/>
        </w:trPr>
        <w:tc>
          <w:tcPr>
            <w:tcW w:w="8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9"/>
              <w:jc w:val="center"/>
              <w:rPr>
                <w:rFonts w:ascii="Times New Roman" w:hAnsi="Times New Roman" w:cs="Times New Roman" w:eastAsia="Times New Roman" w:hint="default"/>
                <w:sz w:val="18"/>
                <w:szCs w:val="18"/>
              </w:rPr>
            </w:pPr>
            <w:r>
              <w:rPr>
                <w:rFonts w:ascii="Times New Roman"/>
                <w:sz w:val="18"/>
              </w:rPr>
              <w:t>2</w:t>
            </w:r>
          </w:p>
        </w:tc>
        <w:tc>
          <w:tcPr>
            <w:tcW w:w="29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161,064,427.97</w:t>
            </w:r>
          </w:p>
        </w:tc>
        <w:tc>
          <w:tcPr>
            <w:tcW w:w="2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2.40%</w:t>
            </w:r>
          </w:p>
        </w:tc>
      </w:tr>
      <w:tr>
        <w:trPr>
          <w:trHeight w:val="463" w:hRule="exact"/>
        </w:trPr>
        <w:tc>
          <w:tcPr>
            <w:tcW w:w="8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9"/>
              <w:jc w:val="center"/>
              <w:rPr>
                <w:rFonts w:ascii="Times New Roman" w:hAnsi="Times New Roman" w:cs="Times New Roman" w:eastAsia="Times New Roman" w:hint="default"/>
                <w:sz w:val="18"/>
                <w:szCs w:val="18"/>
              </w:rPr>
            </w:pPr>
            <w:r>
              <w:rPr>
                <w:rFonts w:ascii="Times New Roman"/>
                <w:sz w:val="18"/>
              </w:rPr>
              <w:t>3</w:t>
            </w:r>
          </w:p>
        </w:tc>
        <w:tc>
          <w:tcPr>
            <w:tcW w:w="29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93,332,117.20</w:t>
            </w:r>
          </w:p>
        </w:tc>
        <w:tc>
          <w:tcPr>
            <w:tcW w:w="2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1.39%</w:t>
            </w:r>
          </w:p>
        </w:tc>
      </w:tr>
      <w:tr>
        <w:trPr>
          <w:trHeight w:val="464" w:hRule="exact"/>
        </w:trPr>
        <w:tc>
          <w:tcPr>
            <w:tcW w:w="8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9"/>
              <w:jc w:val="center"/>
              <w:rPr>
                <w:rFonts w:ascii="Times New Roman" w:hAnsi="Times New Roman" w:cs="Times New Roman" w:eastAsia="Times New Roman" w:hint="default"/>
                <w:sz w:val="18"/>
                <w:szCs w:val="18"/>
              </w:rPr>
            </w:pPr>
            <w:r>
              <w:rPr>
                <w:rFonts w:ascii="Times New Roman"/>
                <w:sz w:val="18"/>
              </w:rPr>
              <w:t>4</w:t>
            </w:r>
          </w:p>
        </w:tc>
        <w:tc>
          <w:tcPr>
            <w:tcW w:w="29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92,620,638.71</w:t>
            </w:r>
          </w:p>
        </w:tc>
        <w:tc>
          <w:tcPr>
            <w:tcW w:w="2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1.38%</w:t>
            </w:r>
          </w:p>
        </w:tc>
      </w:tr>
      <w:tr>
        <w:trPr>
          <w:trHeight w:val="464" w:hRule="exact"/>
        </w:trPr>
        <w:tc>
          <w:tcPr>
            <w:tcW w:w="8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9"/>
              <w:jc w:val="center"/>
              <w:rPr>
                <w:rFonts w:ascii="Times New Roman" w:hAnsi="Times New Roman" w:cs="Times New Roman" w:eastAsia="Times New Roman" w:hint="default"/>
                <w:sz w:val="18"/>
                <w:szCs w:val="18"/>
              </w:rPr>
            </w:pPr>
            <w:r>
              <w:rPr>
                <w:rFonts w:ascii="Times New Roman"/>
                <w:sz w:val="18"/>
              </w:rPr>
              <w:t>5</w:t>
            </w:r>
          </w:p>
        </w:tc>
        <w:tc>
          <w:tcPr>
            <w:tcW w:w="2922" w:type="dxa"/>
            <w:tcBorders>
              <w:top w:val="single" w:sz="4" w:space="0" w:color="000000"/>
              <w:left w:val="single" w:sz="13" w:space="0" w:color="D2D2D2"/>
              <w:bottom w:val="single" w:sz="12" w:space="0" w:color="D2D2D2"/>
              <w:right w:val="single" w:sz="4" w:space="0" w:color="000000"/>
            </w:tcBorders>
          </w:tcPr>
          <w:p>
            <w:pPr>
              <w:pStyle w:val="TableParagraph"/>
              <w:spacing w:line="240" w:lineRule="auto" w:before="82"/>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81,706,457.00</w:t>
            </w:r>
          </w:p>
        </w:tc>
        <w:tc>
          <w:tcPr>
            <w:tcW w:w="29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1.22%</w:t>
            </w:r>
          </w:p>
        </w:tc>
      </w:tr>
      <w:tr>
        <w:trPr>
          <w:trHeight w:val="473" w:hRule="exact"/>
        </w:trPr>
        <w:tc>
          <w:tcPr>
            <w:tcW w:w="8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w:t>
            </w:r>
          </w:p>
        </w:tc>
        <w:tc>
          <w:tcPr>
            <w:tcW w:w="2922"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612,281,319.76</w:t>
            </w:r>
          </w:p>
        </w:tc>
        <w:tc>
          <w:tcPr>
            <w:tcW w:w="29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9.12%</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主要客户其他情况说明</w:t>
      </w:r>
    </w:p>
    <w:p>
      <w:pPr>
        <w:spacing w:line="240" w:lineRule="auto" w:before="12"/>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1135"/>
        <w:jc w:val="left"/>
      </w:pPr>
      <w:r>
        <w:rPr/>
        <w:t>公司主要供应商情况</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259"/>
        <w:gridCol w:w="5310"/>
      </w:tblGrid>
      <w:tr>
        <w:trPr>
          <w:trHeight w:val="475" w:hRule="exact"/>
        </w:trPr>
        <w:tc>
          <w:tcPr>
            <w:tcW w:w="425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1,336,625,726.81</w:t>
            </w:r>
          </w:p>
        </w:tc>
      </w:tr>
      <w:tr>
        <w:trPr>
          <w:trHeight w:val="474" w:hRule="exact"/>
        </w:trPr>
        <w:tc>
          <w:tcPr>
            <w:tcW w:w="42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23.37%</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936"/>
        <w:gridCol w:w="2878"/>
        <w:gridCol w:w="2878"/>
        <w:gridCol w:w="2877"/>
      </w:tblGrid>
      <w:tr>
        <w:trPr>
          <w:trHeight w:val="458" w:hRule="exact"/>
        </w:trPr>
        <w:tc>
          <w:tcPr>
            <w:tcW w:w="9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序号</w:t>
            </w:r>
          </w:p>
        </w:tc>
        <w:tc>
          <w:tcPr>
            <w:tcW w:w="28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89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7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62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80"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38"/>
              <w:ind w:right="10"/>
              <w:jc w:val="center"/>
              <w:rPr>
                <w:rFonts w:ascii="Times New Roman" w:hAnsi="Times New Roman" w:cs="Times New Roman" w:eastAsia="Times New Roman" w:hint="default"/>
                <w:sz w:val="18"/>
                <w:szCs w:val="18"/>
              </w:rPr>
            </w:pPr>
            <w:r>
              <w:rPr>
                <w:rFonts w:ascii="Times New Roman"/>
                <w:sz w:val="18"/>
              </w:rPr>
              <w:t>1</w:t>
            </w:r>
          </w:p>
        </w:tc>
        <w:tc>
          <w:tcPr>
            <w:tcW w:w="287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87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519,609,817.45</w:t>
            </w:r>
          </w:p>
        </w:tc>
        <w:tc>
          <w:tcPr>
            <w:tcW w:w="2877"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9.08%</w:t>
            </w:r>
          </w:p>
        </w:tc>
      </w:tr>
      <w:tr>
        <w:trPr>
          <w:trHeight w:val="464"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10"/>
              <w:jc w:val="center"/>
              <w:rPr>
                <w:rFonts w:ascii="Times New Roman" w:hAnsi="Times New Roman" w:cs="Times New Roman" w:eastAsia="Times New Roman" w:hint="default"/>
                <w:sz w:val="18"/>
                <w:szCs w:val="18"/>
              </w:rPr>
            </w:pPr>
            <w:r>
              <w:rPr>
                <w:rFonts w:ascii="Times New Roman"/>
                <w:sz w:val="18"/>
              </w:rPr>
              <w:t>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224,756,036.13</w:t>
            </w:r>
          </w:p>
        </w:tc>
        <w:tc>
          <w:tcPr>
            <w:tcW w:w="28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3.93%</w:t>
            </w:r>
          </w:p>
        </w:tc>
      </w:tr>
      <w:tr>
        <w:trPr>
          <w:trHeight w:val="463"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10"/>
              <w:jc w:val="center"/>
              <w:rPr>
                <w:rFonts w:ascii="Times New Roman" w:hAnsi="Times New Roman" w:cs="Times New Roman" w:eastAsia="Times New Roman" w:hint="default"/>
                <w:sz w:val="18"/>
                <w:szCs w:val="18"/>
              </w:rPr>
            </w:pPr>
            <w:r>
              <w:rPr>
                <w:rFonts w:ascii="Times New Roman"/>
                <w:sz w:val="18"/>
              </w:rPr>
              <w:t>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213,976,405.63</w:t>
            </w:r>
          </w:p>
        </w:tc>
        <w:tc>
          <w:tcPr>
            <w:tcW w:w="28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3.74%</w:t>
            </w:r>
          </w:p>
        </w:tc>
      </w:tr>
      <w:tr>
        <w:trPr>
          <w:trHeight w:val="464"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10"/>
              <w:jc w:val="center"/>
              <w:rPr>
                <w:rFonts w:ascii="Times New Roman" w:hAnsi="Times New Roman" w:cs="Times New Roman" w:eastAsia="Times New Roman" w:hint="default"/>
                <w:sz w:val="18"/>
                <w:szCs w:val="18"/>
              </w:rPr>
            </w:pPr>
            <w:r>
              <w:rPr>
                <w:rFonts w:ascii="Times New Roman"/>
                <w:sz w:val="18"/>
              </w:rPr>
              <w:t>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205,690,423.99</w:t>
            </w:r>
          </w:p>
        </w:tc>
        <w:tc>
          <w:tcPr>
            <w:tcW w:w="28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3.60%</w:t>
            </w:r>
          </w:p>
        </w:tc>
      </w:tr>
      <w:tr>
        <w:trPr>
          <w:trHeight w:val="464" w:hRule="exact"/>
        </w:trPr>
        <w:tc>
          <w:tcPr>
            <w:tcW w:w="9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2"/>
              <w:ind w:right="10"/>
              <w:jc w:val="center"/>
              <w:rPr>
                <w:rFonts w:ascii="Times New Roman" w:hAnsi="Times New Roman" w:cs="Times New Roman" w:eastAsia="Times New Roman" w:hint="default"/>
                <w:sz w:val="18"/>
                <w:szCs w:val="18"/>
              </w:rPr>
            </w:pPr>
            <w:r>
              <w:rPr>
                <w:rFonts w:ascii="Times New Roman"/>
                <w:sz w:val="18"/>
              </w:rPr>
              <w:t>5</w:t>
            </w:r>
          </w:p>
        </w:tc>
        <w:tc>
          <w:tcPr>
            <w:tcW w:w="287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172,593,043.61</w:t>
            </w:r>
          </w:p>
        </w:tc>
        <w:tc>
          <w:tcPr>
            <w:tcW w:w="28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3.02%</w:t>
            </w:r>
          </w:p>
        </w:tc>
      </w:tr>
      <w:tr>
        <w:trPr>
          <w:trHeight w:val="473" w:hRule="exact"/>
        </w:trPr>
        <w:tc>
          <w:tcPr>
            <w:tcW w:w="93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287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1,336,625,726.81</w:t>
            </w:r>
          </w:p>
        </w:tc>
        <w:tc>
          <w:tcPr>
            <w:tcW w:w="28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23.37%</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主要供应商其他情况说明</w:t>
      </w:r>
    </w:p>
    <w:p>
      <w:pPr>
        <w:spacing w:line="240" w:lineRule="auto" w:before="12"/>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995"/>
        <w:gridCol w:w="1416"/>
        <w:gridCol w:w="1418"/>
        <w:gridCol w:w="1418"/>
        <w:gridCol w:w="4322"/>
      </w:tblGrid>
      <w:tr>
        <w:trPr>
          <w:trHeight w:val="428" w:hRule="exact"/>
        </w:trPr>
        <w:tc>
          <w:tcPr>
            <w:tcW w:w="995"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6"/>
              <w:ind w:left="10"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63" w:hRule="exact"/>
        </w:trPr>
        <w:tc>
          <w:tcPr>
            <w:tcW w:w="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442,341,950.97</w:t>
            </w:r>
          </w:p>
        </w:tc>
        <w:tc>
          <w:tcPr>
            <w:tcW w:w="141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420,076,869.46</w:t>
            </w:r>
          </w:p>
        </w:tc>
        <w:tc>
          <w:tcPr>
            <w:tcW w:w="141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5.30%</w:t>
            </w:r>
          </w:p>
        </w:tc>
        <w:tc>
          <w:tcPr>
            <w:tcW w:w="4322" w:type="dxa"/>
            <w:tcBorders>
              <w:top w:val="single" w:sz="16" w:space="0" w:color="D2D2D2"/>
              <w:left w:val="single" w:sz="4" w:space="0" w:color="000000"/>
              <w:bottom w:val="single" w:sz="4" w:space="0" w:color="000000"/>
              <w:right w:val="single" w:sz="12" w:space="0" w:color="000000"/>
            </w:tcBorders>
          </w:tcPr>
          <w:p>
            <w:pPr/>
          </w:p>
        </w:tc>
      </w:tr>
      <w:tr>
        <w:trPr>
          <w:trHeight w:val="464" w:hRule="exact"/>
        </w:trPr>
        <w:tc>
          <w:tcPr>
            <w:tcW w:w="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right="1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510,833,097.00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462,027,735.48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10.56%</w:t>
            </w:r>
          </w:p>
        </w:tc>
        <w:tc>
          <w:tcPr>
            <w:tcW w:w="4322" w:type="dxa"/>
            <w:tcBorders>
              <w:top w:val="single" w:sz="4" w:space="0" w:color="000000"/>
              <w:left w:val="single" w:sz="4" w:space="0" w:color="000000"/>
              <w:bottom w:val="single" w:sz="4" w:space="0" w:color="000000"/>
              <w:right w:val="single" w:sz="12" w:space="0" w:color="000000"/>
            </w:tcBorders>
          </w:tcPr>
          <w:p>
            <w:pPr/>
          </w:p>
        </w:tc>
      </w:tr>
      <w:tr>
        <w:trPr>
          <w:trHeight w:val="724" w:hRule="exact"/>
        </w:trPr>
        <w:tc>
          <w:tcPr>
            <w:tcW w:w="9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43,564,246.63</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18,359,409.25</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137.29%</w:t>
            </w:r>
          </w:p>
        </w:tc>
        <w:tc>
          <w:tcPr>
            <w:tcW w:w="4322"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主要是因为外部金融市场汇率变动导致公司本年度汇 兑损失增加，致公司财务费用增加较多</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398" w:lineRule="auto"/>
        <w:ind w:right="1121" w:firstLine="420"/>
        <w:jc w:val="left"/>
      </w:pPr>
      <w:r>
        <w:rPr>
          <w:rFonts w:ascii="Times New Roman" w:hAnsi="Times New Roman" w:cs="Times New Roman" w:eastAsia="Times New Roman" w:hint="default"/>
        </w:rPr>
        <w:t>2015 </w:t>
      </w:r>
      <w:r>
        <w:rPr>
          <w:spacing w:val="-4"/>
          <w:w w:val="100"/>
        </w:rPr>
        <w:t>年，国家大力推进</w:t>
      </w:r>
      <w:r>
        <w:rPr>
          <w:rFonts w:ascii="Times New Roman" w:hAnsi="Times New Roman" w:cs="Times New Roman" w:eastAsia="Times New Roman" w:hint="default"/>
          <w:spacing w:val="-4"/>
          <w:w w:val="100"/>
        </w:rPr>
        <w:t>“</w:t>
      </w:r>
      <w:r>
        <w:rPr>
          <w:spacing w:val="-4"/>
          <w:w w:val="100"/>
        </w:rPr>
        <w:t>互联网</w:t>
      </w:r>
      <w:r>
        <w:rPr>
          <w:rFonts w:ascii="Times New Roman" w:hAnsi="Times New Roman" w:cs="Times New Roman" w:eastAsia="Times New Roman" w:hint="default"/>
          <w:spacing w:val="-4"/>
          <w:w w:val="100"/>
        </w:rPr>
        <w:t>+”</w:t>
      </w:r>
      <w:r>
        <w:rPr>
          <w:spacing w:val="-4"/>
          <w:w w:val="100"/>
        </w:rPr>
        <w:t>产业升级战略，公司作为我国软件及信息技术服务行业的领军企业，</w:t>
      </w:r>
      <w:r>
        <w:rPr/>
        <w:t> </w:t>
      </w:r>
      <w:r>
        <w:rPr>
          <w:spacing w:val="-1"/>
        </w:rPr>
        <w:t>把握行业进一步互联网化的发展机遇，助力传统产业升级，研发投入有所增加。报告期内，公司与研发有</w:t>
      </w:r>
      <w:r>
        <w:rPr>
          <w:spacing w:val="-86"/>
        </w:rPr>
        <w:t> </w:t>
      </w:r>
      <w:r>
        <w:rPr>
          <w:spacing w:val="-86"/>
        </w:rPr>
      </w:r>
      <w:r>
        <w:rPr/>
        <w:t>关的支出共计</w:t>
      </w:r>
      <w:r>
        <w:rPr>
          <w:spacing w:val="-53"/>
        </w:rPr>
        <w:t> </w:t>
      </w:r>
      <w:r>
        <w:rPr>
          <w:rFonts w:ascii="Times New Roman" w:hAnsi="Times New Roman" w:cs="Times New Roman" w:eastAsia="Times New Roman" w:hint="default"/>
        </w:rPr>
        <w:t>37,328.82</w:t>
      </w:r>
      <w:r>
        <w:rPr>
          <w:rFonts w:ascii="Times New Roman" w:hAnsi="Times New Roman" w:cs="Times New Roman" w:eastAsia="Times New Roman" w:hint="default"/>
          <w:spacing w:val="-2"/>
        </w:rPr>
        <w:t> </w:t>
      </w:r>
      <w:r>
        <w:rPr/>
        <w:t>万元，占公司营业总收入的</w:t>
      </w:r>
      <w:r>
        <w:rPr>
          <w:spacing w:val="-53"/>
        </w:rPr>
        <w:t> </w:t>
      </w:r>
      <w:r>
        <w:rPr>
          <w:rFonts w:ascii="Times New Roman" w:hAnsi="Times New Roman" w:cs="Times New Roman" w:eastAsia="Times New Roman" w:hint="default"/>
        </w:rPr>
        <w:t>5.56%</w:t>
      </w:r>
      <w:r>
        <w:rPr/>
        <w:t>。公司为完善研发费用的管理和效率考核机制</w:t>
      </w:r>
      <w:r>
        <w:rPr>
          <w:rFonts w:ascii="Times New Roman" w:hAnsi="Times New Roman" w:cs="Times New Roman" w:eastAsia="Times New Roman" w:hint="default"/>
        </w:rPr>
        <w:t>, </w:t>
      </w:r>
      <w:r>
        <w:rPr/>
        <w:t>启动了研发费用资本化工作，本年度对公司部分重要的战略性研发项目进行了资本化，资本化总额为 </w:t>
      </w:r>
      <w:r>
        <w:rPr>
          <w:rFonts w:ascii="Times New Roman" w:hAnsi="Times New Roman" w:cs="Times New Roman" w:eastAsia="Times New Roman" w:hint="default"/>
        </w:rPr>
        <w:t>2,117.67 </w:t>
      </w:r>
      <w:r>
        <w:rPr/>
        <w:t>万元，占研发总投入的</w:t>
      </w:r>
      <w:r>
        <w:rPr>
          <w:spacing w:val="-63"/>
        </w:rPr>
        <w:t> </w:t>
      </w:r>
      <w:r>
        <w:rPr>
          <w:rFonts w:ascii="Times New Roman" w:hAnsi="Times New Roman" w:cs="Times New Roman" w:eastAsia="Times New Roman" w:hint="default"/>
        </w:rPr>
        <w:t>5.67%</w:t>
      </w:r>
      <w:r>
        <w:rPr/>
        <w:t>。</w:t>
      </w:r>
    </w:p>
    <w:p>
      <w:pPr>
        <w:spacing w:after="0" w:line="398" w:lineRule="auto"/>
        <w:jc w:val="left"/>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pStyle w:val="BodyText"/>
        <w:spacing w:line="391" w:lineRule="auto" w:before="174"/>
        <w:ind w:right="1025"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年，公司深化产业互联网发展战略，围绕互联网、云计算、大数据模型的技术产品研发取得重大 </w:t>
      </w:r>
      <w:r>
        <w:rPr>
          <w:spacing w:val="-5"/>
          <w:w w:val="100"/>
        </w:rPr>
        <w:t>进展。成功发布了</w:t>
      </w:r>
      <w:r>
        <w:rPr>
          <w:rFonts w:ascii="Times New Roman" w:hAnsi="Times New Roman" w:cs="Times New Roman" w:eastAsia="Times New Roman" w:hint="default"/>
          <w:spacing w:val="-5"/>
          <w:w w:val="100"/>
        </w:rPr>
        <w:t>“</w:t>
      </w:r>
      <w:r>
        <w:rPr>
          <w:spacing w:val="-5"/>
          <w:w w:val="100"/>
        </w:rPr>
        <w:t>互联网</w:t>
      </w:r>
      <w:r>
        <w:rPr>
          <w:rFonts w:ascii="Times New Roman" w:hAnsi="Times New Roman" w:cs="Times New Roman" w:eastAsia="Times New Roman" w:hint="default"/>
          <w:spacing w:val="-5"/>
          <w:w w:val="100"/>
        </w:rPr>
        <w:t>+</w:t>
      </w:r>
      <w:r>
        <w:rPr>
          <w:spacing w:val="-5"/>
          <w:w w:val="100"/>
        </w:rPr>
        <w:t>全能银行</w:t>
      </w:r>
      <w:r>
        <w:rPr>
          <w:rFonts w:ascii="Times New Roman" w:hAnsi="Times New Roman" w:cs="Times New Roman" w:eastAsia="Times New Roman" w:hint="default"/>
          <w:spacing w:val="-5"/>
          <w:w w:val="100"/>
        </w:rPr>
        <w:t>”</w:t>
      </w:r>
      <w:r>
        <w:rPr>
          <w:spacing w:val="-5"/>
          <w:w w:val="100"/>
        </w:rPr>
        <w:t>新一代银行</w:t>
      </w:r>
      <w:r>
        <w:rPr>
          <w:spacing w:val="-62"/>
          <w:w w:val="100"/>
        </w:rPr>
        <w:t> </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9"/>
        </w:rPr>
        <w:t> </w:t>
      </w:r>
      <w:r>
        <w:rPr/>
        <w:t>应用架构</w:t>
      </w:r>
      <w:r>
        <w:rPr>
          <w:spacing w:val="-63"/>
        </w:rPr>
        <w:t> </w:t>
      </w:r>
      <w:hyperlink r:id="rId13">
        <w:r>
          <w:rPr>
            <w:rFonts w:ascii="Times New Roman" w:hAnsi="Times New Roman" w:cs="Times New Roman" w:eastAsia="Times New Roman" w:hint="default"/>
            <w:spacing w:val="-1"/>
            <w:w w:val="99"/>
          </w:rPr>
          <w:t>ModelB@nk4.0</w:t>
        </w:r>
      </w:hyperlink>
      <w:r>
        <w:rPr>
          <w:rFonts w:ascii="Times New Roman" w:hAnsi="Times New Roman" w:cs="Times New Roman" w:eastAsia="Times New Roman" w:hint="default"/>
          <w:spacing w:val="-9"/>
          <w:w w:val="99"/>
        </w:rPr>
        <w:t> </w:t>
      </w:r>
      <w:r>
        <w:rPr>
          <w:spacing w:val="-1"/>
        </w:rPr>
        <w:t>和互联网开放平台</w:t>
      </w:r>
      <w:r>
        <w:rPr>
          <w:spacing w:val="-62"/>
        </w:rPr>
        <w:t> </w:t>
      </w:r>
      <w:r>
        <w:rPr>
          <w:rFonts w:ascii="Times New Roman" w:hAnsi="Times New Roman" w:cs="Times New Roman" w:eastAsia="Times New Roman" w:hint="default"/>
          <w:spacing w:val="-1"/>
          <w:w w:val="99"/>
        </w:rPr>
        <w:t>Sm@rtOP</w:t>
      </w:r>
      <w:r>
        <w:rPr>
          <w:spacing w:val="-1"/>
          <w:w w:val="99"/>
        </w:rPr>
        <w:t>；</w:t>
      </w:r>
      <w:r>
        <w:rPr>
          <w:spacing w:val="-103"/>
          <w:w w:val="99"/>
        </w:rPr>
        <w:t> </w:t>
      </w:r>
      <w:r>
        <w:rPr/>
        <w:t>云计算</w:t>
      </w:r>
      <w:r>
        <w:rPr>
          <w:spacing w:val="-52"/>
        </w:rPr>
        <w:t> </w:t>
      </w:r>
      <w:r>
        <w:rPr>
          <w:rFonts w:ascii="Times New Roman" w:hAnsi="Times New Roman" w:cs="Times New Roman" w:eastAsia="Times New Roman" w:hint="default"/>
        </w:rPr>
        <w:t>PaaS</w:t>
      </w:r>
      <w:r>
        <w:rPr>
          <w:rFonts w:ascii="Times New Roman" w:hAnsi="Times New Roman" w:cs="Times New Roman" w:eastAsia="Times New Roman" w:hint="default"/>
          <w:spacing w:val="-1"/>
        </w:rPr>
        <w:t> </w:t>
      </w:r>
      <w:r>
        <w:rPr/>
        <w:t>平台实现了进一步的技术突破，推进纳税服务、政务电子公文等行业云平台应用创新，保持 了公司在我国云计算</w:t>
      </w:r>
      <w:r>
        <w:rPr>
          <w:spacing w:val="-53"/>
        </w:rPr>
        <w:t> </w:t>
      </w:r>
      <w:r>
        <w:rPr>
          <w:rFonts w:ascii="Times New Roman" w:hAnsi="Times New Roman" w:cs="Times New Roman" w:eastAsia="Times New Roman" w:hint="default"/>
        </w:rPr>
        <w:t>SaaS</w:t>
      </w:r>
      <w:r>
        <w:rPr>
          <w:rFonts w:ascii="Times New Roman" w:hAnsi="Times New Roman" w:cs="Times New Roman" w:eastAsia="Times New Roman" w:hint="default"/>
          <w:spacing w:val="-2"/>
        </w:rPr>
        <w:t> </w:t>
      </w:r>
      <w:r>
        <w:rPr/>
        <w:t>和</w:t>
      </w:r>
      <w:r>
        <w:rPr>
          <w:spacing w:val="-54"/>
        </w:rPr>
        <w:t> </w:t>
      </w:r>
      <w:r>
        <w:rPr>
          <w:rFonts w:ascii="Times New Roman" w:hAnsi="Times New Roman" w:cs="Times New Roman" w:eastAsia="Times New Roman" w:hint="default"/>
        </w:rPr>
        <w:t>PaaS</w:t>
      </w:r>
      <w:r>
        <w:rPr>
          <w:rFonts w:ascii="Times New Roman" w:hAnsi="Times New Roman" w:cs="Times New Roman" w:eastAsia="Times New Roman" w:hint="default"/>
          <w:spacing w:val="-1"/>
        </w:rPr>
        <w:t> </w:t>
      </w:r>
      <w:r>
        <w:rPr/>
        <w:t>领域的领先优势。在大数据模型方面，公司承建的</w:t>
      </w:r>
      <w:r>
        <w:rPr>
          <w:rFonts w:ascii="Times New Roman" w:hAnsi="Times New Roman" w:cs="Times New Roman" w:eastAsia="Times New Roman" w:hint="default"/>
        </w:rPr>
        <w:t>“</w:t>
      </w:r>
      <w:r>
        <w:rPr/>
        <w:t>金税三期</w:t>
      </w:r>
      <w:r>
        <w:rPr>
          <w:rFonts w:ascii="Times New Roman" w:hAnsi="Times New Roman" w:cs="Times New Roman" w:eastAsia="Times New Roman" w:hint="default"/>
        </w:rPr>
        <w:t>”</w:t>
      </w:r>
      <w:r>
        <w:rPr/>
        <w:t>管理决策 平台，集中全国纳税大数据，进行深度建模分析应用，支撑国家的财税改革。同时，公司的企业服务总线 产品</w:t>
      </w:r>
      <w:r>
        <w:rPr>
          <w:spacing w:val="-70"/>
        </w:rPr>
        <w:t> </w:t>
      </w:r>
      <w:r>
        <w:rPr>
          <w:rFonts w:ascii="Times New Roman" w:hAnsi="Times New Roman" w:cs="Times New Roman" w:eastAsia="Times New Roman" w:hint="default"/>
        </w:rPr>
        <w:t>Sm@rtESB</w:t>
      </w:r>
      <w:r>
        <w:rPr>
          <w:rFonts w:ascii="Times New Roman" w:hAnsi="Times New Roman" w:cs="Times New Roman" w:eastAsia="Times New Roman" w:hint="default"/>
          <w:spacing w:val="-16"/>
        </w:rPr>
        <w:t> </w:t>
      </w:r>
      <w:r>
        <w:rPr/>
        <w:t>也进一步研发完善，并在十多家银行和企业实现签约和应用，助力企业的流程再造、架构 开放和互联网业务创新。</w:t>
      </w:r>
    </w:p>
    <w:p>
      <w:pPr>
        <w:pStyle w:val="BodyText"/>
        <w:spacing w:line="240" w:lineRule="auto" w:before="100"/>
        <w:ind w:right="1135"/>
        <w:jc w:val="left"/>
      </w:pPr>
      <w:r>
        <w:rPr/>
        <w:t>公司研发投入情况</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837"/>
        <w:gridCol w:w="2244"/>
        <w:gridCol w:w="2244"/>
        <w:gridCol w:w="2243"/>
      </w:tblGrid>
      <w:tr>
        <w:trPr>
          <w:trHeight w:val="443" w:hRule="exact"/>
        </w:trPr>
        <w:tc>
          <w:tcPr>
            <w:tcW w:w="283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0"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80"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44"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3,393</w:t>
            </w:r>
          </w:p>
        </w:tc>
        <w:tc>
          <w:tcPr>
            <w:tcW w:w="224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2,632</w:t>
            </w:r>
          </w:p>
        </w:tc>
        <w:tc>
          <w:tcPr>
            <w:tcW w:w="2243"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28.91%</w:t>
            </w:r>
          </w:p>
        </w:tc>
      </w:tr>
      <w:tr>
        <w:trPr>
          <w:trHeight w:val="463"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65.57%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62.94%</w:t>
            </w:r>
          </w:p>
        </w:tc>
        <w:tc>
          <w:tcPr>
            <w:tcW w:w="22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2.63%</w:t>
            </w:r>
          </w:p>
        </w:tc>
      </w:tr>
      <w:tr>
        <w:trPr>
          <w:trHeight w:val="464"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373,288,226.59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305,129,914.18</w:t>
            </w:r>
          </w:p>
        </w:tc>
        <w:tc>
          <w:tcPr>
            <w:tcW w:w="22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22.34%</w:t>
            </w:r>
          </w:p>
        </w:tc>
      </w:tr>
      <w:tr>
        <w:trPr>
          <w:trHeight w:val="464"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5.56%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4.65%</w:t>
            </w:r>
          </w:p>
        </w:tc>
        <w:tc>
          <w:tcPr>
            <w:tcW w:w="22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0.91%</w:t>
            </w:r>
          </w:p>
        </w:tc>
      </w:tr>
      <w:tr>
        <w:trPr>
          <w:trHeight w:val="463" w:hRule="exact"/>
        </w:trPr>
        <w:tc>
          <w:tcPr>
            <w:tcW w:w="2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21,176,651.37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12,002,823.53</w:t>
            </w:r>
          </w:p>
        </w:tc>
        <w:tc>
          <w:tcPr>
            <w:tcW w:w="22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76.43%</w:t>
            </w:r>
          </w:p>
        </w:tc>
      </w:tr>
      <w:tr>
        <w:trPr>
          <w:trHeight w:val="475" w:hRule="exact"/>
        </w:trPr>
        <w:tc>
          <w:tcPr>
            <w:tcW w:w="28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5.67%</w:t>
            </w:r>
          </w:p>
        </w:tc>
        <w:tc>
          <w:tcPr>
            <w:tcW w:w="2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3.93%</w:t>
            </w:r>
          </w:p>
        </w:tc>
        <w:tc>
          <w:tcPr>
            <w:tcW w:w="22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1.74%</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研发投入总额占营业收入的比重较上年发生显著变化的原因</w:t>
      </w:r>
    </w:p>
    <w:p>
      <w:pPr>
        <w:spacing w:line="240" w:lineRule="auto" w:before="12"/>
        <w:rPr>
          <w:rFonts w:ascii="宋体" w:hAnsi="宋体" w:cs="宋体" w:eastAsia="宋体" w:hint="default"/>
          <w:sz w:val="17"/>
          <w:szCs w:val="17"/>
        </w:rPr>
      </w:pPr>
    </w:p>
    <w:p>
      <w:pPr>
        <w:pStyle w:val="BodyText"/>
        <w:spacing w:line="420" w:lineRule="auto"/>
        <w:ind w:right="6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研发投入资本化率大幅变动的原因及其合理性说明</w:t>
      </w:r>
    </w:p>
    <w:p>
      <w:pPr>
        <w:pStyle w:val="BodyText"/>
        <w:spacing w:line="240" w:lineRule="auto" w:before="75"/>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30"/>
          <w:szCs w:val="30"/>
        </w:rPr>
      </w:pPr>
    </w:p>
    <w:p>
      <w:pPr>
        <w:pStyle w:val="Heading6"/>
        <w:spacing w:line="240" w:lineRule="auto"/>
        <w:ind w:right="113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553"/>
        <w:gridCol w:w="2338"/>
        <w:gridCol w:w="2339"/>
        <w:gridCol w:w="2338"/>
      </w:tblGrid>
      <w:tr>
        <w:trPr>
          <w:trHeight w:val="442"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80"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8" w:type="dxa"/>
            <w:tcBorders>
              <w:top w:val="single" w:sz="12" w:space="0" w:color="D2D2D2"/>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7,672,464,003.41</w:t>
            </w:r>
          </w:p>
        </w:tc>
        <w:tc>
          <w:tcPr>
            <w:tcW w:w="233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8,339,148,427.35</w:t>
            </w:r>
          </w:p>
        </w:tc>
        <w:tc>
          <w:tcPr>
            <w:tcW w:w="2338"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27"/>
              <w:ind w:right="10"/>
              <w:jc w:val="right"/>
              <w:rPr>
                <w:rFonts w:ascii="Times New Roman" w:hAnsi="Times New Roman" w:cs="Times New Roman" w:eastAsia="Times New Roman" w:hint="default"/>
                <w:sz w:val="18"/>
                <w:szCs w:val="18"/>
              </w:rPr>
            </w:pPr>
            <w:r>
              <w:rPr>
                <w:rFonts w:ascii="Times New Roman"/>
                <w:sz w:val="18"/>
              </w:rPr>
              <w:t>-7.99%</w:t>
            </w: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7,594,077,364.63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7,836,014,884.70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-3.09%</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78,386,638.78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503,133,542.65</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z w:val="18"/>
              </w:rPr>
              <w:t>-84.42%</w:t>
            </w:r>
          </w:p>
        </w:tc>
      </w:tr>
      <w:tr>
        <w:trPr>
          <w:trHeight w:val="465"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1,464,442,590.20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2,696,864,569.89</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-45.70%</w:t>
            </w: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1,500,956,059.27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3,025,116,822.89</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-50.38%</w:t>
            </w:r>
          </w:p>
        </w:tc>
      </w:tr>
      <w:tr>
        <w:trPr>
          <w:trHeight w:val="475"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-36,513,469.07</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-328,252,253.00</w:t>
            </w:r>
          </w:p>
        </w:tc>
        <w:tc>
          <w:tcPr>
            <w:tcW w:w="23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88.88%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553"/>
        <w:gridCol w:w="2338"/>
        <w:gridCol w:w="2339"/>
        <w:gridCol w:w="2338"/>
      </w:tblGrid>
      <w:tr>
        <w:trPr>
          <w:trHeight w:val="473"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1,653,437,873.79</w:t>
            </w:r>
          </w:p>
        </w:tc>
        <w:tc>
          <w:tcPr>
            <w:tcW w:w="2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2,403,731,227.77</w:t>
            </w:r>
          </w:p>
        </w:tc>
        <w:tc>
          <w:tcPr>
            <w:tcW w:w="233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-31.21%</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1,518,056,333.59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2,415,163,275.67</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z w:val="18"/>
              </w:rPr>
              <w:t>-37.14%</w:t>
            </w:r>
          </w:p>
        </w:tc>
      </w:tr>
      <w:tr>
        <w:trPr>
          <w:trHeight w:val="465"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135,381,540.20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-11,432,047.90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1,284.23%</w:t>
            </w:r>
          </w:p>
        </w:tc>
      </w:tr>
      <w:tr>
        <w:trPr>
          <w:trHeight w:val="473"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179,142,585.93</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168,379,110.55</w:t>
            </w:r>
          </w:p>
        </w:tc>
        <w:tc>
          <w:tcPr>
            <w:tcW w:w="23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6.39%</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相关数据同比发生重大变动的主要影响因素说明</w:t>
      </w:r>
    </w:p>
    <w:p>
      <w:pPr>
        <w:spacing w:line="240" w:lineRule="auto" w:before="12"/>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386" w:lineRule="auto"/>
        <w:ind w:left="154" w:right="1018" w:firstLine="420"/>
        <w:jc w:val="left"/>
      </w:pPr>
      <w:r>
        <w:rPr>
          <w:spacing w:val="-5"/>
        </w:rPr>
        <w:t>（</w:t>
      </w:r>
      <w:r>
        <w:rPr>
          <w:rFonts w:ascii="Times New Roman" w:hAnsi="Times New Roman" w:cs="Times New Roman" w:eastAsia="Times New Roman" w:hint="default"/>
          <w:spacing w:val="-5"/>
        </w:rPr>
        <w:t>1</w:t>
      </w:r>
      <w:r>
        <w:rPr>
          <w:spacing w:val="-5"/>
        </w:rPr>
        <w:t>）经营活动产生的现金流量净额较上年同期减少</w:t>
      </w:r>
      <w:r>
        <w:rPr>
          <w:spacing w:val="-43"/>
        </w:rPr>
        <w:t> </w:t>
      </w:r>
      <w:r>
        <w:rPr>
          <w:rFonts w:ascii="Times New Roman" w:hAnsi="Times New Roman" w:cs="Times New Roman" w:eastAsia="Times New Roman" w:hint="default"/>
          <w:spacing w:val="-9"/>
        </w:rPr>
        <w:t>84.42%</w:t>
      </w:r>
      <w:r>
        <w:rPr>
          <w:spacing w:val="-9"/>
        </w:rPr>
        <w:t>，主要原因是</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spacing w:val="-1"/>
        </w:rPr>
        <w:t>年收回了很多超期欠款。</w:t>
      </w:r>
      <w:r>
        <w:rPr/>
        <w:t> 本报告期收款有所回落；</w:t>
      </w:r>
    </w:p>
    <w:p>
      <w:pPr>
        <w:pStyle w:val="BodyText"/>
        <w:spacing w:line="386" w:lineRule="auto" w:before="104"/>
        <w:ind w:left="154" w:right="1133" w:firstLine="420"/>
        <w:jc w:val="left"/>
      </w:pPr>
      <w:r>
        <w:rPr/>
        <w:t>（</w:t>
      </w:r>
      <w:r>
        <w:rPr>
          <w:rFonts w:ascii="Times New Roman" w:hAnsi="Times New Roman" w:cs="Times New Roman" w:eastAsia="Times New Roman" w:hint="default"/>
        </w:rPr>
        <w:t>2</w:t>
      </w:r>
      <w:r>
        <w:rPr/>
        <w:t>）投资活动产生的现金流量净额较上年同期增加</w:t>
      </w:r>
      <w:r>
        <w:rPr>
          <w:spacing w:val="-55"/>
        </w:rPr>
        <w:t> </w:t>
      </w:r>
      <w:r>
        <w:rPr>
          <w:rFonts w:ascii="Times New Roman" w:hAnsi="Times New Roman" w:cs="Times New Roman" w:eastAsia="Times New Roman" w:hint="default"/>
        </w:rPr>
        <w:t>88.88%</w:t>
      </w:r>
      <w:r>
        <w:rPr/>
        <w:t>，主要原因是上年投资的</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亿理财产品在 报告期内收回；</w:t>
      </w:r>
    </w:p>
    <w:p>
      <w:pPr>
        <w:pStyle w:val="BodyText"/>
        <w:spacing w:line="386" w:lineRule="auto" w:before="103"/>
        <w:ind w:left="154" w:right="1129" w:firstLine="420"/>
        <w:jc w:val="left"/>
      </w:pPr>
      <w:r>
        <w:rPr/>
        <w:t>（</w:t>
      </w:r>
      <w:r>
        <w:rPr>
          <w:rFonts w:ascii="Times New Roman" w:hAnsi="Times New Roman" w:cs="Times New Roman" w:eastAsia="Times New Roman" w:hint="default"/>
        </w:rPr>
        <w:t>3</w:t>
      </w:r>
      <w:r>
        <w:rPr/>
        <w:t>）筹资活动产生的现金流量净额较上年同期增加</w:t>
      </w:r>
      <w:r>
        <w:rPr>
          <w:spacing w:val="-55"/>
        </w:rPr>
        <w:t> </w:t>
      </w:r>
      <w:r>
        <w:rPr>
          <w:rFonts w:ascii="Times New Roman" w:hAnsi="Times New Roman" w:cs="Times New Roman" w:eastAsia="Times New Roman" w:hint="default"/>
        </w:rPr>
        <w:t>1284.23%</w:t>
      </w:r>
      <w:r>
        <w:rPr/>
        <w:t>，主要原因是公司战略需要，部分项目 的前期投入需要补充营运资金，因此提前筹备，增加了银行贷款规模。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154" w:right="1135"/>
        <w:jc w:val="left"/>
      </w:pPr>
      <w:r>
        <w:rPr/>
        <w:t>报告期内公司经营活动产生的现金净流量与本年度净利润存在重大差异的原因说明</w:t>
      </w:r>
    </w:p>
    <w:p>
      <w:pPr>
        <w:spacing w:line="240" w:lineRule="auto" w:before="11"/>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1135"/>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left="154" w:right="8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单位：元</w:t>
      </w:r>
    </w:p>
    <w:tbl>
      <w:tblPr>
        <w:tblW w:w="0" w:type="auto"/>
        <w:jc w:val="left"/>
        <w:tblInd w:w="138" w:type="dxa"/>
        <w:tblLayout w:type="fixed"/>
        <w:tblCellMar>
          <w:top w:w="0" w:type="dxa"/>
          <w:left w:w="0" w:type="dxa"/>
          <w:bottom w:w="0" w:type="dxa"/>
          <w:right w:w="0" w:type="dxa"/>
        </w:tblCellMar>
        <w:tblLook w:val="01E0"/>
      </w:tblPr>
      <w:tblGrid>
        <w:gridCol w:w="1277"/>
        <w:gridCol w:w="1418"/>
        <w:gridCol w:w="1418"/>
        <w:gridCol w:w="3827"/>
        <w:gridCol w:w="1629"/>
      </w:tblGrid>
      <w:tr>
        <w:trPr>
          <w:trHeight w:val="437" w:hRule="exact"/>
        </w:trPr>
        <w:tc>
          <w:tcPr>
            <w:tcW w:w="127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8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50" w:hRule="exact"/>
        </w:trPr>
        <w:tc>
          <w:tcPr>
            <w:tcW w:w="12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25,740,459.71</w:t>
            </w:r>
          </w:p>
        </w:tc>
        <w:tc>
          <w:tcPr>
            <w:tcW w:w="141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w:t>
            </w:r>
          </w:p>
        </w:tc>
        <w:tc>
          <w:tcPr>
            <w:tcW w:w="3827" w:type="dxa"/>
            <w:tcBorders>
              <w:top w:val="single" w:sz="12" w:space="0" w:color="D2D2D2"/>
              <w:left w:val="single" w:sz="4" w:space="0" w:color="000000"/>
              <w:bottom w:val="single" w:sz="4" w:space="0" w:color="000000"/>
              <w:right w:val="single" w:sz="4" w:space="0" w:color="000000"/>
            </w:tcBorders>
          </w:tcPr>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pacing w:val="-1"/>
                <w:sz w:val="18"/>
                <w:szCs w:val="18"/>
              </w:rPr>
              <w:t>长期股权投资收益、可供出售金融资产收益、理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财及衍生品收益</w:t>
            </w:r>
          </w:p>
        </w:tc>
        <w:tc>
          <w:tcPr>
            <w:tcW w:w="1629"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-25,048,628.08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-5.47%</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坏账损失、存货跌价损失</w:t>
            </w:r>
          </w:p>
        </w:tc>
        <w:tc>
          <w:tcPr>
            <w:tcW w:w="16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44,272,568.16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9.67%</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政府补助、非流动资产处置利得</w:t>
            </w:r>
          </w:p>
        </w:tc>
        <w:tc>
          <w:tcPr>
            <w:tcW w:w="16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27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7,798,456.34</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1.70%</w:t>
            </w:r>
          </w:p>
        </w:tc>
        <w:tc>
          <w:tcPr>
            <w:tcW w:w="38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6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226" w:top="1060" w:bottom="142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before="26"/>
        <w:ind w:right="1135"/>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9"/>
        <w:gridCol w:w="1326"/>
        <w:gridCol w:w="1276"/>
        <w:gridCol w:w="1417"/>
        <w:gridCol w:w="1277"/>
        <w:gridCol w:w="1134"/>
        <w:gridCol w:w="1771"/>
      </w:tblGrid>
      <w:tr>
        <w:trPr>
          <w:trHeight w:val="263" w:hRule="exact"/>
        </w:trPr>
        <w:tc>
          <w:tcPr>
            <w:tcW w:w="1369"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602"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12"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5" w:hRule="exact"/>
        </w:trPr>
        <w:tc>
          <w:tcPr>
            <w:tcW w:w="1369" w:type="dxa"/>
            <w:vMerge w:val="restart"/>
            <w:tcBorders>
              <w:top w:val="nil" w:sz="6" w:space="0" w:color="auto"/>
              <w:left w:val="single" w:sz="12" w:space="0" w:color="000000"/>
              <w:right w:val="single" w:sz="4" w:space="0" w:color="000000"/>
            </w:tcBorders>
            <w:shd w:val="clear" w:color="auto" w:fill="D2D2D2"/>
          </w:tcPr>
          <w:p>
            <w:pPr/>
          </w:p>
        </w:tc>
        <w:tc>
          <w:tcPr>
            <w:tcW w:w="2602"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71"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16" w:hRule="exact"/>
        </w:trPr>
        <w:tc>
          <w:tcPr>
            <w:tcW w:w="1369" w:type="dxa"/>
            <w:vMerge/>
            <w:tcBorders>
              <w:left w:val="single" w:sz="12"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771" w:type="dxa"/>
            <w:vMerge/>
            <w:tcBorders>
              <w:left w:val="single" w:sz="4" w:space="0" w:color="000000"/>
              <w:bottom w:val="nil" w:sz="6" w:space="0" w:color="auto"/>
              <w:right w:val="single" w:sz="12" w:space="0" w:color="000000"/>
            </w:tcBorders>
            <w:shd w:val="clear" w:color="auto" w:fill="D2D2D2"/>
          </w:tcPr>
          <w:p>
            <w:pPr/>
          </w:p>
        </w:tc>
      </w:tr>
      <w:tr>
        <w:trPr>
          <w:trHeight w:val="253" w:hRule="exact"/>
        </w:trPr>
        <w:tc>
          <w:tcPr>
            <w:tcW w:w="1369"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79"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3"/>
              <w:ind w:right="2"/>
              <w:jc w:val="center"/>
              <w:rPr>
                <w:rFonts w:ascii="Times New Roman" w:hAnsi="Times New Roman" w:cs="Times New Roman" w:eastAsia="Times New Roman" w:hint="default"/>
                <w:sz w:val="18"/>
                <w:szCs w:val="18"/>
              </w:rPr>
            </w:pPr>
            <w:r>
              <w:rPr>
                <w:rFonts w:ascii="Times New Roman"/>
                <w:sz w:val="18"/>
              </w:rPr>
              <w:t>1,895,818,945.81</w:t>
            </w:r>
          </w:p>
        </w:tc>
        <w:tc>
          <w:tcPr>
            <w:tcW w:w="127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25.72%</w:t>
            </w:r>
          </w:p>
        </w:tc>
        <w:tc>
          <w:tcPr>
            <w:tcW w:w="141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1,702,372,776.91</w:t>
            </w:r>
          </w:p>
        </w:tc>
        <w:tc>
          <w:tcPr>
            <w:tcW w:w="127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26.59%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-0.87%</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2,406,062,170.90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32.64%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2,239,454,591.82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-2.33%</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1,178,187,959.27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611,859,478.55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主要原因是大额项目 尚未完成验收</w:t>
            </w:r>
          </w:p>
        </w:tc>
      </w:tr>
      <w:tr>
        <w:trPr>
          <w:trHeight w:val="463"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4" w:right="0"/>
              <w:jc w:val="center"/>
              <w:rPr>
                <w:rFonts w:ascii="Times New Roman" w:hAnsi="Times New Roman" w:cs="Times New Roman" w:eastAsia="Times New Roman" w:hint="default"/>
                <w:sz w:val="18"/>
                <w:szCs w:val="18"/>
              </w:rPr>
            </w:pPr>
            <w:r>
              <w:rPr>
                <w:rFonts w:ascii="Times New Roman"/>
                <w:sz w:val="18"/>
              </w:rPr>
              <w:t>360,848,877.15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358,455,474.77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-0.70%</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44" w:right="0"/>
              <w:jc w:val="center"/>
              <w:rPr>
                <w:rFonts w:ascii="Times New Roman" w:hAnsi="Times New Roman" w:cs="Times New Roman" w:eastAsia="Times New Roman" w:hint="default"/>
                <w:sz w:val="18"/>
                <w:szCs w:val="18"/>
              </w:rPr>
            </w:pPr>
            <w:r>
              <w:rPr>
                <w:rFonts w:ascii="Times New Roman"/>
                <w:sz w:val="18"/>
              </w:rPr>
              <w:t>144,076,729.19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167,643,540.38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-0.67%</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255,404.17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 w:right="0"/>
              <w:jc w:val="center"/>
              <w:rPr>
                <w:rFonts w:ascii="Times New Roman" w:hAnsi="Times New Roman" w:cs="Times New Roman" w:eastAsia="Times New Roman" w:hint="default"/>
                <w:sz w:val="18"/>
                <w:szCs w:val="18"/>
              </w:rPr>
            </w:pPr>
            <w:r>
              <w:rPr>
                <w:rFonts w:ascii="Times New Roman"/>
                <w:sz w:val="18"/>
              </w:rPr>
              <w:t>1,006,474,344.74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13.65%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762,692,505.11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1.74%</w:t>
            </w: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1037"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771"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主要原因是长期借款 转入一年内到期的非 流动负债所致</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1135"/>
        <w:jc w:val="left"/>
        <w:rPr>
          <w:b w:val="0"/>
          <w:bCs w:val="0"/>
        </w:rPr>
      </w:pPr>
      <w:bookmarkStart w:name="五、投资状况" w:id="44"/>
      <w:bookmarkEnd w:id="44"/>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73"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6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1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75" w:hRule="exact"/>
        </w:trPr>
        <w:tc>
          <w:tcPr>
            <w:tcW w:w="31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3"/>
              <w:ind w:left="2022" w:right="0"/>
              <w:jc w:val="left"/>
              <w:rPr>
                <w:rFonts w:ascii="Times New Roman" w:hAnsi="Times New Roman" w:cs="Times New Roman" w:eastAsia="Times New Roman" w:hint="default"/>
                <w:sz w:val="18"/>
                <w:szCs w:val="18"/>
              </w:rPr>
            </w:pPr>
            <w:r>
              <w:rPr>
                <w:rFonts w:ascii="Times New Roman"/>
                <w:sz w:val="18"/>
              </w:rPr>
              <w:t>360,848,877.15</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2033" w:right="0"/>
              <w:jc w:val="left"/>
              <w:rPr>
                <w:rFonts w:ascii="Times New Roman" w:hAnsi="Times New Roman" w:cs="Times New Roman" w:eastAsia="Times New Roman" w:hint="default"/>
                <w:sz w:val="18"/>
                <w:szCs w:val="18"/>
              </w:rPr>
            </w:pPr>
            <w:r>
              <w:rPr>
                <w:rFonts w:ascii="Times New Roman"/>
                <w:sz w:val="18"/>
              </w:rPr>
              <w:t>358,455,474.77</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0.67%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226" w:top="1060" w:bottom="1420" w:left="980" w:right="0"/>
        </w:sectPr>
      </w:pPr>
    </w:p>
    <w:p>
      <w:pPr>
        <w:spacing w:line="240" w:lineRule="auto" w:before="13"/>
        <w:rPr>
          <w:rFonts w:ascii="宋体" w:hAnsi="宋体" w:cs="宋体" w:eastAsia="宋体" w:hint="default"/>
          <w:sz w:val="23"/>
          <w:szCs w:val="23"/>
        </w:rPr>
      </w:pPr>
    </w:p>
    <w:p>
      <w:pPr>
        <w:pStyle w:val="Heading6"/>
        <w:spacing w:line="240" w:lineRule="auto"/>
        <w:ind w:left="160" w:right="0"/>
        <w:jc w:val="left"/>
        <w:rPr>
          <w:b w:val="0"/>
          <w:bCs w:val="0"/>
        </w:rPr>
      </w:pPr>
      <w:r>
        <w:rPr/>
        <w:pict>
          <v:group style="position:absolute;margin-left:70.5pt;margin-top:-.39635pt;width:701pt;height:.1pt;mso-position-horizontal-relative:page;mso-position-vertical-relative:paragraph;z-index:1144" coordorigin="1410,-8" coordsize="14020,2">
            <v:shape style="position:absolute;left:1410;top:-8;width:14020;height:2" coordorigin="1410,-8" coordsize="14020,0" path="m1410,-8l15430,-8e" filled="false" stroked="true" strokeweight=".72pt" strokecolor="#000000">
              <v:path arrowok="t"/>
            </v:shape>
            <w10:wrap type="none"/>
          </v:group>
        </w:pict>
      </w:r>
      <w:bookmarkStart w:name="2、报告期内获取的重大的股权投资情况" w:id="46"/>
      <w:bookmarkEnd w:id="46"/>
      <w:r>
        <w:rPr>
          <w:b w:val="0"/>
          <w:bCs w:val="0"/>
        </w:rPr>
      </w: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7"/>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2"/>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14"/>
          <w:footerReference w:type="default" r:id="rId15"/>
          <w:pgSz w:w="16840" w:h="11910" w:orient="landscape"/>
          <w:pgMar w:header="0" w:footer="0" w:top="800" w:bottom="0" w:left="1280" w:right="0"/>
          <w:cols w:num="2" w:equalWidth="0">
            <w:col w:w="3847" w:space="5868"/>
            <w:col w:w="5845"/>
          </w:cols>
        </w:sectPr>
      </w:pPr>
    </w:p>
    <w:p>
      <w:pPr>
        <w:spacing w:line="240" w:lineRule="auto" w:before="2"/>
        <w:rPr>
          <w:rFonts w:ascii="宋体" w:hAnsi="宋体" w:cs="宋体" w:eastAsia="宋体" w:hint="default"/>
          <w:b/>
          <w:bCs/>
          <w:sz w:val="9"/>
          <w:szCs w:val="9"/>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0" w:right="1357" w:firstLine="0"/>
        <w:jc w:val="right"/>
        <w:rPr>
          <w:rFonts w:ascii="宋体" w:hAnsi="宋体" w:cs="宋体" w:eastAsia="宋体" w:hint="default"/>
          <w:sz w:val="18"/>
          <w:szCs w:val="18"/>
        </w:rPr>
      </w:pPr>
      <w:r>
        <w:rPr/>
        <w:pict>
          <v:shape style="position:absolute;margin-left:69.839996pt;margin-top:-166.888275pt;width:703pt;height:226.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6"/>
                    <w:gridCol w:w="808"/>
                    <w:gridCol w:w="541"/>
                    <w:gridCol w:w="1452"/>
                    <w:gridCol w:w="812"/>
                    <w:gridCol w:w="810"/>
                    <w:gridCol w:w="810"/>
                    <w:gridCol w:w="514"/>
                    <w:gridCol w:w="566"/>
                    <w:gridCol w:w="1357"/>
                    <w:gridCol w:w="810"/>
                    <w:gridCol w:w="810"/>
                    <w:gridCol w:w="814"/>
                    <w:gridCol w:w="886"/>
                    <w:gridCol w:w="2220"/>
                  </w:tblGrid>
                  <w:tr>
                    <w:trPr>
                      <w:trHeight w:val="723" w:hRule="exact"/>
                    </w:trPr>
                    <w:tc>
                      <w:tcPr>
                        <w:tcW w:w="80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17" w:right="36"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8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4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4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8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8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7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3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41" w:hanging="90"/>
                          <w:jc w:val="left"/>
                          <w:rPr>
                            <w:rFonts w:ascii="宋体" w:hAnsi="宋体" w:cs="宋体" w:eastAsia="宋体" w:hint="default"/>
                            <w:sz w:val="18"/>
                            <w:szCs w:val="18"/>
                          </w:rPr>
                        </w:pPr>
                        <w:r>
                          <w:rPr>
                            <w:rFonts w:ascii="宋体" w:hAnsi="宋体" w:cs="宋体" w:eastAsia="宋体" w:hint="default"/>
                            <w:sz w:val="18"/>
                            <w:szCs w:val="18"/>
                          </w:rPr>
                          <w:t>截至资产负债表 日的进展情况</w:t>
                        </w:r>
                      </w:p>
                    </w:tc>
                    <w:tc>
                      <w:tcPr>
                        <w:tcW w:w="8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7"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8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是否涉诉</w:t>
                        </w:r>
                      </w:p>
                    </w:tc>
                    <w:tc>
                      <w:tcPr>
                        <w:tcW w:w="8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2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80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3" w:right="50"/>
                          <w:jc w:val="both"/>
                          <w:rPr>
                            <w:rFonts w:ascii="宋体" w:hAnsi="宋体" w:cs="宋体" w:eastAsia="宋体" w:hint="default"/>
                            <w:sz w:val="18"/>
                            <w:szCs w:val="18"/>
                          </w:rPr>
                        </w:pPr>
                        <w:r>
                          <w:rPr>
                            <w:rFonts w:ascii="宋体" w:hAnsi="宋体" w:cs="宋体" w:eastAsia="宋体" w:hint="default"/>
                            <w:sz w:val="18"/>
                            <w:szCs w:val="18"/>
                          </w:rPr>
                          <w:t>北京中智 创展管理 咨询有限 公司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52"/>
                          <w:jc w:val="left"/>
                          <w:rPr>
                            <w:rFonts w:ascii="宋体" w:hAnsi="宋体" w:cs="宋体" w:eastAsia="宋体" w:hint="default"/>
                            <w:sz w:val="18"/>
                            <w:szCs w:val="18"/>
                          </w:rPr>
                        </w:pPr>
                        <w:r>
                          <w:rPr>
                            <w:rFonts w:ascii="宋体" w:hAnsi="宋体" w:cs="宋体" w:eastAsia="宋体" w:hint="default"/>
                            <w:sz w:val="18"/>
                            <w:szCs w:val="18"/>
                          </w:rPr>
                          <w:t>企业管理 咨询</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195,900,000.00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1"/>
                          <w:jc w:val="both"/>
                          <w:rPr>
                            <w:rFonts w:ascii="宋体" w:hAnsi="宋体" w:cs="宋体" w:eastAsia="宋体" w:hint="default"/>
                            <w:sz w:val="18"/>
                            <w:szCs w:val="18"/>
                          </w:rPr>
                        </w:pPr>
                        <w:r>
                          <w:rPr>
                            <w:rFonts w:ascii="宋体" w:hAnsi="宋体" w:cs="宋体" w:eastAsia="宋体" w:hint="default"/>
                            <w:sz w:val="18"/>
                            <w:szCs w:val="18"/>
                          </w:rPr>
                          <w:t>股权转让已完成 过户，截至报告 报出日，尚未满 足协议约定的交 割条件，因此尚 未取得控制权。</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80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50"/>
                          <w:jc w:val="both"/>
                          <w:rPr>
                            <w:rFonts w:ascii="宋体" w:hAnsi="宋体" w:cs="宋体" w:eastAsia="宋体" w:hint="default"/>
                            <w:sz w:val="18"/>
                            <w:szCs w:val="18"/>
                          </w:rPr>
                        </w:pPr>
                        <w:r>
                          <w:rPr>
                            <w:rFonts w:ascii="宋体" w:hAnsi="宋体" w:cs="宋体" w:eastAsia="宋体" w:hint="default"/>
                            <w:sz w:val="18"/>
                            <w:szCs w:val="18"/>
                          </w:rPr>
                          <w:t>北京旗硕 基业科技 股份有限 公司</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2"/>
                          <w:jc w:val="left"/>
                          <w:rPr>
                            <w:rFonts w:ascii="宋体" w:hAnsi="宋体" w:cs="宋体" w:eastAsia="宋体" w:hint="default"/>
                            <w:sz w:val="18"/>
                            <w:szCs w:val="18"/>
                          </w:rPr>
                        </w:pPr>
                        <w:r>
                          <w:rPr>
                            <w:rFonts w:ascii="宋体" w:hAnsi="宋体" w:cs="宋体" w:eastAsia="宋体" w:hint="default"/>
                            <w:sz w:val="18"/>
                            <w:szCs w:val="18"/>
                          </w:rPr>
                          <w:t>农业物联 网</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28,635,631.00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40.81%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55"/>
                          <w:jc w:val="both"/>
                          <w:rPr>
                            <w:rFonts w:ascii="宋体" w:hAnsi="宋体" w:cs="宋体" w:eastAsia="宋体" w:hint="default"/>
                            <w:sz w:val="18"/>
                            <w:szCs w:val="18"/>
                          </w:rPr>
                        </w:pPr>
                        <w:r>
                          <w:rPr>
                            <w:rFonts w:ascii="宋体" w:hAnsi="宋体" w:cs="宋体" w:eastAsia="宋体" w:hint="default"/>
                            <w:sz w:val="18"/>
                            <w:szCs w:val="18"/>
                          </w:rPr>
                          <w:t>张丹丹、 王宇飞、 冯建刚等</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61"/>
                          <w:jc w:val="left"/>
                          <w:rPr>
                            <w:rFonts w:ascii="宋体" w:hAnsi="宋体" w:cs="宋体" w:eastAsia="宋体" w:hint="default"/>
                            <w:sz w:val="18"/>
                            <w:szCs w:val="18"/>
                          </w:rPr>
                        </w:pPr>
                        <w:r>
                          <w:rPr>
                            <w:rFonts w:ascii="宋体" w:hAnsi="宋体" w:cs="宋体" w:eastAsia="宋体" w:hint="default"/>
                            <w:sz w:val="18"/>
                            <w:szCs w:val="18"/>
                          </w:rPr>
                          <w:t>正在办理交割审 计与评估。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p>
                    </w:tc>
                  </w:tr>
                  <w:tr>
                    <w:trPr>
                      <w:trHeight w:val="475" w:hRule="exact"/>
                    </w:trPr>
                    <w:tc>
                      <w:tcPr>
                        <w:tcW w:w="8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224,535,631.00</w:t>
                        </w:r>
                      </w:p>
                    </w:tc>
                    <w:tc>
                      <w:tcPr>
                        <w:tcW w:w="81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135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0.00</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76"/>
        <w:ind w:left="7030" w:right="8307" w:firstLine="0"/>
        <w:jc w:val="center"/>
        <w:rPr>
          <w:rFonts w:ascii="Times New Roman" w:hAnsi="Times New Roman" w:cs="Times New Roman" w:eastAsia="Times New Roman" w:hint="default"/>
          <w:sz w:val="18"/>
          <w:szCs w:val="18"/>
        </w:rPr>
      </w:pPr>
      <w:r>
        <w:rPr/>
        <w:pict>
          <v:shape style="position:absolute;margin-left:774.419983pt;margin-top:37.782345pt;width:67.5pt;height:38.5pt;mso-position-horizontal-relative:page;mso-position-vertical-relative:paragraph;z-index:1168" type="#_x0000_t75" stroked="false">
            <v:imagedata r:id="rId16" o:title=""/>
          </v:shape>
        </w:pict>
      </w:r>
      <w:r>
        <w:rPr>
          <w:rFonts w:ascii="Times New Roman"/>
          <w:sz w:val="18"/>
        </w:rPr>
        <w:t>25</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left="153" w:right="113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left="153" w:right="1135"/>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135"/>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公司报告期不存在证券投资。</w:t>
      </w:r>
    </w:p>
    <w:p>
      <w:pPr>
        <w:spacing w:line="240" w:lineRule="auto" w:before="8"/>
        <w:rPr>
          <w:rFonts w:ascii="宋体" w:hAnsi="宋体" w:cs="宋体" w:eastAsia="宋体" w:hint="default"/>
          <w:sz w:val="19"/>
          <w:szCs w:val="19"/>
        </w:rPr>
      </w:pPr>
    </w:p>
    <w:p>
      <w:pPr>
        <w:pStyle w:val="Heading6"/>
        <w:spacing w:line="240" w:lineRule="auto"/>
        <w:ind w:left="153" w:right="1135"/>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696"/>
        <w:gridCol w:w="439"/>
        <w:gridCol w:w="568"/>
        <w:gridCol w:w="708"/>
        <w:gridCol w:w="852"/>
        <w:gridCol w:w="567"/>
        <w:gridCol w:w="568"/>
        <w:gridCol w:w="566"/>
        <w:gridCol w:w="850"/>
        <w:gridCol w:w="852"/>
        <w:gridCol w:w="567"/>
        <w:gridCol w:w="568"/>
        <w:gridCol w:w="991"/>
        <w:gridCol w:w="783"/>
      </w:tblGrid>
      <w:tr>
        <w:trPr>
          <w:trHeight w:val="1348" w:hRule="exact"/>
        </w:trPr>
        <w:tc>
          <w:tcPr>
            <w:tcW w:w="69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62" w:right="71"/>
              <w:jc w:val="center"/>
              <w:rPr>
                <w:rFonts w:ascii="宋体" w:hAnsi="宋体" w:cs="宋体" w:eastAsia="宋体" w:hint="default"/>
                <w:sz w:val="18"/>
                <w:szCs w:val="18"/>
              </w:rPr>
            </w:pPr>
            <w:r>
              <w:rPr>
                <w:rFonts w:ascii="宋体" w:hAnsi="宋体" w:cs="宋体" w:eastAsia="宋体" w:hint="default"/>
                <w:sz w:val="18"/>
                <w:szCs w:val="18"/>
              </w:rPr>
              <w:t>衍生品 投资操 作方名 称</w:t>
            </w:r>
          </w:p>
        </w:tc>
        <w:tc>
          <w:tcPr>
            <w:tcW w:w="4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center"/>
              <w:rPr>
                <w:rFonts w:ascii="宋体" w:hAnsi="宋体" w:cs="宋体" w:eastAsia="宋体" w:hint="default"/>
                <w:sz w:val="18"/>
                <w:szCs w:val="18"/>
              </w:rPr>
            </w:pPr>
            <w:r>
              <w:rPr>
                <w:rFonts w:ascii="宋体" w:hAnsi="宋体" w:cs="宋体" w:eastAsia="宋体" w:hint="default"/>
                <w:sz w:val="18"/>
                <w:szCs w:val="18"/>
              </w:rPr>
              <w:t>衍生品 投资类 型</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5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期初 投资 金额</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59"/>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5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firstLine="75"/>
              <w:jc w:val="both"/>
              <w:rPr>
                <w:rFonts w:ascii="宋体" w:hAnsi="宋体" w:cs="宋体" w:eastAsia="宋体" w:hint="default"/>
                <w:sz w:val="18"/>
                <w:szCs w:val="18"/>
              </w:rPr>
            </w:pPr>
            <w:r>
              <w:rPr>
                <w:rFonts w:ascii="宋体" w:hAnsi="宋体" w:cs="宋体" w:eastAsia="宋体" w:hint="default"/>
                <w:sz w:val="18"/>
                <w:szCs w:val="18"/>
              </w:rPr>
              <w:t>计提 减值 准备 </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期末 投资</w:t>
            </w:r>
          </w:p>
          <w:p>
            <w:pPr>
              <w:pStyle w:val="TableParagraph"/>
              <w:spacing w:line="196" w:lineRule="exact" w:before="20"/>
              <w:ind w:left="9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期末投资金 额占公司报 告期末净资 产比例</w:t>
            </w:r>
          </w:p>
        </w:tc>
        <w:tc>
          <w:tcPr>
            <w:tcW w:w="78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14"/>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2274"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20"/>
              <w:jc w:val="both"/>
              <w:rPr>
                <w:rFonts w:ascii="宋体" w:hAnsi="宋体" w:cs="宋体" w:eastAsia="宋体" w:hint="default"/>
                <w:sz w:val="18"/>
                <w:szCs w:val="18"/>
              </w:rPr>
            </w:pPr>
            <w:r>
              <w:rPr>
                <w:rFonts w:ascii="宋体" w:hAnsi="宋体" w:cs="宋体" w:eastAsia="宋体" w:hint="default"/>
                <w:sz w:val="18"/>
                <w:szCs w:val="18"/>
              </w:rPr>
              <w:t>中国工 商银行 股份有 限公司 北京中 关村支 行</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133"/>
              <w:jc w:val="left"/>
              <w:rPr>
                <w:rFonts w:ascii="宋体" w:hAnsi="宋体" w:cs="宋体" w:eastAsia="宋体" w:hint="default"/>
                <w:sz w:val="18"/>
                <w:szCs w:val="18"/>
              </w:rPr>
            </w:pPr>
            <w:r>
              <w:rPr>
                <w:rFonts w:ascii="宋体" w:hAnsi="宋体" w:cs="宋体" w:eastAsia="宋体" w:hint="default"/>
                <w:sz w:val="18"/>
                <w:szCs w:val="18"/>
              </w:rPr>
              <w:t>远期外 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10,787.67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10,787.67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10,787.67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195.79</w:t>
            </w:r>
          </w:p>
        </w:tc>
      </w:tr>
      <w:tr>
        <w:trPr>
          <w:trHeight w:val="1338"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银</w:t>
            </w:r>
          </w:p>
          <w:p>
            <w:pPr>
              <w:pStyle w:val="TableParagraph"/>
              <w:spacing w:line="319" w:lineRule="auto" w:before="63"/>
              <w:ind w:left="13" w:right="120"/>
              <w:jc w:val="left"/>
              <w:rPr>
                <w:rFonts w:ascii="宋体" w:hAnsi="宋体" w:cs="宋体" w:eastAsia="宋体" w:hint="default"/>
                <w:sz w:val="18"/>
                <w:szCs w:val="18"/>
              </w:rPr>
            </w:pPr>
            <w:r>
              <w:rPr>
                <w:rFonts w:ascii="宋体" w:hAnsi="宋体" w:cs="宋体" w:eastAsia="宋体" w:hint="default"/>
                <w:sz w:val="18"/>
                <w:szCs w:val="18"/>
              </w:rPr>
              <w:t>行香港 分行</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外汇期 权远期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71.41</w:t>
            </w:r>
          </w:p>
        </w:tc>
      </w:tr>
      <w:tr>
        <w:trPr>
          <w:trHeight w:val="464" w:hRule="exact"/>
        </w:trPr>
        <w:tc>
          <w:tcPr>
            <w:tcW w:w="241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24,987.67</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24,987.67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24,987.67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267.2</w:t>
            </w:r>
          </w:p>
        </w:tc>
      </w:tr>
      <w:tr>
        <w:trPr>
          <w:trHeight w:val="463" w:hRule="exact"/>
        </w:trPr>
        <w:tc>
          <w:tcPr>
            <w:tcW w:w="241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7163"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银行外币贷款资金</w:t>
            </w:r>
          </w:p>
        </w:tc>
      </w:tr>
      <w:tr>
        <w:trPr>
          <w:trHeight w:val="464" w:hRule="exact"/>
        </w:trPr>
        <w:tc>
          <w:tcPr>
            <w:tcW w:w="241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7163"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1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35"/>
              <w:jc w:val="left"/>
              <w:rPr>
                <w:rFonts w:ascii="宋体" w:hAnsi="宋体" w:cs="宋体" w:eastAsia="宋体" w:hint="default"/>
                <w:sz w:val="18"/>
                <w:szCs w:val="18"/>
              </w:rPr>
            </w:pPr>
            <w:r>
              <w:rPr>
                <w:rFonts w:ascii="宋体" w:hAnsi="宋体" w:cs="宋体" w:eastAsia="宋体" w:hint="default"/>
                <w:sz w:val="18"/>
                <w:szCs w:val="18"/>
              </w:rPr>
              <w:t>衍生品投资审批董事会公告披 露日期</w:t>
            </w:r>
          </w:p>
        </w:tc>
        <w:tc>
          <w:tcPr>
            <w:tcW w:w="7163"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35"/>
              <w:jc w:val="left"/>
              <w:rPr>
                <w:rFonts w:ascii="宋体" w:hAnsi="宋体" w:cs="宋体" w:eastAsia="宋体" w:hint="default"/>
                <w:sz w:val="18"/>
                <w:szCs w:val="18"/>
              </w:rPr>
            </w:pPr>
            <w:r>
              <w:rPr>
                <w:rFonts w:ascii="宋体" w:hAnsi="宋体" w:cs="宋体" w:eastAsia="宋体" w:hint="default"/>
                <w:sz w:val="18"/>
                <w:szCs w:val="18"/>
              </w:rPr>
              <w:t>衍生品投资审批股东会公告披 露日期</w:t>
            </w:r>
          </w:p>
        </w:tc>
        <w:tc>
          <w:tcPr>
            <w:tcW w:w="7163"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24" w:hRule="exact"/>
        </w:trPr>
        <w:tc>
          <w:tcPr>
            <w:tcW w:w="2411"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71"/>
              <w:ind w:left="13" w:right="35"/>
              <w:jc w:val="left"/>
              <w:rPr>
                <w:rFonts w:ascii="宋体" w:hAnsi="宋体" w:cs="宋体" w:eastAsia="宋体" w:hint="default"/>
                <w:sz w:val="18"/>
                <w:szCs w:val="18"/>
              </w:rPr>
            </w:pPr>
            <w:r>
              <w:rPr>
                <w:rFonts w:ascii="宋体" w:hAnsi="宋体" w:cs="宋体" w:eastAsia="宋体" w:hint="default"/>
                <w:sz w:val="18"/>
                <w:szCs w:val="18"/>
              </w:rPr>
              <w:t>报告期衍生品持仓的风险分析 及控制措施说明（包括但不限</w:t>
            </w:r>
          </w:p>
        </w:tc>
        <w:tc>
          <w:tcPr>
            <w:tcW w:w="7163" w:type="dxa"/>
            <w:gridSpan w:val="10"/>
            <w:tcBorders>
              <w:top w:val="single" w:sz="4" w:space="0" w:color="000000"/>
              <w:left w:val="single" w:sz="4" w:space="0" w:color="000000"/>
              <w:bottom w:val="single" w:sz="12" w:space="0" w:color="000000"/>
              <w:right w:val="single" w:sz="12" w:space="0" w:color="000000"/>
            </w:tcBorders>
          </w:tcPr>
          <w:p>
            <w:pPr>
              <w:pStyle w:val="TableParagraph"/>
              <w:spacing w:line="357" w:lineRule="auto" w:before="51"/>
              <w:ind w:left="23" w:right="97"/>
              <w:jc w:val="left"/>
              <w:rPr>
                <w:rFonts w:ascii="宋体" w:hAnsi="宋体" w:cs="宋体" w:eastAsia="宋体" w:hint="default"/>
                <w:sz w:val="18"/>
                <w:szCs w:val="18"/>
              </w:rPr>
            </w:pPr>
            <w:r>
              <w:rPr>
                <w:rFonts w:ascii="宋体" w:hAnsi="宋体" w:cs="宋体" w:eastAsia="宋体" w:hint="default"/>
                <w:sz w:val="18"/>
                <w:szCs w:val="18"/>
              </w:rPr>
              <w:t>市场风险 因为本次衍生品投资合约与实际交割之间日期距离非常短，如无重大事件影响，锁定汇率</w:t>
            </w:r>
          </w:p>
        </w:tc>
      </w:tr>
    </w:tbl>
    <w:p>
      <w:pPr>
        <w:spacing w:after="0" w:line="357" w:lineRule="auto"/>
        <w:jc w:val="left"/>
        <w:rPr>
          <w:rFonts w:ascii="宋体" w:hAnsi="宋体" w:cs="宋体" w:eastAsia="宋体" w:hint="default"/>
          <w:sz w:val="18"/>
          <w:szCs w:val="18"/>
        </w:rPr>
        <w:sectPr>
          <w:footerReference w:type="default" r:id="rId17"/>
          <w:pgSz w:w="11910" w:h="16840"/>
          <w:pgMar w:footer="1226" w:header="0" w:top="1060" w:bottom="1500" w:left="980" w:right="0"/>
          <w:pgNumType w:start="2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0" w:right="1135" w:firstLine="0"/>
        <w:jc w:val="right"/>
        <w:rPr>
          <w:rFonts w:ascii="宋体" w:hAnsi="宋体" w:cs="宋体" w:eastAsia="宋体" w:hint="default"/>
          <w:sz w:val="18"/>
          <w:szCs w:val="18"/>
        </w:rPr>
      </w:pPr>
      <w:r>
        <w:rPr/>
        <w:pict>
          <v:shape style="position:absolute;margin-left:55.919998pt;margin-top:-134.828262pt;width:480.95pt;height:451.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1"/>
                    <w:gridCol w:w="7163"/>
                  </w:tblGrid>
                  <w:tr>
                    <w:trPr>
                      <w:trHeight w:val="4980" w:hRule="exact"/>
                    </w:trPr>
                    <w:tc>
                      <w:tcPr>
                        <w:tcW w:w="24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10"/>
                          <w:ind w:left="13" w:right="35"/>
                          <w:jc w:val="both"/>
                          <w:rPr>
                            <w:rFonts w:ascii="宋体" w:hAnsi="宋体" w:cs="宋体" w:eastAsia="宋体" w:hint="default"/>
                            <w:sz w:val="18"/>
                            <w:szCs w:val="18"/>
                          </w:rPr>
                        </w:pPr>
                        <w:r>
                          <w:rPr>
                            <w:rFonts w:ascii="宋体" w:hAnsi="宋体" w:cs="宋体" w:eastAsia="宋体" w:hint="default"/>
                            <w:sz w:val="18"/>
                            <w:szCs w:val="18"/>
                          </w:rPr>
                          <w:t>于市场风险、流动性风险、信 用风险、操作风险、法律风险 等）</w:t>
                        </w:r>
                      </w:p>
                    </w:tc>
                    <w:tc>
                      <w:tcPr>
                        <w:tcW w:w="7163"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23" w:right="97"/>
                          <w:jc w:val="both"/>
                          <w:rPr>
                            <w:rFonts w:ascii="宋体" w:hAnsi="宋体" w:cs="宋体" w:eastAsia="宋体" w:hint="default"/>
                            <w:sz w:val="18"/>
                            <w:szCs w:val="18"/>
                          </w:rPr>
                        </w:pPr>
                        <w:r>
                          <w:rPr>
                            <w:rFonts w:ascii="宋体" w:hAnsi="宋体" w:cs="宋体" w:eastAsia="宋体" w:hint="default"/>
                            <w:sz w:val="18"/>
                            <w:szCs w:val="18"/>
                          </w:rPr>
                          <w:t>与到期日实际汇率的可能差异将很有限，因此可能产生的投资损益在可控范围内；实际交 割日期与衍生品的存续期在同一会计期间内，汇兑损益（如有）将在期间内体现，因此不 用重估损益。</w:t>
                        </w:r>
                      </w:p>
                      <w:p>
                        <w:pPr>
                          <w:pStyle w:val="TableParagraph"/>
                          <w:spacing w:line="338" w:lineRule="auto" w:before="56"/>
                          <w:ind w:left="23" w:right="97"/>
                          <w:jc w:val="left"/>
                          <w:rPr>
                            <w:rFonts w:ascii="宋体" w:hAnsi="宋体" w:cs="宋体" w:eastAsia="宋体" w:hint="default"/>
                            <w:sz w:val="18"/>
                            <w:szCs w:val="18"/>
                          </w:rPr>
                        </w:pPr>
                        <w:r>
                          <w:rPr>
                            <w:rFonts w:ascii="宋体" w:hAnsi="宋体" w:cs="宋体" w:eastAsia="宋体" w:hint="default"/>
                            <w:sz w:val="18"/>
                            <w:szCs w:val="18"/>
                          </w:rPr>
                          <w:t>流动性风险 本次投资的衍生品以公司已借入欧元外债收入预算为依据，与实际交割外汇支出相匹配， 以保证在交割时拥有足额资金供清算；并且由于公司在工商银行有信用授信额度，无需缴</w:t>
                        </w:r>
                      </w:p>
                      <w:p>
                        <w:pPr>
                          <w:pStyle w:val="TableParagraph"/>
                          <w:spacing w:line="357" w:lineRule="auto" w:before="4"/>
                          <w:ind w:left="23" w:right="3337"/>
                          <w:jc w:val="left"/>
                          <w:rPr>
                            <w:rFonts w:ascii="宋体" w:hAnsi="宋体" w:cs="宋体" w:eastAsia="宋体" w:hint="default"/>
                            <w:sz w:val="18"/>
                            <w:szCs w:val="18"/>
                          </w:rPr>
                        </w:pPr>
                        <w:r>
                          <w:rPr>
                            <w:rFonts w:ascii="宋体" w:hAnsi="宋体" w:cs="宋体" w:eastAsia="宋体" w:hint="default"/>
                            <w:sz w:val="18"/>
                            <w:szCs w:val="18"/>
                          </w:rPr>
                          <w:t>纳保证金，不会对公司现金流造成流动性风险。 信用风险</w:t>
                        </w:r>
                      </w:p>
                      <w:p>
                        <w:pPr>
                          <w:pStyle w:val="TableParagraph"/>
                          <w:spacing w:line="319" w:lineRule="auto" w:before="26"/>
                          <w:ind w:left="23" w:right="100"/>
                          <w:jc w:val="left"/>
                          <w:rPr>
                            <w:rFonts w:ascii="宋体" w:hAnsi="宋体" w:cs="宋体" w:eastAsia="宋体" w:hint="default"/>
                            <w:sz w:val="18"/>
                            <w:szCs w:val="18"/>
                          </w:rPr>
                        </w:pPr>
                        <w:r>
                          <w:rPr>
                            <w:rFonts w:ascii="宋体" w:hAnsi="宋体" w:cs="宋体" w:eastAsia="宋体" w:hint="default"/>
                            <w:sz w:val="18"/>
                            <w:szCs w:val="18"/>
                          </w:rPr>
                          <w:t>公司衍生品投资交易对手为工商银行，该金融机构信用良好且与公司已建立长期业务往来 基本不存在履约风险。</w:t>
                        </w:r>
                      </w:p>
                      <w:p>
                        <w:pPr>
                          <w:pStyle w:val="TableParagraph"/>
                          <w:spacing w:line="338" w:lineRule="auto" w:before="58"/>
                          <w:ind w:left="23" w:right="97"/>
                          <w:jc w:val="left"/>
                          <w:rPr>
                            <w:rFonts w:ascii="宋体" w:hAnsi="宋体" w:cs="宋体" w:eastAsia="宋体" w:hint="default"/>
                            <w:sz w:val="18"/>
                            <w:szCs w:val="18"/>
                          </w:rPr>
                        </w:pPr>
                        <w:r>
                          <w:rPr>
                            <w:rFonts w:ascii="宋体" w:hAnsi="宋体" w:cs="宋体" w:eastAsia="宋体" w:hint="default"/>
                            <w:sz w:val="18"/>
                            <w:szCs w:val="18"/>
                          </w:rPr>
                          <w:t>操作风险 在开展业务时，如操作人员未按规定程序进行衍生品投资操作或未充分理解衍生品信息， 将带来操作风险；如交易合同条款的不明确，将可能面临法律风险。公司从事衍生品操作</w:t>
                        </w:r>
                      </w:p>
                      <w:p>
                        <w:pPr>
                          <w:pStyle w:val="TableParagraph"/>
                          <w:spacing w:line="319" w:lineRule="auto" w:before="2"/>
                          <w:ind w:left="23" w:right="101"/>
                          <w:jc w:val="left"/>
                          <w:rPr>
                            <w:rFonts w:ascii="宋体" w:hAnsi="宋体" w:cs="宋体" w:eastAsia="宋体" w:hint="default"/>
                            <w:sz w:val="18"/>
                            <w:szCs w:val="18"/>
                          </w:rPr>
                        </w:pPr>
                        <w:r>
                          <w:rPr>
                            <w:rFonts w:ascii="宋体" w:hAnsi="宋体" w:cs="宋体" w:eastAsia="宋体" w:hint="default"/>
                            <w:sz w:val="18"/>
                            <w:szCs w:val="18"/>
                          </w:rPr>
                          <w:t>的人员及部门将会依照《公司衍生品投资风险控制及信息披露制度》规范衍生品业务操作 做到最大程度的风险管控。</w:t>
                        </w:r>
                      </w:p>
                    </w:tc>
                  </w:tr>
                  <w:tr>
                    <w:trPr>
                      <w:trHeight w:val="1650" w:hRule="exact"/>
                    </w:trPr>
                    <w:tc>
                      <w:tcPr>
                        <w:tcW w:w="24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35"/>
                          <w:jc w:val="left"/>
                          <w:rPr>
                            <w:rFonts w:ascii="宋体" w:hAnsi="宋体" w:cs="宋体" w:eastAsia="宋体" w:hint="default"/>
                            <w:sz w:val="18"/>
                            <w:szCs w:val="18"/>
                          </w:rPr>
                        </w:pPr>
                        <w:r>
                          <w:rPr>
                            <w:rFonts w:ascii="宋体" w:hAnsi="宋体" w:cs="宋体" w:eastAsia="宋体" w:hint="default"/>
                            <w:sz w:val="18"/>
                            <w:szCs w:val="18"/>
                          </w:rPr>
                          <w:t>已投资衍生品报告期内市场价 格或产品公允价值变动的情 况，对衍生品公允价值的分析 应披露具体使用的方法及相关 假设与参数的设定</w:t>
                        </w:r>
                      </w:p>
                    </w:tc>
                    <w:tc>
                      <w:tcPr>
                        <w:tcW w:w="71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3" w:right="11"/>
                          <w:jc w:val="left"/>
                          <w:rPr>
                            <w:rFonts w:ascii="宋体" w:hAnsi="宋体" w:cs="宋体" w:eastAsia="宋体" w:hint="default"/>
                            <w:sz w:val="18"/>
                            <w:szCs w:val="18"/>
                          </w:rPr>
                        </w:pPr>
                        <w:r>
                          <w:rPr>
                            <w:rFonts w:ascii="宋体" w:hAnsi="宋体" w:cs="宋体" w:eastAsia="宋体" w:hint="default"/>
                            <w:spacing w:val="-4"/>
                            <w:sz w:val="18"/>
                            <w:szCs w:val="18"/>
                          </w:rPr>
                          <w:t>公司按照《企业会计准则第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金融工具确认和计量》第七章</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公允价值确定</w:t>
                        </w:r>
                        <w:r>
                          <w:rPr>
                            <w:rFonts w:ascii="Times New Roman" w:hAnsi="Times New Roman" w:cs="Times New Roman" w:eastAsia="Times New Roman" w:hint="default"/>
                            <w:sz w:val="18"/>
                            <w:szCs w:val="18"/>
                          </w:rPr>
                          <w:t>"</w:t>
                        </w:r>
                        <w:r>
                          <w:rPr>
                            <w:rFonts w:ascii="宋体" w:hAnsi="宋体" w:cs="宋体" w:eastAsia="宋体" w:hint="default"/>
                            <w:sz w:val="18"/>
                            <w:szCs w:val="18"/>
                          </w:rPr>
                          <w:t>进行确认计 量，公允价值基本按照国家外汇管理局或境内商业银行等机构提供的价格确定。</w:t>
                        </w:r>
                      </w:p>
                    </w:tc>
                  </w:tr>
                  <w:tr>
                    <w:trPr>
                      <w:trHeight w:val="1338" w:hRule="exact"/>
                    </w:trPr>
                    <w:tc>
                      <w:tcPr>
                        <w:tcW w:w="24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2"/>
                          <w:ind w:left="13" w:right="35"/>
                          <w:jc w:val="both"/>
                          <w:rPr>
                            <w:rFonts w:ascii="宋体" w:hAnsi="宋体" w:cs="宋体" w:eastAsia="宋体" w:hint="default"/>
                            <w:sz w:val="18"/>
                            <w:szCs w:val="18"/>
                          </w:rPr>
                        </w:pPr>
                        <w:r>
                          <w:rPr>
                            <w:rFonts w:ascii="宋体" w:hAnsi="宋体" w:cs="宋体" w:eastAsia="宋体" w:hint="default"/>
                            <w:sz w:val="18"/>
                            <w:szCs w:val="18"/>
                          </w:rPr>
                          <w:t>报告期公司衍生品的会计政策 及会计核算具体原则与上一报 告期相比是否发生重大变化的 说明</w:t>
                        </w:r>
                      </w:p>
                    </w:tc>
                    <w:tc>
                      <w:tcPr>
                        <w:tcW w:w="71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036" w:hRule="exact"/>
                    </w:trPr>
                    <w:tc>
                      <w:tcPr>
                        <w:tcW w:w="24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35"/>
                          <w:jc w:val="left"/>
                          <w:rPr>
                            <w:rFonts w:ascii="宋体" w:hAnsi="宋体" w:cs="宋体" w:eastAsia="宋体" w:hint="default"/>
                            <w:sz w:val="18"/>
                            <w:szCs w:val="18"/>
                          </w:rPr>
                        </w:pPr>
                        <w:r>
                          <w:rPr>
                            <w:rFonts w:ascii="宋体" w:hAnsi="宋体" w:cs="宋体" w:eastAsia="宋体" w:hint="default"/>
                            <w:sz w:val="18"/>
                            <w:szCs w:val="18"/>
                          </w:rPr>
                          <w:t>独立董事对公司衍生品投资及 风险控制情况的专项意见</w:t>
                        </w:r>
                      </w:p>
                    </w:tc>
                    <w:tc>
                      <w:tcPr>
                        <w:tcW w:w="7163"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2"/>
                          <w:ind w:left="23" w:right="97"/>
                          <w:jc w:val="both"/>
                          <w:rPr>
                            <w:rFonts w:ascii="宋体" w:hAnsi="宋体" w:cs="宋体" w:eastAsia="宋体" w:hint="default"/>
                            <w:sz w:val="18"/>
                            <w:szCs w:val="18"/>
                          </w:rPr>
                        </w:pPr>
                        <w:r>
                          <w:rPr>
                            <w:rFonts w:ascii="宋体" w:hAnsi="宋体" w:cs="宋体" w:eastAsia="宋体" w:hint="default"/>
                            <w:sz w:val="18"/>
                            <w:szCs w:val="18"/>
                          </w:rPr>
                          <w:t>认为公司及下属控股子公司开展的衍生品业务与日常经营需求紧密相关，达到保值增值目 的，业务可行风险可控，符合有关法律、法规的有关规定，同意公司及下属控股子公司开 展衍生品投资业务。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6"/>
        <w:spacing w:line="240" w:lineRule="auto" w:before="35"/>
        <w:ind w:right="1135"/>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30"/>
          <w:szCs w:val="30"/>
        </w:rPr>
      </w:pPr>
    </w:p>
    <w:p>
      <w:pPr>
        <w:pStyle w:val="Heading6"/>
        <w:spacing w:line="240" w:lineRule="auto"/>
        <w:ind w:right="1135"/>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8"/>
      </w:tblGrid>
      <w:tr>
        <w:trPr>
          <w:trHeight w:val="1359" w:hRule="exact"/>
        </w:trPr>
        <w:tc>
          <w:tcPr>
            <w:tcW w:w="867"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8"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0"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8"/>
      </w:tblGrid>
      <w:tr>
        <w:trPr>
          <w:trHeight w:val="1036" w:hRule="exact"/>
        </w:trPr>
        <w:tc>
          <w:tcPr>
            <w:tcW w:w="86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z w:val="18"/>
              </w:rPr>
              <w:t>2013</w:t>
            </w:r>
          </w:p>
        </w:tc>
        <w:tc>
          <w:tcPr>
            <w:tcW w:w="8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发行股份</w:t>
            </w:r>
          </w:p>
        </w:tc>
        <w:tc>
          <w:tcPr>
            <w:tcW w:w="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12" w:space="0" w:color="000000"/>
              <w:left w:val="single" w:sz="4" w:space="0" w:color="000000"/>
              <w:bottom w:val="single" w:sz="4" w:space="0" w:color="000000"/>
              <w:right w:val="single" w:sz="4" w:space="0" w:color="000000"/>
            </w:tcBorders>
          </w:tcPr>
          <w:p>
            <w:pPr/>
          </w:p>
        </w:tc>
        <w:tc>
          <w:tcPr>
            <w:tcW w:w="8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17,497.52</w:t>
            </w:r>
          </w:p>
        </w:tc>
        <w:tc>
          <w:tcPr>
            <w:tcW w:w="869" w:type="dxa"/>
            <w:tcBorders>
              <w:top w:val="single" w:sz="12" w:space="0" w:color="000000"/>
              <w:left w:val="single" w:sz="4" w:space="0" w:color="000000"/>
              <w:bottom w:val="single" w:sz="4" w:space="0" w:color="000000"/>
              <w:right w:val="single" w:sz="4" w:space="0" w:color="000000"/>
            </w:tcBorders>
          </w:tcPr>
          <w:p>
            <w:pPr/>
          </w:p>
        </w:tc>
        <w:tc>
          <w:tcPr>
            <w:tcW w:w="870" w:type="dxa"/>
            <w:tcBorders>
              <w:top w:val="single" w:sz="12" w:space="0" w:color="000000"/>
              <w:left w:val="single" w:sz="4" w:space="0" w:color="000000"/>
              <w:bottom w:val="single" w:sz="4" w:space="0" w:color="000000"/>
              <w:right w:val="single" w:sz="4" w:space="0" w:color="000000"/>
            </w:tcBorders>
          </w:tcPr>
          <w:p>
            <w:pPr/>
          </w:p>
        </w:tc>
        <w:tc>
          <w:tcPr>
            <w:tcW w:w="870" w:type="dxa"/>
            <w:tcBorders>
              <w:top w:val="single" w:sz="12" w:space="0" w:color="000000"/>
              <w:left w:val="single" w:sz="4" w:space="0" w:color="000000"/>
              <w:bottom w:val="single" w:sz="4" w:space="0" w:color="000000"/>
              <w:right w:val="single" w:sz="4" w:space="0" w:color="000000"/>
            </w:tcBorders>
          </w:tcPr>
          <w:p>
            <w:pPr/>
          </w:p>
        </w:tc>
        <w:tc>
          <w:tcPr>
            <w:tcW w:w="8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2,502.48</w:t>
            </w:r>
          </w:p>
        </w:tc>
        <w:tc>
          <w:tcPr>
            <w:tcW w:w="87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依原募集 资金用途 继续使用</w:t>
            </w:r>
          </w:p>
        </w:tc>
        <w:tc>
          <w:tcPr>
            <w:tcW w:w="86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2,500</w:t>
            </w:r>
          </w:p>
        </w:tc>
      </w:tr>
      <w:tr>
        <w:trPr>
          <w:trHeight w:val="464" w:hRule="exact"/>
        </w:trPr>
        <w:tc>
          <w:tcPr>
            <w:tcW w:w="867"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122"/>
              <w:ind w:right="249"/>
              <w:jc w:val="righ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发行股份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22,666.67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1,129.89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2" w:right="0"/>
              <w:jc w:val="center"/>
              <w:rPr>
                <w:rFonts w:ascii="Times New Roman" w:hAnsi="Times New Roman" w:cs="Times New Roman" w:eastAsia="Times New Roman" w:hint="default"/>
                <w:sz w:val="18"/>
                <w:szCs w:val="18"/>
              </w:rPr>
            </w:pPr>
            <w:r>
              <w:rPr>
                <w:rFonts w:ascii="Times New Roman"/>
                <w:sz w:val="18"/>
              </w:rPr>
              <w:t>22,666.67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80" w:hRule="exact"/>
        </w:trPr>
        <w:tc>
          <w:tcPr>
            <w:tcW w:w="8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42,666.67</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1,129.89</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92" w:right="0"/>
              <w:jc w:val="center"/>
              <w:rPr>
                <w:rFonts w:ascii="Times New Roman" w:hAnsi="Times New Roman" w:cs="Times New Roman" w:eastAsia="Times New Roman" w:hint="default"/>
                <w:sz w:val="18"/>
                <w:szCs w:val="18"/>
              </w:rPr>
            </w:pPr>
            <w:r>
              <w:rPr>
                <w:rFonts w:ascii="Times New Roman"/>
                <w:sz w:val="18"/>
              </w:rPr>
              <w:t>40,164.19</w:t>
            </w:r>
          </w:p>
        </w:tc>
        <w:tc>
          <w:tcPr>
            <w:tcW w:w="86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0.97%</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2,502.48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2,500</w:t>
            </w:r>
          </w:p>
        </w:tc>
      </w:tr>
      <w:tr>
        <w:trPr>
          <w:trHeight w:val="449" w:hRule="exact"/>
        </w:trPr>
        <w:tc>
          <w:tcPr>
            <w:tcW w:w="9565"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24" w:hRule="exact"/>
        </w:trPr>
        <w:tc>
          <w:tcPr>
            <w:tcW w:w="9565" w:type="dxa"/>
            <w:gridSpan w:val="11"/>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本公司募集资金总额为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42,666.67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万元，累计投入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40,164.19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万元，其中本报告期投资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1,129.89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万元，分别为支付中介机构</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626.00 </w:t>
            </w:r>
            <w:r>
              <w:rPr>
                <w:rFonts w:ascii="宋体" w:hAnsi="宋体" w:cs="宋体" w:eastAsia="宋体" w:hint="default"/>
                <w:sz w:val="18"/>
                <w:szCs w:val="18"/>
              </w:rPr>
              <w:t>万元，其他费用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71"/>
        <w:gridCol w:w="779"/>
        <w:gridCol w:w="780"/>
        <w:gridCol w:w="780"/>
        <w:gridCol w:w="779"/>
        <w:gridCol w:w="780"/>
        <w:gridCol w:w="780"/>
        <w:gridCol w:w="780"/>
        <w:gridCol w:w="780"/>
        <w:gridCol w:w="780"/>
        <w:gridCol w:w="779"/>
      </w:tblGrid>
      <w:tr>
        <w:trPr>
          <w:trHeight w:val="1364" w:hRule="exact"/>
        </w:trPr>
        <w:tc>
          <w:tcPr>
            <w:tcW w:w="177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7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1"/>
              <w:ind w:left="25" w:right="1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33" w:hRule="exact"/>
        </w:trPr>
        <w:tc>
          <w:tcPr>
            <w:tcW w:w="9569"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42" w:hRule="exact"/>
        </w:trPr>
        <w:tc>
          <w:tcPr>
            <w:tcW w:w="1771" w:type="dxa"/>
            <w:tcBorders>
              <w:top w:val="single" w:sz="12" w:space="0" w:color="D2D2D2"/>
              <w:left w:val="single" w:sz="12" w:space="0" w:color="000000"/>
              <w:bottom w:val="single" w:sz="4" w:space="0" w:color="000000"/>
              <w:right w:val="single" w:sz="4" w:space="0" w:color="000000"/>
            </w:tcBorders>
          </w:tcPr>
          <w:p>
            <w:pPr>
              <w:pStyle w:val="TableParagraph"/>
              <w:spacing w:line="316" w:lineRule="auto" w:before="56"/>
              <w:ind w:left="13" w:right="117"/>
              <w:jc w:val="both"/>
              <w:rPr>
                <w:rFonts w:ascii="宋体" w:hAnsi="宋体" w:cs="宋体" w:eastAsia="宋体" w:hint="default"/>
                <w:sz w:val="18"/>
                <w:szCs w:val="18"/>
              </w:rPr>
            </w:pPr>
            <w:r>
              <w:rPr>
                <w:rFonts w:ascii="宋体" w:hAnsi="宋体" w:cs="宋体" w:eastAsia="宋体" w:hint="default"/>
                <w:sz w:val="18"/>
                <w:szCs w:val="18"/>
              </w:rPr>
              <w:t>偿还欠付昆山开发区 国投控股有限公司债 务</w:t>
            </w:r>
          </w:p>
        </w:tc>
        <w:tc>
          <w:tcPr>
            <w:tcW w:w="77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13,830.42</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13,830.42</w:t>
            </w:r>
          </w:p>
        </w:tc>
        <w:tc>
          <w:tcPr>
            <w:tcW w:w="77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14,240.6</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102.97%</w:t>
            </w: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2,924.99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113.37%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226.17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56.54%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689.58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15.34%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支付中农信达股权转 让款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支付收购中农信达的 中介机构费用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支付收购中农信达的 其他费用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7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42,666.67</w:t>
            </w:r>
          </w:p>
        </w:tc>
        <w:tc>
          <w:tcPr>
            <w:tcW w:w="78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42,666.67</w:t>
            </w:r>
          </w:p>
        </w:tc>
        <w:tc>
          <w:tcPr>
            <w:tcW w:w="77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716</w:t>
            </w:r>
          </w:p>
        </w:tc>
        <w:tc>
          <w:tcPr>
            <w:tcW w:w="78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39,750.3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9569"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63" w:hRule="exact"/>
        </w:trPr>
        <w:tc>
          <w:tcPr>
            <w:tcW w:w="177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77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42,666.67</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42,666.67</w:t>
            </w:r>
          </w:p>
        </w:tc>
        <w:tc>
          <w:tcPr>
            <w:tcW w:w="7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z w:val="18"/>
              </w:rPr>
              <w:t>716</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39,750.3</w:t>
            </w:r>
          </w:p>
        </w:tc>
        <w:tc>
          <w:tcPr>
            <w:tcW w:w="78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3"/>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970"/>
        <w:gridCol w:w="5598"/>
      </w:tblGrid>
      <w:tr>
        <w:trPr>
          <w:trHeight w:val="473" w:hRule="exact"/>
        </w:trPr>
        <w:tc>
          <w:tcPr>
            <w:tcW w:w="39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tc>
        <w:tc>
          <w:tcPr>
            <w:tcW w:w="559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5"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3"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598"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3970"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3970" w:type="dxa"/>
            <w:vMerge/>
            <w:tcBorders>
              <w:left w:val="single" w:sz="12" w:space="0" w:color="000000"/>
              <w:bottom w:val="single" w:sz="4" w:space="0" w:color="000000"/>
              <w:right w:val="single" w:sz="4" w:space="0" w:color="000000"/>
            </w:tcBorders>
            <w:shd w:val="clear" w:color="auto" w:fill="D2D2D2"/>
          </w:tcPr>
          <w:p>
            <w:pP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本公司先期已经以自有资金支付的购买中农信达募集配套资金项目</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2,367,691.95 </w:t>
            </w:r>
            <w:r>
              <w:rPr>
                <w:rFonts w:ascii="宋体" w:hAnsi="宋体" w:cs="宋体" w:eastAsia="宋体" w:hint="default"/>
                <w:spacing w:val="-4"/>
                <w:sz w:val="18"/>
                <w:szCs w:val="18"/>
              </w:rPr>
              <w:t>元，于本期自募集配套资金中置换。该事项业经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日信永中和会计师事务所以</w:t>
            </w:r>
            <w:r>
              <w:rPr>
                <w:rFonts w:ascii="Times New Roman" w:hAnsi="Times New Roman" w:cs="Times New Roman" w:eastAsia="Times New Roman" w:hint="default"/>
                <w:sz w:val="18"/>
                <w:szCs w:val="18"/>
              </w:rPr>
              <w:t>“XYZH/2013A1054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号鉴证报告予以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鉴证。本公司第六届董事会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年第一次临时会议审议通过以非公开</w:t>
            </w:r>
          </w:p>
          <w:p>
            <w:pPr>
              <w:pStyle w:val="TableParagraph"/>
              <w:spacing w:line="302"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发行股票募集配套资金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2,367,691.95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元置换预先投入募集配套资金使用 项目的自筹资金。</w:t>
            </w:r>
          </w:p>
        </w:tc>
      </w:tr>
      <w:tr>
        <w:trPr>
          <w:trHeight w:val="463"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3970"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3970" w:type="dxa"/>
            <w:vMerge/>
            <w:tcBorders>
              <w:left w:val="single" w:sz="12" w:space="0" w:color="000000"/>
              <w:bottom w:val="single" w:sz="4" w:space="0" w:color="000000"/>
              <w:right w:val="single" w:sz="4" w:space="0" w:color="000000"/>
            </w:tcBorders>
            <w:shd w:val="clear" w:color="auto" w:fill="D2D2D2"/>
          </w:tcPr>
          <w:p>
            <w:pP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日止，中农信达募集资金使用计划均已完成，将募集资</w:t>
            </w:r>
          </w:p>
          <w:p>
            <w:pPr>
              <w:pStyle w:val="TableParagraph"/>
              <w:spacing w:line="309" w:lineRule="auto" w:before="63"/>
              <w:ind w:left="23" w:right="-25"/>
              <w:jc w:val="left"/>
              <w:rPr>
                <w:rFonts w:ascii="宋体" w:hAnsi="宋体" w:cs="宋体" w:eastAsia="宋体" w:hint="default"/>
                <w:sz w:val="18"/>
                <w:szCs w:val="18"/>
              </w:rPr>
            </w:pPr>
            <w:r>
              <w:rPr>
                <w:rFonts w:ascii="宋体" w:hAnsi="宋体" w:cs="宋体" w:eastAsia="宋体" w:hint="default"/>
                <w:sz w:val="18"/>
                <w:szCs w:val="18"/>
              </w:rPr>
              <w:t>金专项账户光大银行中关村支行剩余资金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万元转为永久补充流 动资金，并注销该募集资金专项账户（光大银行北京中关村支行账户： </w:t>
            </w:r>
            <w:r>
              <w:rPr>
                <w:rFonts w:ascii="Times New Roman" w:hAnsi="Times New Roman" w:cs="Times New Roman" w:eastAsia="Times New Roman" w:hint="default"/>
                <w:spacing w:val="-10"/>
                <w:sz w:val="18"/>
                <w:szCs w:val="18"/>
              </w:rPr>
              <w:t>75080188000114242</w:t>
            </w:r>
            <w:r>
              <w:rPr>
                <w:rFonts w:ascii="宋体" w:hAnsi="宋体" w:cs="宋体" w:eastAsia="宋体" w:hint="default"/>
                <w:spacing w:val="-10"/>
                <w:sz w:val="18"/>
                <w:szCs w:val="18"/>
              </w:rPr>
              <w:t>）。</w:t>
            </w:r>
            <w:r>
              <w:rPr>
                <w:rFonts w:ascii="宋体" w:hAnsi="宋体" w:cs="宋体" w:eastAsia="宋体" w:hint="default"/>
                <w:sz w:val="18"/>
                <w:szCs w:val="18"/>
              </w:rPr>
            </w:r>
          </w:p>
        </w:tc>
      </w:tr>
      <w:tr>
        <w:trPr>
          <w:trHeight w:val="464" w:hRule="exact"/>
        </w:trPr>
        <w:tc>
          <w:tcPr>
            <w:tcW w:w="39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473" w:hRule="exact"/>
        </w:trPr>
        <w:tc>
          <w:tcPr>
            <w:tcW w:w="39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5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11" w:lineRule="exact" w:before="0"/>
        <w:ind w:left="154" w:right="0" w:firstLine="0"/>
        <w:jc w:val="left"/>
        <w:rPr>
          <w:rFonts w:ascii="宋体" w:hAnsi="宋体" w:cs="宋体" w:eastAsia="宋体" w:hint="default"/>
          <w:sz w:val="18"/>
          <w:szCs w:val="18"/>
        </w:rPr>
      </w:pPr>
      <w:bookmarkStart w:name="注：公司于2016年3月29日召开的第七届董事会第一次会议审议通过了《关于使用部" w:id="54"/>
      <w:bookmarkEnd w:id="54"/>
      <w:r>
        <w:rPr/>
      </w:r>
      <w:r>
        <w:rPr>
          <w:rFonts w:ascii="宋体" w:hAnsi="宋体" w:cs="宋体" w:eastAsia="宋体" w:hint="default"/>
          <w:spacing w:val="-9"/>
          <w:sz w:val="18"/>
          <w:szCs w:val="18"/>
        </w:rPr>
        <w:t>注：公司于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日召开的第七届董事会第一次会议审议通过了《关于使用部分闲置募集资金暂时补充流动资金的</w:t>
      </w:r>
    </w:p>
    <w:p>
      <w:pPr>
        <w:spacing w:line="232" w:lineRule="exact" w:before="17"/>
        <w:ind w:left="154" w:right="1121" w:firstLine="0"/>
        <w:jc w:val="left"/>
        <w:rPr>
          <w:rFonts w:ascii="宋体" w:hAnsi="宋体" w:cs="宋体" w:eastAsia="宋体" w:hint="default"/>
          <w:sz w:val="18"/>
          <w:szCs w:val="18"/>
        </w:rPr>
      </w:pPr>
      <w:r>
        <w:rPr>
          <w:rFonts w:ascii="宋体" w:hAnsi="宋体" w:cs="宋体" w:eastAsia="宋体" w:hint="default"/>
          <w:spacing w:val="-9"/>
          <w:sz w:val="18"/>
          <w:szCs w:val="18"/>
        </w:rPr>
        <w:t>议案》，公司拟使用不超过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万元闲置募集资金暂时补充流动资金，使用期限不超过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个月。补充的流动资金仅限用于</w:t>
      </w:r>
      <w:r>
        <w:rPr>
          <w:rFonts w:ascii="宋体" w:hAnsi="宋体" w:cs="宋体" w:eastAsia="宋体" w:hint="default"/>
          <w:sz w:val="18"/>
          <w:szCs w:val="18"/>
        </w:rPr>
        <w:t> 与公司主营业务相关的生产经营活动。到期后，公司将及时归还至募集资金专用账户。</w:t>
      </w:r>
    </w:p>
    <w:p>
      <w:pPr>
        <w:spacing w:line="240" w:lineRule="auto" w:before="6"/>
        <w:rPr>
          <w:rFonts w:ascii="宋体" w:hAnsi="宋体" w:cs="宋体" w:eastAsia="宋体" w:hint="default"/>
          <w:sz w:val="22"/>
          <w:szCs w:val="22"/>
        </w:rPr>
      </w:pPr>
    </w:p>
    <w:p>
      <w:pPr>
        <w:pStyle w:val="Heading6"/>
        <w:spacing w:line="240" w:lineRule="auto"/>
        <w:ind w:left="153" w:right="1135"/>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before="1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959"/>
        <w:gridCol w:w="958"/>
        <w:gridCol w:w="956"/>
        <w:gridCol w:w="803"/>
        <w:gridCol w:w="156"/>
        <w:gridCol w:w="956"/>
        <w:gridCol w:w="956"/>
        <w:gridCol w:w="956"/>
        <w:gridCol w:w="957"/>
        <w:gridCol w:w="958"/>
        <w:gridCol w:w="956"/>
      </w:tblGrid>
      <w:tr>
        <w:trPr>
          <w:trHeight w:val="1347" w:hRule="exact"/>
        </w:trPr>
        <w:tc>
          <w:tcPr>
            <w:tcW w:w="95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73"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2" w:right="1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9"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16" w:space="0" w:color="D2D2D2"/>
              <w:right w:val="single" w:sz="4" w:space="0" w:color="000000"/>
            </w:tcBorders>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中农信达募 集资金使用 计划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413.89</w:t>
            </w: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413.89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9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12"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413.89</w:t>
            </w:r>
          </w:p>
        </w:tc>
        <w:tc>
          <w:tcPr>
            <w:tcW w:w="959"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122"/>
              <w:ind w:left="431" w:right="0"/>
              <w:jc w:val="left"/>
              <w:rPr>
                <w:rFonts w:ascii="Times New Roman" w:hAnsi="Times New Roman" w:cs="Times New Roman" w:eastAsia="Times New Roman" w:hint="default"/>
                <w:sz w:val="18"/>
                <w:szCs w:val="18"/>
              </w:rPr>
            </w:pPr>
            <w:r>
              <w:rPr>
                <w:rFonts w:ascii="Times New Roman"/>
                <w:sz w:val="18"/>
              </w:rPr>
              <w:t>413.89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413.89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75" w:hRule="exact"/>
        </w:trPr>
        <w:tc>
          <w:tcPr>
            <w:tcW w:w="3675"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p>
        </w:tc>
        <w:tc>
          <w:tcPr>
            <w:tcW w:w="5896" w:type="dxa"/>
            <w:gridSpan w:val="7"/>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日止，中农信达募集资金使用计划均已完成，将募集资金</w:t>
            </w:r>
          </w:p>
        </w:tc>
      </w:tr>
    </w:tbl>
    <w:p>
      <w:pPr>
        <w:spacing w:after="0" w:line="240" w:lineRule="auto"/>
        <w:jc w:val="left"/>
        <w:rPr>
          <w:rFonts w:ascii="宋体" w:hAnsi="宋体" w:cs="宋体" w:eastAsia="宋体" w:hint="default"/>
          <w:sz w:val="18"/>
          <w:szCs w:val="18"/>
        </w:rPr>
        <w:sectPr>
          <w:pgSz w:w="11910" w:h="16840"/>
          <w:pgMar w:header="0" w:footer="1226" w:top="1060" w:bottom="142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687"/>
        <w:gridCol w:w="5884"/>
      </w:tblGrid>
      <w:tr>
        <w:trPr>
          <w:trHeight w:val="995" w:hRule="exact"/>
        </w:trPr>
        <w:tc>
          <w:tcPr>
            <w:tcW w:w="368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5884" w:type="dxa"/>
            <w:tcBorders>
              <w:top w:val="single" w:sz="12" w:space="0" w:color="000000"/>
              <w:left w:val="single" w:sz="4" w:space="0" w:color="000000"/>
              <w:bottom w:val="single" w:sz="4" w:space="0" w:color="000000"/>
              <w:right w:val="single" w:sz="12" w:space="0" w:color="000000"/>
            </w:tcBorders>
          </w:tcPr>
          <w:p>
            <w:pPr>
              <w:pStyle w:val="TableParagraph"/>
              <w:spacing w:line="309" w:lineRule="auto" w:before="10"/>
              <w:ind w:left="22" w:right="215"/>
              <w:jc w:val="left"/>
              <w:rPr>
                <w:rFonts w:ascii="宋体" w:hAnsi="宋体" w:cs="宋体" w:eastAsia="宋体" w:hint="default"/>
                <w:sz w:val="18"/>
                <w:szCs w:val="18"/>
              </w:rPr>
            </w:pPr>
            <w:r>
              <w:rPr>
                <w:rFonts w:ascii="宋体" w:hAnsi="宋体" w:cs="宋体" w:eastAsia="宋体" w:hint="default"/>
                <w:sz w:val="18"/>
                <w:szCs w:val="18"/>
              </w:rPr>
              <w:t>专项账户光大银行中关村支行剩余资金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413.89 </w:t>
            </w:r>
            <w:r>
              <w:rPr>
                <w:rFonts w:ascii="宋体" w:hAnsi="宋体" w:cs="宋体" w:eastAsia="宋体" w:hint="default"/>
                <w:sz w:val="18"/>
                <w:szCs w:val="18"/>
              </w:rPr>
              <w:t>万元转为永久补充流动资 金，并注销该募集资金专项账户（光大银行北京中关村支行账户： </w:t>
            </w:r>
            <w:r>
              <w:rPr>
                <w:rFonts w:ascii="Times New Roman" w:hAnsi="Times New Roman" w:cs="Times New Roman" w:eastAsia="Times New Roman" w:hint="default"/>
                <w:spacing w:val="-10"/>
                <w:sz w:val="18"/>
                <w:szCs w:val="18"/>
              </w:rPr>
              <w:t>75080188000114242</w:t>
            </w:r>
            <w:r>
              <w:rPr>
                <w:rFonts w:ascii="宋体" w:hAnsi="宋体" w:cs="宋体" w:eastAsia="宋体" w:hint="default"/>
                <w:spacing w:val="-10"/>
                <w:sz w:val="18"/>
                <w:szCs w:val="18"/>
              </w:rPr>
              <w:t>）。</w:t>
            </w:r>
            <w:r>
              <w:rPr>
                <w:rFonts w:ascii="宋体" w:hAnsi="宋体" w:cs="宋体" w:eastAsia="宋体" w:hint="default"/>
                <w:sz w:val="18"/>
                <w:szCs w:val="18"/>
              </w:rPr>
            </w:r>
          </w:p>
        </w:tc>
      </w:tr>
      <w:tr>
        <w:trPr>
          <w:trHeight w:val="465" w:hRule="exact"/>
        </w:trPr>
        <w:tc>
          <w:tcPr>
            <w:tcW w:w="36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tc>
        <w:tc>
          <w:tcPr>
            <w:tcW w:w="58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368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58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公司报告期未出售重大资产。</w:t>
      </w:r>
    </w:p>
    <w:p>
      <w:pPr>
        <w:spacing w:line="240" w:lineRule="auto" w:before="8"/>
        <w:rPr>
          <w:rFonts w:ascii="宋体" w:hAnsi="宋体" w:cs="宋体" w:eastAsia="宋体" w:hint="default"/>
          <w:sz w:val="19"/>
          <w:szCs w:val="19"/>
        </w:rPr>
      </w:pPr>
    </w:p>
    <w:p>
      <w:pPr>
        <w:pStyle w:val="Heading6"/>
        <w:spacing w:line="240" w:lineRule="auto"/>
        <w:ind w:left="153" w:right="1135"/>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0" w:footer="1226" w:top="1060" w:bottom="1420" w:left="980" w:right="0"/>
        </w:sectPr>
      </w:pPr>
    </w:p>
    <w:p>
      <w:pPr>
        <w:spacing w:line="240" w:lineRule="auto" w:before="3"/>
        <w:rPr>
          <w:rFonts w:ascii="宋体" w:hAnsi="宋体" w:cs="宋体" w:eastAsia="宋体" w:hint="default"/>
          <w:sz w:val="22"/>
          <w:szCs w:val="22"/>
        </w:rPr>
      </w:pPr>
    </w:p>
    <w:p>
      <w:pPr>
        <w:pStyle w:val="Heading2"/>
        <w:spacing w:line="240" w:lineRule="auto"/>
        <w:ind w:left="160" w:right="-19"/>
        <w:jc w:val="left"/>
        <w:rPr>
          <w:b w:val="0"/>
          <w:bCs w:val="0"/>
        </w:rPr>
      </w:pPr>
      <w:r>
        <w:rPr/>
        <w:pict>
          <v:group style="position:absolute;margin-left:70.5pt;margin-top:.755627pt;width:701pt;height:.1pt;mso-position-horizontal-relative:page;mso-position-vertical-relative:paragraph;z-index:-1051912"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七、主要控股参股公司分析" w:id="59"/>
      <w:bookmarkEnd w:id="59"/>
      <w:r>
        <w:rPr>
          <w:b w:val="0"/>
          <w:bCs w:val="0"/>
        </w:rPr>
      </w:r>
      <w:r>
        <w:rPr/>
        <w:t>七、主要控股参股公司分析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16"/>
          <w:szCs w:val="16"/>
        </w:rPr>
      </w:pPr>
    </w:p>
    <w:p>
      <w:pPr>
        <w:pStyle w:val="BodyText"/>
        <w:spacing w:line="240" w:lineRule="auto"/>
        <w:ind w:left="160" w:right="-19"/>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before="15"/>
        <w:ind w:left="160" w:right="0" w:firstLine="0"/>
        <w:jc w:val="left"/>
        <w:rPr>
          <w:rFonts w:ascii="宋体" w:hAnsi="宋体" w:cs="宋体" w:eastAsia="宋体" w:hint="default"/>
          <w:sz w:val="18"/>
          <w:szCs w:val="18"/>
        </w:rPr>
      </w:pPr>
      <w:r>
        <w:rPr/>
        <w:br w:type="column"/>
      </w: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7"/>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2"/>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18"/>
          <w:footerReference w:type="default" r:id="rId19"/>
          <w:pgSz w:w="16840" w:h="11910" w:orient="landscape"/>
          <w:pgMar w:header="0" w:footer="0" w:top="800" w:bottom="0" w:left="1280" w:right="0"/>
          <w:cols w:num="2" w:equalWidth="0">
            <w:col w:w="5638" w:space="4077"/>
            <w:col w:w="5845"/>
          </w:cols>
        </w:sectPr>
      </w:pPr>
    </w:p>
    <w:p>
      <w:pPr>
        <w:spacing w:line="240" w:lineRule="auto" w:before="3"/>
        <w:rPr>
          <w:rFonts w:ascii="宋体" w:hAnsi="宋体" w:cs="宋体" w:eastAsia="宋体" w:hint="default"/>
          <w:b/>
          <w:bCs/>
          <w:sz w:val="9"/>
          <w:szCs w:val="9"/>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44"/>
        <w:gridCol w:w="1156"/>
        <w:gridCol w:w="2147"/>
        <w:gridCol w:w="1528"/>
        <w:gridCol w:w="1529"/>
        <w:gridCol w:w="1528"/>
        <w:gridCol w:w="1528"/>
        <w:gridCol w:w="1529"/>
        <w:gridCol w:w="1527"/>
      </w:tblGrid>
      <w:tr>
        <w:trPr>
          <w:trHeight w:val="473" w:hRule="exact"/>
        </w:trPr>
        <w:tc>
          <w:tcPr>
            <w:tcW w:w="15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9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21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0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9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8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8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9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2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48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54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69"/>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解决方案、软件、技术服务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3,576,585,638.78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1,028,712,076.04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4,105,150,130.30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159,038,837.01</w:t>
            </w:r>
          </w:p>
        </w:tc>
        <w:tc>
          <w:tcPr>
            <w:tcW w:w="15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134,553,048.81</w:t>
            </w:r>
          </w:p>
        </w:tc>
      </w:tr>
      <w:tr>
        <w:trPr>
          <w:trHeight w:val="714" w:hRule="exact"/>
        </w:trPr>
        <w:tc>
          <w:tcPr>
            <w:tcW w:w="1544"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2"/>
              <w:ind w:left="13" w:right="69"/>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解决方案、软件、技术服务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港币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658,471,019.03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503,190,429.30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441,886,483.69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79,801,435.59</w:t>
            </w:r>
          </w:p>
        </w:tc>
        <w:tc>
          <w:tcPr>
            <w:tcW w:w="15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73,054,718.97</w:t>
            </w:r>
          </w:p>
        </w:tc>
      </w:tr>
      <w:tr>
        <w:trPr>
          <w:trHeight w:val="724" w:hRule="exact"/>
        </w:trPr>
        <w:tc>
          <w:tcPr>
            <w:tcW w:w="1544"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2"/>
              <w:ind w:left="13" w:right="69"/>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371,694,216.36</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136,328,057.52</w:t>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274,571,529.81</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90,767,986.61</w:t>
            </w:r>
          </w:p>
        </w:tc>
        <w:tc>
          <w:tcPr>
            <w:tcW w:w="15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75,341,832.04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0"/>
        <w:ind w:left="7030" w:right="8307" w:firstLine="0"/>
        <w:jc w:val="center"/>
        <w:rPr>
          <w:rFonts w:ascii="Times New Roman" w:hAnsi="Times New Roman" w:cs="Times New Roman" w:eastAsia="Times New Roman" w:hint="default"/>
          <w:sz w:val="18"/>
          <w:szCs w:val="18"/>
        </w:rPr>
      </w:pPr>
      <w:r>
        <w:rPr/>
        <w:pict>
          <v:shape style="position:absolute;margin-left:774.419983pt;margin-top:33.982346pt;width:67.5pt;height:38.5pt;mso-position-horizontal-relative:page;mso-position-vertical-relative:paragraph;z-index:1264" type="#_x0000_t75" stroked="false">
            <v:imagedata r:id="rId16" o:title=""/>
          </v:shape>
        </w:pict>
      </w:r>
      <w:r>
        <w:rPr>
          <w:rFonts w:ascii="Times New Roman"/>
          <w:sz w:val="18"/>
        </w:rPr>
        <w:t>31</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right="1135"/>
        <w:jc w:val="left"/>
      </w:pPr>
      <w:r>
        <w:rPr/>
        <w:t>报告期内取得和处置子公司的情况</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189"/>
        <w:gridCol w:w="3190"/>
        <w:gridCol w:w="3191"/>
      </w:tblGrid>
      <w:tr>
        <w:trPr>
          <w:trHeight w:val="443" w:hRule="exact"/>
        </w:trPr>
        <w:tc>
          <w:tcPr>
            <w:tcW w:w="318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8"/>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90" w:hRule="exact"/>
        </w:trPr>
        <w:tc>
          <w:tcPr>
            <w:tcW w:w="3189" w:type="dxa"/>
            <w:tcBorders>
              <w:top w:val="single" w:sz="16" w:space="0" w:color="D2D2D2"/>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西安</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3190" w:type="dxa"/>
            <w:tcBorders>
              <w:top w:val="single" w:sz="16" w:space="0" w:color="D2D2D2"/>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191" w:type="dxa"/>
            <w:tcBorders>
              <w:top w:val="single" w:sz="16" w:space="0" w:color="D2D2D2"/>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3"/>
        <w:rPr>
          <w:rFonts w:ascii="宋体" w:hAnsi="宋体" w:cs="宋体" w:eastAsia="宋体" w:hint="default"/>
          <w:sz w:val="5"/>
          <w:szCs w:val="5"/>
        </w:rPr>
      </w:pPr>
    </w:p>
    <w:p>
      <w:pPr>
        <w:pStyle w:val="BodyText"/>
        <w:spacing w:line="444" w:lineRule="auto" w:before="35"/>
        <w:ind w:left="154" w:right="7812"/>
        <w:jc w:val="left"/>
      </w:pPr>
      <w:r>
        <w:rPr/>
        <w:t>主要控股参股公司情况说明 北京中农信达信息技术有限公司</w:t>
      </w:r>
    </w:p>
    <w:p>
      <w:pPr>
        <w:pStyle w:val="BodyText"/>
        <w:spacing w:line="398" w:lineRule="auto" w:before="54"/>
        <w:ind w:left="154" w:right="0" w:firstLine="420"/>
        <w:jc w:val="left"/>
      </w:pPr>
      <w:r>
        <w:rPr/>
        <w:t>北京中农信达信息技术有限公司为公司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年投资并购的全资子公司，在我国农村信息化领域发展 </w:t>
      </w:r>
      <w:r>
        <w:rPr>
          <w:spacing w:val="-1"/>
        </w:rPr>
        <w:t>十余年，以农经系列软件为切入点，逐步发展成为集农村系列软件开发销售、农村地理信息服务、农云平</w:t>
      </w:r>
      <w:r>
        <w:rPr>
          <w:spacing w:val="-86"/>
        </w:rPr>
        <w:t> </w:t>
      </w:r>
      <w:r>
        <w:rPr>
          <w:spacing w:val="-86"/>
        </w:rPr>
      </w:r>
      <w:r>
        <w:rPr/>
        <w:t>台运营于一体的高新技术企业，是国内领先的农村信息化综合服务提供商。</w:t>
      </w:r>
    </w:p>
    <w:p>
      <w:pPr>
        <w:pStyle w:val="BodyText"/>
        <w:spacing w:line="400" w:lineRule="auto" w:before="93"/>
        <w:ind w:left="154" w:right="949" w:firstLine="42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年中央</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号文件明确，用</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年时间基本完成我国农村土地承包经营权的确权颁证工作，逐步推动 农村土地有序流转，转变农业发展方式。由此，我国农村的新一轮改革提速，信息技术作为农业现代化的 重要支撑也迎来了前所未有的发展机遇。公司并购中农信达以后，加强了战略协同和资源支持，中农信达 </w:t>
      </w:r>
      <w:r>
        <w:rPr>
          <w:spacing w:val="-8"/>
        </w:rPr>
        <w:t>的业务获得了高速增长。</w:t>
      </w:r>
      <w:r>
        <w:rPr>
          <w:rFonts w:ascii="Times New Roman" w:hAnsi="Times New Roman" w:cs="Times New Roman" w:eastAsia="Times New Roman" w:hint="default"/>
          <w:spacing w:val="-8"/>
        </w:rPr>
        <w:t>2015</w:t>
      </w:r>
      <w:r>
        <w:rPr>
          <w:rFonts w:ascii="Times New Roman" w:hAnsi="Times New Roman" w:cs="Times New Roman" w:eastAsia="Times New Roman" w:hint="default"/>
          <w:spacing w:val="-3"/>
        </w:rPr>
        <w:t> </w:t>
      </w:r>
      <w:r>
        <w:rPr>
          <w:spacing w:val="-6"/>
        </w:rPr>
        <w:t>年全年，中农信达的收入较上年度同期增长</w:t>
      </w:r>
      <w:r>
        <w:rPr>
          <w:spacing w:val="-56"/>
        </w:rPr>
        <w:t> </w:t>
      </w:r>
      <w:r>
        <w:rPr>
          <w:rFonts w:ascii="Times New Roman" w:hAnsi="Times New Roman" w:cs="Times New Roman" w:eastAsia="Times New Roman" w:hint="default"/>
          <w:spacing w:val="-8"/>
        </w:rPr>
        <w:t>89.66%</w:t>
      </w:r>
      <w:r>
        <w:rPr>
          <w:spacing w:val="-8"/>
        </w:rPr>
        <w:t>，并表收入同比增长</w:t>
      </w:r>
      <w:r>
        <w:rPr>
          <w:spacing w:val="-56"/>
        </w:rPr>
        <w:t> </w:t>
      </w:r>
      <w:r>
        <w:rPr>
          <w:rFonts w:ascii="Times New Roman" w:hAnsi="Times New Roman" w:cs="Times New Roman" w:eastAsia="Times New Roman" w:hint="default"/>
        </w:rPr>
        <w:t>768.99%</w:t>
      </w:r>
    </w:p>
    <w:p>
      <w:pPr>
        <w:pStyle w:val="BodyText"/>
        <w:spacing w:line="388" w:lineRule="auto" w:before="21"/>
        <w:ind w:right="1208"/>
        <w:jc w:val="left"/>
      </w:pPr>
      <w:r>
        <w:rPr/>
        <w:t>（因</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1"/>
        </w:rPr>
        <w:t>年实际并表收入仅为中农信达第</w:t>
      </w:r>
      <w:r>
        <w:rPr>
          <w:spacing w:val="-44"/>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8"/>
        </w:rPr>
        <w:t> </w:t>
      </w:r>
      <w:r>
        <w:rPr>
          <w:spacing w:val="-5"/>
        </w:rPr>
        <w:t>月的收入），成为公司重要的业务增长点，也是公司重点布</w:t>
      </w:r>
      <w:r>
        <w:rPr/>
        <w:t> 局的“互联网农业”战略板块的领军企业。</w:t>
      </w:r>
    </w:p>
    <w:p>
      <w:pPr>
        <w:spacing w:line="240" w:lineRule="auto" w:before="12"/>
        <w:rPr>
          <w:rFonts w:ascii="宋体" w:hAnsi="宋体" w:cs="宋体" w:eastAsia="宋体" w:hint="default"/>
          <w:sz w:val="19"/>
          <w:szCs w:val="19"/>
        </w:rPr>
      </w:pPr>
    </w:p>
    <w:p>
      <w:pPr>
        <w:pStyle w:val="Heading2"/>
        <w:spacing w:line="240" w:lineRule="auto"/>
        <w:ind w:left="154" w:right="0"/>
        <w:jc w:val="both"/>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0"/>
        <w:jc w:val="both"/>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0"/>
        <w:jc w:val="both"/>
      </w:pPr>
      <w:r>
        <w:rPr/>
        <w:t>（一）行业发展趋势</w:t>
      </w:r>
    </w:p>
    <w:p>
      <w:pPr>
        <w:spacing w:line="240" w:lineRule="auto" w:before="10"/>
        <w:rPr>
          <w:rFonts w:ascii="宋体" w:hAnsi="宋体" w:cs="宋体" w:eastAsia="宋体" w:hint="default"/>
          <w:sz w:val="17"/>
          <w:szCs w:val="17"/>
        </w:rPr>
      </w:pPr>
    </w:p>
    <w:p>
      <w:pPr>
        <w:pStyle w:val="BodyText"/>
        <w:spacing w:line="240" w:lineRule="auto"/>
        <w:ind w:left="574" w:right="1135"/>
        <w:jc w:val="left"/>
      </w:pPr>
      <w:r>
        <w:rPr>
          <w:rFonts w:ascii="Times New Roman" w:hAnsi="Times New Roman" w:cs="Times New Roman" w:eastAsia="Times New Roman" w:hint="default"/>
        </w:rPr>
        <w:t>1</w:t>
      </w:r>
      <w:r>
        <w:rPr/>
        <w:t>、新型城镇化及智慧城市建设逐步实践落地</w:t>
      </w:r>
    </w:p>
    <w:p>
      <w:pPr>
        <w:spacing w:line="240" w:lineRule="auto" w:before="8"/>
        <w:rPr>
          <w:rFonts w:ascii="宋体" w:hAnsi="宋体" w:cs="宋体" w:eastAsia="宋体" w:hint="default"/>
          <w:sz w:val="16"/>
          <w:szCs w:val="16"/>
        </w:rPr>
      </w:pPr>
    </w:p>
    <w:p>
      <w:pPr>
        <w:pStyle w:val="BodyText"/>
        <w:spacing w:line="386" w:lineRule="auto"/>
        <w:ind w:right="1135"/>
        <w:jc w:val="left"/>
      </w:pPr>
      <w:r>
        <w:rPr>
          <w:spacing w:val="-3"/>
        </w:rPr>
        <w:t>随着《国家新型城镇化发展规划（</w:t>
      </w:r>
      <w:r>
        <w:rPr>
          <w:rFonts w:ascii="Times New Roman" w:hAnsi="Times New Roman" w:cs="Times New Roman" w:eastAsia="Times New Roman" w:hint="default"/>
          <w:spacing w:val="-3"/>
        </w:rPr>
        <w:t>2014-2020</w:t>
      </w:r>
      <w:r>
        <w:rPr>
          <w:spacing w:val="-3"/>
        </w:rPr>
        <w:t>）》的颁布，持续推进以人为核心的新型城镇化建设，已经成</w:t>
      </w:r>
      <w:r>
        <w:rPr>
          <w:spacing w:val="-60"/>
        </w:rPr>
        <w:t> </w:t>
      </w:r>
      <w:r>
        <w:rPr>
          <w:spacing w:val="-60"/>
        </w:rPr>
      </w:r>
      <w:r>
        <w:rPr/>
        <w:t>为我国经济社会发展的重要课题，而智慧城市也成为建设新型城市的重要举措。</w:t>
      </w:r>
    </w:p>
    <w:p>
      <w:pPr>
        <w:pStyle w:val="BodyText"/>
        <w:spacing w:line="400" w:lineRule="auto" w:before="103"/>
        <w:ind w:left="154" w:right="1131"/>
        <w:jc w:val="both"/>
      </w:pPr>
      <w:r>
        <w:rPr/>
        <w:t>公司</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spacing w:val="-8"/>
          <w:w w:val="100"/>
        </w:rPr>
        <w:t>年提出的</w:t>
      </w:r>
      <w:r>
        <w:rPr>
          <w:rFonts w:ascii="Times New Roman" w:hAnsi="Times New Roman" w:cs="Times New Roman" w:eastAsia="Times New Roman" w:hint="default"/>
          <w:spacing w:val="-8"/>
          <w:w w:val="100"/>
        </w:rPr>
        <w:t>“</w:t>
      </w:r>
      <w:r>
        <w:rPr>
          <w:spacing w:val="-8"/>
          <w:w w:val="100"/>
        </w:rPr>
        <w:t>智慧城市</w:t>
      </w:r>
      <w:r>
        <w:rPr>
          <w:rFonts w:ascii="Times New Roman" w:hAnsi="Times New Roman" w:cs="Times New Roman" w:eastAsia="Times New Roman" w:hint="default"/>
          <w:spacing w:val="-8"/>
          <w:w w:val="100"/>
        </w:rPr>
        <w:t>”</w:t>
      </w:r>
      <w:r>
        <w:rPr>
          <w:spacing w:val="-8"/>
          <w:w w:val="100"/>
        </w:rPr>
        <w:t>发展战略，超越了交通、医疗、安防等垂直行业信息化的传统电子政务模式，</w:t>
      </w:r>
      <w:r>
        <w:rPr>
          <w:spacing w:val="-102"/>
          <w:w w:val="100"/>
        </w:rPr>
        <w:t> </w:t>
      </w:r>
      <w:r>
        <w:rPr>
          <w:spacing w:val="-102"/>
          <w:w w:val="100"/>
        </w:rPr>
      </w:r>
      <w:r>
        <w:rPr>
          <w:spacing w:val="-1"/>
        </w:rPr>
        <w:t>倡导打破政府部门藩篱、实现城市融合服务的先进理念，并逐步得到国家及各级政府的认同，成为智慧城</w:t>
      </w:r>
      <w:r>
        <w:rPr>
          <w:spacing w:val="-83"/>
        </w:rPr>
        <w:t> </w:t>
      </w:r>
      <w:r>
        <w:rPr>
          <w:spacing w:val="-83"/>
        </w:rPr>
      </w:r>
      <w:r>
        <w:rPr>
          <w:spacing w:val="-1"/>
        </w:rPr>
        <w:t>市规划建设的重要范例。公司在我国智慧城市建设理念、技术及实践方面处于领先地位，将进一步扩大智</w:t>
      </w:r>
      <w:r>
        <w:rPr>
          <w:spacing w:val="-83"/>
        </w:rPr>
        <w:t> </w:t>
      </w:r>
      <w:r>
        <w:rPr>
          <w:spacing w:val="-83"/>
        </w:rPr>
      </w:r>
      <w:r>
        <w:rPr/>
        <w:t>慧城市业务规模和市场份额。</w:t>
      </w:r>
    </w:p>
    <w:p>
      <w:pPr>
        <w:pStyle w:val="BodyText"/>
        <w:spacing w:line="240" w:lineRule="auto" w:before="92"/>
        <w:ind w:left="574" w:right="1135"/>
        <w:jc w:val="left"/>
      </w:pPr>
      <w:r>
        <w:rPr>
          <w:rFonts w:ascii="Times New Roman" w:hAnsi="Times New Roman" w:cs="Times New Roman" w:eastAsia="Times New Roman" w:hint="default"/>
        </w:rPr>
        <w:t>2</w:t>
      </w:r>
      <w:r>
        <w:rPr/>
        <w:t>、农业现代化发展升温，信息技术和互联网成为农业转变发展方式的重要支撑</w:t>
      </w:r>
    </w:p>
    <w:p>
      <w:pPr>
        <w:spacing w:after="0" w:line="240" w:lineRule="auto"/>
        <w:jc w:val="left"/>
        <w:sectPr>
          <w:footerReference w:type="default" r:id="rId20"/>
          <w:pgSz w:w="11910" w:h="16840"/>
          <w:pgMar w:footer="1226" w:header="0" w:top="1060" w:bottom="1420" w:left="980" w:right="0"/>
          <w:pgNumType w:start="32"/>
        </w:sectPr>
      </w:pPr>
    </w:p>
    <w:p>
      <w:pPr>
        <w:spacing w:line="240" w:lineRule="auto" w:before="0"/>
        <w:rPr>
          <w:rFonts w:ascii="宋体" w:hAnsi="宋体" w:cs="宋体" w:eastAsia="宋体" w:hint="default"/>
          <w:sz w:val="20"/>
          <w:szCs w:val="20"/>
        </w:rPr>
      </w:pPr>
    </w:p>
    <w:p>
      <w:pPr>
        <w:pStyle w:val="BodyText"/>
        <w:spacing w:line="398" w:lineRule="auto" w:before="174"/>
        <w:ind w:right="0"/>
        <w:jc w:val="left"/>
      </w:pPr>
      <w:r>
        <w:rPr>
          <w:spacing w:val="-1"/>
        </w:rPr>
        <w:t>转变农业发展方式，推进农业现代化，保障国家粮食及食品安全，促进农民增产增收，已成为新一届政府</w:t>
      </w:r>
      <w:r>
        <w:rPr>
          <w:spacing w:val="-86"/>
        </w:rPr>
        <w:t> </w:t>
      </w:r>
      <w:r>
        <w:rPr>
          <w:spacing w:val="-86"/>
        </w:rPr>
      </w:r>
      <w:r>
        <w:rPr/>
        <w:t>的重要发展策略。</w:t>
      </w:r>
      <w:r>
        <w:rPr>
          <w:rFonts w:ascii="Times New Roman" w:hAnsi="Times New Roman" w:cs="Times New Roman" w:eastAsia="Times New Roman" w:hint="default"/>
        </w:rPr>
        <w:t>2013 </w:t>
      </w:r>
      <w:r>
        <w:rPr/>
        <w:t>年中央一号文件明确了启动农村土地确权颁证工作，</w:t>
      </w:r>
      <w:r>
        <w:rPr>
          <w:rFonts w:ascii="Times New Roman" w:hAnsi="Times New Roman" w:cs="Times New Roman" w:eastAsia="Times New Roman" w:hint="default"/>
        </w:rPr>
        <w:t>2015 </w:t>
      </w:r>
      <w:r>
        <w:rPr/>
        <w:t>年随着鼓励农村土地有 序流转及配套的金融等相关政策的出台，我国农村的新一轮改革发展不断加速。</w:t>
      </w:r>
    </w:p>
    <w:p>
      <w:pPr>
        <w:pStyle w:val="BodyText"/>
        <w:spacing w:line="398" w:lineRule="auto" w:before="93"/>
        <w:ind w:right="1130"/>
        <w:jc w:val="both"/>
      </w:pPr>
      <w:r>
        <w:rPr>
          <w:spacing w:val="-2"/>
        </w:rPr>
        <w:t>公司通过并购中农信达，正式进入了农业信息化领域。</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4"/>
        </w:rPr>
        <w:t> </w:t>
      </w:r>
      <w:r>
        <w:rPr>
          <w:spacing w:val="-2"/>
        </w:rPr>
        <w:t>年，公司又成功并购了旗硕科技，合资成立了</w:t>
      </w:r>
      <w:r>
        <w:rPr>
          <w:spacing w:val="-102"/>
        </w:rPr>
        <w:t> </w:t>
      </w:r>
      <w:r>
        <w:rPr>
          <w:spacing w:val="-102"/>
        </w:rPr>
      </w:r>
      <w:r>
        <w:rPr>
          <w:spacing w:val="-1"/>
        </w:rPr>
        <w:t>杨凌农业云服务有限公司，互联网农业业务布局更加全面，将受益于我国农村的改革发展，运用信息技术</w:t>
      </w:r>
      <w:r>
        <w:rPr>
          <w:spacing w:val="-82"/>
        </w:rPr>
        <w:t> </w:t>
      </w:r>
      <w:r>
        <w:rPr>
          <w:spacing w:val="-82"/>
        </w:rPr>
      </w:r>
      <w:r>
        <w:rPr/>
        <w:t>重构现代农业服务生态。</w:t>
      </w:r>
    </w:p>
    <w:p>
      <w:pPr>
        <w:pStyle w:val="BodyText"/>
        <w:spacing w:line="240" w:lineRule="auto" w:before="95"/>
        <w:ind w:left="574" w:right="1135"/>
        <w:jc w:val="left"/>
      </w:pPr>
      <w:r>
        <w:rPr>
          <w:rFonts w:ascii="Times New Roman" w:hAnsi="Times New Roman" w:cs="Times New Roman" w:eastAsia="Times New Roman" w:hint="default"/>
        </w:rPr>
        <w:t>3</w:t>
      </w:r>
      <w:r>
        <w:rPr/>
        <w:t>、云计算、大数据等新兴技术推动</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产业升级，软件定义的创新时代来临</w:t>
      </w:r>
    </w:p>
    <w:p>
      <w:pPr>
        <w:spacing w:line="240" w:lineRule="auto" w:before="6"/>
        <w:rPr>
          <w:rFonts w:ascii="宋体" w:hAnsi="宋体" w:cs="宋体" w:eastAsia="宋体" w:hint="default"/>
          <w:sz w:val="16"/>
          <w:szCs w:val="16"/>
        </w:rPr>
      </w:pPr>
    </w:p>
    <w:p>
      <w:pPr>
        <w:pStyle w:val="BodyText"/>
        <w:spacing w:line="386" w:lineRule="auto"/>
        <w:ind w:right="1131"/>
        <w:jc w:val="both"/>
      </w:pPr>
      <w:r>
        <w:rPr/>
        <w:t>我国</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产业经历了三十余年的发展，开始由硬件为主的</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基础设施建设阶段，向软件、服务为主的应用 </w:t>
      </w:r>
      <w:r>
        <w:rPr>
          <w:spacing w:val="-2"/>
        </w:rPr>
        <w:t>创新、管理创新和服务创新阶段升级，特别是云计算、大数据、物联网等新兴技术的普及应用，加速了</w:t>
      </w:r>
      <w:r>
        <w:rPr>
          <w:spacing w:val="-27"/>
        </w:rPr>
        <w:t> </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49"/>
        </w:rPr>
        <w:t> </w:t>
      </w:r>
      <w:r>
        <w:rPr/>
        <w:t>产业的转型升级和发展创新。</w:t>
      </w:r>
    </w:p>
    <w:p>
      <w:pPr>
        <w:pStyle w:val="BodyText"/>
        <w:spacing w:line="386" w:lineRule="auto" w:before="103"/>
        <w:ind w:right="1118"/>
        <w:jc w:val="left"/>
      </w:pPr>
      <w:r>
        <w:rPr/>
        <w:t>公司自</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年代初重点布局了行业软件及服务业务，经过十余年的精心培育和发展，如今在我国金融、 电信、政企、城市、农业等主要行业市场均名列前茅。而依托软件服务能力建立的行业</w:t>
      </w:r>
      <w:r>
        <w:rPr>
          <w:spacing w:val="-58"/>
        </w:rPr>
        <w:t> </w:t>
      </w:r>
      <w:r>
        <w:rPr>
          <w:rFonts w:ascii="Times New Roman" w:hAnsi="Times New Roman" w:cs="Times New Roman" w:eastAsia="Times New Roman" w:hint="default"/>
        </w:rPr>
        <w:t>SaaS</w:t>
      </w:r>
      <w:r>
        <w:rPr>
          <w:rFonts w:ascii="Times New Roman" w:hAnsi="Times New Roman" w:cs="Times New Roman" w:eastAsia="Times New Roman" w:hint="default"/>
          <w:spacing w:val="-7"/>
        </w:rPr>
        <w:t> </w:t>
      </w:r>
      <w:r>
        <w:rPr/>
        <w:t>和</w:t>
      </w:r>
      <w:r>
        <w:rPr>
          <w:spacing w:val="-59"/>
        </w:rPr>
        <w:t> </w:t>
      </w:r>
      <w:r>
        <w:rPr>
          <w:rFonts w:ascii="Times New Roman" w:hAnsi="Times New Roman" w:cs="Times New Roman" w:eastAsia="Times New Roman" w:hint="default"/>
        </w:rPr>
        <w:t>PaaS</w:t>
      </w:r>
      <w:r>
        <w:rPr>
          <w:rFonts w:ascii="Times New Roman" w:hAnsi="Times New Roman" w:cs="Times New Roman" w:eastAsia="Times New Roman" w:hint="default"/>
          <w:spacing w:val="-6"/>
        </w:rPr>
        <w:t> </w:t>
      </w:r>
      <w:r>
        <w:rPr/>
        <w:t>公共</w:t>
      </w:r>
      <w:r>
        <w:rPr>
          <w:spacing w:val="1"/>
        </w:rPr>
        <w:t> </w:t>
      </w:r>
      <w:r>
        <w:rPr/>
        <w:t>云服务平台，则进一步提升公司在各行业市场的覆盖率和盈利模式。</w:t>
      </w:r>
    </w:p>
    <w:p>
      <w:pPr>
        <w:pStyle w:val="BodyText"/>
        <w:spacing w:line="400" w:lineRule="auto" w:before="106"/>
        <w:ind w:right="1116" w:firstLine="420"/>
        <w:jc w:val="left"/>
      </w:pPr>
      <w:r>
        <w:rPr>
          <w:rFonts w:ascii="Times New Roman" w:hAnsi="Times New Roman" w:cs="Times New Roman" w:eastAsia="Times New Roman" w:hint="default"/>
        </w:rPr>
        <w:t>4</w:t>
      </w:r>
      <w:r>
        <w:rPr/>
        <w:t>、国家安全可靠战略持续推进，国内</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产业迎来发展的重大机遇 国家信息安全战略及相关技术的推广，为我国</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产业的发展带来了重要机遇，将重塑产业格局，推动我 国</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产业实现自主自强的发展。预计未来几年，安全可靠将持续引导我国重要行业的信息化建设。 公司占利润最大份额的</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规划咨询、行业应用软件开发、专业技术服务等自有业务，在国内均处于领先 地位，并在以往与国际知名 </w:t>
      </w:r>
      <w:r>
        <w:rPr>
          <w:rFonts w:ascii="Times New Roman" w:hAnsi="Times New Roman" w:cs="Times New Roman" w:eastAsia="Times New Roman" w:hint="default"/>
        </w:rPr>
        <w:t>IT </w:t>
      </w:r>
      <w:r>
        <w:rPr/>
        <w:t>企业的竞争中形成了独特优势。</w:t>
      </w:r>
      <w:r>
        <w:rPr>
          <w:rFonts w:ascii="Times New Roman" w:hAnsi="Times New Roman" w:cs="Times New Roman" w:eastAsia="Times New Roman" w:hint="default"/>
        </w:rPr>
        <w:t>2014-2015 </w:t>
      </w:r>
      <w:r>
        <w:rPr/>
        <w:t>年</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公司在量子通信等涉及国家 </w:t>
      </w:r>
      <w:r>
        <w:rPr>
          <w:spacing w:val="-1"/>
        </w:rPr>
        <w:t>安全的战略性项目建设中体现了明显的服务优势。未来，随着国家信息安全战略的持续推进，公司自有业</w:t>
      </w:r>
      <w:r>
        <w:rPr>
          <w:spacing w:val="-83"/>
        </w:rPr>
        <w:t> </w:t>
      </w:r>
      <w:r>
        <w:rPr>
          <w:spacing w:val="-83"/>
        </w:rPr>
      </w:r>
      <w:r>
        <w:rPr/>
        <w:t>务和量子通信等信息安全相关业务将迎来更大的市场机遇。</w:t>
      </w:r>
    </w:p>
    <w:p>
      <w:pPr>
        <w:pStyle w:val="BodyText"/>
        <w:spacing w:line="240" w:lineRule="auto" w:before="93"/>
        <w:ind w:left="154" w:right="1135"/>
        <w:jc w:val="left"/>
      </w:pPr>
      <w:r>
        <w:rPr/>
        <w:t>（二）公司发展战略</w:t>
      </w:r>
    </w:p>
    <w:p>
      <w:pPr>
        <w:spacing w:line="240" w:lineRule="auto" w:before="9"/>
        <w:rPr>
          <w:rFonts w:ascii="宋体" w:hAnsi="宋体" w:cs="宋体" w:eastAsia="宋体" w:hint="default"/>
          <w:sz w:val="17"/>
          <w:szCs w:val="17"/>
        </w:rPr>
      </w:pPr>
    </w:p>
    <w:p>
      <w:pPr>
        <w:pStyle w:val="BodyText"/>
        <w:spacing w:line="386" w:lineRule="auto"/>
        <w:ind w:left="154" w:right="1127"/>
        <w:jc w:val="left"/>
      </w:pPr>
      <w:r>
        <w:rPr/>
        <w:t>在国家鼓励信息化建设和产业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转型升级的良好发展机遇下，公司提出了</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智慧农村</w:t>
      </w:r>
      <w:r>
        <w:rPr>
          <w:rFonts w:ascii="Times New Roman" w:hAnsi="Times New Roman" w:cs="Times New Roman" w:eastAsia="Times New Roman" w:hint="default"/>
        </w:rPr>
        <w:t>"</w:t>
      </w:r>
      <w:r>
        <w:rPr/>
        <w:t>的 产业互联网总体发展战略，并制定了新的发展规划。</w:t>
      </w:r>
    </w:p>
    <w:p>
      <w:pPr>
        <w:pStyle w:val="BodyText"/>
        <w:spacing w:line="398" w:lineRule="auto" w:before="103"/>
        <w:ind w:left="154" w:right="0"/>
        <w:jc w:val="left"/>
      </w:pPr>
      <w:r>
        <w:rPr/>
        <w:t>具体来看，目前我国企业的</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建设以及大型行业基础计算系统均基本建设完成，公司规划将整体产业链 向下游逐渐延伸</w:t>
      </w:r>
      <w:r>
        <w:rPr>
          <w:rFonts w:ascii="Times New Roman" w:hAnsi="Times New Roman" w:cs="Times New Roman" w:eastAsia="Times New Roman" w:hint="default"/>
        </w:rPr>
        <w:t>,</w:t>
      </w:r>
      <w:r>
        <w:rPr/>
        <w:t>并加强跨行业跨领域的服务整合与创新。在技术服务板块，公司将推进服务前端化发展，</w:t>
      </w:r>
      <w:r>
        <w:rPr>
          <w:spacing w:val="-81"/>
        </w:rPr>
        <w:t> </w:t>
      </w:r>
      <w:r>
        <w:rPr>
          <w:spacing w:val="-81"/>
        </w:rPr>
      </w:r>
      <w:r>
        <w:rPr/>
        <w:t>预先发现环境、基础设施、程序、软件等问题，并对这些问题提供日常监控和管理服务。此外，为顺应云</w:t>
      </w:r>
      <w:r>
        <w:rPr/>
        <w:t> 计算、大数据等新兴产业发展趋势，公司将不断加强服务业务的平台化，注重用户数及业务流量的累积，</w:t>
      </w:r>
      <w:r>
        <w:rPr>
          <w:spacing w:val="-38"/>
        </w:rPr>
        <w:t> </w:t>
      </w:r>
      <w:r>
        <w:rPr>
          <w:spacing w:val="-38"/>
        </w:rPr>
      </w:r>
      <w:r>
        <w:rPr/>
        <w:t>推动平台业务模式的全面落地和逐步成熟。</w:t>
      </w:r>
    </w:p>
    <w:p>
      <w:pPr>
        <w:spacing w:after="0" w:line="398" w:lineRule="auto"/>
        <w:jc w:val="left"/>
        <w:sectPr>
          <w:pgSz w:w="11910" w:h="16840"/>
          <w:pgMar w:header="0" w:footer="1226" w:top="1060" w:bottom="142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31" w:firstLine="420"/>
        <w:jc w:val="both"/>
      </w:pPr>
      <w:r>
        <w:rPr>
          <w:spacing w:val="-1"/>
        </w:rPr>
        <w:t>在互联网农业板块，公司将规划完善农业产业链服务新生态，依托农业大数据，通过农地确权及交易</w:t>
      </w:r>
      <w:r>
        <w:rPr/>
        <w:t> </w:t>
      </w:r>
      <w:r>
        <w:rPr>
          <w:spacing w:val="-1"/>
        </w:rPr>
        <w:t>服务、农业物联网技术、农产品溯源认证体系、农技推广平台、农村金融征信等业务，深入整合和构建现</w:t>
      </w:r>
      <w:r>
        <w:rPr>
          <w:spacing w:val="-83"/>
        </w:rPr>
        <w:t> </w:t>
      </w:r>
      <w:r>
        <w:rPr>
          <w:spacing w:val="-83"/>
        </w:rPr>
      </w:r>
      <w:r>
        <w:rPr/>
        <w:t>代农业服务价值链，实现智慧农村数据、信息、资金和物资的融合管理和更好利用。</w:t>
      </w:r>
    </w:p>
    <w:p>
      <w:pPr>
        <w:pStyle w:val="BodyText"/>
        <w:spacing w:line="398" w:lineRule="auto" w:before="83"/>
        <w:ind w:right="0" w:firstLine="420"/>
        <w:jc w:val="left"/>
      </w:pPr>
      <w:r>
        <w:rPr/>
        <w:t>软件及其他业务板块，公司将持续推进应用软件</w:t>
      </w:r>
      <w:r>
        <w:rPr>
          <w:rFonts w:ascii="Times New Roman" w:hAnsi="Times New Roman" w:cs="Times New Roman" w:eastAsia="Times New Roman" w:hint="default"/>
        </w:rPr>
        <w:t>"</w:t>
      </w:r>
      <w:r>
        <w:rPr/>
        <w:t>产品化</w:t>
      </w:r>
      <w:r>
        <w:rPr>
          <w:rFonts w:ascii="Times New Roman" w:hAnsi="Times New Roman" w:cs="Times New Roman" w:eastAsia="Times New Roman" w:hint="default"/>
        </w:rPr>
        <w:t>+</w:t>
      </w:r>
      <w:r>
        <w:rPr/>
        <w:t>平台化</w:t>
      </w:r>
      <w:r>
        <w:rPr>
          <w:rFonts w:ascii="Times New Roman" w:hAnsi="Times New Roman" w:cs="Times New Roman" w:eastAsia="Times New Roman" w:hint="default"/>
        </w:rPr>
        <w:t>"</w:t>
      </w:r>
      <w:r>
        <w:rPr/>
        <w:t>的发展方向，加大通用软件和</w:t>
      </w:r>
      <w:r>
        <w:rPr>
          <w:spacing w:val="-53"/>
        </w:rPr>
        <w:t> </w:t>
      </w:r>
      <w:r>
        <w:rPr>
          <w:rFonts w:ascii="Times New Roman" w:hAnsi="Times New Roman" w:cs="Times New Roman" w:eastAsia="Times New Roman" w:hint="default"/>
        </w:rPr>
        <w:t>SaaS</w:t>
      </w:r>
      <w:r>
        <w:rPr>
          <w:rFonts w:ascii="Times New Roman" w:hAnsi="Times New Roman" w:cs="Times New Roman" w:eastAsia="Times New Roman" w:hint="default"/>
          <w:w w:val="99"/>
        </w:rPr>
        <w:t> </w:t>
      </w:r>
      <w:r>
        <w:rPr/>
        <w:t>服务运营类软件的研发，同时在平台化方面拓展金融、税务等行业客户。在金融专用设备板块，公司将继 </w:t>
      </w:r>
      <w:r>
        <w:rPr>
          <w:spacing w:val="-4"/>
        </w:rPr>
        <w:t>续加强与中小型金融机构特别是城商行的合作，同时联合日本</w:t>
      </w:r>
      <w:r>
        <w:rPr>
          <w:spacing w:val="-78"/>
        </w:rPr>
        <w:t> </w:t>
      </w:r>
      <w:r>
        <w:rPr>
          <w:rFonts w:ascii="Times New Roman" w:hAnsi="Times New Roman" w:cs="Times New Roman" w:eastAsia="Times New Roman" w:hint="default"/>
          <w:spacing w:val="-1"/>
          <w:w w:val="99"/>
        </w:rPr>
        <w:t>OKI</w:t>
      </w:r>
      <w:r>
        <w:rPr>
          <w:rFonts w:ascii="Times New Roman" w:hAnsi="Times New Roman" w:cs="Times New Roman" w:eastAsia="Times New Roman" w:hint="default"/>
          <w:spacing w:val="-27"/>
          <w:w w:val="99"/>
        </w:rPr>
        <w:t> </w:t>
      </w:r>
      <w:r>
        <w:rPr/>
        <w:t>公司提升</w:t>
      </w:r>
      <w:r>
        <w:rPr>
          <w:spacing w:val="-79"/>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25"/>
          <w:w w:val="99"/>
        </w:rPr>
        <w:t> </w:t>
      </w:r>
      <w:r>
        <w:rPr/>
        <w:t>设备的研发创新和生产，</w:t>
      </w:r>
      <w:r>
        <w:rPr>
          <w:spacing w:val="-103"/>
        </w:rPr>
        <w:t> </w:t>
      </w:r>
      <w:r>
        <w:rPr/>
        <w:t>完善产业链。在集成业务板块，公司将持续推动业务质量和盈利能力提升，将集成业务向增值服务转型，</w:t>
      </w:r>
      <w:r>
        <w:rPr>
          <w:spacing w:val="-38"/>
        </w:rPr>
        <w:t> </w:t>
      </w:r>
      <w:r>
        <w:rPr>
          <w:spacing w:val="-38"/>
        </w:rPr>
      </w:r>
      <w:r>
        <w:rPr/>
        <w:t>逐步降低系统集成的收入占比，提升技术服务、软件和云服务的收入占比，以提升整体盈利能力。</w:t>
      </w:r>
    </w:p>
    <w:p>
      <w:pPr>
        <w:pStyle w:val="BodyText"/>
        <w:spacing w:line="240" w:lineRule="auto" w:before="95"/>
        <w:ind w:left="573" w:right="1135"/>
        <w:jc w:val="left"/>
      </w:pPr>
      <w:r>
        <w:rPr/>
        <w:t>（三）</w:t>
      </w:r>
      <w:r>
        <w:rPr>
          <w:rFonts w:ascii="Times New Roman" w:hAnsi="Times New Roman" w:cs="Times New Roman" w:eastAsia="Times New Roman" w:hint="default"/>
        </w:rPr>
        <w:t>2016 </w:t>
      </w:r>
      <w:r>
        <w:rPr/>
        <w:t>年经营计划</w:t>
      </w:r>
    </w:p>
    <w:p>
      <w:pPr>
        <w:spacing w:line="240" w:lineRule="auto" w:before="8"/>
        <w:rPr>
          <w:rFonts w:ascii="宋体" w:hAnsi="宋体" w:cs="宋体" w:eastAsia="宋体" w:hint="default"/>
          <w:sz w:val="16"/>
          <w:szCs w:val="16"/>
        </w:rPr>
      </w:pPr>
    </w:p>
    <w:p>
      <w:pPr>
        <w:pStyle w:val="BodyText"/>
        <w:spacing w:line="240" w:lineRule="auto"/>
        <w:ind w:left="680" w:right="1135"/>
        <w:jc w:val="left"/>
      </w:pPr>
      <w:r>
        <w:rPr>
          <w:rFonts w:ascii="Times New Roman" w:hAnsi="Times New Roman" w:cs="Times New Roman" w:eastAsia="Times New Roman" w:hint="default"/>
        </w:rPr>
        <w:t>1</w:t>
      </w:r>
      <w:r>
        <w:rPr/>
        <w:t>、大力推进技术服务、软件及云业务的发展升级</w:t>
      </w:r>
    </w:p>
    <w:p>
      <w:pPr>
        <w:spacing w:line="240" w:lineRule="auto" w:before="6"/>
        <w:rPr>
          <w:rFonts w:ascii="宋体" w:hAnsi="宋体" w:cs="宋体" w:eastAsia="宋体" w:hint="default"/>
          <w:sz w:val="16"/>
          <w:szCs w:val="16"/>
        </w:rPr>
      </w:pPr>
    </w:p>
    <w:p>
      <w:pPr>
        <w:pStyle w:val="BodyText"/>
        <w:spacing w:line="386" w:lineRule="auto"/>
        <w:ind w:right="1118"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spacing w:val="-2"/>
        </w:rPr>
        <w:t>年，公司将依托产品、标准、流程、制度，融合数据库和知识库，大力推进技术服务业务的自动</w:t>
      </w:r>
      <w:r>
        <w:rPr/>
        <w:t> 化、智能化和平台化发展水平。加强通用软件产品的跨行业跨领域销售；进一步整合资源，丰富</w:t>
      </w:r>
      <w:r>
        <w:rPr>
          <w:spacing w:val="-51"/>
        </w:rPr>
        <w:t> </w:t>
      </w:r>
      <w:r>
        <w:rPr>
          <w:rFonts w:ascii="Times New Roman" w:hAnsi="Times New Roman" w:cs="Times New Roman" w:eastAsia="Times New Roman" w:hint="default"/>
        </w:rPr>
        <w:t>SaaS </w:t>
      </w:r>
      <w:r>
        <w:rPr/>
        <w:t>和 </w:t>
      </w:r>
      <w:r>
        <w:rPr>
          <w:rFonts w:ascii="Times New Roman" w:hAnsi="Times New Roman" w:cs="Times New Roman" w:eastAsia="Times New Roman" w:hint="default"/>
        </w:rPr>
        <w:t>PaaS</w:t>
      </w:r>
      <w:r>
        <w:rPr>
          <w:rFonts w:ascii="Times New Roman" w:hAnsi="Times New Roman" w:cs="Times New Roman" w:eastAsia="Times New Roman" w:hint="default"/>
          <w:spacing w:val="-1"/>
        </w:rPr>
        <w:t> </w:t>
      </w:r>
      <w:r>
        <w:rPr/>
        <w:t>行业云平台的业务功能，并融合构建企业服务云平台。</w:t>
      </w:r>
    </w:p>
    <w:p>
      <w:pPr>
        <w:pStyle w:val="BodyText"/>
        <w:spacing w:line="240" w:lineRule="auto" w:before="76"/>
        <w:ind w:left="573" w:right="1135"/>
        <w:jc w:val="left"/>
      </w:pPr>
      <w:r>
        <w:rPr>
          <w:rFonts w:ascii="Times New Roman" w:hAnsi="Times New Roman" w:cs="Times New Roman" w:eastAsia="Times New Roman" w:hint="default"/>
        </w:rPr>
        <w:t>2</w:t>
      </w:r>
      <w:r>
        <w:rPr/>
        <w:t>、加快行业整合和外延式发展</w:t>
      </w:r>
    </w:p>
    <w:p>
      <w:pPr>
        <w:spacing w:line="240" w:lineRule="auto" w:before="7"/>
        <w:rPr>
          <w:rFonts w:ascii="宋体" w:hAnsi="宋体" w:cs="宋体" w:eastAsia="宋体" w:hint="default"/>
          <w:sz w:val="16"/>
          <w:szCs w:val="16"/>
        </w:rPr>
      </w:pPr>
    </w:p>
    <w:p>
      <w:pPr>
        <w:pStyle w:val="BodyText"/>
        <w:spacing w:line="398" w:lineRule="auto"/>
        <w:ind w:right="1133" w:firstLine="420"/>
        <w:jc w:val="both"/>
      </w:pPr>
      <w:r>
        <w:rPr>
          <w:rFonts w:ascii="Times New Roman" w:hAnsi="Times New Roman" w:cs="Times New Roman" w:eastAsia="Times New Roman" w:hint="default"/>
        </w:rPr>
        <w:t>2016 </w:t>
      </w:r>
      <w:r>
        <w:rPr/>
        <w:t>年，公司将进一步把握</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产业转型升级的机会，围绕公司既定的产业互联网发展战略，凭借领 </w:t>
      </w:r>
      <w:r>
        <w:rPr>
          <w:spacing w:val="-1"/>
        </w:rPr>
        <w:t>先的行业地位和影响力，在新领域、新技术、新模式等方面加强资本运作和行业整合，完善公司战略业务</w:t>
      </w:r>
      <w:r>
        <w:rPr>
          <w:spacing w:val="-85"/>
        </w:rPr>
        <w:t> </w:t>
      </w:r>
      <w:r>
        <w:rPr>
          <w:spacing w:val="-85"/>
        </w:rPr>
      </w:r>
      <w:r>
        <w:rPr/>
        <w:t>布局，形成新的业务增长点，发挥业务多元和协同的优势，推动公司的跨越式发展和创新。</w:t>
      </w:r>
    </w:p>
    <w:p>
      <w:pPr>
        <w:pStyle w:val="BodyText"/>
        <w:spacing w:line="240" w:lineRule="auto" w:before="94"/>
        <w:ind w:left="573" w:right="1135"/>
        <w:jc w:val="left"/>
      </w:pPr>
      <w:r>
        <w:rPr>
          <w:rFonts w:ascii="Times New Roman" w:hAnsi="Times New Roman" w:cs="Times New Roman" w:eastAsia="Times New Roman" w:hint="default"/>
        </w:rPr>
        <w:t>3</w:t>
      </w:r>
      <w:r>
        <w:rPr/>
        <w:t>、完善创新创业的内部生态机制</w:t>
      </w:r>
    </w:p>
    <w:p>
      <w:pPr>
        <w:spacing w:line="240" w:lineRule="auto" w:before="8"/>
        <w:rPr>
          <w:rFonts w:ascii="宋体" w:hAnsi="宋体" w:cs="宋体" w:eastAsia="宋体" w:hint="default"/>
          <w:sz w:val="16"/>
          <w:szCs w:val="16"/>
        </w:rPr>
      </w:pPr>
    </w:p>
    <w:p>
      <w:pPr>
        <w:pStyle w:val="BodyText"/>
        <w:spacing w:line="398" w:lineRule="auto"/>
        <w:ind w:right="1131" w:firstLine="420"/>
        <w:jc w:val="both"/>
      </w:pPr>
      <w:r>
        <w:rPr/>
        <w:t>为了鼓励员工创新创业的意识，提升公司的创新发展能力，</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spacing w:val="-3"/>
        </w:rPr>
        <w:t>年公司将在组织结构、激励机制、资</w:t>
      </w:r>
      <w:r>
        <w:rPr/>
        <w:t> </w:t>
      </w:r>
      <w:r>
        <w:rPr>
          <w:spacing w:val="-1"/>
        </w:rPr>
        <w:t>源投入、业务管控等方面进一步调整优化，深化责任、激情、创新的企业文化，为员工的成长、创新和创</w:t>
      </w:r>
      <w:r>
        <w:rPr>
          <w:spacing w:val="-83"/>
        </w:rPr>
        <w:t> </w:t>
      </w:r>
      <w:r>
        <w:rPr>
          <w:spacing w:val="-83"/>
        </w:rPr>
      </w:r>
      <w:r>
        <w:rPr/>
        <w:t>业提供沃土。</w:t>
      </w:r>
    </w:p>
    <w:p>
      <w:pPr>
        <w:pStyle w:val="BodyText"/>
        <w:spacing w:line="240" w:lineRule="auto" w:before="94"/>
        <w:ind w:left="573" w:right="1135"/>
        <w:jc w:val="left"/>
      </w:pPr>
      <w:r>
        <w:rPr/>
        <w:t>（四）公司可能面临的风险</w:t>
      </w:r>
    </w:p>
    <w:p>
      <w:pPr>
        <w:spacing w:line="240" w:lineRule="auto" w:before="10"/>
        <w:rPr>
          <w:rFonts w:ascii="宋体" w:hAnsi="宋体" w:cs="宋体" w:eastAsia="宋体" w:hint="default"/>
          <w:sz w:val="17"/>
          <w:szCs w:val="17"/>
        </w:rPr>
      </w:pPr>
    </w:p>
    <w:p>
      <w:pPr>
        <w:pStyle w:val="BodyText"/>
        <w:spacing w:line="420" w:lineRule="auto"/>
        <w:ind w:left="573" w:right="0"/>
        <w:jc w:val="left"/>
      </w:pPr>
      <w:r>
        <w:rPr>
          <w:rFonts w:ascii="Times New Roman" w:hAnsi="Times New Roman" w:cs="Times New Roman" w:eastAsia="Times New Roman" w:hint="default"/>
        </w:rPr>
        <w:t>1</w:t>
      </w:r>
      <w:r>
        <w:rPr/>
        <w:t>、市场竞争风险 </w:t>
      </w:r>
      <w:r>
        <w:rPr>
          <w:spacing w:val="-1"/>
        </w:rPr>
        <w:t>随着近年来行业客户需求的增长以及虚拟化、云计算、移动互联等新技术和模式的出现，我国的软件</w:t>
      </w:r>
    </w:p>
    <w:p>
      <w:pPr>
        <w:pStyle w:val="BodyText"/>
        <w:spacing w:line="386" w:lineRule="auto" w:before="35"/>
        <w:ind w:right="1120"/>
        <w:jc w:val="left"/>
      </w:pPr>
      <w:r>
        <w:rPr>
          <w:spacing w:val="-2"/>
        </w:rPr>
        <w:t>与信息技术服务市场规模不断扩大，市场竞争也不断加剧。</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6"/>
        </w:rPr>
        <w:t> </w:t>
      </w:r>
      <w:r>
        <w:rPr>
          <w:spacing w:val="-2"/>
        </w:rPr>
        <w:t>年，公司依旧面临着现有产品及服务市场</w:t>
      </w:r>
      <w:r>
        <w:rPr>
          <w:spacing w:val="-103"/>
        </w:rPr>
        <w:t> </w:t>
      </w:r>
      <w:r>
        <w:rPr>
          <w:spacing w:val="-103"/>
        </w:rPr>
      </w:r>
      <w:r>
        <w:rPr/>
        <w:t>竞争加剧的风险，在个别细分市场或者项目上可能出现价格战等不规范竞争。</w:t>
      </w:r>
    </w:p>
    <w:p>
      <w:pPr>
        <w:pStyle w:val="BodyText"/>
        <w:spacing w:line="240" w:lineRule="auto" w:before="105"/>
        <w:ind w:left="573" w:right="1135"/>
        <w:jc w:val="left"/>
      </w:pPr>
      <w:r>
        <w:rPr>
          <w:rFonts w:ascii="Times New Roman" w:hAnsi="Times New Roman" w:cs="Times New Roman" w:eastAsia="Times New Roman" w:hint="default"/>
        </w:rPr>
        <w:t>2</w:t>
      </w:r>
      <w:r>
        <w:rPr/>
        <w:t>、产品技术风险</w:t>
      </w:r>
    </w:p>
    <w:p>
      <w:pPr>
        <w:spacing w:line="240" w:lineRule="auto" w:before="6"/>
        <w:rPr>
          <w:rFonts w:ascii="宋体" w:hAnsi="宋体" w:cs="宋体" w:eastAsia="宋体" w:hint="default"/>
          <w:sz w:val="16"/>
          <w:szCs w:val="16"/>
        </w:rPr>
      </w:pPr>
    </w:p>
    <w:p>
      <w:pPr>
        <w:pStyle w:val="BodyText"/>
        <w:spacing w:line="240" w:lineRule="auto"/>
        <w:ind w:left="573" w:right="1135"/>
        <w:jc w:val="left"/>
      </w:pPr>
      <w:r>
        <w:rPr/>
        <w:t>神州信息十分注重技术产品开发的质量，并依据 </w:t>
      </w:r>
      <w:r>
        <w:rPr>
          <w:rFonts w:ascii="Times New Roman" w:hAnsi="Times New Roman" w:cs="Times New Roman" w:eastAsia="Times New Roman" w:hint="default"/>
        </w:rPr>
        <w:t>GB/T19001-2000 idt</w:t>
      </w:r>
      <w:r>
        <w:rPr/>
        <w:t>、</w:t>
      </w:r>
      <w:r>
        <w:rPr>
          <w:rFonts w:ascii="Times New Roman" w:hAnsi="Times New Roman" w:cs="Times New Roman" w:eastAsia="Times New Roman" w:hint="default"/>
        </w:rPr>
        <w:t>ISO9000  </w:t>
      </w:r>
      <w:r>
        <w:rPr/>
        <w:t>和 </w:t>
      </w:r>
      <w:r>
        <w:rPr>
          <w:rFonts w:ascii="Times New Roman" w:hAnsi="Times New Roman" w:cs="Times New Roman" w:eastAsia="Times New Roman" w:hint="default"/>
        </w:rPr>
        <w:t>CMMI</w:t>
      </w:r>
      <w:r>
        <w:rPr>
          <w:rFonts w:ascii="Times New Roman" w:hAnsi="Times New Roman" w:cs="Times New Roman" w:eastAsia="Times New Roman" w:hint="default"/>
          <w:spacing w:val="-4"/>
        </w:rPr>
        <w:t> </w:t>
      </w:r>
      <w:r>
        <w:rPr/>
        <w:t>等标准，</w:t>
      </w:r>
    </w:p>
    <w:p>
      <w:pPr>
        <w:spacing w:after="0" w:line="240" w:lineRule="auto"/>
        <w:jc w:val="left"/>
        <w:sectPr>
          <w:pgSz w:w="11910" w:h="16840"/>
          <w:pgMar w:header="0" w:footer="1226" w:top="1060" w:bottom="142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结合自身丰富的技术开发经验，形成了有效的技术管理体系和质量控制标准。但是由于软件开发具有高度</w:t>
      </w:r>
      <w:r>
        <w:rPr>
          <w:spacing w:val="-81"/>
        </w:rPr>
        <w:t> </w:t>
      </w:r>
      <w:r>
        <w:rPr>
          <w:spacing w:val="-81"/>
        </w:rPr>
      </w:r>
      <w:r>
        <w:rPr>
          <w:spacing w:val="-1"/>
        </w:rPr>
        <w:t>的复杂性，公司无法完全避免开发的软件和技术产品存在缺陷的可能。如果公司开发的软件技术产品出现</w:t>
      </w:r>
      <w:r>
        <w:rPr>
          <w:spacing w:val="-81"/>
        </w:rPr>
        <w:t> </w:t>
      </w:r>
      <w:r>
        <w:rPr>
          <w:spacing w:val="-81"/>
        </w:rPr>
      </w:r>
      <w:r>
        <w:rPr>
          <w:spacing w:val="-1"/>
        </w:rPr>
        <w:t>质量问题，可能将对客户的业务运作产生不利影响，并可能因此额外增加公司的成本。此外，产品质量问</w:t>
      </w:r>
      <w:r>
        <w:rPr>
          <w:spacing w:val="-86"/>
        </w:rPr>
        <w:t> </w:t>
      </w:r>
      <w:r>
        <w:rPr>
          <w:spacing w:val="-86"/>
        </w:rPr>
      </w:r>
      <w:r>
        <w:rPr/>
        <w:t>题引发的纠纷、索赔或诉讼，也将对神州信息的市场信誉或市场地位产生负面影响。</w:t>
      </w:r>
    </w:p>
    <w:p>
      <w:pPr>
        <w:pStyle w:val="BodyText"/>
        <w:spacing w:line="420" w:lineRule="auto" w:before="85"/>
        <w:ind w:left="573" w:right="0"/>
        <w:jc w:val="left"/>
      </w:pPr>
      <w:r>
        <w:rPr>
          <w:rFonts w:ascii="Times New Roman" w:hAnsi="Times New Roman" w:cs="Times New Roman" w:eastAsia="Times New Roman" w:hint="default"/>
        </w:rPr>
        <w:t>3</w:t>
      </w:r>
      <w:r>
        <w:rPr/>
        <w:t>、人才流失风险 </w:t>
      </w:r>
      <w:r>
        <w:rPr>
          <w:spacing w:val="-1"/>
        </w:rPr>
        <w:t>神州信息是一家技术密集的高科技创新型企业，技术研发和创新对核心技术人员和关键管理人员的依</w:t>
      </w:r>
    </w:p>
    <w:p>
      <w:pPr>
        <w:pStyle w:val="BodyText"/>
        <w:spacing w:line="408" w:lineRule="auto" w:before="35"/>
        <w:ind w:right="1131"/>
        <w:jc w:val="both"/>
      </w:pPr>
      <w:r>
        <w:rPr>
          <w:spacing w:val="-1"/>
        </w:rPr>
        <w:t>赖性较大。多年来，公司通过提供有竞争力的薪酬福利，建立公平的晋升机制，创造开放、协作的工作环</w:t>
      </w:r>
      <w:r>
        <w:rPr>
          <w:spacing w:val="-83"/>
        </w:rPr>
        <w:t> </w:t>
      </w:r>
      <w:r>
        <w:rPr>
          <w:spacing w:val="-83"/>
        </w:rPr>
      </w:r>
      <w:r>
        <w:rPr>
          <w:spacing w:val="-1"/>
        </w:rPr>
        <w:t>境和企业文化氛围，努力吸引人才、培养人才和保留人才。但面对日益激烈的信息技术人才竞争，仍存在</w:t>
      </w:r>
      <w:r>
        <w:rPr>
          <w:spacing w:val="-86"/>
        </w:rPr>
        <w:t> </w:t>
      </w:r>
      <w:r>
        <w:rPr>
          <w:spacing w:val="-86"/>
        </w:rPr>
      </w:r>
      <w:r>
        <w:rPr>
          <w:spacing w:val="-1"/>
        </w:rPr>
        <w:t>着因关键人才流失而对公司的业务发展造成一定困难的可能。因此，神州信息面临着如何提高核心技术人</w:t>
      </w:r>
      <w:r>
        <w:rPr>
          <w:spacing w:val="-81"/>
        </w:rPr>
        <w:t> </w:t>
      </w:r>
      <w:r>
        <w:rPr>
          <w:spacing w:val="-81"/>
        </w:rPr>
      </w:r>
      <w:r>
        <w:rPr/>
        <w:t>员的忠诚度和归属感，有效保留和吸引人才的风险。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0"/>
        <w:jc w:val="both"/>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844"/>
        <w:gridCol w:w="1134"/>
        <w:gridCol w:w="739"/>
        <w:gridCol w:w="680"/>
        <w:gridCol w:w="5173"/>
      </w:tblGrid>
      <w:tr>
        <w:trPr>
          <w:trHeight w:val="475" w:hRule="exact"/>
        </w:trPr>
        <w:tc>
          <w:tcPr>
            <w:tcW w:w="18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54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1">
              <w:r>
                <w:rPr>
                  <w:rFonts w:ascii="Times New Roman"/>
                  <w:sz w:val="18"/>
                </w:rPr>
                <w:t>http://www.cninfo.com.cn/finalpage/2015-01-12/1200537816.PDF</w:t>
              </w:r>
            </w:hyperlink>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left="22" w:right="0"/>
              <w:jc w:val="left"/>
              <w:rPr>
                <w:rFonts w:ascii="Times New Roman" w:hAnsi="Times New Roman" w:cs="Times New Roman" w:eastAsia="Times New Roman" w:hint="default"/>
                <w:sz w:val="18"/>
                <w:szCs w:val="18"/>
              </w:rPr>
            </w:pPr>
            <w:hyperlink r:id="rId22">
              <w:r>
                <w:rPr>
                  <w:rFonts w:ascii="Times New Roman"/>
                  <w:sz w:val="18"/>
                </w:rPr>
                <w:t>http://www.cninfo.com.cn/finalpage/2015-01-21/1200566144.PDF</w:t>
              </w:r>
            </w:hyperlink>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3">
              <w:r>
                <w:rPr>
                  <w:rFonts w:ascii="Times New Roman"/>
                  <w:sz w:val="18"/>
                </w:rPr>
                <w:t>http://www.cninfo.com.cn/finalpage/2015-05-12/1201005393.PDF</w:t>
              </w:r>
            </w:hyperlink>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4">
              <w:r>
                <w:rPr>
                  <w:rFonts w:ascii="Times New Roman"/>
                  <w:sz w:val="18"/>
                </w:rPr>
                <w:t>http://www.cninfo.com.cn/finalpage/2015-05-19/1201035923.PDF</w:t>
              </w:r>
            </w:hyperlink>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left="22" w:right="0"/>
              <w:jc w:val="left"/>
              <w:rPr>
                <w:rFonts w:ascii="Times New Roman" w:hAnsi="Times New Roman" w:cs="Times New Roman" w:eastAsia="Times New Roman" w:hint="default"/>
                <w:sz w:val="18"/>
                <w:szCs w:val="18"/>
              </w:rPr>
            </w:pPr>
            <w:hyperlink r:id="rId25">
              <w:r>
                <w:rPr>
                  <w:rFonts w:ascii="Times New Roman"/>
                  <w:sz w:val="18"/>
                </w:rPr>
                <w:t>http://www.cninfo.com.cn/finalpage/2015-09-10/1201575732.PDF</w:t>
              </w:r>
            </w:hyperlink>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6">
              <w:r>
                <w:rPr>
                  <w:rFonts w:ascii="Times New Roman"/>
                  <w:sz w:val="18"/>
                </w:rPr>
                <w:t>http://www.cninfo.com.cn/finalpage/2015-11-02/1201747509.PDF</w:t>
              </w:r>
            </w:hyperlink>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7">
              <w:r>
                <w:rPr>
                  <w:rFonts w:ascii="Times New Roman"/>
                  <w:sz w:val="18"/>
                </w:rPr>
                <w:t>http://www.cninfo.com.cn/finalpage/2015-12-09/1201824976.PDF</w:t>
              </w:r>
            </w:hyperlink>
          </w:p>
        </w:tc>
      </w:tr>
      <w:tr>
        <w:trPr>
          <w:trHeight w:val="464" w:hRule="exact"/>
        </w:trPr>
        <w:tc>
          <w:tcPr>
            <w:tcW w:w="371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z w:val="18"/>
              </w:rPr>
              <w:t>13</w:t>
            </w:r>
          </w:p>
        </w:tc>
      </w:tr>
      <w:tr>
        <w:trPr>
          <w:trHeight w:val="464" w:hRule="exact"/>
        </w:trPr>
        <w:tc>
          <w:tcPr>
            <w:tcW w:w="371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120</w:t>
            </w:r>
          </w:p>
        </w:tc>
      </w:tr>
      <w:tr>
        <w:trPr>
          <w:trHeight w:val="463" w:hRule="exact"/>
        </w:trPr>
        <w:tc>
          <w:tcPr>
            <w:tcW w:w="371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6</w:t>
            </w:r>
          </w:p>
        </w:tc>
      </w:tr>
      <w:tr>
        <w:trPr>
          <w:trHeight w:val="465" w:hRule="exact"/>
        </w:trPr>
        <w:tc>
          <w:tcPr>
            <w:tcW w:w="371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1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3717" w:type="dxa"/>
            <w:gridSpan w:val="3"/>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6" w:top="106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7"/>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5"/>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t>报告期内普通股利润分配政策，特别是现金分红政策的制定、执行或调整情况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386" w:lineRule="auto"/>
        <w:ind w:right="1132"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日，公司第六届董事会第八次会议审议通过了《未来三年（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1"/>
        </w:rPr>
        <w:t> </w:t>
      </w:r>
      <w:r>
        <w:rPr/>
        <w:t>年）股东回 </w:t>
      </w:r>
      <w:r>
        <w:rPr>
          <w:spacing w:val="-4"/>
        </w:rPr>
        <w:t>报规划》，同时修订了《公司章程》中关于利润分配的相关条款。上述议案已提交公司</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1"/>
        </w:rPr>
        <w:t>年年度股东大</w:t>
      </w:r>
      <w:r>
        <w:rPr>
          <w:spacing w:val="-103"/>
        </w:rPr>
        <w:t> </w:t>
      </w:r>
      <w:r>
        <w:rPr>
          <w:spacing w:val="-103"/>
        </w:rPr>
      </w:r>
      <w:r>
        <w:rPr/>
        <w:t>会进行审议通过。</w:t>
      </w:r>
    </w:p>
    <w:p>
      <w:pPr>
        <w:pStyle w:val="BodyText"/>
        <w:spacing w:line="240" w:lineRule="auto" w:before="103"/>
        <w:ind w:left="573" w:right="1135"/>
        <w:jc w:val="left"/>
      </w:pPr>
      <w:r>
        <w:rPr>
          <w:rFonts w:ascii="Times New Roman" w:hAnsi="Times New Roman" w:cs="Times New Roman" w:eastAsia="Times New Roman" w:hint="default"/>
          <w:spacing w:val="1"/>
        </w:rPr>
        <w:t>2</w:t>
      </w:r>
      <w:r>
        <w:rPr/>
        <w:t>、</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t>日，</w:t>
      </w:r>
      <w:r>
        <w:rPr>
          <w:spacing w:val="-2"/>
        </w:rPr>
        <w:t>公</w:t>
      </w:r>
      <w:r>
        <w:rPr/>
        <w:t>司</w:t>
      </w:r>
      <w:r>
        <w:rPr>
          <w:spacing w:val="-53"/>
        </w:rPr>
        <w:t> </w:t>
      </w:r>
      <w:r>
        <w:rPr>
          <w:rFonts w:ascii="Times New Roman" w:hAnsi="Times New Roman" w:cs="Times New Roman" w:eastAsia="Times New Roman" w:hint="default"/>
        </w:rPr>
        <w:t>2014 </w:t>
      </w:r>
      <w:r>
        <w:rPr/>
        <w:t>年</w:t>
      </w:r>
      <w:r>
        <w:rPr>
          <w:spacing w:val="-2"/>
        </w:rPr>
        <w:t>年</w:t>
      </w:r>
      <w:r>
        <w:rPr/>
        <w:t>度股东大会审议通过了《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2"/>
        </w:rPr>
        <w:t>度</w:t>
      </w:r>
      <w:r>
        <w:rPr/>
        <w:t>利润分配预案</w:t>
      </w:r>
      <w:r>
        <w:rPr>
          <w:spacing w:val="-105"/>
        </w:rPr>
        <w:t>》</w:t>
      </w:r>
      <w:r>
        <w:rPr/>
        <w:t>，利润</w:t>
      </w:r>
      <w:r>
        <w:rPr>
          <w:spacing w:val="-2"/>
        </w:rPr>
        <w:t>分</w:t>
      </w:r>
      <w:r>
        <w:rPr/>
        <w:t>配</w:t>
      </w:r>
    </w:p>
    <w:p>
      <w:pPr>
        <w:pStyle w:val="BodyText"/>
        <w:spacing w:line="240" w:lineRule="auto" w:before="177"/>
        <w:ind w:right="0"/>
        <w:jc w:val="left"/>
      </w:pPr>
      <w:r>
        <w:rPr/>
        <w:t>方案为以未来实施</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年度权益分配方案时股权登记日的总股本为基数，向全体股东每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股派发现金红</w:t>
      </w:r>
    </w:p>
    <w:p>
      <w:pPr>
        <w:pStyle w:val="BodyText"/>
        <w:spacing w:line="240" w:lineRule="auto" w:before="177"/>
        <w:ind w:right="0"/>
        <w:jc w:val="left"/>
        <w:rPr>
          <w:rFonts w:ascii="Times New Roman" w:hAnsi="Times New Roman" w:cs="Times New Roman" w:eastAsia="Times New Roman" w:hint="default"/>
        </w:rPr>
      </w:pPr>
      <w:r>
        <w:rPr/>
        <w:t>利</w:t>
      </w:r>
      <w:r>
        <w:rPr>
          <w:spacing w:val="-53"/>
        </w:rPr>
        <w:t> </w:t>
      </w:r>
      <w:r>
        <w:rPr>
          <w:rFonts w:ascii="Times New Roman" w:hAnsi="Times New Roman" w:cs="Times New Roman" w:eastAsia="Times New Roman" w:hint="default"/>
        </w:rPr>
        <w:t>0.60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spacing w:val="-1"/>
        </w:rPr>
        <w:t>(</w:t>
      </w:r>
      <w:r>
        <w:rPr>
          <w:spacing w:val="-2"/>
        </w:rPr>
        <w:t>含</w:t>
      </w:r>
      <w:r>
        <w:rPr/>
        <w:t>税</w:t>
      </w:r>
      <w:r>
        <w:rPr>
          <w:rFonts w:ascii="Times New Roman" w:hAnsi="Times New Roman" w:cs="Times New Roman" w:eastAsia="Times New Roman" w:hint="default"/>
          <w:spacing w:val="-1"/>
        </w:rPr>
        <w:t>)</w:t>
      </w:r>
      <w:r>
        <w:rPr>
          <w:spacing w:val="-15"/>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15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4 </w:t>
      </w:r>
      <w:r>
        <w:rPr/>
        <w:t>日</w:t>
      </w:r>
      <w:r>
        <w:rPr>
          <w:spacing w:val="-15"/>
        </w:rPr>
        <w:t>，</w:t>
      </w:r>
      <w:r>
        <w:rPr>
          <w:spacing w:val="-2"/>
        </w:rPr>
        <w:t>公</w:t>
      </w:r>
      <w:r>
        <w:rPr/>
        <w:t>司发布</w:t>
      </w:r>
      <w:r>
        <w:rPr>
          <w:spacing w:val="-15"/>
        </w:rPr>
        <w:t>了</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14 </w:t>
      </w:r>
      <w:r>
        <w:rPr/>
        <w:t>年度利</w:t>
      </w:r>
      <w:r>
        <w:rPr>
          <w:spacing w:val="-2"/>
        </w:rPr>
        <w:t>润</w:t>
      </w:r>
      <w:r>
        <w:rPr/>
        <w:t>分配实施公告</w:t>
      </w:r>
      <w:r>
        <w:rPr>
          <w:spacing w:val="-105"/>
        </w:rPr>
        <w:t>》</w:t>
      </w:r>
      <w:r>
        <w:rPr>
          <w:spacing w:val="-15"/>
        </w:rPr>
        <w:t>，</w:t>
      </w:r>
      <w:r>
        <w:rPr/>
        <w:t>股权登记日为</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p>
    <w:p>
      <w:pPr>
        <w:pStyle w:val="BodyText"/>
        <w:spacing w:line="240" w:lineRule="auto" w:before="178"/>
        <w:ind w:right="1135"/>
        <w:jc w:val="left"/>
      </w:pPr>
      <w:r>
        <w:rPr/>
        <w:t>月</w:t>
      </w:r>
      <w:r>
        <w:rPr>
          <w:spacing w:val="-54"/>
        </w:rPr>
        <w:t> </w:t>
      </w:r>
      <w:r>
        <w:rPr>
          <w:rFonts w:ascii="Times New Roman" w:hAnsi="Times New Roman" w:cs="Times New Roman" w:eastAsia="Times New Roman" w:hint="default"/>
        </w:rPr>
        <w:t>10 </w:t>
      </w:r>
      <w:r>
        <w:rPr/>
        <w:t>日，除权除息日为</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日。报告期内，公司派息工作已依法定程序顺利完成。</w:t>
      </w:r>
    </w:p>
    <w:p>
      <w:pPr>
        <w:spacing w:line="240" w:lineRule="auto" w:before="8"/>
        <w:rPr>
          <w:rFonts w:ascii="宋体" w:hAnsi="宋体" w:cs="宋体" w:eastAsia="宋体" w:hint="default"/>
          <w:sz w:val="16"/>
          <w:szCs w:val="16"/>
        </w:rPr>
      </w:pPr>
    </w:p>
    <w:p>
      <w:pPr>
        <w:pStyle w:val="BodyText"/>
        <w:spacing w:line="240" w:lineRule="auto"/>
        <w:ind w:left="573" w:right="113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日，公司第六届董事会第十二次会议审议通过了《关于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年半年度资本公积金</w:t>
      </w:r>
    </w:p>
    <w:p>
      <w:pPr>
        <w:pStyle w:val="BodyText"/>
        <w:spacing w:line="240" w:lineRule="auto" w:before="177"/>
        <w:ind w:right="0"/>
        <w:jc w:val="left"/>
      </w:pPr>
      <w:r>
        <w:rPr/>
        <w:t>转增股本预案的议案</w:t>
      </w:r>
      <w:r>
        <w:rPr>
          <w:spacing w:val="-105"/>
        </w:rPr>
        <w:t>》</w:t>
      </w:r>
      <w:r>
        <w:rPr>
          <w:spacing w:val="-106"/>
        </w:rPr>
        <w:t>，</w:t>
      </w:r>
      <w:r>
        <w:rPr/>
        <w:t>以公司总股本</w:t>
      </w:r>
      <w:r>
        <w:rPr>
          <w:spacing w:val="-56"/>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3"/>
        </w:rPr>
        <w:t> </w:t>
      </w:r>
      <w:r>
        <w:rPr/>
        <w:t>股为基数</w:t>
      </w:r>
      <w:r>
        <w:rPr>
          <w:spacing w:val="-106"/>
        </w:rPr>
        <w:t>，</w:t>
      </w:r>
      <w:r>
        <w:rPr/>
        <w:t>以资本公积金向全体股东每</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spacing w:val="-2"/>
        </w:rPr>
        <w:t>转</w:t>
      </w:r>
      <w:r>
        <w:rPr/>
        <w:t>增</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p>
    <w:p>
      <w:pPr>
        <w:pStyle w:val="BodyText"/>
        <w:spacing w:line="240" w:lineRule="auto" w:before="177"/>
        <w:ind w:right="1135"/>
        <w:jc w:val="left"/>
      </w:pPr>
      <w:r>
        <w:rPr>
          <w:rFonts w:ascii="Times New Roman" w:hAnsi="Times New Roman" w:cs="Times New Roman" w:eastAsia="Times New Roman" w:hint="default"/>
        </w:rPr>
        <w:t>2015 </w:t>
      </w:r>
      <w:r>
        <w:rPr/>
        <w:t>年半年度不送红股、不进行现金分红。此议案已经公司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年度第三次临</w:t>
      </w:r>
    </w:p>
    <w:p>
      <w:pPr>
        <w:pStyle w:val="BodyText"/>
        <w:spacing w:line="240" w:lineRule="auto" w:before="177"/>
        <w:ind w:right="0"/>
        <w:jc w:val="left"/>
        <w:rPr>
          <w:rFonts w:ascii="Times New Roman" w:hAnsi="Times New Roman" w:cs="Times New Roman" w:eastAsia="Times New Roman" w:hint="default"/>
        </w:rPr>
      </w:pPr>
      <w:r>
        <w:rPr/>
        <w:t>时股东大会进行审议通过</w:t>
      </w:r>
      <w:r>
        <w:rPr>
          <w:spacing w:val="-105"/>
        </w:rPr>
        <w:t>，</w:t>
      </w:r>
      <w:r>
        <w:rPr/>
        <w:t>并于</w:t>
      </w:r>
      <w:r>
        <w:rPr>
          <w:spacing w:val="-7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72"/>
        </w:rPr>
        <w:t>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w:t>
      </w:r>
      <w:r>
        <w:rPr>
          <w:spacing w:val="-7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2"/>
        </w:rPr>
        <w:t>日</w:t>
      </w:r>
      <w:r>
        <w:rPr/>
        <w:t>实施完毕</w:t>
      </w:r>
      <w:r>
        <w:rPr>
          <w:spacing w:val="-105"/>
        </w:rPr>
        <w:t>。</w:t>
      </w:r>
      <w:r>
        <w:rPr>
          <w:spacing w:val="-2"/>
        </w:rPr>
        <w:t>公</w:t>
      </w:r>
      <w:r>
        <w:rPr/>
        <w:t>司总股本由</w:t>
      </w:r>
      <w:r>
        <w:rPr>
          <w:spacing w:val="-72"/>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19"/>
        </w:rPr>
        <w:t> </w:t>
      </w:r>
      <w:r>
        <w:rPr>
          <w:spacing w:val="-2"/>
        </w:rPr>
        <w:t>股</w:t>
      </w:r>
      <w:r>
        <w:rPr/>
        <w:t>增加到</w:t>
      </w:r>
      <w:r>
        <w:rPr>
          <w:spacing w:val="-72"/>
        </w:rPr>
        <w:t> </w:t>
      </w:r>
      <w:r>
        <w:rPr>
          <w:rFonts w:ascii="Times New Roman" w:hAnsi="Times New Roman" w:cs="Times New Roman" w:eastAsia="Times New Roman" w:hint="default"/>
        </w:rPr>
        <w:t>917,8</w:t>
      </w:r>
      <w:r>
        <w:rPr>
          <w:rFonts w:ascii="Times New Roman" w:hAnsi="Times New Roman" w:cs="Times New Roman" w:eastAsia="Times New Roman" w:hint="default"/>
          <w:spacing w:val="-9"/>
        </w:rPr>
        <w:t>1</w:t>
      </w:r>
      <w:r>
        <w:rPr>
          <w:rFonts w:ascii="Times New Roman" w:hAnsi="Times New Roman" w:cs="Times New Roman" w:eastAsia="Times New Roman" w:hint="default"/>
        </w:rPr>
        <w:t>1,916</w:t>
      </w:r>
    </w:p>
    <w:p>
      <w:pPr>
        <w:pStyle w:val="BodyText"/>
        <w:spacing w:line="240" w:lineRule="auto" w:before="177"/>
        <w:ind w:right="1135"/>
        <w:jc w:val="left"/>
      </w:pPr>
      <w:r>
        <w:rPr/>
        <w:t>股。</w:t>
      </w:r>
    </w:p>
    <w:p>
      <w:pPr>
        <w:spacing w:line="240" w:lineRule="auto" w:before="12"/>
        <w:rPr>
          <w:rFonts w:ascii="宋体" w:hAnsi="宋体" w:cs="宋体" w:eastAsia="宋体" w:hint="default"/>
          <w:sz w:val="17"/>
          <w:szCs w:val="17"/>
        </w:rPr>
      </w:pPr>
    </w:p>
    <w:p>
      <w:pPr>
        <w:pStyle w:val="BodyText"/>
        <w:spacing w:line="240" w:lineRule="auto"/>
        <w:ind w:left="574" w:right="1135"/>
        <w:jc w:val="left"/>
      </w:pPr>
      <w:r>
        <w:rPr>
          <w:rFonts w:ascii="Times New Roman" w:hAnsi="Times New Roman" w:cs="Times New Roman" w:eastAsia="Times New Roman" w:hint="default"/>
        </w:rPr>
        <w:t>4</w:t>
      </w:r>
      <w:r>
        <w:rPr/>
        <w:t>、报告期内，公司利润分配政策符合《公司章程》的相关规定。</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7090"/>
        <w:gridCol w:w="2479"/>
      </w:tblGrid>
      <w:tr>
        <w:trPr>
          <w:trHeight w:val="459" w:hRule="exact"/>
        </w:trPr>
        <w:tc>
          <w:tcPr>
            <w:tcW w:w="9569"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63" w:hRule="exact"/>
        </w:trPr>
        <w:tc>
          <w:tcPr>
            <w:tcW w:w="7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479" w:type="dxa"/>
            <w:tcBorders>
              <w:top w:val="single" w:sz="16" w:space="0" w:color="D2D2D2"/>
              <w:left w:val="single" w:sz="13" w:space="0" w:color="D2D2D2"/>
              <w:bottom w:val="single" w:sz="4" w:space="0" w:color="000000"/>
              <w:right w:val="single" w:sz="12" w:space="0" w:color="000000"/>
            </w:tcBorders>
          </w:tcPr>
          <w:p>
            <w:pPr>
              <w:pStyle w:val="TableParagraph"/>
              <w:spacing w:line="240" w:lineRule="auto" w:before="67"/>
              <w:ind w:left="113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70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5"/>
          <w:szCs w:val="5"/>
        </w:rPr>
      </w:pPr>
    </w:p>
    <w:p>
      <w:pPr>
        <w:pStyle w:val="BodyText"/>
        <w:spacing w:line="240" w:lineRule="auto" w:before="35"/>
        <w:ind w:left="154" w:right="1135"/>
        <w:jc w:val="left"/>
      </w:pPr>
      <w:r>
        <w:rPr/>
        <w:t>公司近</w:t>
      </w:r>
      <w:r>
        <w:rPr>
          <w:spacing w:val="-52"/>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年度：公司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年度利润分配预案为拟以未来实施</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年度权益分配方案时股权登记日的</w:t>
      </w:r>
    </w:p>
    <w:p>
      <w:pPr>
        <w:spacing w:after="0" w:line="240" w:lineRule="auto"/>
        <w:jc w:val="left"/>
        <w:sectPr>
          <w:pgSz w:w="11910" w:h="16840"/>
          <w:pgMar w:header="0" w:footer="1226" w:top="1060" w:bottom="142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总股本为基数，向全体股东每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股</w:t>
      </w:r>
      <w:r>
        <w:rPr/>
        <w:t>派发现金红利</w:t>
      </w:r>
      <w:r>
        <w:rPr>
          <w:spacing w:val="-52"/>
        </w:rPr>
        <w:t> </w:t>
      </w:r>
      <w:r>
        <w:rPr>
          <w:rFonts w:ascii="Times New Roman" w:hAnsi="Times New Roman" w:cs="Times New Roman" w:eastAsia="Times New Roman" w:hint="default"/>
        </w:rPr>
        <w:t>0.4 </w:t>
      </w:r>
      <w:r>
        <w:rPr/>
        <w:t>元（</w:t>
      </w:r>
      <w:r>
        <w:rPr>
          <w:spacing w:val="-2"/>
        </w:rPr>
        <w:t>含</w:t>
      </w:r>
      <w:r>
        <w:rPr/>
        <w:t>税</w:t>
      </w:r>
      <w:r>
        <w:rPr>
          <w:spacing w:val="-105"/>
        </w:rPr>
        <w:t>）</w:t>
      </w:r>
      <w:r>
        <w:rPr/>
        <w:t>，不送</w:t>
      </w:r>
      <w:r>
        <w:rPr>
          <w:spacing w:val="-2"/>
        </w:rPr>
        <w:t>红</w:t>
      </w:r>
      <w:r>
        <w:rPr/>
        <w:t>股，不以公积金转增股本。以上</w:t>
      </w:r>
    </w:p>
    <w:p>
      <w:pPr>
        <w:pStyle w:val="BodyText"/>
        <w:spacing w:line="240" w:lineRule="auto" w:before="178"/>
        <w:ind w:right="1135"/>
        <w:jc w:val="left"/>
      </w:pPr>
      <w:r>
        <w:rPr/>
        <w:t>预案将提交公司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年年度股东大会进行审议。</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年半年度：公司</w:t>
      </w:r>
      <w:r>
        <w:rPr>
          <w:spacing w:val="-1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年半年度资本公积金转增股本预案为：以公司总股本</w:t>
      </w:r>
      <w:r>
        <w:rPr>
          <w:spacing w:val="-58"/>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6"/>
        </w:rPr>
        <w:t> </w:t>
      </w:r>
      <w:r>
        <w:rPr/>
        <w:t>股为</w:t>
      </w:r>
    </w:p>
    <w:p>
      <w:pPr>
        <w:pStyle w:val="BodyText"/>
        <w:spacing w:line="240" w:lineRule="auto" w:before="177"/>
        <w:ind w:right="0"/>
        <w:jc w:val="left"/>
      </w:pPr>
      <w:r>
        <w:rPr/>
        <w:t>基数，以资本公积金向全体股东每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股转增</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spacing w:val="-4"/>
        </w:rPr>
        <w:t>股；</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2"/>
        </w:rPr>
        <w:t> </w:t>
      </w:r>
      <w:r>
        <w:rPr/>
        <w:t>年半年度不送红股、不进行现金分红。上述预案</w:t>
      </w:r>
    </w:p>
    <w:p>
      <w:pPr>
        <w:pStyle w:val="BodyText"/>
        <w:spacing w:line="240" w:lineRule="auto" w:before="178"/>
        <w:ind w:right="1135"/>
        <w:jc w:val="left"/>
      </w:pPr>
      <w:r>
        <w:rPr/>
        <w:t>已于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日实施完毕。</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年度利润分配预案为拟以未来实施</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年度权益分配方案时股权登记日的</w:t>
      </w:r>
    </w:p>
    <w:p>
      <w:pPr>
        <w:pStyle w:val="BodyText"/>
        <w:spacing w:line="240" w:lineRule="auto" w:before="178"/>
        <w:ind w:left="154" w:right="1135"/>
        <w:jc w:val="left"/>
      </w:pPr>
      <w:r>
        <w:rPr/>
        <w:t>总股本为基数，向全体股东每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股</w:t>
      </w:r>
      <w:r>
        <w:rPr/>
        <w:t>派发现金红利</w:t>
      </w:r>
      <w:r>
        <w:rPr>
          <w:spacing w:val="-52"/>
        </w:rPr>
        <w:t> </w:t>
      </w:r>
      <w:r>
        <w:rPr>
          <w:rFonts w:ascii="Times New Roman" w:hAnsi="Times New Roman" w:cs="Times New Roman" w:eastAsia="Times New Roman" w:hint="default"/>
        </w:rPr>
        <w:t>0.60</w:t>
      </w:r>
      <w:r>
        <w:rPr>
          <w:rFonts w:ascii="Times New Roman" w:hAnsi="Times New Roman" w:cs="Times New Roman" w:eastAsia="Times New Roman" w:hint="default"/>
          <w:spacing w:val="1"/>
        </w:rPr>
        <w:t> </w:t>
      </w:r>
      <w:r>
        <w:rPr/>
        <w:t>元</w:t>
      </w:r>
      <w:r>
        <w:rPr>
          <w:spacing w:val="-2"/>
        </w:rPr>
        <w:t>（</w:t>
      </w:r>
      <w:r>
        <w:rPr/>
        <w:t>含税</w:t>
      </w:r>
      <w:r>
        <w:rPr>
          <w:spacing w:val="-105"/>
        </w:rPr>
        <w:t>）</w:t>
      </w:r>
      <w:r>
        <w:rPr/>
        <w:t>，不</w:t>
      </w:r>
      <w:r>
        <w:rPr>
          <w:spacing w:val="-2"/>
        </w:rPr>
        <w:t>送</w:t>
      </w:r>
      <w:r>
        <w:rPr/>
        <w:t>红股，不以公积金转增股本。</w:t>
      </w:r>
    </w:p>
    <w:p>
      <w:pPr>
        <w:spacing w:line="240" w:lineRule="auto" w:before="6"/>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年度：经信永中和会计师事务所（特殊普通合伙）审计，母公司累计可供股东分配的利润为</w:t>
      </w:r>
    </w:p>
    <w:p>
      <w:pPr>
        <w:pStyle w:val="BodyText"/>
        <w:spacing w:line="240" w:lineRule="auto" w:before="178"/>
        <w:ind w:left="154" w:right="0"/>
        <w:jc w:val="left"/>
      </w:pPr>
      <w:r>
        <w:rPr>
          <w:rFonts w:ascii="Times New Roman" w:hAnsi="Times New Roman" w:cs="Times New Roman" w:eastAsia="Times New Roman" w:hint="default"/>
        </w:rPr>
        <w:t>-28,182.12 </w:t>
      </w:r>
      <w:r>
        <w:rPr/>
        <w:t>万元。尚不满足分红条件，因此，</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年度不进行利润分配，也不进行资本公积金转增股本。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0"/>
        <w:ind w:left="154" w:right="1135"/>
        <w:jc w:val="left"/>
      </w:pPr>
      <w:r>
        <w:rPr/>
        <w:t>公司近三年（包括本报告期）普通股现金分红情况表</w:t>
      </w:r>
    </w:p>
    <w:p>
      <w:pPr>
        <w:spacing w:line="240" w:lineRule="auto" w:before="10"/>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995"/>
        <w:gridCol w:w="1714"/>
        <w:gridCol w:w="1715"/>
        <w:gridCol w:w="1714"/>
        <w:gridCol w:w="1716"/>
        <w:gridCol w:w="1714"/>
      </w:tblGrid>
      <w:tr>
        <w:trPr>
          <w:trHeight w:val="1036" w:hRule="exact"/>
        </w:trPr>
        <w:tc>
          <w:tcPr>
            <w:tcW w:w="9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1"/>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7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6"/>
                <w:sz w:val="18"/>
                <w:szCs w:val="18"/>
              </w:rPr>
              <w:t>现金分红金额（含税</w:t>
            </w:r>
          </w:p>
        </w:tc>
        <w:tc>
          <w:tcPr>
            <w:tcW w:w="17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p>
            <w:pPr>
              <w:pStyle w:val="TableParagraph"/>
              <w:spacing w:line="319" w:lineRule="auto" w:before="76"/>
              <w:ind w:left="221" w:right="41" w:hanging="345"/>
              <w:jc w:val="left"/>
              <w:rPr>
                <w:rFonts w:ascii="宋体" w:hAnsi="宋体" w:cs="宋体" w:eastAsia="宋体" w:hint="default"/>
                <w:sz w:val="18"/>
                <w:szCs w:val="18"/>
              </w:rPr>
            </w:pPr>
            <w:r>
              <w:rPr>
                <w:rFonts w:ascii="宋体" w:hAnsi="宋体" w:cs="宋体" w:eastAsia="宋体" w:hint="default"/>
                <w:spacing w:val="-2"/>
                <w:sz w:val="18"/>
                <w:szCs w:val="18"/>
              </w:rPr>
              <w:t>）归属于上市公司普通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股股东的净利润</w:t>
            </w:r>
          </w:p>
        </w:tc>
        <w:tc>
          <w:tcPr>
            <w:tcW w:w="17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 w:right="4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7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3" w:right="41"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的金额</w:t>
            </w:r>
          </w:p>
        </w:tc>
        <w:tc>
          <w:tcPr>
            <w:tcW w:w="171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1" w:right="30"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的比例</w:t>
            </w:r>
          </w:p>
        </w:tc>
      </w:tr>
      <w:tr>
        <w:trPr>
          <w:trHeight w:val="465" w:hRule="exact"/>
        </w:trPr>
        <w:tc>
          <w:tcPr>
            <w:tcW w:w="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36,712,476.64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350,620,327.31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0.00%</w:t>
            </w:r>
          </w:p>
        </w:tc>
      </w:tr>
      <w:tr>
        <w:trPr>
          <w:trHeight w:val="463" w:hRule="exact"/>
        </w:trPr>
        <w:tc>
          <w:tcPr>
            <w:tcW w:w="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27,534,357.48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279,531,140.01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9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254,718,777.19</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1135"/>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4963"/>
        <w:gridCol w:w="4605"/>
      </w:tblGrid>
      <w:tr>
        <w:trPr>
          <w:trHeight w:val="47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60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6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0.4</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6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10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6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917,811,916</w:t>
            </w: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6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36,712,476.64</w:t>
            </w: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6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135,131,802.21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060" w:bottom="14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952"/>
        <w:gridCol w:w="4617"/>
      </w:tblGrid>
      <w:tr>
        <w:trPr>
          <w:trHeight w:val="490" w:hRule="exact"/>
        </w:trPr>
        <w:tc>
          <w:tcPr>
            <w:tcW w:w="495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617" w:type="dxa"/>
            <w:tcBorders>
              <w:top w:val="single" w:sz="12" w:space="0" w:color="000000"/>
              <w:left w:val="single" w:sz="13" w:space="0" w:color="D2D2D2"/>
              <w:bottom w:val="single" w:sz="17"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100.00%</w:t>
            </w:r>
          </w:p>
        </w:tc>
      </w:tr>
      <w:tr>
        <w:trPr>
          <w:trHeight w:val="433"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96" w:hRule="exact"/>
        </w:trPr>
        <w:tc>
          <w:tcPr>
            <w:tcW w:w="9569" w:type="dxa"/>
            <w:gridSpan w:val="2"/>
            <w:tcBorders>
              <w:top w:val="single" w:sz="16" w:space="0" w:color="D2D2D2"/>
              <w:left w:val="single" w:sz="12" w:space="0" w:color="000000"/>
              <w:bottom w:val="single" w:sz="16" w:space="0" w:color="D2D2D2"/>
              <w:right w:val="single" w:sz="12"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48"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13" w:hRule="exact"/>
        </w:trPr>
        <w:tc>
          <w:tcPr>
            <w:tcW w:w="9569"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日，公司第六届董事会第十二次会议审议通过了《关于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年半年度资本公积金转增股本预案的</w:t>
            </w:r>
          </w:p>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议案》，以公司总股本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年半年度不送红股、不</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进行现金分红。此议案已经公司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年度第三次临时股东大会进行审议通过，并于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日实施完毕。公司总股本由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股增加到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、经信永中和会计师事务所（特殊普通合伙）审计，本公司母公司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103,339,623.26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《公司法》及《公司章程》的有关规定，按母公司弥补亏损后的净利润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10,333,962.33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元，实施</w:t>
            </w:r>
          </w:p>
          <w:p>
            <w:pPr>
              <w:pStyle w:val="TableParagraph"/>
              <w:spacing w:line="240" w:lineRule="auto" w:before="63"/>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年度权益分配向全体股东派发现金红利减少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27,534,357.48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，加上母公司年初未分配利润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69,660,498.76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年度本公司母公司实际可供股东分配的未分配利润为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135,131,802.21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37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日，公司第七届董事会第一次会议审议通过的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年度利润分配预案为：以未来实施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年度权</w:t>
            </w:r>
          </w:p>
          <w:p>
            <w:pPr>
              <w:pStyle w:val="TableParagraph"/>
              <w:spacing w:line="302" w:lineRule="auto" w:before="63"/>
              <w:ind w:left="13" w:right="11"/>
              <w:jc w:val="left"/>
              <w:rPr>
                <w:rFonts w:ascii="宋体" w:hAnsi="宋体" w:cs="宋体" w:eastAsia="宋体" w:hint="default"/>
                <w:sz w:val="18"/>
                <w:szCs w:val="18"/>
              </w:rPr>
            </w:pPr>
            <w:r>
              <w:rPr>
                <w:rFonts w:ascii="宋体" w:hAnsi="宋体" w:cs="宋体" w:eastAsia="宋体" w:hint="default"/>
                <w:spacing w:val="-1"/>
                <w:sz w:val="18"/>
                <w:szCs w:val="18"/>
              </w:rPr>
              <w:t>益分配方案时股权登记日的总股本为基数，向全体股东每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元（含税），送红股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股（含税），不以公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积金转增股本。本次利润分配预案尚需经股东大会审议通过后实施。</w:t>
            </w:r>
          </w:p>
        </w:tc>
      </w:tr>
    </w:tbl>
    <w:p>
      <w:pPr>
        <w:spacing w:after="0" w:line="302" w:lineRule="auto"/>
        <w:jc w:val="left"/>
        <w:rPr>
          <w:rFonts w:ascii="宋体" w:hAnsi="宋体" w:cs="宋体" w:eastAsia="宋体" w:hint="default"/>
          <w:sz w:val="18"/>
          <w:szCs w:val="18"/>
        </w:rPr>
        <w:sectPr>
          <w:pgSz w:w="11910" w:h="16840"/>
          <w:pgMar w:header="0" w:footer="1226" w:top="1060" w:bottom="1420" w:left="980" w:right="0"/>
        </w:sectPr>
      </w:pPr>
    </w:p>
    <w:p>
      <w:pPr>
        <w:pStyle w:val="Heading2"/>
        <w:spacing w:line="240" w:lineRule="auto" w:before="30"/>
        <w:ind w:left="160" w:right="0"/>
        <w:jc w:val="left"/>
        <w:rPr>
          <w:b w:val="0"/>
          <w:bCs w:val="0"/>
        </w:rPr>
      </w:pPr>
      <w:r>
        <w:rPr/>
        <w:pict>
          <v:group style="position:absolute;margin-left:70.5pt;margin-top:2.255627pt;width:701pt;height:.1pt;mso-position-horizontal-relative:page;mso-position-vertical-relative:paragraph;z-index:-1051864"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690.460022pt;margin-top:293.980011pt;width:80.150pt;height:25.4pt;mso-position-horizontal-relative:page;mso-position-vertical-relative:page;z-index:-1051840" coordorigin="13809,5880" coordsize="1603,508">
            <v:group style="position:absolute;left:13809;top:5880;width:1603;height:156" coordorigin="13809,5880" coordsize="1603,156">
              <v:shape style="position:absolute;left:13809;top:5880;width:1603;height:156" coordorigin="13809,5880" coordsize="1603,156" path="m13809,6036l15412,6036,15412,5880,13809,5880,13809,6036xe" filled="true" fillcolor="#ffffff" stroked="false">
                <v:path arrowok="t"/>
                <v:fill type="solid"/>
              </v:shape>
            </v:group>
            <v:group style="position:absolute;left:13832;top:6036;width:1568;height:352" coordorigin="13832,6036" coordsize="1568,352">
              <v:shape style="position:absolute;left:13832;top:6036;width:1568;height:352" coordorigin="13832,6036" coordsize="1568,352" path="m13832,6387l15400,6387,15400,6036,13832,6036,13832,6387xe" filled="true" fillcolor="#ffffff" stroked="false">
                <v:path arrowok="t"/>
                <v:fill type="solid"/>
              </v:shape>
            </v:group>
            <w10:wrap type="none"/>
          </v:group>
        </w:pict>
      </w: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60" w:right="0"/>
        <w:jc w:val="left"/>
        <w:rPr>
          <w:b w:val="0"/>
          <w:bCs w:val="0"/>
        </w:rPr>
      </w:pPr>
      <w:bookmarkStart w:name="1、公司、股东、实际控制人、收购人、董事、监事、高级管理人员或其他关联方在报告期" w:id="69"/>
      <w:bookmarkEnd w:id="69"/>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874"/>
        <w:gridCol w:w="989"/>
        <w:gridCol w:w="1278"/>
        <w:gridCol w:w="3400"/>
        <w:gridCol w:w="1561"/>
        <w:gridCol w:w="3290"/>
        <w:gridCol w:w="1622"/>
      </w:tblGrid>
      <w:tr>
        <w:trPr>
          <w:trHeight w:val="443" w:hRule="exact"/>
        </w:trPr>
        <w:tc>
          <w:tcPr>
            <w:tcW w:w="18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56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1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32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6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44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9" w:hRule="exact"/>
        </w:trPr>
        <w:tc>
          <w:tcPr>
            <w:tcW w:w="18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89" w:type="dxa"/>
            <w:tcBorders>
              <w:top w:val="single" w:sz="16" w:space="0" w:color="D2D2D2"/>
              <w:left w:val="single" w:sz="13" w:space="0" w:color="D2D2D2"/>
              <w:bottom w:val="single" w:sz="4" w:space="0" w:color="000000"/>
              <w:right w:val="single" w:sz="4" w:space="0" w:color="000000"/>
            </w:tcBorders>
          </w:tcPr>
          <w:p>
            <w:pPr/>
          </w:p>
        </w:tc>
        <w:tc>
          <w:tcPr>
            <w:tcW w:w="1278" w:type="dxa"/>
            <w:tcBorders>
              <w:top w:val="single" w:sz="16" w:space="0" w:color="D2D2D2"/>
              <w:left w:val="single" w:sz="4" w:space="0" w:color="000000"/>
              <w:bottom w:val="single" w:sz="4" w:space="0" w:color="000000"/>
              <w:right w:val="single" w:sz="4" w:space="0" w:color="000000"/>
            </w:tcBorders>
          </w:tcPr>
          <w:p>
            <w:pPr/>
          </w:p>
        </w:tc>
        <w:tc>
          <w:tcPr>
            <w:tcW w:w="3400" w:type="dxa"/>
            <w:tcBorders>
              <w:top w:val="single" w:sz="16" w:space="0" w:color="D2D2D2"/>
              <w:left w:val="single" w:sz="4" w:space="0" w:color="000000"/>
              <w:bottom w:val="single" w:sz="4" w:space="0" w:color="000000"/>
              <w:right w:val="single" w:sz="4" w:space="0" w:color="000000"/>
            </w:tcBorders>
          </w:tcPr>
          <w:p>
            <w:pPr/>
          </w:p>
        </w:tc>
        <w:tc>
          <w:tcPr>
            <w:tcW w:w="1561" w:type="dxa"/>
            <w:tcBorders>
              <w:top w:val="single" w:sz="16" w:space="0" w:color="D2D2D2"/>
              <w:left w:val="single" w:sz="4" w:space="0" w:color="000000"/>
              <w:bottom w:val="single" w:sz="4" w:space="0" w:color="000000"/>
              <w:right w:val="single" w:sz="4" w:space="0" w:color="000000"/>
            </w:tcBorders>
          </w:tcPr>
          <w:p>
            <w:pPr/>
          </w:p>
        </w:tc>
        <w:tc>
          <w:tcPr>
            <w:tcW w:w="3290" w:type="dxa"/>
            <w:tcBorders>
              <w:top w:val="single" w:sz="16" w:space="0" w:color="D2D2D2"/>
              <w:left w:val="single" w:sz="4" w:space="0" w:color="000000"/>
              <w:bottom w:val="single" w:sz="4" w:space="0" w:color="000000"/>
              <w:right w:val="single" w:sz="4" w:space="0" w:color="000000"/>
            </w:tcBorders>
          </w:tcPr>
          <w:p>
            <w:pPr/>
          </w:p>
        </w:tc>
        <w:tc>
          <w:tcPr>
            <w:tcW w:w="1622" w:type="dxa"/>
            <w:tcBorders>
              <w:top w:val="single" w:sz="16" w:space="0" w:color="D2D2D2"/>
              <w:left w:val="single" w:sz="4" w:space="0" w:color="000000"/>
              <w:bottom w:val="single" w:sz="4" w:space="0" w:color="000000"/>
              <w:right w:val="single" w:sz="12" w:space="0" w:color="000000"/>
            </w:tcBorders>
          </w:tcPr>
          <w:p>
            <w:pPr/>
          </w:p>
        </w:tc>
      </w:tr>
      <w:tr>
        <w:trPr>
          <w:trHeight w:val="714" w:hRule="exact"/>
        </w:trPr>
        <w:tc>
          <w:tcPr>
            <w:tcW w:w="18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3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989"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34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9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12" w:space="0" w:color="000000"/>
            </w:tcBorders>
          </w:tcPr>
          <w:p>
            <w:pPr/>
          </w:p>
        </w:tc>
      </w:tr>
      <w:tr>
        <w:trPr>
          <w:trHeight w:val="1338" w:hRule="exact"/>
        </w:trPr>
        <w:tc>
          <w:tcPr>
            <w:tcW w:w="1874" w:type="dxa"/>
            <w:vMerge w:val="restart"/>
            <w:tcBorders>
              <w:top w:val="single" w:sz="4" w:space="0" w:color="000000"/>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both"/>
              <w:rPr>
                <w:rFonts w:ascii="宋体" w:hAnsi="宋体" w:cs="宋体" w:eastAsia="宋体" w:hint="default"/>
                <w:sz w:val="18"/>
                <w:szCs w:val="18"/>
              </w:rPr>
            </w:pPr>
            <w:r>
              <w:rPr>
                <w:rFonts w:ascii="宋体" w:hAnsi="宋体" w:cs="宋体" w:eastAsia="宋体" w:hint="default"/>
                <w:sz w:val="18"/>
                <w:szCs w:val="18"/>
              </w:rPr>
              <w:t>华亿投资申 昌科技南京 汇庆神码软 件天津信锐</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《关于股份限售的承诺》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302" w:lineRule="auto" w:before="61"/>
              <w:ind w:left="22" w:right="3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日在巨潮资讯网上披露的《关于 </w:t>
            </w:r>
            <w:r>
              <w:rPr>
                <w:rFonts w:ascii="宋体" w:hAnsi="宋体" w:cs="宋体" w:eastAsia="宋体" w:hint="default"/>
                <w:spacing w:val="-5"/>
                <w:sz w:val="18"/>
                <w:szCs w:val="18"/>
              </w:rPr>
              <w:t>公司及相关方承诺事项履行情况的公告》。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279" w:hRule="exact"/>
        </w:trPr>
        <w:tc>
          <w:tcPr>
            <w:tcW w:w="1874" w:type="dxa"/>
            <w:vMerge/>
            <w:tcBorders>
              <w:left w:val="single" w:sz="12"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12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《关于股份限售的承诺》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302" w:lineRule="auto" w:before="61"/>
              <w:ind w:left="22" w:right="3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日在巨潮资讯网上披露的《关于 </w:t>
            </w:r>
            <w:r>
              <w:rPr>
                <w:rFonts w:ascii="宋体" w:hAnsi="宋体" w:cs="宋体" w:eastAsia="宋体" w:hint="default"/>
                <w:spacing w:val="-5"/>
                <w:sz w:val="18"/>
                <w:szCs w:val="18"/>
              </w:rPr>
              <w:t>公司及相关方承诺事项履行情况的公告》。</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vMerge w:val="restart"/>
            <w:tcBorders>
              <w:top w:val="single" w:sz="4" w:space="0" w:color="000000"/>
              <w:left w:val="single" w:sz="4" w:space="0" w:color="000000"/>
              <w:right w:val="single" w:sz="9" w:space="0" w:color="FFFFFF"/>
            </w:tcBorders>
          </w:tcPr>
          <w:p>
            <w:pPr>
              <w:pStyle w:val="TableParagraph"/>
              <w:spacing w:line="309" w:lineRule="auto" w:before="52"/>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个月，且前述限售期满后的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z w:val="18"/>
                <w:szCs w:val="18"/>
              </w:rPr>
              <w:t>减持股份不超过其取得股份的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。本次</w:t>
            </w:r>
            <w:r>
              <w:rPr>
                <w:rFonts w:ascii="宋体" w:hAnsi="宋体" w:cs="宋体" w:eastAsia="宋体" w:hint="default"/>
                <w:sz w:val="18"/>
                <w:szCs w:val="18"/>
              </w:rPr>
              <w:t> 发行结束后，由于上市公司送红股、转增 股本等原因增持的上市公司股份，亦应遵 守上述承诺。</w:t>
            </w:r>
          </w:p>
        </w:tc>
        <w:tc>
          <w:tcPr>
            <w:tcW w:w="1622" w:type="dxa"/>
            <w:vMerge w:val="restart"/>
            <w:tcBorders>
              <w:top w:val="single" w:sz="4" w:space="0" w:color="000000"/>
              <w:left w:val="single" w:sz="9" w:space="0" w:color="FFFFFF"/>
              <w:right w:val="single" w:sz="12" w:space="0" w:color="000000"/>
            </w:tcBorders>
          </w:tcPr>
          <w:p>
            <w:pPr>
              <w:pStyle w:val="TableParagraph"/>
              <w:spacing w:line="196" w:lineRule="exact" w:before="52"/>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41"/>
              <w:jc w:val="left"/>
              <w:rPr>
                <w:rFonts w:ascii="宋体" w:hAnsi="宋体" w:cs="宋体" w:eastAsia="宋体" w:hint="default"/>
                <w:sz w:val="18"/>
                <w:szCs w:val="18"/>
              </w:rPr>
            </w:pPr>
            <w:r>
              <w:rPr>
                <w:rFonts w:ascii="宋体" w:hAnsi="宋体" w:cs="宋体" w:eastAsia="宋体" w:hint="default"/>
                <w:sz w:val="18"/>
                <w:szCs w:val="18"/>
              </w:rPr>
              <w:t>截至本公告签署日，</w:t>
            </w:r>
          </w:p>
          <w:p>
            <w:pPr>
              <w:pStyle w:val="TableParagraph"/>
              <w:spacing w:line="319" w:lineRule="auto" w:before="75"/>
              <w:ind w:left="16" w:right="-41"/>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371" w:hRule="exact"/>
        </w:trPr>
        <w:tc>
          <w:tcPr>
            <w:tcW w:w="187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89"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3400"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3290" w:type="dxa"/>
            <w:vMerge/>
            <w:tcBorders>
              <w:left w:val="single" w:sz="4" w:space="0" w:color="000000"/>
              <w:bottom w:val="single" w:sz="4" w:space="0" w:color="000000"/>
              <w:right w:val="single" w:sz="9" w:space="0" w:color="FFFFFF"/>
            </w:tcBorders>
          </w:tcPr>
          <w:p>
            <w:pPr/>
          </w:p>
        </w:tc>
        <w:tc>
          <w:tcPr>
            <w:tcW w:w="1622" w:type="dxa"/>
            <w:vMerge/>
            <w:tcBorders>
              <w:left w:val="single" w:sz="9" w:space="0" w:color="FFFFFF"/>
              <w:bottom w:val="single" w:sz="4" w:space="0" w:color="000000"/>
              <w:right w:val="single" w:sz="12" w:space="0" w:color="000000"/>
            </w:tcBorders>
          </w:tcPr>
          <w:p>
            <w:pPr/>
          </w:p>
        </w:tc>
      </w:tr>
      <w:tr>
        <w:trPr>
          <w:trHeight w:val="1650" w:hRule="exact"/>
        </w:trPr>
        <w:tc>
          <w:tcPr>
            <w:tcW w:w="1874" w:type="dxa"/>
            <w:vMerge w:val="restart"/>
            <w:tcBorders>
              <w:top w:val="nil" w:sz="6" w:space="0" w:color="auto"/>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神码软件天 津信锐中新 创投华亿投 资</w:t>
            </w:r>
            <w:r>
              <w:rPr>
                <w:rFonts w:ascii="Times New Roman" w:hAnsi="Times New Roman" w:cs="Times New Roman" w:eastAsia="Times New Roman" w:hint="default"/>
                <w:sz w:val="18"/>
                <w:szCs w:val="18"/>
              </w:rPr>
              <w:t>. </w:t>
            </w:r>
            <w:r>
              <w:rPr>
                <w:rFonts w:ascii="宋体" w:hAnsi="宋体" w:cs="宋体" w:eastAsia="宋体" w:hint="default"/>
                <w:sz w:val="18"/>
                <w:szCs w:val="18"/>
              </w:rPr>
              <w:t>南京汇庆</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《关于资产权属的承诺</w:t>
            </w:r>
            <w:r>
              <w:rPr>
                <w:rFonts w:ascii="宋体" w:hAnsi="宋体" w:cs="宋体" w:eastAsia="宋体" w:hint="default"/>
                <w:spacing w:val="-90"/>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2" w:lineRule="auto" w:before="62"/>
              <w:ind w:left="22" w:right="3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日在巨潮资讯网上披露的《关于 </w:t>
            </w:r>
            <w:r>
              <w:rPr>
                <w:rFonts w:ascii="宋体" w:hAnsi="宋体" w:cs="宋体" w:eastAsia="宋体" w:hint="default"/>
                <w:spacing w:val="-5"/>
                <w:sz w:val="18"/>
                <w:szCs w:val="18"/>
              </w:rPr>
              <w:t>公司及相关方承诺事项履行情况的公告》。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997" w:hRule="exact"/>
        </w:trPr>
        <w:tc>
          <w:tcPr>
            <w:tcW w:w="1874" w:type="dxa"/>
            <w:vMerge/>
            <w:tcBorders>
              <w:left w:val="single" w:sz="12" w:space="0" w:color="000000"/>
              <w:bottom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2"/>
              <w:ind w:left="22" w:right="54"/>
              <w:jc w:val="both"/>
              <w:rPr>
                <w:rFonts w:ascii="宋体" w:hAnsi="宋体" w:cs="宋体" w:eastAsia="宋体" w:hint="default"/>
                <w:sz w:val="18"/>
                <w:szCs w:val="18"/>
              </w:rPr>
            </w:pPr>
            <w:r>
              <w:rPr>
                <w:rFonts w:ascii="宋体" w:hAnsi="宋体" w:cs="宋体" w:eastAsia="宋体" w:hint="default"/>
                <w:sz w:val="18"/>
                <w:szCs w:val="18"/>
              </w:rPr>
              <w:t>神码软件天 津信锐中新 创投华亿投</w:t>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63"/>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3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《关于神州信息业绩的承诺</w:t>
            </w:r>
            <w:r>
              <w:rPr>
                <w:rFonts w:ascii="宋体" w:hAnsi="宋体" w:cs="宋体" w:eastAsia="宋体" w:hint="default"/>
                <w:spacing w:val="-90"/>
                <w:sz w:val="18"/>
                <w:szCs w:val="18"/>
              </w:rPr>
              <w:t>》</w:t>
            </w:r>
            <w:r>
              <w:rPr>
                <w:rFonts w:ascii="宋体" w:hAnsi="宋体" w:cs="宋体" w:eastAsia="宋体" w:hint="default"/>
                <w:sz w:val="18"/>
                <w:szCs w:val="18"/>
              </w:rPr>
              <w:t>，详见公司于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日在巨潮资讯网上披露的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《关于公司及相关方承诺事项履行情况的</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p>
        </w:tc>
      </w:tr>
    </w:tbl>
    <w:p>
      <w:pPr>
        <w:spacing w:after="0" w:line="316" w:lineRule="auto"/>
        <w:jc w:val="left"/>
        <w:rPr>
          <w:rFonts w:ascii="宋体" w:hAnsi="宋体" w:cs="宋体" w:eastAsia="宋体" w:hint="default"/>
          <w:sz w:val="18"/>
          <w:szCs w:val="18"/>
        </w:rPr>
        <w:sectPr>
          <w:headerReference w:type="default" r:id="rId28"/>
          <w:footerReference w:type="default" r:id="rId29"/>
          <w:pgSz w:w="16840" w:h="11910" w:orient="landscape"/>
          <w:pgMar w:header="867" w:footer="1226" w:top="1060" w:bottom="1420" w:left="1280" w:right="0"/>
          <w:pgNumType w:start="39"/>
        </w:sectPr>
      </w:pPr>
    </w:p>
    <w:p>
      <w:pPr>
        <w:spacing w:line="240" w:lineRule="auto" w:before="4"/>
        <w:rPr>
          <w:rFonts w:ascii="Times New Roman" w:hAnsi="Times New Roman" w:cs="Times New Roman" w:eastAsia="Times New Roman" w:hint="default"/>
          <w:sz w:val="3"/>
          <w:szCs w:val="3"/>
        </w:rPr>
      </w:pPr>
    </w:p>
    <w:p>
      <w:pPr>
        <w:spacing w:line="20" w:lineRule="exact"/>
        <w:ind w:left="1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874"/>
        <w:gridCol w:w="989"/>
        <w:gridCol w:w="1278"/>
        <w:gridCol w:w="3400"/>
        <w:gridCol w:w="1561"/>
        <w:gridCol w:w="3290"/>
        <w:gridCol w:w="1635"/>
      </w:tblGrid>
      <w:tr>
        <w:trPr>
          <w:trHeight w:val="684" w:hRule="exact"/>
        </w:trPr>
        <w:tc>
          <w:tcPr>
            <w:tcW w:w="1874" w:type="dxa"/>
            <w:vMerge w:val="restart"/>
            <w:tcBorders>
              <w:top w:val="single" w:sz="12" w:space="0" w:color="000000"/>
              <w:left w:val="single" w:sz="12" w:space="0" w:color="000000"/>
              <w:right w:val="single" w:sz="4" w:space="0" w:color="000000"/>
            </w:tcBorders>
            <w:shd w:val="clear" w:color="auto" w:fill="D2D2D2"/>
          </w:tcPr>
          <w:p>
            <w:pP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302" w:lineRule="auto" w:before="10"/>
              <w:ind w:left="23" w:right="234"/>
              <w:jc w:val="left"/>
              <w:rPr>
                <w:rFonts w:ascii="宋体" w:hAnsi="宋体" w:cs="宋体" w:eastAsia="宋体"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 </w:t>
            </w:r>
            <w:r>
              <w:rPr>
                <w:rFonts w:ascii="宋体" w:hAnsi="宋体" w:cs="宋体" w:eastAsia="宋体" w:hint="default"/>
                <w:sz w:val="18"/>
                <w:szCs w:val="18"/>
              </w:rPr>
              <w:t>南京汇庆</w:t>
            </w:r>
          </w:p>
        </w:tc>
        <w:tc>
          <w:tcPr>
            <w:tcW w:w="1278" w:type="dxa"/>
            <w:tcBorders>
              <w:top w:val="single" w:sz="12" w:space="0" w:color="000000"/>
              <w:left w:val="single" w:sz="4" w:space="0" w:color="000000"/>
              <w:bottom w:val="single" w:sz="4" w:space="0" w:color="000000"/>
              <w:right w:val="single" w:sz="4" w:space="0" w:color="000000"/>
            </w:tcBorders>
          </w:tcPr>
          <w:p>
            <w:pPr/>
          </w:p>
        </w:tc>
        <w:tc>
          <w:tcPr>
            <w:tcW w:w="3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single" w:sz="12" w:space="0" w:color="000000"/>
              <w:left w:val="single" w:sz="4" w:space="0" w:color="000000"/>
              <w:bottom w:val="single" w:sz="4" w:space="0" w:color="000000"/>
              <w:right w:val="single" w:sz="4" w:space="0" w:color="000000"/>
            </w:tcBorders>
          </w:tcPr>
          <w:p>
            <w:pPr/>
          </w:p>
        </w:tc>
        <w:tc>
          <w:tcPr>
            <w:tcW w:w="3290" w:type="dxa"/>
            <w:tcBorders>
              <w:top w:val="single" w:sz="12" w:space="0" w:color="000000"/>
              <w:left w:val="single" w:sz="4" w:space="0" w:color="000000"/>
              <w:bottom w:val="single" w:sz="4" w:space="0" w:color="000000"/>
              <w:right w:val="single" w:sz="4" w:space="0" w:color="000000"/>
            </w:tcBorders>
          </w:tcPr>
          <w:p>
            <w:pPr/>
          </w:p>
        </w:tc>
        <w:tc>
          <w:tcPr>
            <w:tcW w:w="163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left="22" w:right="-28"/>
              <w:jc w:val="left"/>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《关于标的资产隐形负债的承诺》，详见公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日在巨潮资讯网上披露 </w:t>
            </w:r>
            <w:r>
              <w:rPr>
                <w:rFonts w:ascii="宋体" w:hAnsi="宋体" w:cs="宋体" w:eastAsia="宋体" w:hint="default"/>
                <w:spacing w:val="-4"/>
                <w:sz w:val="18"/>
                <w:szCs w:val="18"/>
              </w:rPr>
              <w:t>的《关于公司及相关方承诺事项履行情况的</w:t>
            </w:r>
            <w:r>
              <w:rPr>
                <w:rFonts w:ascii="宋体" w:hAnsi="宋体" w:cs="宋体" w:eastAsia="宋体" w:hint="default"/>
                <w:sz w:val="18"/>
                <w:szCs w:val="18"/>
              </w:rPr>
              <w:t> </w:t>
            </w:r>
            <w:r>
              <w:rPr>
                <w:rFonts w:ascii="宋体" w:hAnsi="宋体" w:cs="宋体" w:eastAsia="宋体" w:hint="default"/>
                <w:spacing w:val="-23"/>
                <w:sz w:val="18"/>
                <w:szCs w:val="18"/>
              </w:rPr>
              <w:t>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《关于上市公司股利分配政策的承诺》，详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披露的《关于公司及相关方承诺事项履行情</w:t>
            </w:r>
            <w:r>
              <w:rPr>
                <w:rFonts w:ascii="宋体" w:hAnsi="宋体" w:cs="宋体" w:eastAsia="宋体" w:hint="default"/>
                <w:sz w:val="18"/>
                <w:szCs w:val="18"/>
              </w:rPr>
              <w:t> </w:t>
            </w:r>
            <w:r>
              <w:rPr>
                <w:rFonts w:ascii="宋体" w:hAnsi="宋体" w:cs="宋体" w:eastAsia="宋体" w:hint="default"/>
                <w:spacing w:val="-15"/>
                <w:sz w:val="18"/>
                <w:szCs w:val="18"/>
              </w:rPr>
              <w:t>况的公告》。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54"/>
              <w:jc w:val="left"/>
              <w:rPr>
                <w:rFonts w:ascii="宋体" w:hAnsi="宋体" w:cs="宋体" w:eastAsia="宋体" w:hint="default"/>
                <w:sz w:val="18"/>
                <w:szCs w:val="18"/>
              </w:rPr>
            </w:pPr>
            <w:r>
              <w:rPr>
                <w:rFonts w:ascii="宋体" w:hAnsi="宋体" w:cs="宋体" w:eastAsia="宋体" w:hint="default"/>
                <w:sz w:val="18"/>
                <w:szCs w:val="18"/>
              </w:rPr>
              <w:t>神码控股神 码软件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2" w:right="163"/>
              <w:jc w:val="left"/>
              <w:rPr>
                <w:rFonts w:ascii="宋体" w:hAnsi="宋体" w:cs="宋体" w:eastAsia="宋体" w:hint="default"/>
                <w:sz w:val="18"/>
                <w:szCs w:val="18"/>
              </w:rPr>
            </w:pPr>
            <w:r>
              <w:rPr>
                <w:rFonts w:ascii="宋体" w:hAnsi="宋体" w:cs="宋体" w:eastAsia="宋体" w:hint="default"/>
                <w:sz w:val="18"/>
                <w:szCs w:val="18"/>
              </w:rPr>
              <w:t>关联交易的承 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90"/>
                <w:sz w:val="18"/>
                <w:szCs w:val="18"/>
              </w:rPr>
              <w:t>》</w:t>
            </w:r>
            <w:r>
              <w:rPr>
                <w:rFonts w:ascii="宋体" w:hAnsi="宋体" w:cs="宋体" w:eastAsia="宋体" w:hint="default"/>
                <w:sz w:val="18"/>
                <w:szCs w:val="18"/>
              </w:rPr>
              <w:t>，详见公司于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日在巨潮资讯网上披露的</w:t>
            </w:r>
          </w:p>
          <w:p>
            <w:pPr>
              <w:pStyle w:val="TableParagraph"/>
              <w:spacing w:line="319"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《关于公司及相关方承诺事项履行情况的 </w:t>
            </w:r>
            <w:r>
              <w:rPr>
                <w:rFonts w:ascii="宋体" w:hAnsi="宋体" w:cs="宋体" w:eastAsia="宋体" w:hint="default"/>
                <w:spacing w:val="-23"/>
                <w:sz w:val="18"/>
                <w:szCs w:val="18"/>
              </w:rPr>
              <w:t>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54"/>
              <w:jc w:val="both"/>
              <w:rPr>
                <w:rFonts w:ascii="宋体" w:hAnsi="宋体" w:cs="宋体" w:eastAsia="宋体" w:hint="default"/>
                <w:sz w:val="18"/>
                <w:szCs w:val="18"/>
              </w:rPr>
            </w:pPr>
            <w:r>
              <w:rPr>
                <w:rFonts w:ascii="宋体" w:hAnsi="宋体" w:cs="宋体" w:eastAsia="宋体" w:hint="default"/>
                <w:sz w:val="18"/>
                <w:szCs w:val="18"/>
              </w:rPr>
              <w:t>郭为神码控 股神码软件 阎焱</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宋体" w:hAnsi="宋体" w:cs="宋体" w:eastAsia="宋体" w:hint="default"/>
                <w:spacing w:val="-90"/>
                <w:sz w:val="18"/>
                <w:szCs w:val="18"/>
              </w:rPr>
              <w:t>》</w:t>
            </w:r>
            <w:r>
              <w:rPr>
                <w:rFonts w:ascii="宋体" w:hAnsi="宋体" w:cs="宋体" w:eastAsia="宋体" w:hint="default"/>
                <w:sz w:val="18"/>
                <w:szCs w:val="18"/>
              </w:rPr>
              <w:t>，详见公司于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日在巨潮资讯网上披露的</w:t>
            </w:r>
          </w:p>
          <w:p>
            <w:pPr>
              <w:pStyle w:val="TableParagraph"/>
              <w:spacing w:line="319"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《关于公司及相关方承诺事项履行情况的 </w:t>
            </w:r>
            <w:r>
              <w:rPr>
                <w:rFonts w:ascii="宋体" w:hAnsi="宋体" w:cs="宋体" w:eastAsia="宋体" w:hint="default"/>
                <w:spacing w:val="-23"/>
                <w:sz w:val="18"/>
                <w:szCs w:val="18"/>
              </w:rPr>
              <w:t>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《关于标的资产租赁房屋事项的承诺》，详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披露的《关于公司及相关方承诺事项履行情</w:t>
            </w:r>
            <w:r>
              <w:rPr>
                <w:rFonts w:ascii="宋体" w:hAnsi="宋体" w:cs="宋体" w:eastAsia="宋体" w:hint="default"/>
                <w:sz w:val="18"/>
                <w:szCs w:val="18"/>
              </w:rPr>
              <w:t> </w:t>
            </w:r>
            <w:r>
              <w:rPr>
                <w:rFonts w:ascii="宋体" w:hAnsi="宋体" w:cs="宋体" w:eastAsia="宋体" w:hint="default"/>
                <w:spacing w:val="-15"/>
                <w:sz w:val="18"/>
                <w:szCs w:val="18"/>
              </w:rPr>
              <w:t>况的公告》。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660" w:hRule="exact"/>
        </w:trPr>
        <w:tc>
          <w:tcPr>
            <w:tcW w:w="1874" w:type="dxa"/>
            <w:vMerge/>
            <w:tcBorders>
              <w:left w:val="single" w:sz="12" w:space="0" w:color="000000"/>
              <w:bottom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华亿投资</w:t>
            </w:r>
            <w:r>
              <w:rPr>
                <w:rFonts w:ascii="Times New Roman" w:hAnsi="Times New Roman" w:cs="Times New Roman" w:eastAsia="Times New Roman" w:hint="default"/>
                <w:sz w:val="18"/>
                <w:szCs w:val="18"/>
              </w:rPr>
              <w:t>. </w:t>
            </w:r>
            <w:r>
              <w:rPr>
                <w:rFonts w:ascii="宋体" w:hAnsi="宋体" w:cs="宋体" w:eastAsia="宋体" w:hint="default"/>
                <w:sz w:val="18"/>
                <w:szCs w:val="18"/>
              </w:rPr>
              <w:t>南京汇庆神 码软件天津 信锐中新创 投</w:t>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《交易对方关于无违法行为的确认函》，详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披露的《关于公司及相关方承诺事项履行情</w:t>
            </w:r>
            <w:r>
              <w:rPr>
                <w:rFonts w:ascii="宋体" w:hAnsi="宋体" w:cs="宋体" w:eastAsia="宋体" w:hint="default"/>
                <w:sz w:val="18"/>
                <w:szCs w:val="18"/>
              </w:rPr>
              <w:t> </w:t>
            </w:r>
            <w:r>
              <w:rPr>
                <w:rFonts w:ascii="宋体" w:hAnsi="宋体" w:cs="宋体" w:eastAsia="宋体" w:hint="default"/>
                <w:spacing w:val="-15"/>
                <w:sz w:val="18"/>
                <w:szCs w:val="18"/>
              </w:rPr>
              <w:t>况的公告》。</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3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bl>
    <w:p>
      <w:pPr>
        <w:spacing w:after="0" w:line="316" w:lineRule="auto"/>
        <w:jc w:val="left"/>
        <w:rPr>
          <w:rFonts w:ascii="宋体" w:hAnsi="宋体" w:cs="宋体" w:eastAsia="宋体" w:hint="default"/>
          <w:sz w:val="18"/>
          <w:szCs w:val="18"/>
        </w:rPr>
        <w:sectPr>
          <w:pgSz w:w="16840" w:h="11910" w:orient="landscape"/>
          <w:pgMar w:header="867" w:footer="1226" w:top="1060" w:bottom="1420" w:left="1280" w:right="0"/>
        </w:sectPr>
      </w:pPr>
    </w:p>
    <w:tbl>
      <w:tblPr>
        <w:tblW w:w="0" w:type="auto"/>
        <w:jc w:val="left"/>
        <w:tblInd w:w="116" w:type="dxa"/>
        <w:tblLayout w:type="fixed"/>
        <w:tblCellMar>
          <w:top w:w="0" w:type="dxa"/>
          <w:left w:w="0" w:type="dxa"/>
          <w:bottom w:w="0" w:type="dxa"/>
          <w:right w:w="0" w:type="dxa"/>
        </w:tblCellMar>
        <w:tblLook w:val="01E0"/>
      </w:tblPr>
      <w:tblGrid>
        <w:gridCol w:w="1874"/>
        <w:gridCol w:w="989"/>
        <w:gridCol w:w="1278"/>
        <w:gridCol w:w="3400"/>
        <w:gridCol w:w="1561"/>
        <w:gridCol w:w="3290"/>
        <w:gridCol w:w="1622"/>
      </w:tblGrid>
      <w:tr>
        <w:trPr>
          <w:trHeight w:val="368" w:hRule="exact"/>
        </w:trPr>
        <w:tc>
          <w:tcPr>
            <w:tcW w:w="1874" w:type="dxa"/>
            <w:vMerge w:val="restart"/>
            <w:tcBorders>
              <w:top w:val="single" w:sz="12" w:space="0" w:color="000000"/>
              <w:left w:val="single" w:sz="12" w:space="0" w:color="000000"/>
              <w:right w:val="single" w:sz="4" w:space="0" w:color="000000"/>
            </w:tcBorders>
            <w:shd w:val="clear" w:color="auto" w:fill="D2D2D2"/>
          </w:tcPr>
          <w:p>
            <w:pPr/>
          </w:p>
        </w:tc>
        <w:tc>
          <w:tcPr>
            <w:tcW w:w="989" w:type="dxa"/>
            <w:tcBorders>
              <w:top w:val="single" w:sz="12" w:space="0" w:color="000000"/>
              <w:left w:val="single" w:sz="4" w:space="0" w:color="000000"/>
              <w:bottom w:val="nil" w:sz="6" w:space="0" w:color="auto"/>
              <w:right w:val="single" w:sz="4" w:space="0" w:color="000000"/>
            </w:tcBorders>
          </w:tcPr>
          <w:p>
            <w:pPr/>
          </w:p>
        </w:tc>
        <w:tc>
          <w:tcPr>
            <w:tcW w:w="1278" w:type="dxa"/>
            <w:tcBorders>
              <w:top w:val="single" w:sz="12" w:space="0" w:color="000000"/>
              <w:left w:val="single" w:sz="4" w:space="0" w:color="000000"/>
              <w:bottom w:val="nil" w:sz="6" w:space="0" w:color="auto"/>
              <w:right w:val="single" w:sz="4" w:space="0" w:color="000000"/>
            </w:tcBorders>
          </w:tcPr>
          <w:p>
            <w:pPr/>
          </w:p>
        </w:tc>
        <w:tc>
          <w:tcPr>
            <w:tcW w:w="34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《保持上市公司独立性的承诺</w:t>
            </w:r>
            <w:r>
              <w:rPr>
                <w:rFonts w:ascii="宋体" w:hAnsi="宋体" w:cs="宋体" w:eastAsia="宋体" w:hint="default"/>
                <w:spacing w:val="-90"/>
                <w:sz w:val="18"/>
                <w:szCs w:val="18"/>
              </w:rPr>
              <w:t>》</w:t>
            </w:r>
            <w:r>
              <w:rPr>
                <w:rFonts w:ascii="宋体" w:hAnsi="宋体" w:cs="宋体" w:eastAsia="宋体" w:hint="default"/>
                <w:sz w:val="18"/>
                <w:szCs w:val="18"/>
              </w:rPr>
              <w:t>，详见公司</w:t>
            </w:r>
          </w:p>
        </w:tc>
        <w:tc>
          <w:tcPr>
            <w:tcW w:w="1561" w:type="dxa"/>
            <w:tcBorders>
              <w:top w:val="single" w:sz="12" w:space="0" w:color="000000"/>
              <w:left w:val="single" w:sz="4" w:space="0" w:color="000000"/>
              <w:bottom w:val="nil" w:sz="6" w:space="0" w:color="auto"/>
              <w:right w:val="single" w:sz="4" w:space="0" w:color="000000"/>
            </w:tcBorders>
          </w:tcPr>
          <w:p>
            <w:pPr/>
          </w:p>
        </w:tc>
        <w:tc>
          <w:tcPr>
            <w:tcW w:w="3290" w:type="dxa"/>
            <w:tcBorders>
              <w:top w:val="single" w:sz="12" w:space="0" w:color="000000"/>
              <w:left w:val="single" w:sz="4" w:space="0" w:color="000000"/>
              <w:bottom w:val="nil" w:sz="6" w:space="0" w:color="auto"/>
              <w:right w:val="single" w:sz="4" w:space="0" w:color="000000"/>
            </w:tcBorders>
          </w:tcPr>
          <w:p>
            <w:pPr/>
          </w:p>
        </w:tc>
        <w:tc>
          <w:tcPr>
            <w:tcW w:w="1622" w:type="dxa"/>
            <w:tcBorders>
              <w:top w:val="single" w:sz="12" w:space="0" w:color="000000"/>
              <w:left w:val="single" w:sz="4" w:space="0" w:color="000000"/>
              <w:bottom w:val="nil" w:sz="6" w:space="0" w:color="auto"/>
              <w:right w:val="single" w:sz="12" w:space="0" w:color="000000"/>
            </w:tcBorders>
          </w:tcPr>
          <w:p>
            <w:pPr>
              <w:pStyle w:val="TableParagraph"/>
              <w:spacing w:line="240" w:lineRule="auto" w:before="51"/>
              <w:ind w:left="22" w:right="-41"/>
              <w:jc w:val="center"/>
              <w:rPr>
                <w:rFonts w:ascii="宋体" w:hAnsi="宋体" w:cs="宋体" w:eastAsia="宋体" w:hint="default"/>
                <w:sz w:val="18"/>
                <w:szCs w:val="18"/>
              </w:rPr>
            </w:pPr>
            <w:r>
              <w:rPr>
                <w:rFonts w:ascii="宋体" w:hAnsi="宋体" w:cs="宋体" w:eastAsia="宋体" w:hint="default"/>
                <w:sz w:val="18"/>
                <w:szCs w:val="18"/>
              </w:rPr>
              <w:t>截至本公告签署日，</w:t>
            </w:r>
          </w:p>
        </w:tc>
      </w:tr>
      <w:tr>
        <w:trPr>
          <w:trHeight w:val="625"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54"/>
              <w:jc w:val="left"/>
              <w:rPr>
                <w:rFonts w:ascii="宋体" w:hAnsi="宋体" w:cs="宋体" w:eastAsia="宋体" w:hint="default"/>
                <w:sz w:val="18"/>
                <w:szCs w:val="18"/>
              </w:rPr>
            </w:pPr>
            <w:r>
              <w:rPr>
                <w:rFonts w:ascii="宋体" w:hAnsi="宋体" w:cs="宋体" w:eastAsia="宋体" w:hint="default"/>
                <w:sz w:val="18"/>
                <w:szCs w:val="18"/>
              </w:rPr>
              <w:t>神码控股神 码软件</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日在巨潮资讯网上披露的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《关于公司及相关方承诺事项履行情况的</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p>
        </w:tc>
      </w:tr>
      <w:tr>
        <w:trPr>
          <w:trHeight w:val="356"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3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nil" w:sz="6" w:space="0" w:color="auto"/>
              <w:left w:val="single" w:sz="4" w:space="0" w:color="000000"/>
              <w:bottom w:val="single" w:sz="4" w:space="0" w:color="000000"/>
              <w:right w:val="single" w:sz="4" w:space="0" w:color="000000"/>
            </w:tcBorders>
          </w:tcPr>
          <w:p>
            <w:pPr/>
          </w:p>
        </w:tc>
        <w:tc>
          <w:tcPr>
            <w:tcW w:w="3290"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41"/>
              <w:jc w:val="center"/>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1650"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冯健刚、贺 </w:t>
            </w:r>
            <w:r>
              <w:rPr>
                <w:rFonts w:ascii="宋体" w:hAnsi="宋体" w:cs="宋体" w:eastAsia="宋体" w:hint="default"/>
                <w:spacing w:val="-12"/>
                <w:sz w:val="18"/>
                <w:szCs w:val="18"/>
              </w:rPr>
              <w:t>胜龙、蒋云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王建林、王 </w:t>
            </w:r>
            <w:r>
              <w:rPr>
                <w:rFonts w:ascii="宋体" w:hAnsi="宋体" w:cs="宋体" w:eastAsia="宋体" w:hint="default"/>
                <w:spacing w:val="-12"/>
                <w:sz w:val="18"/>
                <w:szCs w:val="18"/>
              </w:rPr>
              <w:t>宇飞、王正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张丹丹</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业绩承诺及补</w:t>
            </w:r>
          </w:p>
          <w:p>
            <w:pPr>
              <w:pStyle w:val="TableParagraph"/>
              <w:spacing w:line="195" w:lineRule="exact" w:before="76"/>
              <w:ind w:left="22" w:right="0"/>
              <w:jc w:val="left"/>
              <w:rPr>
                <w:rFonts w:ascii="宋体" w:hAnsi="宋体" w:cs="宋体" w:eastAsia="宋体" w:hint="default"/>
                <w:sz w:val="18"/>
                <w:szCs w:val="18"/>
              </w:rPr>
            </w:pPr>
            <w:r>
              <w:rPr>
                <w:rFonts w:ascii="宋体" w:hAnsi="宋体" w:cs="宋体" w:eastAsia="宋体" w:hint="default"/>
                <w:sz w:val="18"/>
                <w:szCs w:val="18"/>
              </w:rPr>
              <w:t>偿安排</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《交易对方关于业绩及补偿的承诺》，详见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披露的《关于资产重组相关方出具承诺事项</w:t>
            </w:r>
            <w:r>
              <w:rPr>
                <w:rFonts w:ascii="宋体" w:hAnsi="宋体" w:cs="宋体" w:eastAsia="宋体" w:hint="default"/>
                <w:sz w:val="18"/>
                <w:szCs w:val="18"/>
              </w:rPr>
              <w:t> </w:t>
            </w:r>
            <w:r>
              <w:rPr>
                <w:rFonts w:ascii="宋体" w:hAnsi="宋体" w:cs="宋体" w:eastAsia="宋体" w:hint="default"/>
                <w:spacing w:val="-18"/>
                <w:sz w:val="18"/>
                <w:szCs w:val="18"/>
              </w:rPr>
              <w:t>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650"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冯健刚、贺 胜龙、 王建林、王 宇飞、 张丹丹</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《交易对方关于资产权属的承诺》，详见公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 </w:t>
            </w:r>
            <w:r>
              <w:rPr>
                <w:rFonts w:ascii="宋体" w:hAnsi="宋体" w:cs="宋体" w:eastAsia="宋体" w:hint="default"/>
                <w:spacing w:val="-4"/>
                <w:sz w:val="18"/>
                <w:szCs w:val="18"/>
              </w:rPr>
              <w:t>露的《关于资产重组相关方出具承诺事项的</w:t>
            </w:r>
            <w:r>
              <w:rPr>
                <w:rFonts w:ascii="宋体" w:hAnsi="宋体" w:cs="宋体" w:eastAsia="宋体" w:hint="default"/>
                <w:sz w:val="18"/>
                <w:szCs w:val="18"/>
              </w:rPr>
              <w:t> </w:t>
            </w:r>
            <w:r>
              <w:rPr>
                <w:rFonts w:ascii="宋体" w:hAnsi="宋体" w:cs="宋体" w:eastAsia="宋体" w:hint="default"/>
                <w:spacing w:val="-23"/>
                <w:sz w:val="18"/>
                <w:szCs w:val="18"/>
              </w:rPr>
              <w:t>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4"/>
              <w:jc w:val="both"/>
              <w:rPr>
                <w:rFonts w:ascii="宋体" w:hAnsi="宋体" w:cs="宋体" w:eastAsia="宋体" w:hint="default"/>
                <w:sz w:val="18"/>
                <w:szCs w:val="18"/>
              </w:rPr>
            </w:pPr>
            <w:r>
              <w:rPr>
                <w:rFonts w:ascii="宋体" w:hAnsi="宋体" w:cs="宋体" w:eastAsia="宋体" w:hint="default"/>
                <w:sz w:val="18"/>
                <w:szCs w:val="18"/>
              </w:rPr>
              <w:t>冯健刚、王 宇飞、张丹 丹、贺胜龙</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《关于股票锁定期的安排</w:t>
            </w:r>
            <w:r>
              <w:rPr>
                <w:rFonts w:ascii="宋体" w:hAnsi="宋体" w:cs="宋体" w:eastAsia="宋体" w:hint="default"/>
                <w:spacing w:val="-90"/>
                <w:sz w:val="18"/>
                <w:szCs w:val="18"/>
              </w:rPr>
              <w:t>》</w:t>
            </w:r>
            <w:r>
              <w:rPr>
                <w:rFonts w:ascii="宋体" w:hAnsi="宋体" w:cs="宋体" w:eastAsia="宋体" w:hint="default"/>
                <w:sz w:val="18"/>
                <w:szCs w:val="18"/>
              </w:rPr>
              <w:t>，详见公司于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w:t>
            </w:r>
          </w:p>
          <w:p>
            <w:pPr>
              <w:pStyle w:val="TableParagraph"/>
              <w:spacing w:line="319"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《关于资产重组相关方出具承诺事项的公 </w:t>
            </w:r>
            <w:r>
              <w:rPr>
                <w:rFonts w:ascii="宋体" w:hAnsi="宋体" w:cs="宋体" w:eastAsia="宋体" w:hint="default"/>
                <w:spacing w:val="-30"/>
                <w:sz w:val="18"/>
                <w:szCs w:val="18"/>
              </w:rPr>
              <w:t>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个月内分期解除限售</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357"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3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《关于股票锁定期的安排</w:t>
            </w:r>
            <w:r>
              <w:rPr>
                <w:rFonts w:ascii="宋体" w:hAnsi="宋体" w:cs="宋体" w:eastAsia="宋体" w:hint="default"/>
                <w:spacing w:val="-90"/>
                <w:sz w:val="18"/>
                <w:szCs w:val="18"/>
              </w:rPr>
              <w:t>》</w:t>
            </w:r>
            <w:r>
              <w:rPr>
                <w:rFonts w:ascii="宋体" w:hAnsi="宋体" w:cs="宋体" w:eastAsia="宋体" w:hint="default"/>
                <w:sz w:val="18"/>
                <w:szCs w:val="18"/>
              </w:rPr>
              <w:t>，详见公司于</w:t>
            </w:r>
          </w:p>
        </w:tc>
        <w:tc>
          <w:tcPr>
            <w:tcW w:w="1561" w:type="dxa"/>
            <w:tcBorders>
              <w:top w:val="single" w:sz="4" w:space="0" w:color="000000"/>
              <w:left w:val="single" w:sz="4" w:space="0" w:color="000000"/>
              <w:bottom w:val="nil" w:sz="6" w:space="0" w:color="auto"/>
              <w:right w:val="single" w:sz="4" w:space="0" w:color="000000"/>
            </w:tcBorders>
          </w:tcPr>
          <w:p>
            <w:pPr/>
          </w:p>
        </w:tc>
        <w:tc>
          <w:tcPr>
            <w:tcW w:w="3290"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22" w:right="-41"/>
              <w:jc w:val="center"/>
              <w:rPr>
                <w:rFonts w:ascii="宋体" w:hAnsi="宋体" w:cs="宋体" w:eastAsia="宋体" w:hint="default"/>
                <w:sz w:val="18"/>
                <w:szCs w:val="18"/>
              </w:rPr>
            </w:pPr>
            <w:r>
              <w:rPr>
                <w:rFonts w:ascii="宋体" w:hAnsi="宋体" w:cs="宋体" w:eastAsia="宋体" w:hint="default"/>
                <w:sz w:val="18"/>
                <w:szCs w:val="18"/>
              </w:rPr>
              <w:t>截至本公告签署日，</w:t>
            </w:r>
          </w:p>
        </w:tc>
      </w:tr>
      <w:tr>
        <w:trPr>
          <w:trHeight w:val="625"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10"/>
              <w:jc w:val="left"/>
              <w:rPr>
                <w:rFonts w:ascii="宋体" w:hAnsi="宋体" w:cs="宋体" w:eastAsia="宋体" w:hint="default"/>
                <w:sz w:val="18"/>
                <w:szCs w:val="18"/>
              </w:rPr>
            </w:pPr>
            <w:r>
              <w:rPr>
                <w:rFonts w:ascii="宋体" w:hAnsi="宋体" w:cs="宋体" w:eastAsia="宋体" w:hint="default"/>
                <w:spacing w:val="-12"/>
                <w:sz w:val="18"/>
                <w:szCs w:val="18"/>
              </w:rPr>
              <w:t>王正、蒋云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王建林</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196" w:lineRule="exact"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《关于资产重组相关方出具承诺事项的公</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p>
        </w:tc>
      </w:tr>
      <w:tr>
        <w:trPr>
          <w:trHeight w:val="356"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3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nil" w:sz="6" w:space="0" w:color="auto"/>
              <w:left w:val="single" w:sz="4" w:space="0" w:color="000000"/>
              <w:bottom w:val="single" w:sz="4" w:space="0" w:color="000000"/>
              <w:right w:val="single" w:sz="4" w:space="0" w:color="000000"/>
            </w:tcBorders>
          </w:tcPr>
          <w:p>
            <w:pPr/>
          </w:p>
        </w:tc>
        <w:tc>
          <w:tcPr>
            <w:tcW w:w="3290"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41"/>
              <w:jc w:val="center"/>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1660" w:hRule="exact"/>
        </w:trPr>
        <w:tc>
          <w:tcPr>
            <w:tcW w:w="1874" w:type="dxa"/>
            <w:vMerge/>
            <w:tcBorders>
              <w:left w:val="single" w:sz="12" w:space="0" w:color="000000"/>
              <w:bottom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冯健刚、贺 胜龙、 王建林、王 宇飞、 张丹丹</w:t>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3.4pt;height:31.2pt;mso-position-horizontal-relative:char;mso-position-vertical-relative:line" coordorigin="0,0" coordsize="1268,624">
                  <v:group style="position:absolute;left:0;top:0;width:1268;height:624" coordorigin="0,0" coordsize="1268,624">
                    <v:shape style="position:absolute;left:0;top:0;width:1268;height:624" coordorigin="0,0" coordsize="1268,624" path="m0,624l1267,624,126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《交易对方关于竞业禁止的承诺》，详见公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 </w:t>
            </w:r>
            <w:r>
              <w:rPr>
                <w:rFonts w:ascii="宋体" w:hAnsi="宋体" w:cs="宋体" w:eastAsia="宋体" w:hint="default"/>
                <w:spacing w:val="-4"/>
                <w:sz w:val="18"/>
                <w:szCs w:val="18"/>
              </w:rPr>
              <w:t>露的《关于资产重组相关方出具承诺事项的</w:t>
            </w:r>
            <w:r>
              <w:rPr>
                <w:rFonts w:ascii="宋体" w:hAnsi="宋体" w:cs="宋体" w:eastAsia="宋体" w:hint="default"/>
                <w:sz w:val="18"/>
                <w:szCs w:val="18"/>
              </w:rPr>
              <w:t> </w:t>
            </w:r>
            <w:r>
              <w:rPr>
                <w:rFonts w:ascii="宋体" w:hAnsi="宋体" w:cs="宋体" w:eastAsia="宋体" w:hint="default"/>
                <w:spacing w:val="-23"/>
                <w:sz w:val="18"/>
                <w:szCs w:val="18"/>
              </w:rPr>
              <w:t>公告》。</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bl>
    <w:p>
      <w:pPr>
        <w:rPr>
          <w:sz w:val="2"/>
          <w:szCs w:val="2"/>
        </w:rPr>
      </w:pPr>
      <w:r>
        <w:rPr/>
        <w:pict>
          <v:shape style="position:absolute;margin-left:189.863007pt;margin-top:207.62001pt;width:87.5pt;height:31.2pt;mso-position-horizontal-relative:page;mso-position-vertical-relative:page;z-index:-1051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蒋云、</w:t>
                  </w:r>
                </w:p>
              </w:txbxContent>
            </v:textbox>
            <w10:wrap type="none"/>
          </v:shape>
        </w:pict>
      </w:r>
      <w:r>
        <w:rPr/>
        <w:pict>
          <v:shape style="position:absolute;margin-left:189.863007pt;margin-top:258.460022pt;width:87.5pt;height:31.2pt;mso-position-horizontal-relative:page;mso-position-vertical-relative:page;z-index:-105174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王正、</w:t>
                  </w:r>
                </w:p>
              </w:txbxContent>
            </v:textbox>
            <w10:wrap type="none"/>
          </v:shape>
        </w:pict>
      </w:r>
      <w:r>
        <w:rPr/>
        <w:pict>
          <v:shape style="position:absolute;margin-left:189.863007pt;margin-top:423.960022pt;width:87.5pt;height:31.2pt;mso-position-horizontal-relative:page;mso-position-vertical-relative:page;z-index:-1051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蒋云、</w:t>
                  </w:r>
                </w:p>
              </w:txbxContent>
            </v:textbox>
            <w10:wrap type="none"/>
          </v:shape>
        </w:pict>
      </w:r>
      <w:r>
        <w:rPr/>
        <w:pict>
          <v:shape style="position:absolute;margin-left:189.863007pt;margin-top:474.779999pt;width:87.5pt;height:31.2pt;mso-position-horizontal-relative:page;mso-position-vertical-relative:page;z-index:-105169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王正、</w:t>
                  </w:r>
                </w:p>
              </w:txbxContent>
            </v:textbox>
            <w10:wrap type="none"/>
          </v:shape>
        </w:pict>
      </w:r>
      <w:r>
        <w:rPr/>
        <w:pict>
          <v:group style="position:absolute;margin-left:213.979996pt;margin-top:125.12001pt;width:63.4pt;height:113.7pt;mso-position-horizontal-relative:page;mso-position-vertical-relative:page;z-index:-1051672" coordorigin="4280,2502" coordsize="1268,2274">
            <v:group style="position:absolute;left:4280;top:2502;width:1268;height:468" coordorigin="4280,2502" coordsize="1268,468">
              <v:shape style="position:absolute;left:4280;top:2502;width:1268;height:468" coordorigin="4280,2502" coordsize="1268,468" path="m4280,2970l5547,2970,5547,2502,4280,2502,4280,2970xe" filled="true" fillcolor="#ffffff" stroked="false">
                <v:path arrowok="t"/>
                <v:fill type="solid"/>
              </v:shape>
            </v:group>
            <v:group style="position:absolute;left:4291;top:2970;width:2;height:705" coordorigin="4291,2970" coordsize="2,705">
              <v:shape style="position:absolute;left:4291;top:2970;width:2;height:705" coordorigin="4291,2970" coordsize="0,705" path="m4291,2970l4291,3675e" filled="false" stroked="true" strokeweight="1.140pt" strokecolor="#ffffff">
                <v:path arrowok="t"/>
              </v:shape>
            </v:group>
            <v:group style="position:absolute;left:4280;top:3675;width:1268;height:468" coordorigin="4280,3675" coordsize="1268,468">
              <v:shape style="position:absolute;left:4280;top:3675;width:1268;height:468" coordorigin="4280,3675" coordsize="1268,468" path="m4280,4143l5547,4143,5547,3675,4280,3675,4280,4143xe" filled="true" fillcolor="#ffffff" stroked="false">
                <v:path arrowok="t"/>
                <v:fill type="solid"/>
              </v:shape>
            </v:group>
            <v:group style="position:absolute;left:4302;top:2970;width:1222;height:352" coordorigin="4302,2970" coordsize="1222,352">
              <v:shape style="position:absolute;left:4302;top:2970;width:1222;height:352" coordorigin="4302,2970" coordsize="1222,352" path="m4302,3322l5524,3322,5524,2970,4302,2970,4302,3322xe" filled="true" fillcolor="#ffffff" stroked="false">
                <v:path arrowok="t"/>
                <v:fill type="solid"/>
              </v:shape>
            </v:group>
            <v:group style="position:absolute;left:4302;top:3322;width:1222;height:353" coordorigin="4302,3322" coordsize="1222,353">
              <v:shape style="position:absolute;left:4302;top:3322;width:1222;height:353" coordorigin="4302,3322" coordsize="1222,353" path="m4302,3675l5524,3675,5524,3322,4302,3322,4302,3675xe" filled="true" fillcolor="#ffffff" stroked="false">
                <v:path arrowok="t"/>
                <v:fill type="solid"/>
              </v:shape>
            </v:group>
            <v:group style="position:absolute;left:4280;top:4152;width:1268;height:624" coordorigin="4280,4152" coordsize="1268,624">
              <v:shape style="position:absolute;left:4280;top:4152;width:1268;height:624" coordorigin="4280,4152" coordsize="1268,624" path="m4280,4776l5547,4776,5547,4152,4280,4152,4280,4776xe" filled="true" fillcolor="#ffffff" stroked="false">
                <v:path arrowok="t"/>
                <v:fill type="solid"/>
              </v:shape>
            </v:group>
            <w10:wrap type="none"/>
          </v:group>
        </w:pict>
      </w:r>
      <w:r>
        <w:rPr/>
        <w:pict>
          <v:group style="position:absolute;margin-left:213.979996pt;margin-top:258.460022pt;width:63.4pt;height:31.2pt;mso-position-horizontal-relative:page;mso-position-vertical-relative:page;z-index:-1051648" coordorigin="4280,5169" coordsize="1268,624">
            <v:shape style="position:absolute;left:4280;top:5169;width:1268;height:624" coordorigin="4280,5169" coordsize="1268,624" path="m4280,5793l5547,5793,5547,5169,4280,5169,4280,5793xe" filled="true" fillcolor="#ffffff" stroked="false">
              <v:path arrowok="t"/>
              <v:fill type="solid"/>
            </v:shape>
            <w10:wrap type="none"/>
          </v:group>
        </w:pict>
      </w:r>
      <w:r>
        <w:rPr/>
        <w:pict>
          <v:group style="position:absolute;margin-left:213.979996pt;margin-top:357.040009pt;width:63.4pt;height:43.6pt;mso-position-horizontal-relative:page;mso-position-vertical-relative:page;z-index:-1051624" coordorigin="4280,7141" coordsize="1268,872">
            <v:group style="position:absolute;left:4280;top:7141;width:1268;height:468" coordorigin="4280,7141" coordsize="1268,468">
              <v:shape style="position:absolute;left:4280;top:7141;width:1268;height:468" coordorigin="4280,7141" coordsize="1268,468" path="m4280,7609l5547,7609,5547,7141,4280,7141,4280,7609xe" filled="true" fillcolor="#ffffff" stroked="false">
                <v:path arrowok="t"/>
                <v:fill type="solid"/>
              </v:shape>
            </v:group>
            <v:group style="position:absolute;left:4291;top:7609;width:2;height:393" coordorigin="4291,7609" coordsize="2,393">
              <v:shape style="position:absolute;left:4291;top:7609;width:2;height:393" coordorigin="4291,7609" coordsize="0,393" path="m4291,7609l4291,8001e" filled="false" stroked="true" strokeweight="1.140pt" strokecolor="#ffffff">
                <v:path arrowok="t"/>
              </v:shape>
            </v:group>
            <v:group style="position:absolute;left:4302;top:7609;width:1222;height:393" coordorigin="4302,7609" coordsize="1222,393">
              <v:shape style="position:absolute;left:4302;top:7609;width:1222;height:393" coordorigin="4302,7609" coordsize="1222,393" path="m4302,8001l5524,8001,5524,7609,4302,7609,4302,8001xe" filled="true" fillcolor="#ffffff" stroked="false">
                <v:path arrowok="t"/>
                <v:fill type="solid"/>
              </v:shape>
            </v:group>
            <w10:wrap type="none"/>
          </v:group>
        </w:pict>
      </w:r>
      <w:r>
        <w:rPr/>
        <w:pict>
          <v:group style="position:absolute;margin-left:213.979996pt;margin-top:474.779999pt;width:63.4pt;height:31.2pt;mso-position-horizontal-relative:page;mso-position-vertical-relative:page;z-index:-1051600" coordorigin="4280,9496" coordsize="1268,624">
            <v:shape style="position:absolute;left:4280;top:9496;width:1268;height:624" coordorigin="4280,9496" coordsize="1268,624" path="m4280,10120l5547,10120,5547,9496,4280,9496,4280,10120xe" filled="true" fillcolor="#ffffff" stroked="false">
              <v:path arrowok="t"/>
              <v:fill type="solid"/>
            </v:shape>
            <w10:wrap type="none"/>
          </v:group>
        </w:pict>
      </w:r>
    </w:p>
    <w:p>
      <w:pPr>
        <w:spacing w:after="0"/>
        <w:rPr>
          <w:sz w:val="2"/>
          <w:szCs w:val="2"/>
        </w:rPr>
        <w:sectPr>
          <w:pgSz w:w="16840" w:h="11910" w:orient="landscape"/>
          <w:pgMar w:header="867" w:footer="1226" w:top="1120" w:bottom="1420" w:left="1280" w:right="0"/>
        </w:sectPr>
      </w:pPr>
    </w:p>
    <w:tbl>
      <w:tblPr>
        <w:tblW w:w="0" w:type="auto"/>
        <w:jc w:val="left"/>
        <w:tblInd w:w="116" w:type="dxa"/>
        <w:tblLayout w:type="fixed"/>
        <w:tblCellMar>
          <w:top w:w="0" w:type="dxa"/>
          <w:left w:w="0" w:type="dxa"/>
          <w:bottom w:w="0" w:type="dxa"/>
          <w:right w:w="0" w:type="dxa"/>
        </w:tblCellMar>
        <w:tblLook w:val="01E0"/>
      </w:tblPr>
      <w:tblGrid>
        <w:gridCol w:w="1874"/>
        <w:gridCol w:w="989"/>
        <w:gridCol w:w="1278"/>
        <w:gridCol w:w="3400"/>
        <w:gridCol w:w="1561"/>
        <w:gridCol w:w="3290"/>
        <w:gridCol w:w="1622"/>
      </w:tblGrid>
      <w:tr>
        <w:trPr>
          <w:trHeight w:val="1661" w:hRule="exact"/>
        </w:trPr>
        <w:tc>
          <w:tcPr>
            <w:tcW w:w="1874" w:type="dxa"/>
            <w:vMerge w:val="restart"/>
            <w:tcBorders>
              <w:top w:val="single" w:sz="12" w:space="0" w:color="000000"/>
              <w:left w:val="single" w:sz="12" w:space="0" w:color="000000"/>
              <w:right w:val="single" w:sz="4" w:space="0" w:color="000000"/>
            </w:tcBorders>
            <w:shd w:val="clear" w:color="auto" w:fill="D2D2D2"/>
          </w:tcPr>
          <w:p>
            <w:pP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冯健刚、贺 胜龙、 王建林、王 宇飞、 张丹丹</w:t>
            </w:r>
          </w:p>
        </w:tc>
        <w:tc>
          <w:tcPr>
            <w:tcW w:w="1278" w:type="dxa"/>
            <w:tcBorders>
              <w:top w:val="single" w:sz="12"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3.4pt;height:31.25pt;mso-position-horizontal-relative:char;mso-position-vertical-relative:line" coordorigin="0,0" coordsize="1268,625">
                  <v:group style="position:absolute;left:0;top:0;width:1268;height:625" coordorigin="0,0" coordsize="1268,625">
                    <v:shape style="position:absolute;left:0;top:0;width:1268;height:625" coordorigin="0,0" coordsize="1268,625" path="m0,624l1267,624,126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《关于土地确权合同相关情况的承诺》，详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 </w:t>
            </w:r>
            <w:r>
              <w:rPr>
                <w:rFonts w:ascii="宋体" w:hAnsi="宋体" w:cs="宋体" w:eastAsia="宋体" w:hint="default"/>
                <w:spacing w:val="-4"/>
                <w:sz w:val="18"/>
                <w:szCs w:val="18"/>
              </w:rPr>
              <w:t>上披露的《关于资产重组相关方出具承诺事</w:t>
            </w:r>
            <w:r>
              <w:rPr>
                <w:rFonts w:ascii="宋体" w:hAnsi="宋体" w:cs="宋体" w:eastAsia="宋体" w:hint="default"/>
                <w:sz w:val="18"/>
                <w:szCs w:val="18"/>
              </w:rPr>
              <w:t> </w:t>
            </w:r>
            <w:r>
              <w:rPr>
                <w:rFonts w:ascii="宋体" w:hAnsi="宋体" w:cs="宋体" w:eastAsia="宋体" w:hint="default"/>
                <w:spacing w:val="-15"/>
                <w:sz w:val="18"/>
                <w:szCs w:val="18"/>
              </w:rPr>
              <w:t>项的公告》。</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650"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冯健刚、贺 胜龙、 王建林、王 宇飞、 张丹丹</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《交易对方关于无违法行为的确认函》，详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 </w:t>
            </w:r>
            <w:r>
              <w:rPr>
                <w:rFonts w:ascii="宋体" w:hAnsi="宋体" w:cs="宋体" w:eastAsia="宋体" w:hint="default"/>
                <w:spacing w:val="-4"/>
                <w:sz w:val="18"/>
                <w:szCs w:val="18"/>
              </w:rPr>
              <w:t>上披露的《关于资产重组相关方出具承诺事</w:t>
            </w:r>
            <w:r>
              <w:rPr>
                <w:rFonts w:ascii="宋体" w:hAnsi="宋体" w:cs="宋体" w:eastAsia="宋体" w:hint="default"/>
                <w:sz w:val="18"/>
                <w:szCs w:val="18"/>
              </w:rPr>
              <w:t> </w:t>
            </w:r>
            <w:r>
              <w:rPr>
                <w:rFonts w:ascii="宋体" w:hAnsi="宋体" w:cs="宋体" w:eastAsia="宋体" w:hint="default"/>
                <w:spacing w:val="-15"/>
                <w:sz w:val="18"/>
                <w:szCs w:val="18"/>
              </w:rPr>
              <w:t>项的公告》。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确认人无违反上述 确认函的情形。</w:t>
            </w:r>
          </w:p>
        </w:tc>
      </w:tr>
      <w:tr>
        <w:trPr>
          <w:trHeight w:val="357"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3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宋体" w:hAnsi="宋体" w:cs="宋体" w:eastAsia="宋体" w:hint="default"/>
                <w:spacing w:val="-90"/>
                <w:sz w:val="18"/>
                <w:szCs w:val="18"/>
              </w:rPr>
              <w:t>》</w:t>
            </w:r>
            <w:r>
              <w:rPr>
                <w:rFonts w:ascii="宋体" w:hAnsi="宋体" w:cs="宋体" w:eastAsia="宋体" w:hint="default"/>
                <w:sz w:val="18"/>
                <w:szCs w:val="18"/>
              </w:rPr>
              <w:t>，详见公司于</w:t>
            </w:r>
          </w:p>
        </w:tc>
        <w:tc>
          <w:tcPr>
            <w:tcW w:w="1561" w:type="dxa"/>
            <w:tcBorders>
              <w:top w:val="single" w:sz="4" w:space="0" w:color="000000"/>
              <w:left w:val="single" w:sz="4" w:space="0" w:color="000000"/>
              <w:bottom w:val="nil" w:sz="6" w:space="0" w:color="auto"/>
              <w:right w:val="single" w:sz="4" w:space="0" w:color="000000"/>
            </w:tcBorders>
          </w:tcPr>
          <w:p>
            <w:pPr/>
          </w:p>
        </w:tc>
        <w:tc>
          <w:tcPr>
            <w:tcW w:w="3290"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w:t>
            </w:r>
          </w:p>
        </w:tc>
      </w:tr>
      <w:tr>
        <w:trPr>
          <w:trHeight w:val="625"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54"/>
              <w:jc w:val="left"/>
              <w:rPr>
                <w:rFonts w:ascii="宋体" w:hAnsi="宋体" w:cs="宋体" w:eastAsia="宋体" w:hint="default"/>
                <w:sz w:val="18"/>
                <w:szCs w:val="18"/>
              </w:rPr>
            </w:pPr>
            <w:r>
              <w:rPr>
                <w:rFonts w:ascii="宋体" w:hAnsi="宋体" w:cs="宋体" w:eastAsia="宋体" w:hint="default"/>
                <w:sz w:val="18"/>
                <w:szCs w:val="18"/>
              </w:rPr>
              <w:t>神码控股、 神码软件</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《关于资产重组相关方出具承诺事项的公</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p>
        </w:tc>
      </w:tr>
      <w:tr>
        <w:trPr>
          <w:trHeight w:val="356"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3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nil" w:sz="6" w:space="0" w:color="auto"/>
              <w:left w:val="single" w:sz="4" w:space="0" w:color="000000"/>
              <w:bottom w:val="single" w:sz="4" w:space="0" w:color="000000"/>
              <w:right w:val="single" w:sz="4" w:space="0" w:color="000000"/>
            </w:tcBorders>
          </w:tcPr>
          <w:p>
            <w:pPr/>
          </w:p>
        </w:tc>
        <w:tc>
          <w:tcPr>
            <w:tcW w:w="3290"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357"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3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90"/>
                <w:sz w:val="18"/>
                <w:szCs w:val="18"/>
              </w:rPr>
              <w:t>》</w:t>
            </w:r>
            <w:r>
              <w:rPr>
                <w:rFonts w:ascii="宋体" w:hAnsi="宋体" w:cs="宋体" w:eastAsia="宋体" w:hint="default"/>
                <w:sz w:val="18"/>
                <w:szCs w:val="18"/>
              </w:rPr>
              <w:t>，详见公司于</w:t>
            </w:r>
          </w:p>
        </w:tc>
        <w:tc>
          <w:tcPr>
            <w:tcW w:w="1561" w:type="dxa"/>
            <w:tcBorders>
              <w:top w:val="single" w:sz="4" w:space="0" w:color="000000"/>
              <w:left w:val="single" w:sz="4" w:space="0" w:color="000000"/>
              <w:bottom w:val="nil" w:sz="6" w:space="0" w:color="auto"/>
              <w:right w:val="single" w:sz="4" w:space="0" w:color="000000"/>
            </w:tcBorders>
          </w:tcPr>
          <w:p>
            <w:pPr/>
          </w:p>
        </w:tc>
        <w:tc>
          <w:tcPr>
            <w:tcW w:w="3290"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w:t>
            </w:r>
          </w:p>
        </w:tc>
      </w:tr>
      <w:tr>
        <w:trPr>
          <w:trHeight w:val="625"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54"/>
              <w:jc w:val="left"/>
              <w:rPr>
                <w:rFonts w:ascii="宋体" w:hAnsi="宋体" w:cs="宋体" w:eastAsia="宋体" w:hint="default"/>
                <w:sz w:val="18"/>
                <w:szCs w:val="18"/>
              </w:rPr>
            </w:pPr>
            <w:r>
              <w:rPr>
                <w:rFonts w:ascii="宋体" w:hAnsi="宋体" w:cs="宋体" w:eastAsia="宋体" w:hint="default"/>
                <w:sz w:val="18"/>
                <w:szCs w:val="18"/>
              </w:rPr>
              <w:t>神码控股、 神码软件</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《关于资产重组相关方出具承诺事项的公</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p>
        </w:tc>
      </w:tr>
      <w:tr>
        <w:trPr>
          <w:trHeight w:val="356"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3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nil" w:sz="6" w:space="0" w:color="auto"/>
              <w:left w:val="single" w:sz="4" w:space="0" w:color="000000"/>
              <w:bottom w:val="single" w:sz="4" w:space="0" w:color="000000"/>
              <w:right w:val="single" w:sz="4" w:space="0" w:color="000000"/>
            </w:tcBorders>
          </w:tcPr>
          <w:p>
            <w:pPr/>
          </w:p>
        </w:tc>
        <w:tc>
          <w:tcPr>
            <w:tcW w:w="3290"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357"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3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《关于保持上市公司独立性的承诺</w:t>
            </w:r>
            <w:r>
              <w:rPr>
                <w:rFonts w:ascii="宋体" w:hAnsi="宋体" w:cs="宋体" w:eastAsia="宋体" w:hint="default"/>
                <w:spacing w:val="-90"/>
                <w:sz w:val="18"/>
                <w:szCs w:val="18"/>
              </w:rPr>
              <w:t>》</w:t>
            </w:r>
            <w:r>
              <w:rPr>
                <w:rFonts w:ascii="宋体" w:hAnsi="宋体" w:cs="宋体" w:eastAsia="宋体" w:hint="default"/>
                <w:sz w:val="18"/>
                <w:szCs w:val="18"/>
              </w:rPr>
              <w:t>，详见</w:t>
            </w:r>
          </w:p>
        </w:tc>
        <w:tc>
          <w:tcPr>
            <w:tcW w:w="1561" w:type="dxa"/>
            <w:tcBorders>
              <w:top w:val="single" w:sz="4" w:space="0" w:color="000000"/>
              <w:left w:val="single" w:sz="4" w:space="0" w:color="000000"/>
              <w:bottom w:val="nil" w:sz="6" w:space="0" w:color="auto"/>
              <w:right w:val="single" w:sz="4" w:space="0" w:color="000000"/>
            </w:tcBorders>
          </w:tcPr>
          <w:p>
            <w:pPr/>
          </w:p>
        </w:tc>
        <w:tc>
          <w:tcPr>
            <w:tcW w:w="3290"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w:t>
            </w:r>
          </w:p>
        </w:tc>
      </w:tr>
      <w:tr>
        <w:trPr>
          <w:trHeight w:val="625"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54"/>
              <w:jc w:val="left"/>
              <w:rPr>
                <w:rFonts w:ascii="宋体" w:hAnsi="宋体" w:cs="宋体" w:eastAsia="宋体" w:hint="default"/>
                <w:sz w:val="18"/>
                <w:szCs w:val="18"/>
              </w:rPr>
            </w:pPr>
            <w:r>
              <w:rPr>
                <w:rFonts w:ascii="宋体" w:hAnsi="宋体" w:cs="宋体" w:eastAsia="宋体" w:hint="default"/>
                <w:sz w:val="18"/>
                <w:szCs w:val="18"/>
              </w:rPr>
              <w:t>神码控股、 神码软件</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披露的《关于资产重组相关方出具承诺事项</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上述承诺仍在履行 </w:t>
            </w:r>
            <w:r>
              <w:rPr>
                <w:rFonts w:ascii="宋体" w:hAnsi="宋体" w:cs="宋体" w:eastAsia="宋体" w:hint="default"/>
                <w:spacing w:val="-6"/>
                <w:sz w:val="18"/>
                <w:szCs w:val="18"/>
              </w:rPr>
              <w:t>过程中，承诺人无违</w:t>
            </w:r>
          </w:p>
        </w:tc>
      </w:tr>
      <w:tr>
        <w:trPr>
          <w:trHeight w:val="356"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3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61" w:type="dxa"/>
            <w:tcBorders>
              <w:top w:val="nil" w:sz="6" w:space="0" w:color="auto"/>
              <w:left w:val="single" w:sz="4" w:space="0" w:color="000000"/>
              <w:bottom w:val="single" w:sz="4" w:space="0" w:color="000000"/>
              <w:right w:val="single" w:sz="4" w:space="0" w:color="000000"/>
            </w:tcBorders>
          </w:tcPr>
          <w:p>
            <w:pPr/>
          </w:p>
        </w:tc>
        <w:tc>
          <w:tcPr>
            <w:tcW w:w="3290"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反上述承诺的情况。</w:t>
            </w:r>
          </w:p>
        </w:tc>
      </w:tr>
      <w:tr>
        <w:trPr>
          <w:trHeight w:val="357" w:hRule="exact"/>
        </w:trPr>
        <w:tc>
          <w:tcPr>
            <w:tcW w:w="1874" w:type="dxa"/>
            <w:vMerge/>
            <w:tcBorders>
              <w:left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投资者泰康</w:t>
            </w:r>
          </w:p>
        </w:tc>
        <w:tc>
          <w:tcPr>
            <w:tcW w:w="1278" w:type="dxa"/>
            <w:tcBorders>
              <w:top w:val="single" w:sz="4" w:space="0" w:color="000000"/>
              <w:left w:val="single" w:sz="4" w:space="0" w:color="000000"/>
              <w:bottom w:val="nil" w:sz="6" w:space="0" w:color="auto"/>
              <w:right w:val="single" w:sz="4" w:space="0" w:color="000000"/>
            </w:tcBorders>
          </w:tcPr>
          <w:p>
            <w:pPr/>
          </w:p>
        </w:tc>
        <w:tc>
          <w:tcPr>
            <w:tcW w:w="3400"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3290"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上述承诺已履行完</w:t>
            </w:r>
          </w:p>
        </w:tc>
      </w:tr>
      <w:tr>
        <w:trPr>
          <w:trHeight w:val="1247" w:hRule="exact"/>
        </w:trPr>
        <w:tc>
          <w:tcPr>
            <w:tcW w:w="1874" w:type="dxa"/>
            <w:vMerge/>
            <w:tcBorders>
              <w:left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4"/>
              <w:jc w:val="both"/>
              <w:rPr>
                <w:rFonts w:ascii="宋体" w:hAnsi="宋体" w:cs="宋体" w:eastAsia="宋体" w:hint="default"/>
                <w:sz w:val="18"/>
                <w:szCs w:val="18"/>
              </w:rPr>
            </w:pPr>
            <w:r>
              <w:rPr>
                <w:rFonts w:ascii="宋体" w:hAnsi="宋体" w:cs="宋体" w:eastAsia="宋体" w:hint="default"/>
                <w:sz w:val="18"/>
                <w:szCs w:val="18"/>
              </w:rPr>
              <w:t>资产管理有 限公司、华 安基金管理 有限公司、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nil" w:sz="6" w:space="0" w:color="auto"/>
              <w:left w:val="single" w:sz="4" w:space="0" w:color="000000"/>
              <w:bottom w:val="nil" w:sz="6" w:space="0" w:color="auto"/>
              <w:right w:val="single" w:sz="4" w:space="0" w:color="000000"/>
            </w:tcBorders>
          </w:tcPr>
          <w:p>
            <w:pPr>
              <w:pStyle w:val="TableParagraph"/>
              <w:spacing w:line="309" w:lineRule="auto" w:before="146"/>
              <w:ind w:left="22" w:right="21"/>
              <w:jc w:val="both"/>
              <w:rPr>
                <w:rFonts w:ascii="宋体" w:hAnsi="宋体" w:cs="宋体" w:eastAsia="宋体" w:hint="default"/>
                <w:sz w:val="18"/>
                <w:szCs w:val="18"/>
              </w:rPr>
            </w:pPr>
            <w:r>
              <w:rPr>
                <w:rFonts w:ascii="宋体" w:hAnsi="宋体" w:cs="宋体" w:eastAsia="宋体" w:hint="default"/>
                <w:spacing w:val="-3"/>
                <w:sz w:val="18"/>
                <w:szCs w:val="18"/>
              </w:rPr>
              <w:t>股份锁定承诺，详见公司于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日在巨潮资讯网上披露的《关于本次募集配</w:t>
            </w:r>
            <w:r>
              <w:rPr>
                <w:rFonts w:ascii="宋体" w:hAnsi="宋体" w:cs="宋体" w:eastAsia="宋体" w:hint="default"/>
                <w:sz w:val="18"/>
                <w:szCs w:val="18"/>
              </w:rPr>
              <w:t> </w:t>
            </w:r>
            <w:r>
              <w:rPr>
                <w:rFonts w:ascii="宋体" w:hAnsi="宋体" w:cs="宋体" w:eastAsia="宋体" w:hint="default"/>
                <w:spacing w:val="-6"/>
                <w:sz w:val="18"/>
                <w:szCs w:val="18"/>
              </w:rPr>
              <w:t>套资金认购方出具承诺事项的公告》。</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22" w:type="dxa"/>
            <w:tcBorders>
              <w:top w:val="nil" w:sz="6" w:space="0" w:color="auto"/>
              <w:left w:val="single" w:sz="4" w:space="0" w:color="000000"/>
              <w:bottom w:val="nil" w:sz="6" w:space="0" w:color="auto"/>
              <w:right w:val="single" w:sz="12" w:space="0" w:color="000000"/>
            </w:tcBorders>
          </w:tcPr>
          <w:p>
            <w:pPr>
              <w:pStyle w:val="TableParagraph"/>
              <w:spacing w:line="312" w:lineRule="auto" w:before="10"/>
              <w:ind w:left="22" w:right="11"/>
              <w:jc w:val="left"/>
              <w:rPr>
                <w:rFonts w:ascii="宋体" w:hAnsi="宋体" w:cs="宋体" w:eastAsia="宋体" w:hint="default"/>
                <w:sz w:val="18"/>
                <w:szCs w:val="18"/>
              </w:rPr>
            </w:pPr>
            <w:r>
              <w:rPr>
                <w:rFonts w:ascii="宋体" w:hAnsi="宋体" w:cs="宋体" w:eastAsia="宋体" w:hint="default"/>
                <w:spacing w:val="-6"/>
                <w:sz w:val="18"/>
                <w:szCs w:val="18"/>
              </w:rPr>
              <w:t>毕，相关股份已解除</w:t>
            </w:r>
            <w:r>
              <w:rPr>
                <w:rFonts w:ascii="宋体" w:hAnsi="宋体" w:cs="宋体" w:eastAsia="宋体" w:hint="default"/>
                <w:sz w:val="18"/>
                <w:szCs w:val="18"/>
              </w:rPr>
              <w:t> 限售，详见公司于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w:t>
            </w:r>
            <w:r>
              <w:rPr>
                <w:rFonts w:ascii="宋体" w:hAnsi="宋体" w:cs="宋体" w:eastAsia="宋体" w:hint="default"/>
                <w:spacing w:val="-6"/>
                <w:sz w:val="18"/>
                <w:szCs w:val="18"/>
              </w:rPr>
              <w:t>巨潮网上披露的《关</w:t>
            </w:r>
          </w:p>
        </w:tc>
      </w:tr>
      <w:tr>
        <w:trPr>
          <w:trHeight w:val="327" w:hRule="exact"/>
        </w:trPr>
        <w:tc>
          <w:tcPr>
            <w:tcW w:w="1874" w:type="dxa"/>
            <w:vMerge/>
            <w:tcBorders>
              <w:left w:val="single" w:sz="12" w:space="0" w:color="000000"/>
              <w:bottom w:val="single" w:sz="12" w:space="0" w:color="000000"/>
              <w:right w:val="single" w:sz="4" w:space="0" w:color="000000"/>
            </w:tcBorders>
            <w:shd w:val="clear" w:color="auto" w:fill="D2D2D2"/>
          </w:tcPr>
          <w:p>
            <w:pPr/>
          </w:p>
        </w:tc>
        <w:tc>
          <w:tcPr>
            <w:tcW w:w="9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32"/>
              <w:jc w:val="center"/>
              <w:rPr>
                <w:rFonts w:ascii="宋体" w:hAnsi="宋体" w:cs="宋体" w:eastAsia="宋体" w:hint="default"/>
                <w:sz w:val="18"/>
                <w:szCs w:val="18"/>
              </w:rPr>
            </w:pPr>
            <w:r>
              <w:rPr>
                <w:rFonts w:ascii="宋体" w:hAnsi="宋体" w:cs="宋体" w:eastAsia="宋体" w:hint="default"/>
                <w:sz w:val="18"/>
                <w:szCs w:val="18"/>
              </w:rPr>
              <w:t>华商基金管</w:t>
            </w:r>
          </w:p>
        </w:tc>
        <w:tc>
          <w:tcPr>
            <w:tcW w:w="1278" w:type="dxa"/>
            <w:tcBorders>
              <w:top w:val="nil" w:sz="6" w:space="0" w:color="auto"/>
              <w:left w:val="single" w:sz="4" w:space="0" w:color="000000"/>
              <w:bottom w:val="single" w:sz="12" w:space="0" w:color="000000"/>
              <w:right w:val="single" w:sz="4" w:space="0" w:color="000000"/>
            </w:tcBorders>
          </w:tcPr>
          <w:p>
            <w:pPr/>
          </w:p>
        </w:tc>
        <w:tc>
          <w:tcPr>
            <w:tcW w:w="3400" w:type="dxa"/>
            <w:tcBorders>
              <w:top w:val="nil" w:sz="6" w:space="0" w:color="auto"/>
              <w:left w:val="single" w:sz="4" w:space="0" w:color="000000"/>
              <w:bottom w:val="single" w:sz="12" w:space="0" w:color="000000"/>
              <w:right w:val="single" w:sz="4" w:space="0" w:color="000000"/>
            </w:tcBorders>
          </w:tcPr>
          <w:p>
            <w:pPr/>
          </w:p>
        </w:tc>
        <w:tc>
          <w:tcPr>
            <w:tcW w:w="1561" w:type="dxa"/>
            <w:tcBorders>
              <w:top w:val="nil" w:sz="6" w:space="0" w:color="auto"/>
              <w:left w:val="single" w:sz="4" w:space="0" w:color="000000"/>
              <w:bottom w:val="single" w:sz="12" w:space="0" w:color="000000"/>
              <w:right w:val="single" w:sz="4" w:space="0" w:color="000000"/>
            </w:tcBorders>
          </w:tcPr>
          <w:p>
            <w:pPr/>
          </w:p>
        </w:tc>
        <w:tc>
          <w:tcPr>
            <w:tcW w:w="3290" w:type="dxa"/>
            <w:tcBorders>
              <w:top w:val="nil" w:sz="6" w:space="0" w:color="auto"/>
              <w:left w:val="single" w:sz="4" w:space="0" w:color="000000"/>
              <w:bottom w:val="single" w:sz="12" w:space="0" w:color="000000"/>
              <w:right w:val="single" w:sz="4" w:space="0" w:color="000000"/>
            </w:tcBorders>
          </w:tcPr>
          <w:p>
            <w:pPr/>
          </w:p>
        </w:tc>
        <w:tc>
          <w:tcPr>
            <w:tcW w:w="1622" w:type="dxa"/>
            <w:tcBorders>
              <w:top w:val="nil" w:sz="6" w:space="0" w:color="auto"/>
              <w:left w:val="single" w:sz="4" w:space="0" w:color="000000"/>
              <w:bottom w:val="single" w:sz="12" w:space="0" w:color="000000"/>
              <w:right w:val="single" w:sz="12"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于非公开发行股份</w:t>
            </w:r>
          </w:p>
        </w:tc>
      </w:tr>
    </w:tbl>
    <w:p>
      <w:pPr>
        <w:rPr>
          <w:sz w:val="2"/>
          <w:szCs w:val="2"/>
        </w:rPr>
      </w:pPr>
      <w:r>
        <w:rPr/>
        <w:pict>
          <v:shape style="position:absolute;margin-left:189.863007pt;margin-top:58.200008pt;width:87.5pt;height:31.25pt;mso-position-horizontal-relative:page;mso-position-vertical-relative:page;z-index:-1051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蒋云、</w:t>
                  </w:r>
                </w:p>
              </w:txbxContent>
            </v:textbox>
            <w10:wrap type="none"/>
          </v:shape>
        </w:pict>
      </w:r>
      <w:r>
        <w:rPr/>
        <w:pict>
          <v:shape style="position:absolute;margin-left:189.863007pt;margin-top:109.040009pt;width:87.5pt;height:31.2pt;mso-position-horizontal-relative:page;mso-position-vertical-relative:page;z-index:-10515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王正、</w:t>
                  </w:r>
                </w:p>
              </w:txbxContent>
            </v:textbox>
            <w10:wrap type="none"/>
          </v:shape>
        </w:pict>
      </w:r>
      <w:r>
        <w:rPr/>
        <w:pict>
          <v:shape style="position:absolute;margin-left:189.863007pt;margin-top:140.720001pt;width:87.5pt;height:31.2pt;mso-position-horizontal-relative:page;mso-position-vertical-relative:page;z-index:-1051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蒋云、</w:t>
                  </w:r>
                </w:p>
              </w:txbxContent>
            </v:textbox>
            <w10:wrap type="none"/>
          </v:shape>
        </w:pict>
      </w:r>
      <w:r>
        <w:rPr/>
        <w:pict>
          <v:shape style="position:absolute;margin-left:189.863007pt;margin-top:191.540009pt;width:87.5pt;height:31.2pt;mso-position-horizontal-relative:page;mso-position-vertical-relative:page;z-index:-105148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王正、</w:t>
                  </w:r>
                </w:p>
              </w:txbxContent>
            </v:textbox>
            <w10:wrap type="none"/>
          </v:shape>
        </w:pict>
      </w:r>
      <w:r>
        <w:rPr/>
        <w:pict>
          <v:group style="position:absolute;margin-left:213.979996pt;margin-top:109.040009pt;width:63.4pt;height:62.9pt;mso-position-horizontal-relative:page;mso-position-vertical-relative:page;z-index:-1051456" coordorigin="4280,2181" coordsize="1268,1258">
            <v:group style="position:absolute;left:4280;top:2181;width:1268;height:624" coordorigin="4280,2181" coordsize="1268,624">
              <v:shape style="position:absolute;left:4280;top:2181;width:1268;height:624" coordorigin="4280,2181" coordsize="1268,624" path="m4280,2805l5547,2805,5547,2181,4280,2181,4280,2805xe" filled="true" fillcolor="#ffffff" stroked="false">
                <v:path arrowok="t"/>
                <v:fill type="solid"/>
              </v:shape>
            </v:group>
            <v:group style="position:absolute;left:4280;top:2814;width:1268;height:624" coordorigin="4280,2814" coordsize="1268,624">
              <v:shape style="position:absolute;left:4280;top:2814;width:1268;height:624" coordorigin="4280,2814" coordsize="1268,624" path="m4280,3438l5547,3438,5547,2814,4280,2814,4280,3438xe" filled="true" fillcolor="#ffffff" stroked="false">
                <v:path arrowok="t"/>
                <v:fill type="solid"/>
              </v:shape>
            </v:group>
            <w10:wrap type="none"/>
          </v:group>
        </w:pict>
      </w:r>
      <w:r>
        <w:rPr/>
        <w:pict>
          <v:group style="position:absolute;margin-left:213.979996pt;margin-top:191.540009pt;width:63.4pt;height:31.2pt;mso-position-horizontal-relative:page;mso-position-vertical-relative:page;z-index:-1051432" coordorigin="4280,3831" coordsize="1268,624">
            <v:shape style="position:absolute;left:4280;top:3831;width:1268;height:624" coordorigin="4280,3831" coordsize="1268,624" path="m4280,4455l5547,4455,5547,3831,4280,3831,4280,4455xe" filled="true" fillcolor="#ffffff" stroked="false">
              <v:path arrowok="t"/>
              <v:fill type="solid"/>
            </v:shape>
            <w10:wrap type="none"/>
          </v:group>
        </w:pict>
      </w:r>
    </w:p>
    <w:p>
      <w:pPr>
        <w:spacing w:after="0"/>
        <w:rPr>
          <w:sz w:val="2"/>
          <w:szCs w:val="2"/>
        </w:rPr>
        <w:sectPr>
          <w:pgSz w:w="16840" w:h="11910" w:orient="landscape"/>
          <w:pgMar w:header="867" w:footer="1226" w:top="1120" w:bottom="1480" w:left="1280" w:right="0"/>
        </w:sectPr>
      </w:pPr>
    </w:p>
    <w:tbl>
      <w:tblPr>
        <w:tblW w:w="0" w:type="auto"/>
        <w:jc w:val="left"/>
        <w:tblInd w:w="116" w:type="dxa"/>
        <w:tblLayout w:type="fixed"/>
        <w:tblCellMar>
          <w:top w:w="0" w:type="dxa"/>
          <w:left w:w="0" w:type="dxa"/>
          <w:bottom w:w="0" w:type="dxa"/>
          <w:right w:w="0" w:type="dxa"/>
        </w:tblCellMar>
        <w:tblLook w:val="01E0"/>
      </w:tblPr>
      <w:tblGrid>
        <w:gridCol w:w="1874"/>
        <w:gridCol w:w="989"/>
        <w:gridCol w:w="1278"/>
        <w:gridCol w:w="3400"/>
        <w:gridCol w:w="1561"/>
        <w:gridCol w:w="3290"/>
        <w:gridCol w:w="1622"/>
      </w:tblGrid>
      <w:tr>
        <w:trPr>
          <w:trHeight w:val="1932" w:hRule="exact"/>
        </w:trPr>
        <w:tc>
          <w:tcPr>
            <w:tcW w:w="1874"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10"/>
              <w:ind w:left="22" w:right="54"/>
              <w:jc w:val="left"/>
              <w:rPr>
                <w:rFonts w:ascii="宋体" w:hAnsi="宋体" w:cs="宋体" w:eastAsia="宋体" w:hint="default"/>
                <w:sz w:val="18"/>
                <w:szCs w:val="18"/>
              </w:rPr>
            </w:pPr>
            <w:r>
              <w:rPr>
                <w:rFonts w:ascii="宋体" w:hAnsi="宋体" w:cs="宋体" w:eastAsia="宋体" w:hint="default"/>
                <w:sz w:val="18"/>
                <w:szCs w:val="18"/>
              </w:rPr>
              <w:t>理有限公 司、财通基 金管理有限 公司、兴业 全球基金管 理有限公司</w:t>
            </w:r>
          </w:p>
        </w:tc>
        <w:tc>
          <w:tcPr>
            <w:tcW w:w="1278" w:type="dxa"/>
            <w:tcBorders>
              <w:top w:val="single" w:sz="12" w:space="0" w:color="000000"/>
              <w:left w:val="single" w:sz="4" w:space="0" w:color="000000"/>
              <w:bottom w:val="single" w:sz="4" w:space="0" w:color="000000"/>
              <w:right w:val="single" w:sz="4" w:space="0" w:color="000000"/>
            </w:tcBorders>
          </w:tcPr>
          <w:p>
            <w:pPr/>
          </w:p>
        </w:tc>
        <w:tc>
          <w:tcPr>
            <w:tcW w:w="3400"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3290" w:type="dxa"/>
            <w:tcBorders>
              <w:top w:val="single" w:sz="12" w:space="0" w:color="000000"/>
              <w:left w:val="single" w:sz="4" w:space="0" w:color="000000"/>
              <w:bottom w:val="single" w:sz="4" w:space="0" w:color="000000"/>
              <w:right w:val="single" w:sz="4" w:space="0" w:color="000000"/>
            </w:tcBorders>
          </w:tcPr>
          <w:p>
            <w:pPr/>
          </w:p>
        </w:tc>
        <w:tc>
          <w:tcPr>
            <w:tcW w:w="1622"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22" w:right="137"/>
              <w:jc w:val="left"/>
              <w:rPr>
                <w:rFonts w:ascii="宋体" w:hAnsi="宋体" w:cs="宋体" w:eastAsia="宋体" w:hint="default"/>
                <w:sz w:val="18"/>
                <w:szCs w:val="18"/>
              </w:rPr>
            </w:pPr>
            <w:r>
              <w:rPr>
                <w:rFonts w:ascii="宋体" w:hAnsi="宋体" w:cs="宋体" w:eastAsia="宋体" w:hint="default"/>
                <w:sz w:val="18"/>
                <w:szCs w:val="18"/>
              </w:rPr>
              <w:t>解除限售的提示性 </w:t>
            </w:r>
            <w:r>
              <w:rPr>
                <w:rFonts w:ascii="宋体" w:hAnsi="宋体" w:cs="宋体" w:eastAsia="宋体" w:hint="default"/>
                <w:spacing w:val="-23"/>
                <w:sz w:val="18"/>
                <w:szCs w:val="18"/>
              </w:rPr>
              <w:t>公告》。</w:t>
            </w:r>
          </w:p>
        </w:tc>
      </w:tr>
      <w:tr>
        <w:trPr>
          <w:trHeight w:val="1338" w:hRule="exact"/>
        </w:trPr>
        <w:tc>
          <w:tcPr>
            <w:tcW w:w="1874"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3" w:right="3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神码控股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神码控股及其所控制实体所持有的神州信 息股票均不会进行减持，详见公司于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2" w:lineRule="auto"/>
              <w:ind w:left="22" w:right="3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日在巨潮资讯网上披露的《声明 </w:t>
            </w:r>
            <w:r>
              <w:rPr>
                <w:rFonts w:ascii="宋体" w:hAnsi="宋体" w:cs="宋体" w:eastAsia="宋体" w:hint="default"/>
                <w:spacing w:val="-12"/>
                <w:sz w:val="18"/>
                <w:szCs w:val="18"/>
              </w:rPr>
              <w:t>及承诺函（一）》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日至本次非公开发行完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1338" w:hRule="exact"/>
        </w:trPr>
        <w:tc>
          <w:tcPr>
            <w:tcW w:w="1874" w:type="dxa"/>
            <w:vMerge/>
            <w:tcBorders>
              <w:left w:val="single" w:sz="12"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神码软件及其所控制实体所持有的神州信 息股票均不会进行减持，详见公司于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2" w:lineRule="auto"/>
              <w:ind w:left="22" w:right="3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日在巨潮资讯网上披露的《声明 </w:t>
            </w:r>
            <w:r>
              <w:rPr>
                <w:rFonts w:ascii="宋体" w:hAnsi="宋体" w:cs="宋体" w:eastAsia="宋体" w:hint="default"/>
                <w:spacing w:val="-12"/>
                <w:sz w:val="18"/>
                <w:szCs w:val="18"/>
              </w:rPr>
              <w:t>及承诺函（二）》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日至本次非公开发行完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464" w:hRule="exact"/>
        </w:trPr>
        <w:tc>
          <w:tcPr>
            <w:tcW w:w="18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8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34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329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12" w:space="0" w:color="000000"/>
            </w:tcBorders>
          </w:tcPr>
          <w:p>
            <w:pPr/>
          </w:p>
        </w:tc>
      </w:tr>
      <w:tr>
        <w:trPr>
          <w:trHeight w:val="1338" w:hRule="exact"/>
        </w:trPr>
        <w:tc>
          <w:tcPr>
            <w:tcW w:w="1874"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3" w:right="39"/>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本次增持完成后的六个月内不减持</w:t>
            </w:r>
            <w:r>
              <w:rPr>
                <w:rFonts w:ascii="Times New Roman" w:hAnsi="Times New Roman" w:cs="Times New Roman" w:eastAsia="Times New Roman" w:hint="default"/>
                <w:sz w:val="18"/>
                <w:szCs w:val="18"/>
              </w:rPr>
              <w:t>,</w:t>
            </w:r>
            <w:r>
              <w:rPr>
                <w:rFonts w:ascii="宋体" w:hAnsi="宋体" w:cs="宋体" w:eastAsia="宋体" w:hint="default"/>
                <w:sz w:val="18"/>
                <w:szCs w:val="18"/>
              </w:rPr>
              <w:t>详见公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 </w:t>
            </w:r>
            <w:r>
              <w:rPr>
                <w:rFonts w:ascii="宋体" w:hAnsi="宋体" w:cs="宋体" w:eastAsia="宋体" w:hint="default"/>
                <w:spacing w:val="-4"/>
                <w:sz w:val="18"/>
                <w:szCs w:val="18"/>
              </w:rPr>
              <w:t>露的《关于中新苏州工业园区创业投资有限</w:t>
            </w:r>
            <w:r>
              <w:rPr>
                <w:rFonts w:ascii="宋体" w:hAnsi="宋体" w:cs="宋体" w:eastAsia="宋体" w:hint="default"/>
                <w:sz w:val="18"/>
                <w:szCs w:val="18"/>
              </w:rPr>
              <w:t> 公司完成增持计划的公告》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
              <w:jc w:val="left"/>
              <w:rPr>
                <w:rFonts w:ascii="宋体" w:hAnsi="宋体" w:cs="宋体" w:eastAsia="宋体" w:hint="default"/>
                <w:sz w:val="18"/>
                <w:szCs w:val="18"/>
              </w:rPr>
            </w:pPr>
            <w:r>
              <w:rPr>
                <w:rFonts w:ascii="宋体" w:hAnsi="宋体" w:cs="宋体" w:eastAsia="宋体" w:hint="default"/>
                <w:sz w:val="18"/>
                <w:szCs w:val="18"/>
              </w:rPr>
              <w:t>上述承诺已履行完 </w:t>
            </w:r>
            <w:r>
              <w:rPr>
                <w:rFonts w:ascii="宋体" w:hAnsi="宋体" w:cs="宋体" w:eastAsia="宋体" w:hint="default"/>
                <w:spacing w:val="-6"/>
                <w:sz w:val="18"/>
                <w:szCs w:val="18"/>
              </w:rPr>
              <w:t>毕，承诺人无违反上</w:t>
            </w:r>
            <w:r>
              <w:rPr>
                <w:rFonts w:ascii="宋体" w:hAnsi="宋体" w:cs="宋体" w:eastAsia="宋体" w:hint="default"/>
                <w:sz w:val="18"/>
                <w:szCs w:val="18"/>
              </w:rPr>
              <w:t> 述承诺的情况。</w:t>
            </w:r>
          </w:p>
        </w:tc>
      </w:tr>
      <w:tr>
        <w:trPr>
          <w:trHeight w:val="2597" w:hRule="exact"/>
        </w:trPr>
        <w:tc>
          <w:tcPr>
            <w:tcW w:w="1874" w:type="dxa"/>
            <w:vMerge/>
            <w:tcBorders>
              <w:left w:val="single" w:sz="12" w:space="0" w:color="000000"/>
              <w:bottom w:val="single" w:sz="12"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增持股份市值不低于人民币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万元，详</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日在巨潮资讯网上 </w:t>
            </w:r>
            <w:r>
              <w:rPr>
                <w:rFonts w:ascii="宋体" w:hAnsi="宋体" w:cs="宋体" w:eastAsia="宋体" w:hint="default"/>
                <w:spacing w:val="-4"/>
                <w:sz w:val="18"/>
                <w:szCs w:val="18"/>
              </w:rPr>
              <w:t>披露的《关于中新苏州工业园区创业投资有</w:t>
            </w:r>
            <w:r>
              <w:rPr>
                <w:rFonts w:ascii="宋体" w:hAnsi="宋体" w:cs="宋体" w:eastAsia="宋体" w:hint="default"/>
                <w:sz w:val="18"/>
                <w:szCs w:val="18"/>
              </w:rPr>
              <w:t> </w:t>
            </w:r>
            <w:r>
              <w:rPr>
                <w:rFonts w:ascii="宋体" w:hAnsi="宋体" w:cs="宋体" w:eastAsia="宋体" w:hint="default"/>
                <w:spacing w:val="-6"/>
                <w:sz w:val="18"/>
                <w:szCs w:val="18"/>
              </w:rPr>
              <w:t>限公司计划增持公司股份的公告》。</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上述承诺已履行完 </w:t>
            </w:r>
            <w:r>
              <w:rPr>
                <w:rFonts w:ascii="宋体" w:hAnsi="宋体" w:cs="宋体" w:eastAsia="宋体" w:hint="default"/>
                <w:spacing w:val="-6"/>
                <w:sz w:val="18"/>
                <w:szCs w:val="18"/>
              </w:rPr>
              <w:t>毕，承诺人无违反上</w:t>
            </w:r>
            <w:r>
              <w:rPr>
                <w:rFonts w:ascii="宋体" w:hAnsi="宋体" w:cs="宋体" w:eastAsia="宋体" w:hint="default"/>
                <w:sz w:val="18"/>
                <w:szCs w:val="18"/>
              </w:rPr>
              <w:t> </w:t>
            </w:r>
            <w:r>
              <w:rPr>
                <w:rFonts w:ascii="宋体" w:hAnsi="宋体" w:cs="宋体" w:eastAsia="宋体" w:hint="default"/>
                <w:spacing w:val="-6"/>
                <w:sz w:val="18"/>
                <w:szCs w:val="18"/>
              </w:rPr>
              <w:t>述承诺的情况，详见</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6"/>
                <w:sz w:val="18"/>
                <w:szCs w:val="18"/>
              </w:rPr>
              <w:t>露的《关于中新苏州</w:t>
            </w:r>
            <w:r>
              <w:rPr>
                <w:rFonts w:ascii="宋体" w:hAnsi="宋体" w:cs="宋体" w:eastAsia="宋体" w:hint="default"/>
                <w:sz w:val="18"/>
                <w:szCs w:val="18"/>
              </w:rPr>
              <w:t> 工业园区创业投资 有限公司完成增持 </w:t>
            </w:r>
            <w:r>
              <w:rPr>
                <w:rFonts w:ascii="宋体" w:hAnsi="宋体" w:cs="宋体" w:eastAsia="宋体" w:hint="default"/>
                <w:spacing w:val="-13"/>
                <w:sz w:val="18"/>
                <w:szCs w:val="18"/>
              </w:rPr>
              <w:t>计划的公告》。</w:t>
            </w:r>
          </w:p>
        </w:tc>
      </w:tr>
    </w:tbl>
    <w:p>
      <w:pPr>
        <w:spacing w:after="0" w:line="316" w:lineRule="auto"/>
        <w:jc w:val="left"/>
        <w:rPr>
          <w:rFonts w:ascii="宋体" w:hAnsi="宋体" w:cs="宋体" w:eastAsia="宋体" w:hint="default"/>
          <w:sz w:val="18"/>
          <w:szCs w:val="18"/>
        </w:rPr>
        <w:sectPr>
          <w:pgSz w:w="16840" w:h="11910" w:orient="landscape"/>
          <w:pgMar w:header="867" w:footer="1226" w:top="1120" w:bottom="1420" w:left="1280" w:right="0"/>
        </w:sectPr>
      </w:pPr>
    </w:p>
    <w:p>
      <w:pPr>
        <w:spacing w:line="240" w:lineRule="auto" w:before="9"/>
        <w:rPr>
          <w:rFonts w:ascii="Times New Roman" w:hAnsi="Times New Roman" w:cs="Times New Roman" w:eastAsia="Times New Roman"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874"/>
        <w:gridCol w:w="989"/>
        <w:gridCol w:w="983"/>
        <w:gridCol w:w="295"/>
        <w:gridCol w:w="3400"/>
        <w:gridCol w:w="1561"/>
        <w:gridCol w:w="3290"/>
        <w:gridCol w:w="1622"/>
      </w:tblGrid>
      <w:tr>
        <w:trPr>
          <w:trHeight w:val="2285" w:hRule="exact"/>
        </w:trPr>
        <w:tc>
          <w:tcPr>
            <w:tcW w:w="1874" w:type="dxa"/>
            <w:vMerge w:val="restart"/>
            <w:tcBorders>
              <w:top w:val="single" w:sz="12" w:space="0" w:color="000000"/>
              <w:left w:val="single" w:sz="12" w:space="0" w:color="000000"/>
              <w:right w:val="single" w:sz="4" w:space="0" w:color="000000"/>
            </w:tcBorders>
            <w:shd w:val="clear" w:color="auto" w:fill="D2D2D2"/>
          </w:tcPr>
          <w:p>
            <w:pP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127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both"/>
              <w:rPr>
                <w:rFonts w:ascii="宋体" w:hAnsi="宋体" w:cs="宋体" w:eastAsia="宋体" w:hint="default"/>
                <w:sz w:val="18"/>
                <w:szCs w:val="18"/>
              </w:rPr>
            </w:pPr>
            <w:r>
              <w:rPr>
                <w:rFonts w:ascii="宋体" w:hAnsi="宋体" w:cs="宋体" w:eastAsia="宋体" w:hint="default"/>
                <w:sz w:val="18"/>
                <w:szCs w:val="18"/>
              </w:rPr>
              <w:t>增持股份市值不低于人民币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1"/>
              <w:ind w:left="22" w:right="21"/>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日在巨潮资讯网 </w:t>
            </w:r>
            <w:r>
              <w:rPr>
                <w:rFonts w:ascii="宋体" w:hAnsi="宋体" w:cs="宋体" w:eastAsia="宋体" w:hint="default"/>
                <w:spacing w:val="-4"/>
                <w:sz w:val="18"/>
                <w:szCs w:val="18"/>
              </w:rPr>
              <w:t>上披露的《关于昆山市申昌科技有限公司计</w:t>
            </w:r>
            <w:r>
              <w:rPr>
                <w:rFonts w:ascii="宋体" w:hAnsi="宋体" w:cs="宋体" w:eastAsia="宋体" w:hint="default"/>
                <w:sz w:val="18"/>
                <w:szCs w:val="18"/>
              </w:rPr>
              <w:t> </w:t>
            </w:r>
            <w:r>
              <w:rPr>
                <w:rFonts w:ascii="宋体" w:hAnsi="宋体" w:cs="宋体" w:eastAsia="宋体" w:hint="default"/>
                <w:spacing w:val="-8"/>
                <w:sz w:val="18"/>
                <w:szCs w:val="18"/>
              </w:rPr>
              <w:t>划增持公司股份的公告》。</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1"/>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上述承诺已履行完 </w:t>
            </w:r>
            <w:r>
              <w:rPr>
                <w:rFonts w:ascii="宋体" w:hAnsi="宋体" w:cs="宋体" w:eastAsia="宋体" w:hint="default"/>
                <w:spacing w:val="-13"/>
                <w:sz w:val="18"/>
                <w:szCs w:val="18"/>
              </w:rPr>
              <w:t>毕，详见公司于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p>
          <w:p>
            <w:pPr>
              <w:pStyle w:val="TableParagraph"/>
              <w:spacing w:line="314" w:lineRule="auto"/>
              <w:ind w:left="22" w:right="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日在巨潮 </w:t>
            </w:r>
            <w:r>
              <w:rPr>
                <w:rFonts w:ascii="宋体" w:hAnsi="宋体" w:cs="宋体" w:eastAsia="宋体" w:hint="default"/>
                <w:spacing w:val="-6"/>
                <w:sz w:val="18"/>
                <w:szCs w:val="18"/>
              </w:rPr>
              <w:t>资讯网上披露的《关</w:t>
            </w:r>
            <w:r>
              <w:rPr>
                <w:rFonts w:ascii="宋体" w:hAnsi="宋体" w:cs="宋体" w:eastAsia="宋体" w:hint="default"/>
                <w:sz w:val="18"/>
                <w:szCs w:val="18"/>
              </w:rPr>
              <w:t> 于昆山市申昌科技 有限公司完成增持 </w:t>
            </w:r>
            <w:r>
              <w:rPr>
                <w:rFonts w:ascii="宋体" w:hAnsi="宋体" w:cs="宋体" w:eastAsia="宋体" w:hint="default"/>
                <w:spacing w:val="-13"/>
                <w:sz w:val="18"/>
                <w:szCs w:val="18"/>
              </w:rPr>
              <w:t>计划的公告》。</w:t>
            </w:r>
          </w:p>
        </w:tc>
      </w:tr>
      <w:tr>
        <w:trPr>
          <w:trHeight w:val="1338" w:hRule="exact"/>
        </w:trPr>
        <w:tc>
          <w:tcPr>
            <w:tcW w:w="1874" w:type="dxa"/>
            <w:vMerge/>
            <w:tcBorders>
              <w:left w:val="single" w:sz="12"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本次增持完成后的六个月内不减持所持有 的公司股份，详见公司于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4"/>
                <w:sz w:val="18"/>
                <w:szCs w:val="18"/>
              </w:rPr>
              <w:t>日在巨潮资讯网上披露的《关于昆山市申昌</w:t>
            </w:r>
            <w:r>
              <w:rPr>
                <w:rFonts w:ascii="宋体" w:hAnsi="宋体" w:cs="宋体" w:eastAsia="宋体" w:hint="default"/>
                <w:sz w:val="18"/>
                <w:szCs w:val="18"/>
              </w:rPr>
              <w:t> </w:t>
            </w:r>
            <w:r>
              <w:rPr>
                <w:rFonts w:ascii="宋体" w:hAnsi="宋体" w:cs="宋体" w:eastAsia="宋体" w:hint="default"/>
                <w:spacing w:val="-6"/>
                <w:sz w:val="18"/>
                <w:szCs w:val="18"/>
              </w:rPr>
              <w:t>科技有限公司完成增持计划的公告》。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截至本公告签署日， 上述承诺仍在履行 </w:t>
            </w:r>
            <w:r>
              <w:rPr>
                <w:rFonts w:ascii="宋体" w:hAnsi="宋体" w:cs="宋体" w:eastAsia="宋体" w:hint="default"/>
                <w:spacing w:val="-6"/>
                <w:sz w:val="18"/>
                <w:szCs w:val="18"/>
              </w:rPr>
              <w:t>过程中，承诺人无违</w:t>
            </w:r>
            <w:r>
              <w:rPr>
                <w:rFonts w:ascii="宋体" w:hAnsi="宋体" w:cs="宋体" w:eastAsia="宋体" w:hint="default"/>
                <w:sz w:val="18"/>
                <w:szCs w:val="18"/>
              </w:rPr>
              <w:t> 反上述承诺的情况。</w:t>
            </w:r>
          </w:p>
        </w:tc>
      </w:tr>
      <w:tr>
        <w:trPr>
          <w:trHeight w:val="464" w:hRule="exact"/>
        </w:trPr>
        <w:tc>
          <w:tcPr>
            <w:tcW w:w="18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141" w:type="dxa"/>
            <w:gridSpan w:val="7"/>
            <w:tcBorders>
              <w:top w:val="single" w:sz="4" w:space="0" w:color="000000"/>
              <w:left w:val="single" w:sz="13" w:space="0" w:color="D2D2D2"/>
              <w:bottom w:val="single" w:sz="4" w:space="0" w:color="000000"/>
              <w:right w:val="single" w:sz="12" w:space="0" w:color="000000"/>
            </w:tcBorders>
          </w:tcPr>
          <w:p>
            <w:pPr>
              <w:pStyle w:val="TableParagraph"/>
              <w:spacing w:line="240" w:lineRule="auto" w:before="83"/>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4" w:hRule="exact"/>
        </w:trPr>
        <w:tc>
          <w:tcPr>
            <w:tcW w:w="3846" w:type="dxa"/>
            <w:gridSpan w:val="3"/>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2"/>
              <w:ind w:left="13" w:right="31"/>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 履行的具体原因及下一步的工作计划</w:t>
            </w:r>
          </w:p>
        </w:tc>
        <w:tc>
          <w:tcPr>
            <w:tcW w:w="10168" w:type="dxa"/>
            <w:gridSpan w:val="5"/>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60"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848"/>
        <w:gridCol w:w="1662"/>
        <w:gridCol w:w="1664"/>
        <w:gridCol w:w="1663"/>
        <w:gridCol w:w="1666"/>
        <w:gridCol w:w="1664"/>
        <w:gridCol w:w="1668"/>
        <w:gridCol w:w="2179"/>
      </w:tblGrid>
      <w:tr>
        <w:trPr>
          <w:trHeight w:val="764" w:hRule="exact"/>
        </w:trPr>
        <w:tc>
          <w:tcPr>
            <w:tcW w:w="184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70"/>
              <w:ind w:left="728" w:right="107" w:hanging="630"/>
              <w:jc w:val="left"/>
              <w:rPr>
                <w:rFonts w:ascii="宋体" w:hAnsi="宋体" w:cs="宋体" w:eastAsia="宋体" w:hint="default"/>
                <w:sz w:val="18"/>
                <w:szCs w:val="18"/>
              </w:rPr>
            </w:pPr>
            <w:r>
              <w:rPr>
                <w:rFonts w:ascii="宋体" w:hAnsi="宋体" w:cs="宋体" w:eastAsia="宋体" w:hint="default"/>
                <w:sz w:val="18"/>
                <w:szCs w:val="18"/>
              </w:rPr>
              <w:t>盈利预测资产或项目 名称</w:t>
            </w:r>
          </w:p>
        </w:tc>
        <w:tc>
          <w:tcPr>
            <w:tcW w:w="16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6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6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6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6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未达预测的原因</w:t>
            </w:r>
          </w:p>
        </w:tc>
        <w:tc>
          <w:tcPr>
            <w:tcW w:w="16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原预测披露日期</w:t>
            </w:r>
          </w:p>
        </w:tc>
        <w:tc>
          <w:tcPr>
            <w:tcW w:w="217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84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92"/>
              <w:jc w:val="left"/>
              <w:rPr>
                <w:rFonts w:ascii="宋体" w:hAnsi="宋体" w:cs="宋体" w:eastAsia="宋体" w:hint="default"/>
                <w:sz w:val="18"/>
                <w:szCs w:val="18"/>
              </w:rPr>
            </w:pPr>
            <w:r>
              <w:rPr>
                <w:rFonts w:ascii="宋体" w:hAnsi="宋体" w:cs="宋体" w:eastAsia="宋体" w:hint="default"/>
                <w:sz w:val="18"/>
                <w:szCs w:val="18"/>
              </w:rPr>
              <w:t>神州信息收购中农信 达</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33,433.67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37,019.78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r>
        <w:trPr>
          <w:trHeight w:val="1036" w:hRule="exact"/>
        </w:trPr>
        <w:tc>
          <w:tcPr>
            <w:tcW w:w="1848" w:type="dxa"/>
            <w:tcBorders>
              <w:top w:val="single" w:sz="4" w:space="0" w:color="000000"/>
              <w:left w:val="single" w:sz="12" w:space="0" w:color="000000"/>
              <w:bottom w:val="single" w:sz="12" w:space="0" w:color="000000"/>
              <w:right w:val="single" w:sz="4" w:space="0" w:color="000000"/>
            </w:tcBorders>
          </w:tcPr>
          <w:p>
            <w:pPr>
              <w:pStyle w:val="TableParagraph"/>
              <w:spacing w:line="309" w:lineRule="auto" w:before="51"/>
              <w:ind w:left="13" w:right="132"/>
              <w:jc w:val="both"/>
              <w:rPr>
                <w:rFonts w:ascii="宋体" w:hAnsi="宋体" w:cs="宋体" w:eastAsia="宋体" w:hint="default"/>
                <w:sz w:val="18"/>
                <w:szCs w:val="18"/>
              </w:rPr>
            </w:pPr>
            <w:r>
              <w:rPr>
                <w:rFonts w:ascii="宋体" w:hAnsi="宋体" w:cs="宋体" w:eastAsia="宋体" w:hint="default"/>
                <w:sz w:val="18"/>
                <w:szCs w:val="18"/>
              </w:rPr>
              <w:t>神州信息收购中农信 达</w:t>
            </w:r>
            <w:r>
              <w:rPr>
                <w:rFonts w:ascii="Times New Roman" w:hAnsi="Times New Roman" w:cs="Times New Roman" w:eastAsia="Times New Roman" w:hint="default"/>
                <w:sz w:val="18"/>
                <w:szCs w:val="18"/>
              </w:rPr>
              <w:t>-</w:t>
            </w:r>
            <w:r>
              <w:rPr>
                <w:rFonts w:ascii="宋体" w:hAnsi="宋体" w:cs="宋体" w:eastAsia="宋体" w:hint="default"/>
                <w:sz w:val="18"/>
                <w:szCs w:val="18"/>
              </w:rPr>
              <w:t>归属于母公司股东 净利润</w:t>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34,612.31</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34,883.09</w:t>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1226" w:top="1060" w:bottom="1420" w:left="1280" w:right="0"/>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公司股东、交易对手方在报告年度经营业绩做出的承诺情况</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240" w:lineRule="auto"/>
        <w:ind w:right="0"/>
        <w:jc w:val="left"/>
      </w:pPr>
      <w:r>
        <w:rPr/>
        <w:t>本公司于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年度收购中农信达</w:t>
      </w:r>
      <w:r>
        <w:rPr>
          <w:spacing w:val="-55"/>
        </w:rPr>
        <w:t> </w:t>
      </w:r>
      <w:r>
        <w:rPr>
          <w:rFonts w:ascii="Times New Roman" w:hAnsi="Times New Roman" w:cs="Times New Roman" w:eastAsia="Times New Roman" w:hint="default"/>
          <w:spacing w:val="-3"/>
        </w:rPr>
        <w:t>100%</w:t>
      </w:r>
      <w:r>
        <w:rPr>
          <w:spacing w:val="-3"/>
        </w:rPr>
        <w:t>股权，并于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日完成收购。根据神州信息与中农信达</w:t>
      </w:r>
    </w:p>
    <w:p>
      <w:pPr>
        <w:pStyle w:val="BodyText"/>
        <w:spacing w:line="240" w:lineRule="auto" w:before="177"/>
        <w:ind w:right="0"/>
        <w:jc w:val="left"/>
        <w:rPr>
          <w:rFonts w:ascii="Times New Roman" w:hAnsi="Times New Roman" w:cs="Times New Roman" w:eastAsia="Times New Roman" w:hint="default"/>
        </w:rPr>
      </w:pPr>
      <w:r>
        <w:rPr/>
        <w:t>全体股东签署的《利润补偿协议》和《利润补偿协议之补充协议</w:t>
      </w:r>
      <w:r>
        <w:rPr>
          <w:spacing w:val="-105"/>
        </w:rPr>
        <w:t>》</w:t>
      </w:r>
      <w:r>
        <w:rPr/>
        <w:t>，</w:t>
      </w:r>
      <w:r>
        <w:rPr>
          <w:spacing w:val="-2"/>
        </w:rPr>
        <w:t>中</w:t>
      </w:r>
      <w:r>
        <w:rPr/>
        <w:t>农信达全体股东承诺中农信达</w:t>
      </w:r>
      <w:r>
        <w:rPr>
          <w:spacing w:val="-51"/>
        </w:rPr>
        <w:t> </w:t>
      </w:r>
      <w:r>
        <w:rPr>
          <w:rFonts w:ascii="Times New Roman" w:hAnsi="Times New Roman" w:cs="Times New Roman" w:eastAsia="Times New Roman" w:hint="default"/>
        </w:rPr>
        <w:t>2015</w:t>
      </w:r>
    </w:p>
    <w:p>
      <w:pPr>
        <w:pStyle w:val="BodyText"/>
        <w:spacing w:line="240" w:lineRule="auto" w:before="177"/>
        <w:ind w:right="0"/>
        <w:jc w:val="left"/>
      </w:pPr>
      <w:r>
        <w:rPr/>
        <w:t>年实现的经审计的扣除非经常性损益后归属于母公司股东的净利润不低于</w:t>
      </w:r>
      <w:r>
        <w:rPr>
          <w:spacing w:val="-49"/>
        </w:rPr>
        <w:t> </w:t>
      </w:r>
      <w:r>
        <w:rPr>
          <w:rFonts w:ascii="Times New Roman" w:hAnsi="Times New Roman" w:cs="Times New Roman" w:eastAsia="Times New Roman" w:hint="default"/>
        </w:rPr>
        <w:t>6,675.00</w:t>
      </w:r>
      <w:r>
        <w:rPr>
          <w:rFonts w:ascii="Times New Roman" w:hAnsi="Times New Roman" w:cs="Times New Roman" w:eastAsia="Times New Roman" w:hint="default"/>
          <w:spacing w:val="4"/>
        </w:rPr>
        <w:t> </w:t>
      </w:r>
      <w:r>
        <w:rPr>
          <w:spacing w:val="-3"/>
        </w:rPr>
        <w:t>万元，实际完成数据为</w:t>
      </w:r>
    </w:p>
    <w:p>
      <w:pPr>
        <w:pStyle w:val="BodyText"/>
        <w:spacing w:line="240" w:lineRule="auto" w:before="178"/>
        <w:ind w:right="1135"/>
        <w:jc w:val="left"/>
      </w:pPr>
      <w:r>
        <w:rPr>
          <w:rFonts w:ascii="Times New Roman" w:hAnsi="Times New Roman" w:cs="Times New Roman" w:eastAsia="Times New Roman" w:hint="default"/>
        </w:rPr>
        <w:t>7,088.21</w:t>
      </w:r>
      <w:r>
        <w:rPr>
          <w:rFonts w:ascii="Times New Roman" w:hAnsi="Times New Roman" w:cs="Times New Roman" w:eastAsia="Times New Roman" w:hint="default"/>
          <w:spacing w:val="-2"/>
        </w:rPr>
        <w:t> </w:t>
      </w:r>
      <w:r>
        <w:rPr/>
        <w:t>万元，达到业绩承诺。</w:t>
      </w:r>
    </w:p>
    <w:p>
      <w:pPr>
        <w:spacing w:line="240" w:lineRule="auto" w:before="9"/>
        <w:rPr>
          <w:rFonts w:ascii="宋体" w:hAnsi="宋体" w:cs="宋体" w:eastAsia="宋体" w:hint="default"/>
          <w:sz w:val="28"/>
          <w:szCs w:val="28"/>
        </w:rPr>
      </w:pPr>
    </w:p>
    <w:p>
      <w:pPr>
        <w:pStyle w:val="Heading2"/>
        <w:spacing w:line="240" w:lineRule="auto"/>
        <w:ind w:right="1135"/>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4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公司报告期不存在控股股东及其关联方对上市公司的非经营性占用资金。</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9"/>
          <w:szCs w:val="29"/>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1135"/>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4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公司报告期无会计政策、会计估计和核算方法发生变化的情况。</w:t>
      </w:r>
    </w:p>
    <w:p>
      <w:pPr>
        <w:spacing w:line="240" w:lineRule="auto" w:before="11"/>
        <w:rPr>
          <w:rFonts w:ascii="宋体" w:hAnsi="宋体" w:cs="宋体" w:eastAsia="宋体" w:hint="default"/>
          <w:sz w:val="17"/>
          <w:szCs w:val="17"/>
        </w:rPr>
      </w:pPr>
    </w:p>
    <w:p>
      <w:pPr>
        <w:pStyle w:val="Heading2"/>
        <w:spacing w:line="240" w:lineRule="auto"/>
        <w:ind w:right="1135"/>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59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公司报告期无重大会计差错更正需追溯重述的情况。</w:t>
      </w:r>
    </w:p>
    <w:p>
      <w:pPr>
        <w:spacing w:line="240" w:lineRule="auto" w:before="11"/>
        <w:rPr>
          <w:rFonts w:ascii="宋体" w:hAnsi="宋体" w:cs="宋体" w:eastAsia="宋体" w:hint="default"/>
          <w:sz w:val="17"/>
          <w:szCs w:val="17"/>
        </w:rPr>
      </w:pPr>
    </w:p>
    <w:p>
      <w:pPr>
        <w:pStyle w:val="Heading2"/>
        <w:spacing w:line="240" w:lineRule="auto"/>
        <w:ind w:left="154" w:right="1135"/>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30"/>
          <w:szCs w:val="30"/>
        </w:rPr>
      </w:pPr>
    </w:p>
    <w:p>
      <w:pPr>
        <w:pStyle w:val="BodyText"/>
        <w:spacing w:line="405" w:lineRule="auto"/>
        <w:ind w:left="1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本公司合并财务报表范围包括神州数码系统集成服务有限公司、神州数码信息系统有限公司等</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家子公 </w:t>
      </w:r>
      <w:r>
        <w:rPr>
          <w:spacing w:val="-1"/>
        </w:rPr>
        <w:t>司。与上年相比，本年合并范围因新设增加湖南中农信达信息科技有限公司、贵州中农信达信息技术有限</w:t>
      </w:r>
      <w:r>
        <w:rPr>
          <w:spacing w:val="-83"/>
        </w:rPr>
        <w:t> </w:t>
      </w:r>
      <w:r>
        <w:rPr>
          <w:spacing w:val="-83"/>
        </w:rPr>
      </w:r>
      <w:r>
        <w:rPr/>
        <w:t>公司和神州数码融信云技术服务有限公司共计三家子公司，因注销减少神州数码</w:t>
      </w:r>
      <w:r>
        <w:rPr>
          <w:rFonts w:ascii="Times New Roman" w:hAnsi="Times New Roman" w:cs="Times New Roman" w:eastAsia="Times New Roman" w:hint="default"/>
        </w:rPr>
        <w:t>(</w:t>
      </w:r>
      <w:r>
        <w:rPr/>
        <w:t>西安</w:t>
      </w:r>
      <w:r>
        <w:rPr>
          <w:rFonts w:ascii="Times New Roman" w:hAnsi="Times New Roman" w:cs="Times New Roman" w:eastAsia="Times New Roman" w:hint="default"/>
        </w:rPr>
        <w:t>)</w:t>
      </w:r>
      <w:r>
        <w:rPr/>
        <w:t>软件有限公司。</w:t>
      </w:r>
    </w:p>
    <w:p>
      <w:pPr>
        <w:spacing w:after="0" w:line="405" w:lineRule="auto"/>
        <w:jc w:val="left"/>
        <w:sectPr>
          <w:headerReference w:type="default" r:id="rId30"/>
          <w:footerReference w:type="default" r:id="rId31"/>
          <w:pgSz w:w="11910" w:h="16840"/>
          <w:pgMar w:header="877" w:footer="1226" w:top="1100" w:bottom="1420" w:left="980" w:right="0"/>
          <w:pgNumType w:start="45"/>
        </w:sectPr>
      </w:pPr>
    </w:p>
    <w:p>
      <w:pPr>
        <w:spacing w:line="240" w:lineRule="auto" w:before="9"/>
        <w:rPr>
          <w:rFonts w:ascii="宋体" w:hAnsi="宋体" w:cs="宋体" w:eastAsia="宋体" w:hint="default"/>
          <w:sz w:val="19"/>
          <w:szCs w:val="19"/>
        </w:rPr>
      </w:pPr>
    </w:p>
    <w:p>
      <w:pPr>
        <w:pStyle w:val="Heading2"/>
        <w:spacing w:line="240" w:lineRule="auto" w:before="26"/>
        <w:ind w:right="1135"/>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t>现聘任的会计师事务所</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887"/>
        <w:gridCol w:w="5682"/>
      </w:tblGrid>
      <w:tr>
        <w:trPr>
          <w:trHeight w:val="475" w:hRule="exact"/>
        </w:trPr>
        <w:tc>
          <w:tcPr>
            <w:tcW w:w="388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3" w:hRule="exact"/>
        </w:trPr>
        <w:tc>
          <w:tcPr>
            <w:tcW w:w="38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88</w:t>
            </w:r>
          </w:p>
        </w:tc>
      </w:tr>
      <w:tr>
        <w:trPr>
          <w:trHeight w:val="464" w:hRule="exact"/>
        </w:trPr>
        <w:tc>
          <w:tcPr>
            <w:tcW w:w="38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三年</w:t>
            </w:r>
          </w:p>
        </w:tc>
      </w:tr>
      <w:tr>
        <w:trPr>
          <w:trHeight w:val="475" w:hRule="exact"/>
        </w:trPr>
        <w:tc>
          <w:tcPr>
            <w:tcW w:w="388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当期是否改聘会计师事务所</w:t>
      </w:r>
    </w:p>
    <w:p>
      <w:pPr>
        <w:spacing w:line="240" w:lineRule="auto" w:before="10"/>
        <w:rPr>
          <w:rFonts w:ascii="宋体" w:hAnsi="宋体" w:cs="宋体" w:eastAsia="宋体" w:hint="default"/>
          <w:sz w:val="17"/>
          <w:szCs w:val="17"/>
        </w:rPr>
      </w:pPr>
    </w:p>
    <w:p>
      <w:pPr>
        <w:pStyle w:val="BodyText"/>
        <w:spacing w:line="420" w:lineRule="auto"/>
        <w:ind w:left="154" w:right="55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240" w:lineRule="auto" w:before="75"/>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240" w:lineRule="auto"/>
        <w:ind w:right="1135"/>
        <w:jc w:val="left"/>
      </w:pPr>
      <w:r>
        <w:rPr/>
        <w:t>本年度内公司聘请信永中和会计师事务所（特殊普通合伙）为公司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年度内部控制审计机构，审计费</w:t>
      </w:r>
    </w:p>
    <w:p>
      <w:pPr>
        <w:pStyle w:val="BodyText"/>
        <w:spacing w:line="240" w:lineRule="auto" w:before="177"/>
        <w:ind w:right="1135"/>
        <w:jc w:val="left"/>
      </w:pPr>
      <w:r>
        <w:rPr/>
        <w:t>用为</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w:t>
      </w:r>
      <w:r>
        <w:rPr>
          <w:spacing w:val="-2"/>
        </w:rPr>
        <w:t>元</w:t>
      </w:r>
      <w:r>
        <w:rPr/>
        <w:t>（此费用不包括在上述</w:t>
      </w:r>
      <w:r>
        <w:rPr>
          <w:spacing w:val="-53"/>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8 </w:t>
      </w:r>
      <w:r>
        <w:rPr/>
        <w:t>万中</w:t>
      </w:r>
      <w:r>
        <w:rPr>
          <w:spacing w:val="-105"/>
        </w:rPr>
        <w:t>）</w:t>
      </w:r>
      <w:r>
        <w:rPr/>
        <w:t>。</w:t>
      </w:r>
      <w:r>
        <w:rPr>
          <w:spacing w:val="-2"/>
        </w:rPr>
        <w:t>公</w:t>
      </w:r>
      <w:r>
        <w:rPr/>
        <w:t>司因非公开发行股票事项，聘请西南证券股份有限公司</w:t>
      </w:r>
    </w:p>
    <w:p>
      <w:pPr>
        <w:pStyle w:val="BodyText"/>
        <w:spacing w:line="240" w:lineRule="auto" w:before="178"/>
        <w:ind w:right="1135"/>
        <w:jc w:val="left"/>
      </w:pPr>
      <w:r>
        <w:rPr/>
        <w:t>公司为财务顾问，财务顾问费为</w:t>
      </w:r>
      <w:r>
        <w:rPr>
          <w:spacing w:val="-53"/>
        </w:rPr>
        <w:t> </w:t>
      </w:r>
      <w:r>
        <w:rPr>
          <w:rFonts w:ascii="Times New Roman" w:hAnsi="Times New Roman" w:cs="Times New Roman" w:eastAsia="Times New Roman" w:hint="default"/>
        </w:rPr>
        <w:t>2,000 </w:t>
      </w:r>
      <w:r>
        <w:rPr/>
        <w:t>万元，截止</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月尚未支付。</w:t>
      </w:r>
    </w:p>
    <w:p>
      <w:pPr>
        <w:spacing w:line="240" w:lineRule="auto" w:before="10"/>
        <w:rPr>
          <w:rFonts w:ascii="宋体" w:hAnsi="宋体" w:cs="宋体" w:eastAsia="宋体" w:hint="default"/>
          <w:sz w:val="28"/>
          <w:szCs w:val="28"/>
        </w:rPr>
      </w:pPr>
    </w:p>
    <w:p>
      <w:pPr>
        <w:pStyle w:val="Heading2"/>
        <w:spacing w:line="240" w:lineRule="auto"/>
        <w:ind w:right="1135"/>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2"/>
        <w:spacing w:line="240" w:lineRule="auto"/>
        <w:ind w:right="1135"/>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right="7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spacing w:line="240" w:lineRule="auto" w:before="11"/>
        <w:rPr>
          <w:rFonts w:ascii="宋体" w:hAnsi="宋体" w:cs="宋体" w:eastAsia="宋体" w:hint="default"/>
          <w:sz w:val="17"/>
          <w:szCs w:val="17"/>
        </w:rPr>
      </w:pPr>
    </w:p>
    <w:p>
      <w:pPr>
        <w:pStyle w:val="Heading2"/>
        <w:spacing w:line="240" w:lineRule="auto"/>
        <w:ind w:right="1135"/>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937"/>
        <w:gridCol w:w="794"/>
        <w:gridCol w:w="566"/>
        <w:gridCol w:w="2834"/>
        <w:gridCol w:w="995"/>
        <w:gridCol w:w="848"/>
        <w:gridCol w:w="852"/>
        <w:gridCol w:w="1868"/>
      </w:tblGrid>
      <w:tr>
        <w:trPr>
          <w:trHeight w:val="1348" w:hRule="exact"/>
        </w:trPr>
        <w:tc>
          <w:tcPr>
            <w:tcW w:w="9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92" w:right="42"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基本情况</w:t>
            </w:r>
          </w:p>
        </w:tc>
        <w:tc>
          <w:tcPr>
            <w:tcW w:w="7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28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9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1" w:right="41" w:hanging="1"/>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审理结果及 影响</w:t>
            </w:r>
          </w:p>
        </w:tc>
        <w:tc>
          <w:tcPr>
            <w:tcW w:w="84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8"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6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09" w:hRule="exact"/>
        </w:trPr>
        <w:tc>
          <w:tcPr>
            <w:tcW w:w="937"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1"/>
              <w:ind w:left="13" w:right="108"/>
              <w:jc w:val="both"/>
              <w:rPr>
                <w:rFonts w:ascii="宋体" w:hAnsi="宋体" w:cs="宋体" w:eastAsia="宋体" w:hint="default"/>
                <w:sz w:val="18"/>
                <w:szCs w:val="18"/>
              </w:rPr>
            </w:pPr>
            <w:r>
              <w:rPr>
                <w:rFonts w:ascii="宋体" w:hAnsi="宋体" w:cs="宋体" w:eastAsia="宋体" w:hint="default"/>
                <w:sz w:val="18"/>
                <w:szCs w:val="18"/>
              </w:rPr>
              <w:t>因供应商 安力博发 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w:t>
            </w:r>
          </w:p>
        </w:tc>
        <w:tc>
          <w:tcPr>
            <w:tcW w:w="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4,672</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834" w:type="dxa"/>
            <w:tcBorders>
              <w:top w:val="single" w:sz="4" w:space="0" w:color="000000"/>
              <w:left w:val="single" w:sz="4" w:space="0" w:color="000000"/>
              <w:bottom w:val="single" w:sz="12"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日，北京市海淀 区人民法院作出《案件受理通知 </w:t>
            </w:r>
            <w:r>
              <w:rPr>
                <w:rFonts w:ascii="宋体" w:hAnsi="宋体" w:cs="宋体" w:eastAsia="宋体" w:hint="default"/>
                <w:spacing w:val="-15"/>
                <w:sz w:val="18"/>
                <w:szCs w:val="18"/>
              </w:rPr>
              <w:t>书》。</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日，北京市</w:t>
            </w:r>
            <w:r>
              <w:rPr>
                <w:rFonts w:ascii="宋体" w:hAnsi="宋体" w:cs="宋体" w:eastAsia="宋体" w:hint="default"/>
                <w:sz w:val="18"/>
                <w:szCs w:val="18"/>
              </w:rPr>
              <w:t> 海淀区人民法院作出（</w:t>
            </w:r>
            <w:r>
              <w:rPr>
                <w:rFonts w:ascii="Times New Roman" w:hAnsi="Times New Roman" w:cs="Times New Roman" w:eastAsia="Times New Roman" w:hint="default"/>
                <w:sz w:val="18"/>
                <w:szCs w:val="18"/>
              </w:rPr>
              <w:t>2014</w:t>
            </w:r>
            <w:r>
              <w:rPr>
                <w:rFonts w:ascii="宋体" w:hAnsi="宋体" w:cs="宋体" w:eastAsia="宋体" w:hint="default"/>
                <w:sz w:val="18"/>
                <w:szCs w:val="18"/>
              </w:rPr>
              <w:t>）海民</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针对本案中 的应收款 项，公司已 全额计提坏</w:t>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本案一审 判决已经 生效，目 前在执行</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68"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有关该案的基本情况详 见公司在巨潮资讯网</w:t>
            </w:r>
          </w:p>
          <w:p>
            <w:pPr>
              <w:pStyle w:val="TableParagraph"/>
              <w:spacing w:line="300" w:lineRule="auto" w:before="19"/>
              <w:ind w:left="22" w:right="114"/>
              <w:jc w:val="left"/>
              <w:rPr>
                <w:rFonts w:ascii="宋体" w:hAnsi="宋体" w:cs="宋体" w:eastAsia="宋体" w:hint="default"/>
                <w:sz w:val="18"/>
                <w:szCs w:val="18"/>
              </w:rPr>
            </w:pPr>
            <w:r>
              <w:rPr>
                <w:rFonts w:ascii="宋体" w:hAnsi="宋体" w:cs="宋体" w:eastAsia="宋体" w:hint="default"/>
                <w:sz w:val="18"/>
                <w:szCs w:val="18"/>
              </w:rPr>
              <w:t>（</w:t>
            </w:r>
            <w:hyperlink r:id="rId32">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bl>
    <w:p>
      <w:pPr>
        <w:spacing w:after="0" w:line="300" w:lineRule="auto"/>
        <w:jc w:val="left"/>
        <w:rPr>
          <w:rFonts w:ascii="宋体" w:hAnsi="宋体" w:cs="宋体" w:eastAsia="宋体" w:hint="default"/>
          <w:sz w:val="18"/>
          <w:szCs w:val="18"/>
        </w:rPr>
        <w:sectPr>
          <w:pgSz w:w="11910" w:h="16840"/>
          <w:pgMar w:header="877" w:footer="1226" w:top="1100" w:bottom="1420" w:left="98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937"/>
        <w:gridCol w:w="794"/>
        <w:gridCol w:w="566"/>
        <w:gridCol w:w="2834"/>
        <w:gridCol w:w="995"/>
        <w:gridCol w:w="848"/>
        <w:gridCol w:w="852"/>
        <w:gridCol w:w="1868"/>
      </w:tblGrid>
      <w:tr>
        <w:trPr>
          <w:trHeight w:val="2566" w:hRule="exact"/>
        </w:trPr>
        <w:tc>
          <w:tcPr>
            <w:tcW w:w="937" w:type="dxa"/>
            <w:tcBorders>
              <w:top w:val="single" w:sz="12" w:space="0" w:color="000000"/>
              <w:left w:val="single" w:sz="12" w:space="0" w:color="000000"/>
              <w:bottom w:val="single" w:sz="12" w:space="0" w:color="000000"/>
              <w:right w:val="single" w:sz="4" w:space="0" w:color="000000"/>
            </w:tcBorders>
          </w:tcPr>
          <w:p>
            <w:pPr>
              <w:pStyle w:val="TableParagraph"/>
              <w:spacing w:line="316" w:lineRule="auto" w:before="10"/>
              <w:ind w:left="13" w:right="3"/>
              <w:jc w:val="left"/>
              <w:rPr>
                <w:rFonts w:ascii="宋体" w:hAnsi="宋体" w:cs="宋体" w:eastAsia="宋体" w:hint="default"/>
                <w:sz w:val="18"/>
                <w:szCs w:val="18"/>
              </w:rPr>
            </w:pPr>
            <w:r>
              <w:rPr>
                <w:rFonts w:ascii="宋体" w:hAnsi="宋体" w:cs="宋体" w:eastAsia="宋体" w:hint="default"/>
                <w:sz w:val="18"/>
                <w:szCs w:val="18"/>
              </w:rPr>
              <w:t>力博发</w:t>
            </w:r>
            <w:r>
              <w:rPr>
                <w:rFonts w:ascii="Times New Roman" w:hAnsi="Times New Roman" w:cs="Times New Roman" w:eastAsia="Times New Roman" w:hint="default"/>
                <w:sz w:val="18"/>
                <w:szCs w:val="18"/>
              </w:rPr>
              <w:t>"</w:t>
            </w:r>
            <w:r>
              <w:rPr>
                <w:rFonts w:ascii="宋体" w:hAnsi="宋体" w:cs="宋体" w:eastAsia="宋体" w:hint="default"/>
                <w:sz w:val="18"/>
                <w:szCs w:val="18"/>
              </w:rPr>
              <w:t>） 未按要求 交付货物， 信息系统 向北京市 海淀区人 民法院提 起诉讼。</w:t>
            </w:r>
          </w:p>
        </w:tc>
        <w:tc>
          <w:tcPr>
            <w:tcW w:w="794" w:type="dxa"/>
            <w:tcBorders>
              <w:top w:val="single" w:sz="12" w:space="0" w:color="000000"/>
              <w:left w:val="single" w:sz="4" w:space="0" w:color="000000"/>
              <w:bottom w:val="single" w:sz="12" w:space="0" w:color="000000"/>
              <w:right w:val="single" w:sz="4" w:space="0" w:color="000000"/>
            </w:tcBorders>
          </w:tcPr>
          <w:p>
            <w:pPr/>
          </w:p>
        </w:tc>
        <w:tc>
          <w:tcPr>
            <w:tcW w:w="566" w:type="dxa"/>
            <w:tcBorders>
              <w:top w:val="single" w:sz="12" w:space="0" w:color="000000"/>
              <w:left w:val="single" w:sz="4" w:space="0" w:color="000000"/>
              <w:bottom w:val="single" w:sz="12" w:space="0" w:color="000000"/>
              <w:right w:val="single" w:sz="4" w:space="0" w:color="000000"/>
            </w:tcBorders>
          </w:tcPr>
          <w:p>
            <w:pPr/>
          </w:p>
        </w:tc>
        <w:tc>
          <w:tcPr>
            <w:tcW w:w="2834" w:type="dxa"/>
            <w:tcBorders>
              <w:top w:val="single" w:sz="12" w:space="0" w:color="000000"/>
              <w:left w:val="single" w:sz="4" w:space="0" w:color="000000"/>
              <w:bottom w:val="single" w:sz="12"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（商）初字第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号《民事判决 </w:t>
            </w:r>
            <w:r>
              <w:rPr>
                <w:rFonts w:ascii="宋体" w:hAnsi="宋体" w:cs="宋体" w:eastAsia="宋体" w:hint="default"/>
                <w:spacing w:val="-7"/>
                <w:sz w:val="18"/>
                <w:szCs w:val="18"/>
              </w:rPr>
              <w:t>书》，判决如下：安力博发于本判决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生效后十日内偿付信息系统公司价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38,876,998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元及利息损失</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7,849,265.9 </w:t>
            </w:r>
            <w:r>
              <w:rPr>
                <w:rFonts w:ascii="宋体" w:hAnsi="宋体" w:cs="宋体" w:eastAsia="宋体" w:hint="default"/>
                <w:sz w:val="18"/>
                <w:szCs w:val="18"/>
              </w:rPr>
              <w:t>元。案件受理费</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137,716</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pacing w:val="-7"/>
                <w:sz w:val="18"/>
                <w:szCs w:val="18"/>
              </w:rPr>
              <w:t>元（信息系统公司已预交），由安力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博发负担，于本判决生效后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交纳。</w:t>
            </w:r>
          </w:p>
        </w:tc>
        <w:tc>
          <w:tcPr>
            <w:tcW w:w="995" w:type="dxa"/>
            <w:tcBorders>
              <w:top w:val="single" w:sz="12" w:space="0" w:color="000000"/>
              <w:left w:val="single" w:sz="4" w:space="0" w:color="000000"/>
              <w:bottom w:val="single" w:sz="12" w:space="0" w:color="000000"/>
              <w:right w:val="single" w:sz="4" w:space="0" w:color="000000"/>
            </w:tcBorders>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帐准备，对 公司本期利 润或期后利 润不产生影 响。</w:t>
            </w:r>
          </w:p>
        </w:tc>
        <w:tc>
          <w:tcPr>
            <w:tcW w:w="84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程序中。</w:t>
            </w:r>
          </w:p>
        </w:tc>
        <w:tc>
          <w:tcPr>
            <w:tcW w:w="852" w:type="dxa"/>
            <w:tcBorders>
              <w:top w:val="single" w:sz="12" w:space="0" w:color="000000"/>
              <w:left w:val="single" w:sz="4" w:space="0" w:color="000000"/>
              <w:bottom w:val="single" w:sz="12" w:space="0" w:color="000000"/>
              <w:right w:val="single" w:sz="4" w:space="0" w:color="000000"/>
            </w:tcBorders>
          </w:tcPr>
          <w:p>
            <w:pPr/>
          </w:p>
        </w:tc>
        <w:tc>
          <w:tcPr>
            <w:tcW w:w="1868"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日披露的《诉讼公</w:t>
            </w:r>
          </w:p>
          <w:p>
            <w:pPr>
              <w:pStyle w:val="TableParagraph"/>
              <w:spacing w:line="300" w:lineRule="auto" w:before="63"/>
              <w:ind w:left="22" w:right="11"/>
              <w:jc w:val="both"/>
              <w:rPr>
                <w:rFonts w:ascii="宋体" w:hAnsi="宋体" w:cs="宋体" w:eastAsia="宋体" w:hint="default"/>
                <w:sz w:val="18"/>
                <w:szCs w:val="18"/>
              </w:rPr>
            </w:pPr>
            <w:r>
              <w:rPr>
                <w:rFonts w:ascii="宋体" w:hAnsi="宋体" w:cs="宋体" w:eastAsia="宋体" w:hint="default"/>
                <w:spacing w:val="-18"/>
                <w:sz w:val="18"/>
                <w:szCs w:val="18"/>
              </w:rPr>
              <w:t>告》、</w:t>
            </w:r>
            <w:r>
              <w:rPr>
                <w:rFonts w:ascii="Times New Roman" w:hAnsi="Times New Roman" w:cs="Times New Roman" w:eastAsia="Times New Roman" w:hint="default"/>
                <w:spacing w:val="-1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披露的《</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年半年度</w:t>
            </w:r>
            <w:r>
              <w:rPr>
                <w:rFonts w:ascii="宋体" w:hAnsi="宋体" w:cs="宋体" w:eastAsia="宋体" w:hint="default"/>
                <w:spacing w:val="-88"/>
                <w:sz w:val="18"/>
                <w:szCs w:val="18"/>
              </w:rPr>
              <w:t> </w:t>
            </w:r>
            <w:r>
              <w:rPr>
                <w:rFonts w:ascii="宋体" w:hAnsi="宋体" w:cs="宋体" w:eastAsia="宋体" w:hint="default"/>
                <w:spacing w:val="-6"/>
                <w:sz w:val="18"/>
                <w:szCs w:val="18"/>
              </w:rPr>
              <w:t>报告》</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重大诉讼仲裁事</w:t>
            </w:r>
            <w:r>
              <w:rPr>
                <w:rFonts w:ascii="宋体" w:hAnsi="宋体" w:cs="宋体" w:eastAsia="宋体" w:hint="default"/>
                <w:spacing w:val="-86"/>
                <w:sz w:val="18"/>
                <w:szCs w:val="18"/>
              </w:rPr>
              <w:t> </w:t>
            </w:r>
            <w:r>
              <w:rPr>
                <w:rFonts w:ascii="宋体" w:hAnsi="宋体" w:cs="宋体" w:eastAsia="宋体" w:hint="default"/>
                <w:sz w:val="18"/>
                <w:szCs w:val="18"/>
              </w:rPr>
              <w:t>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13"/>
              <w:ind w:left="22"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日披露的《诉讼进展</w:t>
            </w:r>
            <w:r>
              <w:rPr>
                <w:rFonts w:ascii="宋体" w:hAnsi="宋体" w:cs="宋体" w:eastAsia="宋体" w:hint="default"/>
                <w:sz w:val="18"/>
                <w:szCs w:val="18"/>
              </w:rPr>
              <w:t> 公告》内容。</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报告期内，未达到重大诉讼披露标准的其他诉讼的涉案总金额为</w:t>
      </w:r>
      <w:r>
        <w:rPr>
          <w:spacing w:val="-54"/>
        </w:rPr>
        <w:t> </w:t>
      </w:r>
      <w:r>
        <w:rPr>
          <w:rFonts w:ascii="Times New Roman" w:hAnsi="Times New Roman" w:cs="Times New Roman" w:eastAsia="Times New Roman" w:hint="default"/>
        </w:rPr>
        <w:t>13,903.89</w:t>
      </w:r>
      <w:r>
        <w:rPr>
          <w:rFonts w:ascii="Times New Roman" w:hAnsi="Times New Roman" w:cs="Times New Roman" w:eastAsia="Times New Roman" w:hint="default"/>
          <w:spacing w:val="-2"/>
        </w:rPr>
        <w:t> </w:t>
      </w:r>
      <w:r>
        <w:rPr/>
        <w:t>万元，未形成预计负债。</w:t>
      </w:r>
    </w:p>
    <w:p>
      <w:pPr>
        <w:spacing w:line="240" w:lineRule="auto" w:before="10"/>
        <w:rPr>
          <w:rFonts w:ascii="宋体" w:hAnsi="宋体" w:cs="宋体" w:eastAsia="宋体" w:hint="default"/>
          <w:sz w:val="28"/>
          <w:szCs w:val="28"/>
        </w:rPr>
      </w:pPr>
    </w:p>
    <w:p>
      <w:pPr>
        <w:pStyle w:val="Heading2"/>
        <w:spacing w:line="240" w:lineRule="auto"/>
        <w:ind w:left="154" w:right="1135"/>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left="154"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spacing w:line="240" w:lineRule="auto" w:before="11"/>
        <w:rPr>
          <w:rFonts w:ascii="宋体" w:hAnsi="宋体" w:cs="宋体" w:eastAsia="宋体" w:hint="default"/>
          <w:sz w:val="17"/>
          <w:szCs w:val="17"/>
        </w:rPr>
      </w:pPr>
    </w:p>
    <w:p>
      <w:pPr>
        <w:pStyle w:val="Heading2"/>
        <w:spacing w:line="240" w:lineRule="auto"/>
        <w:ind w:left="154" w:right="1135"/>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1135"/>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left="154" w:right="3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公司报告期无股权激励计划、员工持股计划或其他员工激励措施及其实施情况。</w:t>
      </w:r>
    </w:p>
    <w:p>
      <w:pPr>
        <w:spacing w:line="240" w:lineRule="auto" w:before="11"/>
        <w:rPr>
          <w:rFonts w:ascii="宋体" w:hAnsi="宋体" w:cs="宋体" w:eastAsia="宋体" w:hint="default"/>
          <w:sz w:val="17"/>
          <w:szCs w:val="17"/>
        </w:rPr>
      </w:pPr>
    </w:p>
    <w:p>
      <w:pPr>
        <w:pStyle w:val="Heading2"/>
        <w:spacing w:line="240" w:lineRule="auto"/>
        <w:ind w:left="154" w:right="1135"/>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5"/>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710"/>
        <w:gridCol w:w="709"/>
        <w:gridCol w:w="736"/>
        <w:gridCol w:w="706"/>
        <w:gridCol w:w="542"/>
        <w:gridCol w:w="568"/>
        <w:gridCol w:w="918"/>
        <w:gridCol w:w="673"/>
        <w:gridCol w:w="674"/>
        <w:gridCol w:w="674"/>
        <w:gridCol w:w="674"/>
        <w:gridCol w:w="674"/>
        <w:gridCol w:w="670"/>
        <w:gridCol w:w="641"/>
      </w:tblGrid>
      <w:tr>
        <w:trPr>
          <w:trHeight w:val="1348" w:hRule="exact"/>
        </w:trPr>
        <w:tc>
          <w:tcPr>
            <w:tcW w:w="7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7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54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9"/>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3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73" w:hRule="exact"/>
        </w:trPr>
        <w:tc>
          <w:tcPr>
            <w:tcW w:w="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 w:right="135"/>
              <w:jc w:val="both"/>
              <w:rPr>
                <w:rFonts w:ascii="宋体" w:hAnsi="宋体" w:cs="宋体" w:eastAsia="宋体" w:hint="default"/>
                <w:sz w:val="18"/>
                <w:szCs w:val="18"/>
              </w:rPr>
            </w:pPr>
            <w:r>
              <w:rPr>
                <w:rFonts w:ascii="宋体" w:hAnsi="宋体" w:cs="宋体" w:eastAsia="宋体" w:hint="default"/>
                <w:sz w:val="18"/>
                <w:szCs w:val="18"/>
              </w:rPr>
              <w:t>神州数 码控股 有限公 司</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71"/>
              <w:ind w:left="22" w:right="134"/>
              <w:jc w:val="both"/>
              <w:rPr>
                <w:rFonts w:ascii="宋体" w:hAnsi="宋体" w:cs="宋体" w:eastAsia="宋体" w:hint="default"/>
                <w:sz w:val="18"/>
                <w:szCs w:val="18"/>
              </w:rPr>
            </w:pPr>
            <w:r>
              <w:rPr>
                <w:rFonts w:ascii="宋体" w:hAnsi="宋体" w:cs="宋体" w:eastAsia="宋体" w:hint="default"/>
                <w:sz w:val="18"/>
                <w:szCs w:val="18"/>
              </w:rPr>
              <w:t>受同一 控股股 东及最 终控制 方控制 的其他</w:t>
            </w:r>
          </w:p>
        </w:tc>
        <w:tc>
          <w:tcPr>
            <w:tcW w:w="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22,419.26</w:t>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3.92%</w:t>
            </w:r>
          </w:p>
        </w:tc>
        <w:tc>
          <w:tcPr>
            <w:tcW w:w="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55,000</w:t>
            </w:r>
          </w:p>
        </w:tc>
        <w:tc>
          <w:tcPr>
            <w:tcW w:w="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3"/>
              <w:ind w:left="22" w:right="-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bl>
    <w:p>
      <w:pPr>
        <w:spacing w:after="0" w:line="338" w:lineRule="auto"/>
        <w:jc w:val="left"/>
        <w:rPr>
          <w:rFonts w:ascii="宋体" w:hAnsi="宋体" w:cs="宋体" w:eastAsia="宋体" w:hint="default"/>
          <w:sz w:val="18"/>
          <w:szCs w:val="18"/>
        </w:rPr>
        <w:sectPr>
          <w:pgSz w:w="11910" w:h="16840"/>
          <w:pgMar w:header="877" w:footer="1226" w:top="1100" w:bottom="142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710"/>
        <w:gridCol w:w="709"/>
        <w:gridCol w:w="736"/>
        <w:gridCol w:w="706"/>
        <w:gridCol w:w="542"/>
        <w:gridCol w:w="568"/>
        <w:gridCol w:w="918"/>
        <w:gridCol w:w="673"/>
        <w:gridCol w:w="674"/>
        <w:gridCol w:w="674"/>
        <w:gridCol w:w="674"/>
        <w:gridCol w:w="674"/>
        <w:gridCol w:w="670"/>
        <w:gridCol w:w="641"/>
      </w:tblGrid>
      <w:tr>
        <w:trPr>
          <w:trHeight w:val="473" w:hRule="exact"/>
        </w:trPr>
        <w:tc>
          <w:tcPr>
            <w:tcW w:w="710" w:type="dxa"/>
            <w:tcBorders>
              <w:top w:val="single" w:sz="12" w:space="0" w:color="000000"/>
              <w:left w:val="single" w:sz="12"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736" w:type="dxa"/>
            <w:tcBorders>
              <w:top w:val="single" w:sz="12" w:space="0" w:color="000000"/>
              <w:left w:val="single" w:sz="4" w:space="0" w:color="000000"/>
              <w:bottom w:val="single" w:sz="4" w:space="0" w:color="000000"/>
              <w:right w:val="single" w:sz="4" w:space="0" w:color="000000"/>
            </w:tcBorders>
          </w:tcPr>
          <w:p>
            <w:pPr/>
          </w:p>
        </w:tc>
        <w:tc>
          <w:tcPr>
            <w:tcW w:w="706" w:type="dxa"/>
            <w:tcBorders>
              <w:top w:val="single" w:sz="12" w:space="0" w:color="000000"/>
              <w:left w:val="single" w:sz="4" w:space="0" w:color="000000"/>
              <w:bottom w:val="single" w:sz="4" w:space="0" w:color="000000"/>
              <w:right w:val="single" w:sz="4" w:space="0" w:color="000000"/>
            </w:tcBorders>
          </w:tcPr>
          <w:p>
            <w:pPr/>
          </w:p>
        </w:tc>
        <w:tc>
          <w:tcPr>
            <w:tcW w:w="542"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918" w:type="dxa"/>
            <w:tcBorders>
              <w:top w:val="single" w:sz="12" w:space="0" w:color="000000"/>
              <w:left w:val="single" w:sz="4" w:space="0" w:color="000000"/>
              <w:bottom w:val="single" w:sz="4" w:space="0" w:color="000000"/>
              <w:right w:val="single" w:sz="4" w:space="0" w:color="000000"/>
            </w:tcBorders>
          </w:tcPr>
          <w:p>
            <w:pPr/>
          </w:p>
        </w:tc>
        <w:tc>
          <w:tcPr>
            <w:tcW w:w="673" w:type="dxa"/>
            <w:tcBorders>
              <w:top w:val="single" w:sz="12" w:space="0" w:color="000000"/>
              <w:left w:val="single" w:sz="4" w:space="0" w:color="000000"/>
              <w:bottom w:val="single" w:sz="4" w:space="0" w:color="000000"/>
              <w:right w:val="single" w:sz="4" w:space="0" w:color="000000"/>
            </w:tcBorders>
          </w:tcPr>
          <w:p>
            <w:pPr/>
          </w:p>
        </w:tc>
        <w:tc>
          <w:tcPr>
            <w:tcW w:w="674" w:type="dxa"/>
            <w:tcBorders>
              <w:top w:val="single" w:sz="12" w:space="0" w:color="000000"/>
              <w:left w:val="single" w:sz="4" w:space="0" w:color="000000"/>
              <w:bottom w:val="single" w:sz="4" w:space="0" w:color="000000"/>
              <w:right w:val="single" w:sz="4" w:space="0" w:color="000000"/>
            </w:tcBorders>
          </w:tcPr>
          <w:p>
            <w:pPr/>
          </w:p>
        </w:tc>
        <w:tc>
          <w:tcPr>
            <w:tcW w:w="674" w:type="dxa"/>
            <w:tcBorders>
              <w:top w:val="single" w:sz="12" w:space="0" w:color="000000"/>
              <w:left w:val="single" w:sz="4" w:space="0" w:color="000000"/>
              <w:bottom w:val="single" w:sz="4" w:space="0" w:color="000000"/>
              <w:right w:val="single" w:sz="4" w:space="0" w:color="000000"/>
            </w:tcBorders>
          </w:tcPr>
          <w:p>
            <w:pPr/>
          </w:p>
        </w:tc>
        <w:tc>
          <w:tcPr>
            <w:tcW w:w="674" w:type="dxa"/>
            <w:tcBorders>
              <w:top w:val="single" w:sz="12" w:space="0" w:color="000000"/>
              <w:left w:val="single" w:sz="4" w:space="0" w:color="000000"/>
              <w:bottom w:val="single" w:sz="4" w:space="0" w:color="000000"/>
              <w:right w:val="single" w:sz="4" w:space="0" w:color="000000"/>
            </w:tcBorders>
          </w:tcPr>
          <w:p>
            <w:pPr/>
          </w:p>
        </w:tc>
        <w:tc>
          <w:tcPr>
            <w:tcW w:w="674" w:type="dxa"/>
            <w:tcBorders>
              <w:top w:val="single" w:sz="12" w:space="0" w:color="000000"/>
              <w:left w:val="single" w:sz="4" w:space="0" w:color="000000"/>
              <w:bottom w:val="single" w:sz="4" w:space="0" w:color="000000"/>
              <w:right w:val="single" w:sz="4" w:space="0" w:color="000000"/>
            </w:tcBorders>
          </w:tcPr>
          <w:p>
            <w:pPr/>
          </w:p>
        </w:tc>
        <w:tc>
          <w:tcPr>
            <w:tcW w:w="670" w:type="dxa"/>
            <w:tcBorders>
              <w:top w:val="single" w:sz="12" w:space="0" w:color="000000"/>
              <w:left w:val="single" w:sz="4" w:space="0" w:color="000000"/>
              <w:bottom w:val="single" w:sz="4" w:space="0" w:color="000000"/>
              <w:right w:val="single" w:sz="4" w:space="0" w:color="000000"/>
            </w:tcBorders>
          </w:tcPr>
          <w:p>
            <w:pPr/>
          </w:p>
        </w:tc>
        <w:tc>
          <w:tcPr>
            <w:tcW w:w="641" w:type="dxa"/>
            <w:tcBorders>
              <w:top w:val="single" w:sz="12" w:space="0" w:color="000000"/>
              <w:left w:val="single" w:sz="4" w:space="0" w:color="000000"/>
              <w:bottom w:val="single" w:sz="4" w:space="0" w:color="000000"/>
              <w:right w:val="single" w:sz="12" w:space="0" w:color="000000"/>
            </w:tcBorders>
          </w:tcPr>
          <w:p>
            <w:pPr/>
          </w:p>
        </w:tc>
      </w:tr>
      <w:tr>
        <w:trPr>
          <w:trHeight w:val="227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3" w:right="135"/>
              <w:jc w:val="both"/>
              <w:rPr>
                <w:rFonts w:ascii="宋体" w:hAnsi="宋体" w:cs="宋体" w:eastAsia="宋体" w:hint="default"/>
                <w:sz w:val="18"/>
                <w:szCs w:val="18"/>
              </w:rPr>
            </w:pPr>
            <w:r>
              <w:rPr>
                <w:rFonts w:ascii="宋体" w:hAnsi="宋体" w:cs="宋体" w:eastAsia="宋体" w:hint="default"/>
                <w:sz w:val="18"/>
                <w:szCs w:val="18"/>
              </w:rPr>
              <w:t>神州数 码控股 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受同一 控股股 东及最 终控制 方控制 的其他 企业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 w:right="80"/>
              <w:jc w:val="both"/>
              <w:rPr>
                <w:rFonts w:ascii="宋体" w:hAnsi="宋体" w:cs="宋体" w:eastAsia="宋体" w:hint="default"/>
                <w:sz w:val="18"/>
                <w:szCs w:val="18"/>
              </w:rPr>
            </w:pPr>
            <w:r>
              <w:rPr>
                <w:rFonts w:ascii="宋体" w:hAnsi="宋体" w:cs="宋体" w:eastAsia="宋体" w:hint="default"/>
                <w:sz w:val="18"/>
                <w:szCs w:val="18"/>
              </w:rPr>
              <w:t>采购行 政办公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货 运服务 及其他 服务</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73"/>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2,745.63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r>
        <w:trPr>
          <w:trHeight w:val="227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 w:right="135"/>
              <w:jc w:val="both"/>
              <w:rPr>
                <w:rFonts w:ascii="宋体" w:hAnsi="宋体" w:cs="宋体" w:eastAsia="宋体" w:hint="default"/>
                <w:sz w:val="18"/>
                <w:szCs w:val="18"/>
              </w:rPr>
            </w:pPr>
            <w:r>
              <w:rPr>
                <w:rFonts w:ascii="宋体" w:hAnsi="宋体" w:cs="宋体" w:eastAsia="宋体" w:hint="default"/>
                <w:sz w:val="18"/>
                <w:szCs w:val="18"/>
              </w:rPr>
              <w:t>神州数 码控股 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受同一 控股股 东及最 终控制 方控制 的其他 企业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73"/>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按照合 同进行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r>
        <w:trPr>
          <w:trHeight w:val="464" w:hRule="exact"/>
        </w:trPr>
        <w:tc>
          <w:tcPr>
            <w:tcW w:w="286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28,611.91</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286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09" w:type="dxa"/>
            <w:gridSpan w:val="10"/>
            <w:tcBorders>
              <w:top w:val="single" w:sz="16" w:space="0" w:color="D2D2D2"/>
              <w:left w:val="single" w:sz="4" w:space="0" w:color="000000"/>
              <w:bottom w:val="single" w:sz="4" w:space="0" w:color="000000"/>
              <w:right w:val="single" w:sz="12"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1"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w:t>
            </w:r>
          </w:p>
        </w:tc>
        <w:tc>
          <w:tcPr>
            <w:tcW w:w="6709"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年度关联方交易：对神州数码关联销售预计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对神州数码关联方采购商品预计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22,419.26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万；对神州数码采购</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行政办公服务，货运服务及其它服务预计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724" w:hRule="exact"/>
        </w:trPr>
        <w:tc>
          <w:tcPr>
            <w:tcW w:w="2861"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13"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709" w:type="dxa"/>
            <w:gridSpan w:val="10"/>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154"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公司报告期未发生资产或股权收购、出售的关联交易。</w:t>
      </w:r>
    </w:p>
    <w:p>
      <w:pPr>
        <w:spacing w:line="240" w:lineRule="auto" w:before="8"/>
        <w:rPr>
          <w:rFonts w:ascii="宋体" w:hAnsi="宋体" w:cs="宋体" w:eastAsia="宋体" w:hint="default"/>
          <w:sz w:val="19"/>
          <w:szCs w:val="19"/>
        </w:rPr>
      </w:pPr>
    </w:p>
    <w:p>
      <w:pPr>
        <w:pStyle w:val="Heading6"/>
        <w:spacing w:line="240" w:lineRule="auto"/>
        <w:ind w:right="1135"/>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30"/>
          <w:szCs w:val="30"/>
        </w:rPr>
      </w:pPr>
    </w:p>
    <w:p>
      <w:pPr>
        <w:pStyle w:val="BodyText"/>
        <w:spacing w:line="420" w:lineRule="auto"/>
        <w:ind w:left="154"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公司报告期未发生共同对外投资的关联交易。</w:t>
      </w:r>
    </w:p>
    <w:p>
      <w:pPr>
        <w:spacing w:line="240" w:lineRule="auto" w:before="9"/>
        <w:rPr>
          <w:rFonts w:ascii="宋体" w:hAnsi="宋体" w:cs="宋体" w:eastAsia="宋体" w:hint="default"/>
          <w:sz w:val="19"/>
          <w:szCs w:val="19"/>
        </w:rPr>
      </w:pPr>
    </w:p>
    <w:p>
      <w:pPr>
        <w:pStyle w:val="Heading6"/>
        <w:spacing w:line="240" w:lineRule="auto"/>
        <w:ind w:right="1135"/>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left="154"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是否存在非经营性关联债权债务往来</w:t>
      </w:r>
    </w:p>
    <w:p>
      <w:pPr>
        <w:pStyle w:val="BodyText"/>
        <w:spacing w:line="240" w:lineRule="auto" w:before="75"/>
        <w:ind w:left="154"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1226" w:top="1100" w:bottom="142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公司报告期不存在非经营性关联债权债务往来。</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76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公司报告期无其他重大关联交易。</w:t>
      </w:r>
    </w:p>
    <w:p>
      <w:pPr>
        <w:spacing w:line="240" w:lineRule="auto" w:before="3"/>
        <w:rPr>
          <w:rFonts w:ascii="宋体" w:hAnsi="宋体" w:cs="宋体" w:eastAsia="宋体" w:hint="default"/>
          <w:sz w:val="20"/>
          <w:szCs w:val="20"/>
        </w:rPr>
      </w:pPr>
    </w:p>
    <w:p>
      <w:pPr>
        <w:pStyle w:val="Heading2"/>
        <w:spacing w:line="240" w:lineRule="auto"/>
        <w:ind w:right="1135"/>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7"/>
        <w:rPr>
          <w:rFonts w:ascii="宋体" w:hAnsi="宋体" w:cs="宋体" w:eastAsia="宋体" w:hint="default"/>
          <w:b/>
          <w:bCs/>
          <w:sz w:val="27"/>
          <w:szCs w:val="27"/>
        </w:rPr>
      </w:pPr>
    </w:p>
    <w:p>
      <w:pPr>
        <w:pStyle w:val="Heading6"/>
        <w:spacing w:line="240" w:lineRule="auto"/>
        <w:ind w:left="153" w:right="1135"/>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left="153" w:right="1135"/>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spacing w:line="240" w:lineRule="auto" w:before="13"/>
        <w:rPr>
          <w:rFonts w:ascii="宋体" w:hAnsi="宋体" w:cs="宋体" w:eastAsia="宋体" w:hint="default"/>
          <w:sz w:val="22"/>
          <w:szCs w:val="22"/>
        </w:rPr>
      </w:pPr>
    </w:p>
    <w:p>
      <w:pPr>
        <w:pStyle w:val="Heading6"/>
        <w:spacing w:line="240" w:lineRule="auto"/>
        <w:ind w:left="153" w:right="1135"/>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spacing w:line="240" w:lineRule="auto" w:before="2"/>
        <w:rPr>
          <w:rFonts w:ascii="宋体" w:hAnsi="宋体" w:cs="宋体" w:eastAsia="宋体" w:hint="default"/>
          <w:sz w:val="23"/>
          <w:szCs w:val="23"/>
        </w:rPr>
      </w:pPr>
    </w:p>
    <w:p>
      <w:pPr>
        <w:pStyle w:val="Heading6"/>
        <w:spacing w:line="240" w:lineRule="auto"/>
        <w:ind w:left="153" w:right="1135"/>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公司报告期不存在租赁情况。</w:t>
      </w:r>
    </w:p>
    <w:p>
      <w:pPr>
        <w:spacing w:line="240" w:lineRule="auto" w:before="12"/>
        <w:rPr>
          <w:rFonts w:ascii="宋体" w:hAnsi="宋体" w:cs="宋体" w:eastAsia="宋体" w:hint="default"/>
          <w:sz w:val="22"/>
          <w:szCs w:val="22"/>
        </w:rPr>
      </w:pPr>
    </w:p>
    <w:p>
      <w:pPr>
        <w:pStyle w:val="Heading6"/>
        <w:spacing w:line="240" w:lineRule="auto"/>
        <w:ind w:left="153" w:right="1135"/>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6"/>
          <w:szCs w:val="26"/>
        </w:rPr>
      </w:pPr>
    </w:p>
    <w:p>
      <w:pPr>
        <w:pStyle w:val="Heading6"/>
        <w:spacing w:line="240" w:lineRule="auto"/>
        <w:ind w:left="153" w:right="1135"/>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710"/>
        <w:gridCol w:w="923"/>
        <w:gridCol w:w="928"/>
        <w:gridCol w:w="1296"/>
        <w:gridCol w:w="1099"/>
        <w:gridCol w:w="1276"/>
        <w:gridCol w:w="768"/>
        <w:gridCol w:w="796"/>
        <w:gridCol w:w="779"/>
      </w:tblGrid>
      <w:tr>
        <w:trPr>
          <w:trHeight w:val="473" w:hRule="exact"/>
        </w:trPr>
        <w:tc>
          <w:tcPr>
            <w:tcW w:w="9575"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3" w:right="9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1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4" w:hRule="exact"/>
        </w:trPr>
        <w:tc>
          <w:tcPr>
            <w:tcW w:w="1710"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47,000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6,974.14</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710"/>
        <w:gridCol w:w="920"/>
        <w:gridCol w:w="922"/>
        <w:gridCol w:w="1305"/>
        <w:gridCol w:w="1072"/>
        <w:gridCol w:w="1026"/>
        <w:gridCol w:w="278"/>
        <w:gridCol w:w="768"/>
        <w:gridCol w:w="791"/>
        <w:gridCol w:w="784"/>
      </w:tblGrid>
      <w:tr>
        <w:trPr>
          <w:trHeight w:val="724" w:hRule="exact"/>
        </w:trPr>
        <w:tc>
          <w:tcPr>
            <w:tcW w:w="1710"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47,000</w:t>
            </w:r>
          </w:p>
        </w:tc>
        <w:tc>
          <w:tcPr>
            <w:tcW w:w="13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2"/>
                <w:sz w:val="18"/>
              </w:rPr>
              <w:t>365.11</w:t>
            </w:r>
          </w:p>
        </w:tc>
        <w:tc>
          <w:tcPr>
            <w:tcW w:w="13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7,212.16</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2,829.78</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3,464.58</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3,222.47</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527.89</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123,590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39,296.52</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16,508.53</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13,004.22</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神州数码信息服务股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47,000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81.8</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神州数码信息服务股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47,000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81.8</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54"/>
              <w:jc w:val="left"/>
              <w:rPr>
                <w:rFonts w:ascii="宋体" w:hAnsi="宋体" w:cs="宋体" w:eastAsia="宋体" w:hint="default"/>
                <w:sz w:val="18"/>
                <w:szCs w:val="18"/>
              </w:rPr>
            </w:pPr>
            <w:r>
              <w:rPr>
                <w:rFonts w:ascii="宋体" w:hAnsi="宋体" w:cs="宋体" w:eastAsia="宋体" w:hint="default"/>
                <w:sz w:val="18"/>
                <w:szCs w:val="18"/>
              </w:rPr>
              <w:t>北京中农信达信息技 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500</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1"/>
              <w:ind w:left="13"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2"/>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3,250</w:t>
            </w:r>
          </w:p>
        </w:tc>
        <w:tc>
          <w:tcPr>
            <w:tcW w:w="1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170,590</w:t>
            </w:r>
          </w:p>
        </w:tc>
        <w:tc>
          <w:tcPr>
            <w:tcW w:w="23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343"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8" w:right="0"/>
              <w:jc w:val="left"/>
              <w:rPr>
                <w:rFonts w:ascii="Times New Roman" w:hAnsi="Times New Roman" w:cs="Times New Roman" w:eastAsia="Times New Roman" w:hint="default"/>
                <w:sz w:val="18"/>
                <w:szCs w:val="18"/>
              </w:rPr>
            </w:pPr>
            <w:r>
              <w:rPr>
                <w:rFonts w:ascii="Times New Roman"/>
                <w:sz w:val="18"/>
              </w:rPr>
              <w:t>177,987.65</w:t>
            </w:r>
          </w:p>
        </w:tc>
      </w:tr>
      <w:tr>
        <w:trPr>
          <w:trHeight w:val="730"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12" w:space="0" w:color="D2D2D2"/>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358,590</w:t>
            </w:r>
          </w:p>
        </w:tc>
        <w:tc>
          <w:tcPr>
            <w:tcW w:w="23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343" w:type="dxa"/>
            <w:gridSpan w:val="3"/>
            <w:tcBorders>
              <w:top w:val="single" w:sz="4" w:space="0" w:color="000000"/>
              <w:left w:val="single" w:sz="13" w:space="0" w:color="D2D2D2"/>
              <w:bottom w:val="single" w:sz="12" w:space="0" w:color="D2D2D2"/>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97,237.2</w:t>
            </w:r>
          </w:p>
        </w:tc>
      </w:tr>
      <w:tr>
        <w:trPr>
          <w:trHeight w:val="432" w:hRule="exact"/>
        </w:trPr>
        <w:tc>
          <w:tcPr>
            <w:tcW w:w="9575" w:type="dxa"/>
            <w:gridSpan w:val="10"/>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78" w:hRule="exact"/>
        </w:trPr>
        <w:tc>
          <w:tcPr>
            <w:tcW w:w="1710" w:type="dxa"/>
            <w:vMerge w:val="restart"/>
            <w:tcBorders>
              <w:top w:val="single" w:sz="4" w:space="0" w:color="000000"/>
              <w:left w:val="single" w:sz="12"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6" w:type="dxa"/>
            <w:vMerge w:val="restart"/>
            <w:tcBorders>
              <w:top w:val="single" w:sz="4" w:space="0" w:color="000000"/>
              <w:left w:val="single" w:sz="4" w:space="0" w:color="000000"/>
              <w:right w:val="single" w:sz="4" w:space="0" w:color="000000"/>
            </w:tcBorders>
            <w:shd w:val="clear" w:color="auto" w:fill="D2D2D2"/>
          </w:tcPr>
          <w:p>
            <w:pPr/>
          </w:p>
        </w:tc>
        <w:tc>
          <w:tcPr>
            <w:tcW w:w="1046" w:type="dxa"/>
            <w:gridSpan w:val="2"/>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6" w:hRule="exact"/>
        </w:trPr>
        <w:tc>
          <w:tcPr>
            <w:tcW w:w="1710" w:type="dxa"/>
            <w:vMerge/>
            <w:tcBorders>
              <w:left w:val="single" w:sz="12"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9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6" w:type="dxa"/>
            <w:vMerge/>
            <w:tcBorders>
              <w:left w:val="single" w:sz="4" w:space="0" w:color="000000"/>
              <w:bottom w:val="nil" w:sz="6" w:space="0" w:color="auto"/>
              <w:right w:val="single" w:sz="4" w:space="0" w:color="000000"/>
            </w:tcBorders>
            <w:shd w:val="clear" w:color="auto" w:fill="D2D2D2"/>
          </w:tcPr>
          <w:p>
            <w:pPr/>
          </w:p>
        </w:tc>
        <w:tc>
          <w:tcPr>
            <w:tcW w:w="1046" w:type="dxa"/>
            <w:gridSpan w:val="2"/>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72" w:type="dxa"/>
            <w:vMerge/>
            <w:tcBorders>
              <w:left w:val="single" w:sz="4" w:space="0" w:color="000000"/>
              <w:right w:val="single" w:sz="4" w:space="0" w:color="000000"/>
            </w:tcBorders>
            <w:shd w:val="clear" w:color="auto" w:fill="D2D2D2"/>
          </w:tcPr>
          <w:p>
            <w:pPr/>
          </w:p>
        </w:tc>
        <w:tc>
          <w:tcPr>
            <w:tcW w:w="1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12" w:space="0" w:color="000000"/>
            </w:tcBorders>
            <w:shd w:val="clear" w:color="auto" w:fill="D2D2D2"/>
          </w:tcPr>
          <w:p>
            <w:pPr/>
          </w:p>
        </w:tc>
      </w:tr>
      <w:tr>
        <w:trPr>
          <w:trHeight w:val="156" w:hRule="exact"/>
        </w:trPr>
        <w:tc>
          <w:tcPr>
            <w:tcW w:w="1710" w:type="dxa"/>
            <w:vMerge w:val="restart"/>
            <w:tcBorders>
              <w:top w:val="nil" w:sz="6" w:space="0" w:color="auto"/>
              <w:left w:val="single" w:sz="12"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1026" w:type="dxa"/>
            <w:vMerge w:val="restart"/>
            <w:tcBorders>
              <w:top w:val="nil" w:sz="6" w:space="0" w:color="auto"/>
              <w:left w:val="single" w:sz="4" w:space="0" w:color="000000"/>
              <w:right w:val="single" w:sz="4" w:space="0" w:color="000000"/>
            </w:tcBorders>
            <w:shd w:val="clear" w:color="auto" w:fill="D2D2D2"/>
          </w:tcPr>
          <w:p>
            <w:pPr/>
          </w:p>
        </w:tc>
        <w:tc>
          <w:tcPr>
            <w:tcW w:w="1046" w:type="dxa"/>
            <w:gridSpan w:val="2"/>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12" w:space="0" w:color="000000"/>
            </w:tcBorders>
            <w:shd w:val="clear" w:color="auto" w:fill="D2D2D2"/>
          </w:tcPr>
          <w:p>
            <w:pPr/>
          </w:p>
        </w:tc>
      </w:tr>
      <w:tr>
        <w:trPr>
          <w:trHeight w:val="161" w:hRule="exact"/>
        </w:trPr>
        <w:tc>
          <w:tcPr>
            <w:tcW w:w="1710" w:type="dxa"/>
            <w:vMerge/>
            <w:tcBorders>
              <w:left w:val="single" w:sz="12"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6" w:type="dxa"/>
            <w:vMerge/>
            <w:tcBorders>
              <w:left w:val="single" w:sz="4" w:space="0" w:color="000000"/>
              <w:bottom w:val="single" w:sz="4" w:space="0" w:color="000000"/>
              <w:right w:val="single" w:sz="4" w:space="0" w:color="000000"/>
            </w:tcBorders>
            <w:shd w:val="clear" w:color="auto" w:fill="D2D2D2"/>
          </w:tcPr>
          <w:p>
            <w:pPr/>
          </w:p>
        </w:tc>
        <w:tc>
          <w:tcPr>
            <w:tcW w:w="1046" w:type="dxa"/>
            <w:gridSpan w:val="2"/>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13"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2"/>
                <w:sz w:val="18"/>
              </w:rPr>
              <w:t>365.11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5"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3"/>
              <w:ind w:right="41"/>
              <w:jc w:val="center"/>
              <w:rPr>
                <w:rFonts w:ascii="宋体" w:hAnsi="宋体" w:cs="宋体" w:eastAsia="宋体" w:hint="default"/>
                <w:sz w:val="18"/>
                <w:szCs w:val="18"/>
              </w:rPr>
            </w:pPr>
            <w:r>
              <w:rPr>
                <w:rFonts w:ascii="宋体" w:hAnsi="宋体" w:cs="宋体" w:eastAsia="宋体" w:hint="default"/>
                <w:sz w:val="18"/>
                <w:szCs w:val="18"/>
              </w:rPr>
              <w:t>神州数码系统集成服</w:t>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47,000</w:t>
            </w:r>
          </w:p>
        </w:tc>
        <w:tc>
          <w:tcPr>
            <w:tcW w:w="13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48"/>
              <w:jc w:val="right"/>
              <w:rPr>
                <w:rFonts w:ascii="Times New Roman" w:hAnsi="Times New Roman" w:cs="Times New Roman" w:eastAsia="Times New Roman" w:hint="default"/>
                <w:sz w:val="18"/>
                <w:szCs w:val="18"/>
              </w:rPr>
            </w:pPr>
            <w:r>
              <w:rPr>
                <w:rFonts w:ascii="Times New Roman"/>
                <w:sz w:val="18"/>
              </w:rPr>
              <w:t>6,974.14</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left="-5" w:right="119"/>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710"/>
        <w:gridCol w:w="920"/>
        <w:gridCol w:w="914"/>
        <w:gridCol w:w="1309"/>
        <w:gridCol w:w="1048"/>
        <w:gridCol w:w="1054"/>
        <w:gridCol w:w="1046"/>
        <w:gridCol w:w="786"/>
        <w:gridCol w:w="789"/>
      </w:tblGrid>
      <w:tr>
        <w:trPr>
          <w:trHeight w:val="473" w:hRule="exact"/>
        </w:trPr>
        <w:tc>
          <w:tcPr>
            <w:tcW w:w="171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12" w:space="0" w:color="000000"/>
              <w:left w:val="single" w:sz="4" w:space="0" w:color="000000"/>
              <w:bottom w:val="single" w:sz="4" w:space="0" w:color="000000"/>
              <w:right w:val="single" w:sz="4" w:space="0" w:color="000000"/>
            </w:tcBorders>
          </w:tcPr>
          <w:p>
            <w:pP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12" w:space="0" w:color="000000"/>
              <w:left w:val="single" w:sz="4" w:space="0" w:color="000000"/>
              <w:bottom w:val="single" w:sz="4" w:space="0" w:color="000000"/>
              <w:right w:val="single" w:sz="4" w:space="0" w:color="000000"/>
            </w:tcBorders>
          </w:tcPr>
          <w:p>
            <w:pP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12" w:space="0" w:color="000000"/>
              <w:left w:val="single" w:sz="4" w:space="0" w:color="000000"/>
              <w:bottom w:val="single" w:sz="4" w:space="0" w:color="000000"/>
              <w:right w:val="single" w:sz="4" w:space="0" w:color="000000"/>
            </w:tcBorders>
          </w:tcPr>
          <w:p>
            <w:pPr/>
          </w:p>
        </w:tc>
        <w:tc>
          <w:tcPr>
            <w:tcW w:w="786" w:type="dxa"/>
            <w:tcBorders>
              <w:top w:val="single" w:sz="12" w:space="0" w:color="000000"/>
              <w:left w:val="single" w:sz="4" w:space="0" w:color="000000"/>
              <w:bottom w:val="single" w:sz="4" w:space="0" w:color="000000"/>
              <w:right w:val="single" w:sz="4" w:space="0" w:color="000000"/>
            </w:tcBorders>
          </w:tcPr>
          <w:p>
            <w:pPr/>
          </w:p>
        </w:tc>
        <w:tc>
          <w:tcPr>
            <w:tcW w:w="789" w:type="dxa"/>
            <w:tcBorders>
              <w:top w:val="single" w:sz="12" w:space="0" w:color="000000"/>
              <w:left w:val="single" w:sz="4" w:space="0" w:color="000000"/>
              <w:bottom w:val="single" w:sz="4" w:space="0" w:color="000000"/>
              <w:right w:val="single" w:sz="12" w:space="0" w:color="000000"/>
            </w:tcBorders>
          </w:tcPr>
          <w:p>
            <w:pP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2"/>
              <w:ind w:left="13" w:right="54"/>
              <w:jc w:val="both"/>
              <w:rPr>
                <w:rFonts w:ascii="宋体" w:hAnsi="宋体" w:cs="宋体" w:eastAsia="宋体" w:hint="default"/>
                <w:sz w:val="18"/>
                <w:szCs w:val="18"/>
              </w:rPr>
            </w:pPr>
            <w:r>
              <w:rPr>
                <w:rFonts w:ascii="宋体" w:hAnsi="宋体" w:cs="宋体" w:eastAsia="宋体" w:hint="default"/>
                <w:sz w:val="18"/>
                <w:szCs w:val="18"/>
              </w:rPr>
              <w:t>神州数码信息服务股 份有限公司北京分公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2"/>
              <w:ind w:left="13"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2"/>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25,161.3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25,161.3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2"/>
              <w:ind w:left="13"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2"/>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25,161.3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0" w:type="dxa"/>
            <w:tcBorders>
              <w:top w:val="single" w:sz="4" w:space="0" w:color="000000"/>
              <w:left w:val="single" w:sz="12" w:space="0" w:color="000000"/>
              <w:bottom w:val="single" w:sz="4" w:space="0" w:color="000000"/>
              <w:right w:val="single" w:sz="4" w:space="0" w:color="000000"/>
            </w:tcBorders>
          </w:tcPr>
          <w:p>
            <w:pPr>
              <w:pStyle w:val="TableParagraph"/>
              <w:spacing w:line="362" w:lineRule="auto" w:before="92"/>
              <w:ind w:left="13"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2"/>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58,000</w:t>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8,962.8</w:t>
            </w:r>
          </w:p>
        </w:tc>
      </w:tr>
      <w:tr>
        <w:trPr>
          <w:trHeight w:val="729"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16" w:space="0" w:color="D2D2D2"/>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121,322.61</w:t>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16" w:space="0" w:color="D2D2D2"/>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28,718.21</w:t>
            </w:r>
          </w:p>
        </w:tc>
      </w:tr>
      <w:tr>
        <w:trPr>
          <w:trHeight w:val="433" w:hRule="exact"/>
        </w:trPr>
        <w:tc>
          <w:tcPr>
            <w:tcW w:w="9575"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30"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3" w:type="dxa"/>
            <w:gridSpan w:val="2"/>
            <w:tcBorders>
              <w:top w:val="single" w:sz="16"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228,590</w:t>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7"/>
              <w:ind w:left="26"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16" w:space="0" w:color="D2D2D2"/>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186,950.45</w:t>
            </w:r>
          </w:p>
        </w:tc>
      </w:tr>
      <w:tr>
        <w:trPr>
          <w:trHeight w:val="714" w:hRule="exact"/>
        </w:trPr>
        <w:tc>
          <w:tcPr>
            <w:tcW w:w="2630"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16"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84" w:right="0"/>
              <w:jc w:val="left"/>
              <w:rPr>
                <w:rFonts w:ascii="Times New Roman" w:hAnsi="Times New Roman" w:cs="Times New Roman" w:eastAsia="Times New Roman" w:hint="default"/>
                <w:sz w:val="18"/>
                <w:szCs w:val="18"/>
              </w:rPr>
            </w:pPr>
            <w:r>
              <w:rPr>
                <w:rFonts w:ascii="Times New Roman"/>
                <w:sz w:val="18"/>
              </w:rPr>
              <w:t>479,912.61</w:t>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125,955.41</w:t>
            </w:r>
          </w:p>
        </w:tc>
      </w:tr>
      <w:tr>
        <w:trPr>
          <w:trHeight w:val="480"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2" w:type="dxa"/>
            <w:gridSpan w:val="5"/>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38.76%</w:t>
            </w:r>
          </w:p>
        </w:tc>
      </w:tr>
      <w:tr>
        <w:trPr>
          <w:trHeight w:val="432" w:hRule="exact"/>
        </w:trPr>
        <w:tc>
          <w:tcPr>
            <w:tcW w:w="9575"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80"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2" w:type="dxa"/>
            <w:gridSpan w:val="5"/>
            <w:tcBorders>
              <w:top w:val="single" w:sz="16" w:space="0" w:color="D2D2D2"/>
              <w:left w:val="single" w:sz="13" w:space="0" w:color="D2D2D2"/>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2" w:type="dxa"/>
            <w:gridSpan w:val="5"/>
            <w:tcBorders>
              <w:top w:val="single" w:sz="4" w:space="0" w:color="000000"/>
              <w:left w:val="single" w:sz="13" w:space="0" w:color="D2D2D2"/>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120,167.6</w:t>
            </w:r>
          </w:p>
        </w:tc>
      </w:tr>
      <w:tr>
        <w:trPr>
          <w:trHeight w:val="464"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2" w:type="dxa"/>
            <w:gridSpan w:val="5"/>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2" w:type="dxa"/>
            <w:gridSpan w:val="5"/>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120,167.6</w:t>
            </w:r>
          </w:p>
        </w:tc>
      </w:tr>
      <w:tr>
        <w:trPr>
          <w:trHeight w:val="714" w:hRule="exact"/>
        </w:trPr>
        <w:tc>
          <w:tcPr>
            <w:tcW w:w="485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13" w:right="18"/>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w:t>
            </w:r>
          </w:p>
        </w:tc>
        <w:tc>
          <w:tcPr>
            <w:tcW w:w="4722" w:type="dxa"/>
            <w:gridSpan w:val="5"/>
            <w:tcBorders>
              <w:top w:val="single" w:sz="4" w:space="0" w:color="000000"/>
              <w:left w:val="single" w:sz="13" w:space="0" w:color="D2D2D2"/>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4853"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22" w:type="dxa"/>
            <w:gridSpan w:val="5"/>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9"/>
        <w:ind w:left="154" w:right="0" w:firstLine="0"/>
        <w:jc w:val="left"/>
        <w:rPr>
          <w:rFonts w:ascii="宋体" w:hAnsi="宋体" w:cs="宋体" w:eastAsia="宋体" w:hint="default"/>
          <w:sz w:val="18"/>
          <w:szCs w:val="18"/>
        </w:rPr>
      </w:pPr>
      <w:r>
        <w:rPr>
          <w:rFonts w:ascii="宋体" w:hAnsi="宋体" w:cs="宋体" w:eastAsia="宋体" w:hint="default"/>
          <w:sz w:val="18"/>
          <w:szCs w:val="18"/>
        </w:rPr>
        <w:t>注：公司于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年年度股东大会审议通过了《关于子公司北京中农信达信息技术有限公司向中国工商银</w:t>
      </w:r>
    </w:p>
    <w:p>
      <w:pPr>
        <w:spacing w:after="0"/>
        <w:jc w:val="left"/>
        <w:rPr>
          <w:rFonts w:ascii="宋体" w:hAnsi="宋体" w:cs="宋体" w:eastAsia="宋体" w:hint="default"/>
          <w:sz w:val="18"/>
          <w:szCs w:val="18"/>
        </w:rPr>
        <w:sectPr>
          <w:footerReference w:type="default" r:id="rId33"/>
          <w:pgSz w:w="11910" w:h="16840"/>
          <w:pgMar w:footer="1226" w:header="877" w:top="1100" w:bottom="1420" w:left="980" w:right="0"/>
          <w:pgNumType w:start="51"/>
        </w:sectPr>
      </w:pPr>
    </w:p>
    <w:p>
      <w:pPr>
        <w:spacing w:line="240" w:lineRule="auto" w:before="10"/>
        <w:rPr>
          <w:rFonts w:ascii="宋体" w:hAnsi="宋体" w:cs="宋体" w:eastAsia="宋体" w:hint="default"/>
          <w:sz w:val="18"/>
          <w:szCs w:val="1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行申请授信并由子公司神州数码系统集成服务有限公司提供担保的议案</w:t>
      </w:r>
      <w:r>
        <w:rPr>
          <w:rFonts w:ascii="宋体" w:hAnsi="宋体" w:cs="宋体" w:eastAsia="宋体" w:hint="default"/>
          <w:spacing w:val="-87"/>
          <w:sz w:val="18"/>
          <w:szCs w:val="18"/>
        </w:rPr>
        <w:t>》，</w:t>
      </w:r>
      <w:r>
        <w:rPr>
          <w:rFonts w:ascii="宋体" w:hAnsi="宋体" w:cs="宋体" w:eastAsia="宋体" w:hint="default"/>
          <w:sz w:val="18"/>
          <w:szCs w:val="18"/>
        </w:rPr>
        <w:t>与银行</w:t>
      </w:r>
      <w:r>
        <w:rPr>
          <w:rFonts w:ascii="宋体" w:hAnsi="宋体" w:cs="宋体" w:eastAsia="宋体" w:hint="default"/>
          <w:spacing w:val="1"/>
          <w:sz w:val="18"/>
          <w:szCs w:val="18"/>
        </w:rPr>
        <w:t>签</w:t>
      </w:r>
      <w:r>
        <w:rPr>
          <w:rFonts w:ascii="宋体" w:hAnsi="宋体" w:cs="宋体" w:eastAsia="宋体" w:hint="default"/>
          <w:sz w:val="18"/>
          <w:szCs w:val="18"/>
        </w:rPr>
        <w:t>署担保合同的日期为</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BodyText"/>
        <w:spacing w:line="240" w:lineRule="auto" w:before="132"/>
        <w:ind w:right="1135"/>
        <w:jc w:val="left"/>
      </w:pPr>
      <w:r>
        <w:rPr/>
        <w:t>采用复合方式担保的具体情况说明：无</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4"/>
          <w:szCs w:val="24"/>
        </w:rPr>
      </w:pPr>
    </w:p>
    <w:p>
      <w:pPr>
        <w:pStyle w:val="BodyText"/>
        <w:spacing w:line="355" w:lineRule="auto"/>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公司报告期无违规对外担保情况。</w:t>
      </w:r>
    </w:p>
    <w:p>
      <w:pPr>
        <w:spacing w:line="240" w:lineRule="auto" w:before="0"/>
        <w:rPr>
          <w:rFonts w:ascii="宋体" w:hAnsi="宋体" w:cs="宋体" w:eastAsia="宋体" w:hint="default"/>
          <w:sz w:val="24"/>
          <w:szCs w:val="24"/>
        </w:rPr>
      </w:pPr>
    </w:p>
    <w:p>
      <w:pPr>
        <w:pStyle w:val="Heading6"/>
        <w:spacing w:line="240" w:lineRule="auto"/>
        <w:ind w:left="153" w:right="1135"/>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8"/>
      </w:tblGrid>
      <w:tr>
        <w:trPr>
          <w:trHeight w:val="1348" w:hRule="exact"/>
        </w:trPr>
        <w:tc>
          <w:tcPr>
            <w:tcW w:w="80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5"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3" w:right="12"/>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西南证券 北三环营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西南证券 北三环营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西南证券 北三环营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国信证券 三里河营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国信证券 三里河营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券商理财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73" w:hRule="exact"/>
        </w:trPr>
        <w:tc>
          <w:tcPr>
            <w:tcW w:w="8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招商基金</w:t>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到期后还</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12" w:space="0" w:color="000000"/>
              <w:right w:val="single" w:sz="4" w:space="0" w:color="000000"/>
            </w:tcBorders>
          </w:tcPr>
          <w:p>
            <w:pP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6.85</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6.85</w:t>
            </w:r>
          </w:p>
        </w:tc>
        <w:tc>
          <w:tcPr>
            <w:tcW w:w="5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877" w:footer="1226" w:top="1100" w:bottom="15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8"/>
      </w:tblGrid>
      <w:tr>
        <w:trPr>
          <w:trHeight w:val="683" w:hRule="exact"/>
        </w:trPr>
        <w:tc>
          <w:tcPr>
            <w:tcW w:w="801" w:type="dxa"/>
            <w:tcBorders>
              <w:top w:val="single" w:sz="12" w:space="0" w:color="000000"/>
              <w:left w:val="single" w:sz="12" w:space="0" w:color="000000"/>
              <w:bottom w:val="single" w:sz="4" w:space="0" w:color="000000"/>
              <w:right w:val="single" w:sz="4" w:space="0" w:color="000000"/>
            </w:tcBorders>
          </w:tcPr>
          <w:p>
            <w:pPr>
              <w:pStyle w:val="TableParagraph"/>
              <w:spacing w:line="319" w:lineRule="auto" w:before="10"/>
              <w:ind w:left="13" w:right="46"/>
              <w:jc w:val="left"/>
              <w:rPr>
                <w:rFonts w:ascii="宋体" w:hAnsi="宋体" w:cs="宋体" w:eastAsia="宋体" w:hint="default"/>
                <w:sz w:val="18"/>
                <w:szCs w:val="18"/>
              </w:rPr>
            </w:pPr>
            <w:r>
              <w:rPr>
                <w:rFonts w:ascii="宋体" w:hAnsi="宋体" w:cs="宋体" w:eastAsia="宋体" w:hint="default"/>
                <w:sz w:val="18"/>
                <w:szCs w:val="18"/>
              </w:rPr>
              <w:t>管理有限 公司</w:t>
            </w:r>
          </w:p>
        </w:tc>
        <w:tc>
          <w:tcPr>
            <w:tcW w:w="832" w:type="dxa"/>
            <w:tcBorders>
              <w:top w:val="single" w:sz="12" w:space="0" w:color="000000"/>
              <w:left w:val="single" w:sz="4" w:space="0" w:color="000000"/>
              <w:bottom w:val="single" w:sz="4" w:space="0" w:color="000000"/>
              <w:right w:val="single" w:sz="4" w:space="0" w:color="000000"/>
            </w:tcBorders>
          </w:tcPr>
          <w:p>
            <w:pPr/>
          </w:p>
        </w:tc>
        <w:tc>
          <w:tcPr>
            <w:tcW w:w="838" w:type="dxa"/>
            <w:tcBorders>
              <w:top w:val="single" w:sz="12" w:space="0" w:color="000000"/>
              <w:left w:val="single" w:sz="4" w:space="0" w:color="000000"/>
              <w:bottom w:val="single" w:sz="4" w:space="0" w:color="000000"/>
              <w:right w:val="single" w:sz="4" w:space="0" w:color="000000"/>
            </w:tcBorders>
          </w:tcPr>
          <w:p>
            <w:pPr/>
          </w:p>
        </w:tc>
        <w:tc>
          <w:tcPr>
            <w:tcW w:w="876"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804"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802"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598" w:type="dxa"/>
            <w:tcBorders>
              <w:top w:val="single" w:sz="12" w:space="0" w:color="000000"/>
              <w:left w:val="single" w:sz="4" w:space="0" w:color="000000"/>
              <w:bottom w:val="single" w:sz="4" w:space="0" w:color="000000"/>
              <w:right w:val="single" w:sz="12" w:space="0" w:color="000000"/>
            </w:tcBorders>
          </w:tcPr>
          <w:p>
            <w:pP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13" w:right="46"/>
              <w:jc w:val="both"/>
              <w:rPr>
                <w:rFonts w:ascii="宋体" w:hAnsi="宋体" w:cs="宋体" w:eastAsia="宋体" w:hint="default"/>
                <w:sz w:val="18"/>
                <w:szCs w:val="18"/>
              </w:rPr>
            </w:pPr>
            <w:r>
              <w:rPr>
                <w:rFonts w:ascii="宋体" w:hAnsi="宋体" w:cs="宋体" w:eastAsia="宋体" w:hint="default"/>
                <w:sz w:val="18"/>
                <w:szCs w:val="18"/>
              </w:rPr>
              <w:t>招商基金 管理有限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16.05</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724" w:hRule="exact"/>
        </w:trPr>
        <w:tc>
          <w:tcPr>
            <w:tcW w:w="801"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2"/>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80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12" w:space="0" w:color="000000"/>
              <w:right w:val="single" w:sz="4" w:space="0" w:color="000000"/>
            </w:tcBorders>
          </w:tcPr>
          <w:p>
            <w:pP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5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8"/>
      </w:tblGrid>
      <w:tr>
        <w:trPr>
          <w:trHeight w:val="473" w:hRule="exact"/>
        </w:trPr>
        <w:tc>
          <w:tcPr>
            <w:tcW w:w="801" w:type="dxa"/>
            <w:tcBorders>
              <w:top w:val="single" w:sz="12" w:space="0" w:color="000000"/>
              <w:left w:val="single" w:sz="12" w:space="0" w:color="000000"/>
              <w:bottom w:val="single" w:sz="4" w:space="0" w:color="000000"/>
              <w:right w:val="single" w:sz="4" w:space="0" w:color="000000"/>
            </w:tcBorders>
          </w:tcPr>
          <w:p>
            <w:pPr/>
          </w:p>
        </w:tc>
        <w:tc>
          <w:tcPr>
            <w:tcW w:w="832" w:type="dxa"/>
            <w:tcBorders>
              <w:top w:val="single" w:sz="12" w:space="0" w:color="000000"/>
              <w:left w:val="single" w:sz="4" w:space="0" w:color="000000"/>
              <w:bottom w:val="single" w:sz="4" w:space="0" w:color="000000"/>
              <w:right w:val="single" w:sz="4" w:space="0" w:color="000000"/>
            </w:tcBorders>
          </w:tcPr>
          <w:p>
            <w:pPr/>
          </w:p>
        </w:tc>
        <w:tc>
          <w:tcPr>
            <w:tcW w:w="838" w:type="dxa"/>
            <w:tcBorders>
              <w:top w:val="single" w:sz="12" w:space="0" w:color="000000"/>
              <w:left w:val="single" w:sz="4" w:space="0" w:color="000000"/>
              <w:bottom w:val="single" w:sz="4" w:space="0" w:color="000000"/>
              <w:right w:val="single" w:sz="4" w:space="0" w:color="000000"/>
            </w:tcBorders>
          </w:tcPr>
          <w:p>
            <w:pPr/>
          </w:p>
        </w:tc>
        <w:tc>
          <w:tcPr>
            <w:tcW w:w="876"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802"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598" w:type="dxa"/>
            <w:tcBorders>
              <w:top w:val="single" w:sz="12" w:space="0" w:color="000000"/>
              <w:left w:val="single" w:sz="4" w:space="0" w:color="000000"/>
              <w:bottom w:val="single" w:sz="4" w:space="0" w:color="000000"/>
              <w:right w:val="single" w:sz="12" w:space="0" w:color="000000"/>
            </w:tcBorders>
          </w:tcPr>
          <w:p>
            <w:pP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31.08</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华夏基金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36" w:hRule="exact"/>
        </w:trPr>
        <w:tc>
          <w:tcPr>
            <w:tcW w:w="8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12" w:space="0" w:color="000000"/>
              <w:right w:val="single" w:sz="4" w:space="0" w:color="000000"/>
            </w:tcBorders>
          </w:tcPr>
          <w:p>
            <w:pP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w:t>
            </w:r>
          </w:p>
        </w:tc>
        <w:tc>
          <w:tcPr>
            <w:tcW w:w="5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8"/>
      </w:tblGrid>
      <w:tr>
        <w:trPr>
          <w:trHeight w:val="1036" w:hRule="exact"/>
        </w:trPr>
        <w:tc>
          <w:tcPr>
            <w:tcW w:w="80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12" w:space="0" w:color="000000"/>
              <w:left w:val="single" w:sz="4" w:space="0" w:color="000000"/>
              <w:bottom w:val="single" w:sz="4" w:space="0" w:color="000000"/>
              <w:right w:val="single" w:sz="4" w:space="0" w:color="000000"/>
            </w:tcBorders>
          </w:tcPr>
          <w:p>
            <w:pPr/>
          </w:p>
        </w:tc>
        <w:tc>
          <w:tcPr>
            <w:tcW w:w="8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c>
          <w:tcPr>
            <w:tcW w:w="59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工银瑞信 基金公司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3.11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73" w:hRule="exact"/>
        </w:trPr>
        <w:tc>
          <w:tcPr>
            <w:tcW w:w="8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1"/>
              <w:ind w:left="13" w:right="0"/>
              <w:jc w:val="left"/>
              <w:rPr>
                <w:rFonts w:ascii="宋体" w:hAnsi="宋体" w:cs="宋体" w:eastAsia="宋体" w:hint="default"/>
                <w:sz w:val="18"/>
                <w:szCs w:val="18"/>
              </w:rPr>
            </w:pPr>
            <w:r>
              <w:rPr>
                <w:rFonts w:ascii="宋体" w:hAnsi="宋体" w:cs="宋体" w:eastAsia="宋体" w:hint="default"/>
                <w:sz w:val="18"/>
                <w:szCs w:val="18"/>
              </w:rPr>
              <w:t>嘉实基金</w:t>
            </w:r>
          </w:p>
        </w:tc>
        <w:tc>
          <w:tcPr>
            <w:tcW w:w="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到期后还</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12" w:space="0" w:color="000000"/>
              <w:right w:val="single" w:sz="4" w:space="0" w:color="000000"/>
            </w:tcBorders>
          </w:tcPr>
          <w:p>
            <w:pP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2.91</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2.91</w:t>
            </w:r>
          </w:p>
        </w:tc>
        <w:tc>
          <w:tcPr>
            <w:tcW w:w="5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8"/>
      </w:tblGrid>
      <w:tr>
        <w:trPr>
          <w:trHeight w:val="683" w:hRule="exact"/>
        </w:trPr>
        <w:tc>
          <w:tcPr>
            <w:tcW w:w="80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2" w:type="dxa"/>
            <w:tcBorders>
              <w:top w:val="single" w:sz="12" w:space="0" w:color="000000"/>
              <w:left w:val="single" w:sz="4" w:space="0" w:color="000000"/>
              <w:bottom w:val="single" w:sz="4" w:space="0" w:color="000000"/>
              <w:right w:val="single" w:sz="4" w:space="0" w:color="000000"/>
            </w:tcBorders>
          </w:tcPr>
          <w:p>
            <w:pPr/>
          </w:p>
        </w:tc>
        <w:tc>
          <w:tcPr>
            <w:tcW w:w="838" w:type="dxa"/>
            <w:tcBorders>
              <w:top w:val="single" w:sz="12" w:space="0" w:color="000000"/>
              <w:left w:val="single" w:sz="4" w:space="0" w:color="000000"/>
              <w:bottom w:val="single" w:sz="4" w:space="0" w:color="000000"/>
              <w:right w:val="single" w:sz="4" w:space="0" w:color="000000"/>
            </w:tcBorders>
          </w:tcPr>
          <w:p>
            <w:pPr/>
          </w:p>
        </w:tc>
        <w:tc>
          <w:tcPr>
            <w:tcW w:w="876"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804"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802"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598" w:type="dxa"/>
            <w:tcBorders>
              <w:top w:val="single" w:sz="12" w:space="0" w:color="000000"/>
              <w:left w:val="single" w:sz="4" w:space="0" w:color="000000"/>
              <w:bottom w:val="single" w:sz="4" w:space="0" w:color="000000"/>
              <w:right w:val="single" w:sz="12" w:space="0" w:color="000000"/>
            </w:tcBorders>
          </w:tcPr>
          <w:p>
            <w:pP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13" w:right="46"/>
              <w:jc w:val="left"/>
              <w:rPr>
                <w:rFonts w:ascii="宋体" w:hAnsi="宋体" w:cs="宋体" w:eastAsia="宋体" w:hint="default"/>
                <w:sz w:val="18"/>
                <w:szCs w:val="18"/>
              </w:rPr>
            </w:pPr>
            <w:r>
              <w:rPr>
                <w:rFonts w:ascii="宋体" w:hAnsi="宋体" w:cs="宋体" w:eastAsia="宋体" w:hint="default"/>
                <w:sz w:val="18"/>
                <w:szCs w:val="18"/>
              </w:rPr>
              <w:t>嘉实基金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长城基金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28.82</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46"/>
              <w:jc w:val="left"/>
              <w:rPr>
                <w:rFonts w:ascii="宋体" w:hAnsi="宋体" w:cs="宋体" w:eastAsia="宋体" w:hint="default"/>
                <w:sz w:val="18"/>
                <w:szCs w:val="18"/>
              </w:rPr>
            </w:pPr>
            <w:r>
              <w:rPr>
                <w:rFonts w:ascii="宋体" w:hAnsi="宋体" w:cs="宋体" w:eastAsia="宋体" w:hint="default"/>
                <w:sz w:val="18"/>
                <w:szCs w:val="18"/>
              </w:rPr>
              <w:t>长城基金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广发银行 奥运村支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银行保本 浮动收益 型理财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银行非保 本浮动收 益理财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13" w:right="46"/>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3"/>
              <w:jc w:val="both"/>
              <w:rPr>
                <w:rFonts w:ascii="宋体" w:hAnsi="宋体" w:cs="宋体" w:eastAsia="宋体" w:hint="default"/>
                <w:sz w:val="18"/>
                <w:szCs w:val="18"/>
              </w:rPr>
            </w:pPr>
            <w:r>
              <w:rPr>
                <w:rFonts w:ascii="宋体" w:hAnsi="宋体" w:cs="宋体" w:eastAsia="宋体" w:hint="default"/>
                <w:sz w:val="18"/>
                <w:szCs w:val="18"/>
              </w:rPr>
              <w:t>银行非保 本浮动收 益理财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银行非保 本浮动收 益理财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15.19</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42" w:hRule="exact"/>
        </w:trPr>
        <w:tc>
          <w:tcPr>
            <w:tcW w:w="801" w:type="dxa"/>
            <w:tcBorders>
              <w:top w:val="single" w:sz="4" w:space="0" w:color="000000"/>
              <w:left w:val="single" w:sz="12" w:space="0" w:color="000000"/>
              <w:bottom w:val="single" w:sz="16" w:space="0" w:color="D2D2D2"/>
              <w:right w:val="single" w:sz="4" w:space="0" w:color="000000"/>
            </w:tcBorders>
          </w:tcPr>
          <w:p>
            <w:pPr>
              <w:pStyle w:val="TableParagraph"/>
              <w:spacing w:line="316" w:lineRule="auto" w:before="52"/>
              <w:ind w:left="13" w:right="46"/>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3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16" w:space="0" w:color="D2D2D2"/>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银行非保 本浮动收 益理财</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5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33" w:hRule="exact"/>
        </w:trPr>
        <w:tc>
          <w:tcPr>
            <w:tcW w:w="2471"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13" w:space="0" w:color="D2D2D2"/>
              <w:bottom w:val="single" w:sz="16" w:space="0" w:color="D2D2D2"/>
              <w:right w:val="single" w:sz="13" w:space="0" w:color="D2D2D2"/>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z w:val="18"/>
              </w:rPr>
              <w:t>141,000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1,005.85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1,005.57</w:t>
            </w:r>
          </w:p>
        </w:tc>
        <w:tc>
          <w:tcPr>
            <w:tcW w:w="59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334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223" w:type="dxa"/>
            <w:gridSpan w:val="8"/>
            <w:tcBorders>
              <w:top w:val="single" w:sz="12" w:space="0" w:color="D2D2D2"/>
              <w:left w:val="single" w:sz="13" w:space="0" w:color="D2D2D2"/>
              <w:bottom w:val="single" w:sz="12" w:space="0" w:color="D2D2D2"/>
              <w:right w:val="single" w:sz="12" w:space="0" w:color="000000"/>
            </w:tcBorders>
          </w:tcPr>
          <w:p>
            <w:pPr>
              <w:pStyle w:val="TableParagraph"/>
              <w:spacing w:line="240" w:lineRule="auto" w:before="87"/>
              <w:ind w:left="67"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63" w:hRule="exact"/>
        </w:trPr>
        <w:tc>
          <w:tcPr>
            <w:tcW w:w="334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223" w:type="dxa"/>
            <w:gridSpan w:val="8"/>
            <w:tcBorders>
              <w:top w:val="single" w:sz="12" w:space="0" w:color="D2D2D2"/>
              <w:left w:val="single" w:sz="13" w:space="0" w:color="D2D2D2"/>
              <w:bottom w:val="single" w:sz="12" w:space="0" w:color="D2D2D2"/>
              <w:right w:val="single" w:sz="12"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34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6223" w:type="dxa"/>
            <w:gridSpan w:val="8"/>
            <w:tcBorders>
              <w:top w:val="single" w:sz="12" w:space="0" w:color="D2D2D2"/>
              <w:left w:val="single" w:sz="13" w:space="0" w:color="D2D2D2"/>
              <w:bottom w:val="single" w:sz="12" w:space="0" w:color="D2D2D2"/>
              <w:right w:val="single" w:sz="12" w:space="0" w:color="000000"/>
            </w:tcBorders>
          </w:tcPr>
          <w:p>
            <w:pPr>
              <w:pStyle w:val="TableParagraph"/>
              <w:spacing w:line="240" w:lineRule="auto" w:before="72"/>
              <w:ind w:left="6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334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tc>
        <w:tc>
          <w:tcPr>
            <w:tcW w:w="6223" w:type="dxa"/>
            <w:gridSpan w:val="8"/>
            <w:tcBorders>
              <w:top w:val="single" w:sz="12" w:space="0" w:color="D2D2D2"/>
              <w:left w:val="single" w:sz="13" w:space="0" w:color="D2D2D2"/>
              <w:bottom w:val="single" w:sz="12" w:space="0" w:color="D2D2D2"/>
              <w:right w:val="single" w:sz="12" w:space="0" w:color="000000"/>
            </w:tcBorders>
          </w:tcPr>
          <w:p>
            <w:pPr>
              <w:pStyle w:val="TableParagraph"/>
              <w:spacing w:line="240" w:lineRule="auto" w:before="71"/>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334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tc>
        <w:tc>
          <w:tcPr>
            <w:tcW w:w="6223" w:type="dxa"/>
            <w:gridSpan w:val="8"/>
            <w:tcBorders>
              <w:top w:val="single" w:sz="12" w:space="0" w:color="D2D2D2"/>
              <w:left w:val="single" w:sz="13" w:space="0" w:color="D2D2D2"/>
              <w:bottom w:val="single" w:sz="12" w:space="0" w:color="D2D2D2"/>
              <w:right w:val="single" w:sz="12" w:space="0" w:color="000000"/>
            </w:tcBorders>
          </w:tcPr>
          <w:p>
            <w:pPr>
              <w:pStyle w:val="TableParagraph"/>
              <w:spacing w:line="240" w:lineRule="auto" w:before="71"/>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5" w:hRule="exact"/>
        </w:trPr>
        <w:tc>
          <w:tcPr>
            <w:tcW w:w="3347"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6223" w:type="dxa"/>
            <w:gridSpan w:val="8"/>
            <w:tcBorders>
              <w:top w:val="single" w:sz="12" w:space="0" w:color="D2D2D2"/>
              <w:left w:val="single" w:sz="13" w:space="0" w:color="D2D2D2"/>
              <w:bottom w:val="single" w:sz="12" w:space="0" w:color="000000"/>
              <w:right w:val="single" w:sz="12" w:space="0" w:color="000000"/>
            </w:tcBorders>
          </w:tcPr>
          <w:p>
            <w:pPr>
              <w:pStyle w:val="TableParagraph"/>
              <w:spacing w:line="240" w:lineRule="auto" w:before="72"/>
              <w:ind w:left="6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226" w:top="1100" w:bottom="1420" w:left="980" w:right="0"/>
        </w:sectPr>
      </w:pPr>
    </w:p>
    <w:p>
      <w:pPr>
        <w:spacing w:line="240" w:lineRule="auto" w:before="7"/>
        <w:rPr>
          <w:rFonts w:ascii="Times New Roman" w:hAnsi="Times New Roman" w:cs="Times New Roman" w:eastAsia="Times New Roman" w:hint="default"/>
          <w:sz w:val="23"/>
          <w:szCs w:val="23"/>
        </w:rPr>
      </w:pPr>
    </w:p>
    <w:p>
      <w:pPr>
        <w:pStyle w:val="Heading6"/>
        <w:spacing w:line="240" w:lineRule="auto" w:before="35"/>
        <w:ind w:left="153" w:right="1135"/>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8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w:t>
      </w:r>
    </w:p>
    <w:p>
      <w:pPr>
        <w:spacing w:line="240" w:lineRule="auto" w:before="9"/>
        <w:rPr>
          <w:rFonts w:ascii="宋体" w:hAnsi="宋体" w:cs="宋体" w:eastAsia="宋体" w:hint="default"/>
          <w:sz w:val="19"/>
          <w:szCs w:val="19"/>
        </w:rPr>
      </w:pPr>
    </w:p>
    <w:p>
      <w:pPr>
        <w:pStyle w:val="Heading6"/>
        <w:spacing w:line="240" w:lineRule="auto"/>
        <w:ind w:left="153" w:right="1135"/>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637"/>
        <w:gridCol w:w="640"/>
        <w:gridCol w:w="638"/>
        <w:gridCol w:w="496"/>
        <w:gridCol w:w="784"/>
        <w:gridCol w:w="918"/>
        <w:gridCol w:w="566"/>
        <w:gridCol w:w="568"/>
        <w:gridCol w:w="502"/>
        <w:gridCol w:w="638"/>
        <w:gridCol w:w="639"/>
        <w:gridCol w:w="637"/>
        <w:gridCol w:w="638"/>
        <w:gridCol w:w="638"/>
        <w:gridCol w:w="635"/>
      </w:tblGrid>
      <w:tr>
        <w:trPr>
          <w:trHeight w:val="1347" w:hRule="exact"/>
        </w:trPr>
        <w:tc>
          <w:tcPr>
            <w:tcW w:w="6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4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7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4"/>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20"/>
              <w:ind w:left="27"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9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8"/>
                <w:sz w:val="18"/>
                <w:szCs w:val="18"/>
              </w:rPr>
              <w:t>估价值（万</w:t>
            </w:r>
            <w:r>
              <w:rPr>
                <w:rFonts w:ascii="宋体" w:hAnsi="宋体" w:cs="宋体" w:eastAsia="宋体" w:hint="default"/>
                <w:sz w:val="18"/>
                <w:szCs w:val="18"/>
              </w:rPr>
              <w:t> 元）</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评估 机构 名称</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9" w:right="96"/>
              <w:jc w:val="both"/>
              <w:rPr>
                <w:rFonts w:ascii="宋体" w:hAnsi="宋体" w:cs="宋体" w:eastAsia="宋体" w:hint="default"/>
                <w:sz w:val="18"/>
                <w:szCs w:val="18"/>
              </w:rPr>
            </w:pPr>
            <w:r>
              <w:rPr>
                <w:rFonts w:ascii="宋体" w:hAnsi="宋体" w:cs="宋体" w:eastAsia="宋体" w:hint="default"/>
                <w:sz w:val="18"/>
                <w:szCs w:val="18"/>
              </w:rPr>
              <w:t>评估 基准 日</w:t>
            </w:r>
          </w:p>
        </w:tc>
        <w:tc>
          <w:tcPr>
            <w:tcW w:w="5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2" w:right="3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2" w:hRule="exact"/>
        </w:trPr>
        <w:tc>
          <w:tcPr>
            <w:tcW w:w="6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63"/>
              <w:jc w:val="both"/>
              <w:rPr>
                <w:rFonts w:ascii="宋体" w:hAnsi="宋体" w:cs="宋体" w:eastAsia="宋体" w:hint="default"/>
                <w:sz w:val="18"/>
                <w:szCs w:val="18"/>
              </w:rPr>
            </w:pPr>
            <w:r>
              <w:rPr>
                <w:rFonts w:ascii="宋体" w:hAnsi="宋体" w:cs="宋体" w:eastAsia="宋体" w:hint="default"/>
                <w:sz w:val="18"/>
                <w:szCs w:val="18"/>
              </w:rPr>
              <w:t>神州数 码信息 服务股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国家信 息中心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《合作 协议》</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50"/>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338" w:lineRule="auto" w:before="102"/>
              <w:ind w:left="22" w:right="6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hyperlink r:id="rId3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 com</w:t>
            </w:r>
            <w:r>
              <w:rPr>
                <w:rFonts w:ascii="宋体" w:hAnsi="宋体" w:cs="宋体" w:eastAsia="宋体" w:hint="default"/>
                <w:sz w:val="18"/>
                <w:szCs w:val="18"/>
              </w:rPr>
              <w:t>）</w:t>
            </w:r>
          </w:p>
        </w:tc>
      </w:tr>
      <w:tr>
        <w:trPr>
          <w:trHeight w:val="1973" w:hRule="exact"/>
        </w:trPr>
        <w:tc>
          <w:tcPr>
            <w:tcW w:w="63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3" w:right="63"/>
              <w:jc w:val="both"/>
              <w:rPr>
                <w:rFonts w:ascii="宋体" w:hAnsi="宋体" w:cs="宋体" w:eastAsia="宋体" w:hint="default"/>
                <w:sz w:val="18"/>
                <w:szCs w:val="18"/>
              </w:rPr>
            </w:pPr>
            <w:r>
              <w:rPr>
                <w:rFonts w:ascii="宋体" w:hAnsi="宋体" w:cs="宋体" w:eastAsia="宋体" w:hint="default"/>
                <w:sz w:val="18"/>
                <w:szCs w:val="18"/>
              </w:rPr>
              <w:t>神州数 码系统 集成服 务有限 公司</w:t>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中国科 学技术 大学</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《中标 通知 书》</w:t>
            </w:r>
          </w:p>
        </w:tc>
        <w:tc>
          <w:tcPr>
            <w:tcW w:w="496" w:type="dxa"/>
            <w:tcBorders>
              <w:top w:val="single" w:sz="4" w:space="0" w:color="000000"/>
              <w:left w:val="single" w:sz="4" w:space="0" w:color="000000"/>
              <w:bottom w:val="single" w:sz="12" w:space="0" w:color="000000"/>
              <w:right w:val="single" w:sz="4" w:space="0" w:color="000000"/>
            </w:tcBorders>
          </w:tcPr>
          <w:p>
            <w:pPr/>
          </w:p>
        </w:tc>
        <w:tc>
          <w:tcPr>
            <w:tcW w:w="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6104.46</w:t>
            </w:r>
          </w:p>
        </w:tc>
        <w:tc>
          <w:tcPr>
            <w:tcW w:w="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5"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2"/>
              <w:ind w:left="22" w:right="50"/>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338" w:lineRule="auto" w:before="102"/>
              <w:ind w:left="22" w:right="6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hyperlink r:id="rId3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 com</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981"/>
        <w:gridCol w:w="4394"/>
        <w:gridCol w:w="1277"/>
        <w:gridCol w:w="992"/>
        <w:gridCol w:w="1444"/>
      </w:tblGrid>
      <w:tr>
        <w:trPr>
          <w:trHeight w:val="659" w:hRule="exact"/>
        </w:trPr>
        <w:tc>
          <w:tcPr>
            <w:tcW w:w="981"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61" w:lineRule="exact"/>
              <w:ind w:left="79" w:right="0"/>
              <w:jc w:val="left"/>
              <w:rPr>
                <w:rFonts w:ascii="宋体" w:hAnsi="宋体" w:cs="宋体" w:eastAsia="宋体" w:hint="default"/>
                <w:sz w:val="20"/>
                <w:szCs w:val="20"/>
              </w:rPr>
            </w:pPr>
            <w:r>
              <w:rPr>
                <w:rFonts w:ascii="宋体" w:hAnsi="宋体" w:cs="宋体" w:eastAsia="宋体" w:hint="default"/>
                <w:sz w:val="20"/>
                <w:szCs w:val="20"/>
              </w:rPr>
              <w:t>公告编号</w:t>
            </w:r>
          </w:p>
        </w:tc>
        <w:tc>
          <w:tcPr>
            <w:tcW w:w="4394"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事项</w:t>
            </w:r>
          </w:p>
        </w:tc>
        <w:tc>
          <w:tcPr>
            <w:tcW w:w="127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85" w:lineRule="auto"/>
              <w:ind w:left="233" w:right="30" w:hanging="201"/>
              <w:jc w:val="left"/>
              <w:rPr>
                <w:rFonts w:ascii="宋体" w:hAnsi="宋体" w:cs="宋体" w:eastAsia="宋体" w:hint="default"/>
                <w:sz w:val="20"/>
                <w:szCs w:val="20"/>
              </w:rPr>
            </w:pPr>
            <w:r>
              <w:rPr>
                <w:rFonts w:ascii="宋体" w:hAnsi="宋体" w:cs="宋体" w:eastAsia="宋体" w:hint="default"/>
                <w:sz w:val="20"/>
                <w:szCs w:val="20"/>
              </w:rPr>
              <w:t>刊载的报刊名</w:t>
            </w:r>
            <w:r>
              <w:rPr>
                <w:rFonts w:ascii="宋体" w:hAnsi="宋体" w:cs="宋体" w:eastAsia="宋体" w:hint="default"/>
                <w:w w:val="100"/>
                <w:sz w:val="20"/>
                <w:szCs w:val="20"/>
              </w:rPr>
              <w:t> </w:t>
            </w:r>
            <w:r>
              <w:rPr>
                <w:rFonts w:ascii="宋体" w:hAnsi="宋体" w:cs="宋体" w:eastAsia="宋体" w:hint="default"/>
                <w:sz w:val="20"/>
                <w:szCs w:val="20"/>
              </w:rPr>
              <w:t>称及版面</w:t>
            </w:r>
          </w:p>
        </w:tc>
        <w:tc>
          <w:tcPr>
            <w:tcW w:w="992"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left="90" w:right="0"/>
              <w:jc w:val="left"/>
              <w:rPr>
                <w:rFonts w:ascii="宋体" w:hAnsi="宋体" w:cs="宋体" w:eastAsia="宋体" w:hint="default"/>
                <w:sz w:val="20"/>
                <w:szCs w:val="20"/>
              </w:rPr>
            </w:pPr>
            <w:r>
              <w:rPr>
                <w:rFonts w:ascii="宋体" w:hAnsi="宋体" w:cs="宋体" w:eastAsia="宋体" w:hint="default"/>
                <w:sz w:val="20"/>
                <w:szCs w:val="20"/>
              </w:rPr>
              <w:t>刊载日期</w:t>
            </w:r>
          </w:p>
        </w:tc>
        <w:tc>
          <w:tcPr>
            <w:tcW w:w="1444"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85" w:lineRule="auto"/>
              <w:ind w:left="117" w:right="5" w:hanging="101"/>
              <w:jc w:val="left"/>
              <w:rPr>
                <w:rFonts w:ascii="宋体" w:hAnsi="宋体" w:cs="宋体" w:eastAsia="宋体" w:hint="default"/>
                <w:sz w:val="20"/>
                <w:szCs w:val="20"/>
              </w:rPr>
            </w:pPr>
            <w:r>
              <w:rPr>
                <w:rFonts w:ascii="宋体" w:hAnsi="宋体" w:cs="宋体" w:eastAsia="宋体" w:hint="default"/>
                <w:sz w:val="20"/>
                <w:szCs w:val="20"/>
              </w:rPr>
              <w:t>刊载的互联网网</w:t>
            </w:r>
            <w:r>
              <w:rPr>
                <w:rFonts w:ascii="宋体" w:hAnsi="宋体" w:cs="宋体" w:eastAsia="宋体" w:hint="default"/>
                <w:w w:val="100"/>
                <w:sz w:val="20"/>
                <w:szCs w:val="20"/>
              </w:rPr>
              <w:t> </w:t>
            </w:r>
            <w:r>
              <w:rPr>
                <w:rFonts w:ascii="宋体" w:hAnsi="宋体" w:cs="宋体" w:eastAsia="宋体" w:hint="default"/>
                <w:sz w:val="20"/>
                <w:szCs w:val="20"/>
              </w:rPr>
              <w:t>站及检索路径</w:t>
            </w:r>
          </w:p>
        </w:tc>
      </w:tr>
      <w:tr>
        <w:trPr>
          <w:trHeight w:val="484" w:hRule="exact"/>
        </w:trPr>
        <w:tc>
          <w:tcPr>
            <w:tcW w:w="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0"/>
              <w:jc w:val="left"/>
              <w:rPr>
                <w:rFonts w:ascii="Times New Roman" w:hAnsi="Times New Roman" w:cs="Times New Roman" w:eastAsia="Times New Roman" w:hint="default"/>
                <w:sz w:val="20"/>
                <w:szCs w:val="20"/>
              </w:rPr>
            </w:pPr>
            <w:r>
              <w:rPr>
                <w:rFonts w:ascii="Times New Roman"/>
                <w:sz w:val="20"/>
              </w:rPr>
              <w:t>2015-001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第六届董事会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年第一次临时会议决议公告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val="restart"/>
            <w:tcBorders>
              <w:top w:val="single" w:sz="4" w:space="0" w:color="000000"/>
              <w:left w:val="single" w:sz="4" w:space="0" w:color="000000"/>
              <w:right w:val="single" w:sz="12" w:space="0" w:color="000000"/>
            </w:tcBorders>
          </w:tcPr>
          <w:p>
            <w:pPr>
              <w:pStyle w:val="TableParagraph"/>
              <w:spacing w:line="240" w:lineRule="auto" w:before="4"/>
              <w:ind w:left="4" w:right="-6"/>
              <w:jc w:val="left"/>
              <w:rPr>
                <w:rFonts w:ascii="宋体" w:hAnsi="宋体" w:cs="宋体" w:eastAsia="宋体" w:hint="default"/>
                <w:sz w:val="20"/>
                <w:szCs w:val="20"/>
              </w:rPr>
            </w:pPr>
            <w:r>
              <w:rPr>
                <w:rFonts w:ascii="宋体" w:hAnsi="宋体" w:cs="宋体" w:eastAsia="宋体" w:hint="default"/>
                <w:sz w:val="20"/>
                <w:szCs w:val="20"/>
              </w:rPr>
              <w:t>巨 潮 咨 询</w:t>
            </w:r>
            <w:r>
              <w:rPr>
                <w:rFonts w:ascii="宋体" w:hAnsi="宋体" w:cs="宋体" w:eastAsia="宋体" w:hint="default"/>
                <w:spacing w:val="23"/>
                <w:sz w:val="20"/>
                <w:szCs w:val="20"/>
              </w:rPr>
              <w:t> </w:t>
            </w:r>
            <w:r>
              <w:rPr>
                <w:rFonts w:ascii="宋体" w:hAnsi="宋体" w:cs="宋体" w:eastAsia="宋体" w:hint="default"/>
                <w:sz w:val="20"/>
                <w:szCs w:val="20"/>
              </w:rPr>
              <w:t>网</w:t>
            </w:r>
          </w:p>
          <w:p>
            <w:pPr>
              <w:pStyle w:val="TableParagraph"/>
              <w:spacing w:line="271" w:lineRule="auto" w:before="50"/>
              <w:ind w:left="4" w:right="-7"/>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81"/>
                <w:sz w:val="20"/>
                <w:szCs w:val="20"/>
              </w:rPr>
              <w:t> </w:t>
            </w:r>
            <w:r>
              <w:rPr>
                <w:rFonts w:ascii="Times New Roman" w:hAnsi="Times New Roman" w:cs="Times New Roman" w:eastAsia="Times New Roman" w:hint="default"/>
                <w:sz w:val="20"/>
                <w:szCs w:val="20"/>
              </w:rPr>
              <w:t>http://www.cni</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nfo.com.cn</w:t>
            </w:r>
            <w:r>
              <w:rPr>
                <w:rFonts w:ascii="宋体" w:hAnsi="宋体" w:cs="宋体" w:eastAsia="宋体" w:hint="default"/>
                <w:sz w:val="20"/>
                <w:szCs w:val="20"/>
              </w:rPr>
              <w:t>）</w:t>
            </w:r>
          </w:p>
        </w:tc>
      </w:tr>
      <w:tr>
        <w:trPr>
          <w:trHeight w:val="484" w:hRule="exact"/>
        </w:trPr>
        <w:tc>
          <w:tcPr>
            <w:tcW w:w="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年度日常关联交易预计公告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654" w:hRule="exact"/>
        </w:trPr>
        <w:tc>
          <w:tcPr>
            <w:tcW w:w="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关于公司及下属子公司利用自有资金购买理财产</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品的公告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654" w:hRule="exact"/>
        </w:trPr>
        <w:tc>
          <w:tcPr>
            <w:tcW w:w="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关于以募集资金置换已预先投入募集配套资金使</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用项目的自筹资金的公告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976" w:hRule="exact"/>
        </w:trPr>
        <w:tc>
          <w:tcPr>
            <w:tcW w:w="98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2015-005</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2"/>
                <w:sz w:val="20"/>
                <w:szCs w:val="20"/>
              </w:rPr>
              <w:t>关于下属子公司神州数码信息系统有限公司、神州</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6"/>
                <w:sz w:val="20"/>
                <w:szCs w:val="20"/>
              </w:rPr>
              <w:t>数码金信科技股份有限公司向中国工商银行申请</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6"/>
                <w:sz w:val="20"/>
                <w:szCs w:val="20"/>
              </w:rPr>
              <w:t>授信并由全资子公司神州数码系统集成服务有限</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989"/>
        <w:gridCol w:w="4394"/>
        <w:gridCol w:w="1277"/>
        <w:gridCol w:w="992"/>
        <w:gridCol w:w="1444"/>
      </w:tblGrid>
      <w:tr>
        <w:trPr>
          <w:trHeight w:val="494" w:hRule="exact"/>
        </w:trPr>
        <w:tc>
          <w:tcPr>
            <w:tcW w:w="989" w:type="dxa"/>
            <w:tcBorders>
              <w:top w:val="single" w:sz="12" w:space="0" w:color="000000"/>
              <w:left w:val="single" w:sz="12" w:space="0" w:color="000000"/>
              <w:bottom w:val="single" w:sz="4" w:space="0" w:color="000000"/>
              <w:right w:val="single" w:sz="4" w:space="0" w:color="000000"/>
            </w:tcBorders>
          </w:tcPr>
          <w:p>
            <w:pPr/>
          </w:p>
        </w:tc>
        <w:tc>
          <w:tcPr>
            <w:tcW w:w="4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277" w:type="dxa"/>
            <w:tcBorders>
              <w:top w:val="single" w:sz="12" w:space="0" w:color="000000"/>
              <w:left w:val="single" w:sz="4" w:space="0" w:color="000000"/>
              <w:bottom w:val="single" w:sz="4" w:space="0" w:color="000000"/>
              <w:right w:val="single" w:sz="4" w:space="0" w:color="000000"/>
            </w:tcBorders>
          </w:tcPr>
          <w:p>
            <w:pPr/>
          </w:p>
        </w:tc>
        <w:tc>
          <w:tcPr>
            <w:tcW w:w="992" w:type="dxa"/>
            <w:tcBorders>
              <w:top w:val="single" w:sz="12" w:space="0" w:color="000000"/>
              <w:left w:val="single" w:sz="4" w:space="0" w:color="000000"/>
              <w:bottom w:val="single" w:sz="4" w:space="0" w:color="000000"/>
              <w:right w:val="single" w:sz="4" w:space="0" w:color="000000"/>
            </w:tcBorders>
          </w:tcPr>
          <w:p>
            <w:pPr/>
          </w:p>
        </w:tc>
        <w:tc>
          <w:tcPr>
            <w:tcW w:w="1444" w:type="dxa"/>
            <w:vMerge w:val="restart"/>
            <w:tcBorders>
              <w:top w:val="single" w:sz="12" w:space="0" w:color="000000"/>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关于子公司神州数码集成系统有限公司向中国工</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商银行（亚洲）有限公司申请授信并由公司提供担</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关于子公司神州数码集成系统有限公司向永亨银</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行（中国）有限公司北京分行申请授信并由公司提</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1278"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关于公司和下属子公司神州数码系统集成服务有</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限公司、神州数码信息系统有限公司、神州数码金</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6"/>
                <w:sz w:val="20"/>
                <w:szCs w:val="20"/>
              </w:rPr>
              <w:t>信科技股份有限公司向招商银行申请综合授信并</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2015-009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年度第一次临时股东大会的通知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2015-010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第六届监事会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年第一次临时会议决议公告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2015/1/10</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2015-011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募集配套资金之非公开发行股票发行情况暨新增</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股份上市公告书摘要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2015/1/12</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2015-012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关于本次募集配套资金认购方出具承诺事项的公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2015/1/12</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2015-013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年度第一次临时股东大会通知的更</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正公告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2015/1/13</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2015-014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年度第一次临时股东大会的通知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2015/1/13</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2015-015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年度第一次临时股东大会的提示性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2015/1/23</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2015-016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年度第一次临时股东大会决议公告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2015/1/28</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2015-017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关于持股</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2015/1/29</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2015-018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关于非公开发行股份解除限售的提示性公告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2015/2/11</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2015-019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关于持股</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2015/2/12</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关于持股</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2015/2/17</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2015-021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神州数码信息信息服务股份有限公司简式权益变</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动报告书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2015/2/28</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2015-022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第六届董事会第八次会议决议公告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年度报告摘要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关于开展衍生品投资业务的公告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2015-025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关于子公司神州数码系统集成服务有限公司和神</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州数码集成系统有限公司向中信银行（国际）有限</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公司申请授信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94" w:hRule="exact"/>
        </w:trPr>
        <w:tc>
          <w:tcPr>
            <w:tcW w:w="9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2015-026</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pacing w:val="6"/>
                <w:sz w:val="20"/>
                <w:szCs w:val="20"/>
              </w:rPr>
              <w:t>关于子公司神州数码系统集成服务有限公司向中</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989"/>
        <w:gridCol w:w="4394"/>
        <w:gridCol w:w="1277"/>
        <w:gridCol w:w="992"/>
        <w:gridCol w:w="1444"/>
      </w:tblGrid>
      <w:tr>
        <w:trPr>
          <w:trHeight w:val="494" w:hRule="exact"/>
        </w:trPr>
        <w:tc>
          <w:tcPr>
            <w:tcW w:w="989" w:type="dxa"/>
            <w:tcBorders>
              <w:top w:val="single" w:sz="12" w:space="0" w:color="000000"/>
              <w:left w:val="single" w:sz="12" w:space="0" w:color="000000"/>
              <w:bottom w:val="single" w:sz="4" w:space="0" w:color="000000"/>
              <w:right w:val="single" w:sz="4" w:space="0" w:color="000000"/>
            </w:tcBorders>
          </w:tcPr>
          <w:p>
            <w:pPr/>
          </w:p>
        </w:tc>
        <w:tc>
          <w:tcPr>
            <w:tcW w:w="4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国建设银行申请授信并由公司提供担保的公告</w:t>
            </w:r>
          </w:p>
        </w:tc>
        <w:tc>
          <w:tcPr>
            <w:tcW w:w="1277" w:type="dxa"/>
            <w:tcBorders>
              <w:top w:val="single" w:sz="12" w:space="0" w:color="000000"/>
              <w:left w:val="single" w:sz="4" w:space="0" w:color="000000"/>
              <w:bottom w:val="single" w:sz="4" w:space="0" w:color="000000"/>
              <w:right w:val="single" w:sz="4" w:space="0" w:color="000000"/>
            </w:tcBorders>
          </w:tcPr>
          <w:p>
            <w:pPr/>
          </w:p>
        </w:tc>
        <w:tc>
          <w:tcPr>
            <w:tcW w:w="992" w:type="dxa"/>
            <w:tcBorders>
              <w:top w:val="single" w:sz="12" w:space="0" w:color="000000"/>
              <w:left w:val="single" w:sz="4" w:space="0" w:color="000000"/>
              <w:bottom w:val="single" w:sz="4" w:space="0" w:color="000000"/>
              <w:right w:val="single" w:sz="4" w:space="0" w:color="000000"/>
            </w:tcBorders>
          </w:tcPr>
          <w:p>
            <w:pPr/>
          </w:p>
        </w:tc>
        <w:tc>
          <w:tcPr>
            <w:tcW w:w="1444" w:type="dxa"/>
            <w:vMerge w:val="restart"/>
            <w:tcBorders>
              <w:top w:val="single" w:sz="12" w:space="0" w:color="000000"/>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关于神州数码信息服务股份有限公司北京分公司</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6"/>
                <w:sz w:val="20"/>
                <w:szCs w:val="20"/>
              </w:rPr>
              <w:t>向北京银行申请授信并由子公司神州数码系统集</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成服务有限公司提供担保的公告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关于子公司北京中农信达信息技术有限公司向中</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6"/>
                <w:sz w:val="20"/>
                <w:szCs w:val="20"/>
              </w:rPr>
              <w:t>国工商银行申请授信并由子公司神州数码系统集</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成服务有限公司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2015-029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关于公司及下属子公司神州数码系统集成服务有</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限公司、神州数码信息系统有限公司向广发银行申</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请授信并提供担保的公告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关于子公司神州数码系统集成服务有限公司向中</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国建设银行（亚洲）股份有限公司申请授信并由公</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司提供担保的公告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年年度股东大会的通知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第六届监事会第八次会议决议公告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2015/3/31</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2015-033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年年度股东大会的通知的更正公告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2015/4/4</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年年度股东大会的通知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2015/4/4</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关于工商登记变更完成的公告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2015/4/4</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0"/>
              <w:jc w:val="left"/>
              <w:rPr>
                <w:rFonts w:ascii="Times New Roman" w:hAnsi="Times New Roman" w:cs="Times New Roman" w:eastAsia="Times New Roman" w:hint="default"/>
                <w:sz w:val="20"/>
                <w:szCs w:val="20"/>
              </w:rPr>
            </w:pPr>
            <w:r>
              <w:rPr>
                <w:rFonts w:ascii="Times New Roman"/>
                <w:sz w:val="20"/>
              </w:rPr>
              <w:t>2015-036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重大事项停牌公告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20"/>
                <w:szCs w:val="20"/>
              </w:rPr>
            </w:pPr>
            <w:r>
              <w:rPr>
                <w:rFonts w:ascii="Times New Roman"/>
                <w:sz w:val="20"/>
              </w:rPr>
              <w:t>2015/4/7</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重大事项停牌进展公告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2015/4/14</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2015-038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重大事项停牌进展公告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2015/4/17</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2015-039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年年度股东大会的提示性公告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2015/4/22</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2015-040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重大事项停牌进展公告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2015/4/24</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2015-041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年年度股东大会决议公告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2015/4/25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2015-042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第六届董事会第九次会议决议公告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2015/4/28</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2015-043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第一季度报告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2015/4/28</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2015-044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第六届董事会第十次会议决议公告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2015-045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关于公司与特定对象签署附条件生效的股份认购</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协议的公告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2015-046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关于关联方认购非公开发行股票暨与关联方签订</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股份认购协议的关联交易事项的公告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977" w:hRule="exact"/>
        </w:trPr>
        <w:tc>
          <w:tcPr>
            <w:tcW w:w="9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right="0"/>
              <w:jc w:val="left"/>
              <w:rPr>
                <w:rFonts w:ascii="Times New Roman" w:hAnsi="Times New Roman" w:cs="Times New Roman" w:eastAsia="Times New Roman" w:hint="default"/>
                <w:sz w:val="20"/>
                <w:szCs w:val="20"/>
              </w:rPr>
            </w:pPr>
            <w:r>
              <w:rPr>
                <w:rFonts w:ascii="Times New Roman"/>
                <w:sz w:val="20"/>
              </w:rPr>
              <w:t>2015-047</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4"/>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关于子公司神州数码系统集成服务有限公司向星</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展银行（香港）有限公司申请授信并由公司提供担</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保的公告</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B11</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989"/>
        <w:gridCol w:w="4394"/>
        <w:gridCol w:w="1277"/>
        <w:gridCol w:w="992"/>
        <w:gridCol w:w="1444"/>
      </w:tblGrid>
      <w:tr>
        <w:trPr>
          <w:trHeight w:val="494" w:hRule="exact"/>
        </w:trPr>
        <w:tc>
          <w:tcPr>
            <w:tcW w:w="98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2015-048</w:t>
            </w:r>
          </w:p>
        </w:tc>
        <w:tc>
          <w:tcPr>
            <w:tcW w:w="4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年度第二次临时股东大会的通知</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B12</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val="restart"/>
            <w:tcBorders>
              <w:top w:val="single" w:sz="12" w:space="0" w:color="000000"/>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2015-049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关于对非公开发行股票摊薄即期回报的风险提示</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性公告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2015-050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非公开发行股票预案披露提示暨股票复牌公告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2015-051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第六届监事会第十次会议决议公告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2015/5/11</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2015-052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神州数码信息服务股份有限公司关于股票交易异</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常波动的公告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2015/5/14</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2015-053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年度第二次临时股东大会的提示性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2015/5/22</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2015-054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年度第二次临时股东大会决议公告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2015/5/27</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2015-055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年度利润分配实施公告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2015/6/4</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2015-056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3"/>
              <w:jc w:val="left"/>
              <w:rPr>
                <w:rFonts w:ascii="宋体" w:hAnsi="宋体" w:cs="宋体" w:eastAsia="宋体" w:hint="default"/>
                <w:sz w:val="20"/>
                <w:szCs w:val="20"/>
              </w:rPr>
            </w:pPr>
            <w:r>
              <w:rPr>
                <w:rFonts w:ascii="宋体" w:hAnsi="宋体" w:cs="宋体" w:eastAsia="宋体" w:hint="default"/>
                <w:spacing w:val="-1"/>
                <w:sz w:val="20"/>
                <w:szCs w:val="20"/>
              </w:rPr>
              <w:t>关于收到《中国证监会行政许可申请受理通知书》</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2015/6/5</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2015-057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关于公司股东进行股票质押式回购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2015/6/10</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2015-058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关于实施</w:t>
            </w:r>
            <w:r>
              <w:rPr>
                <w:rFonts w:ascii="Times New Roman" w:hAnsi="Times New Roman" w:cs="Times New Roman" w:eastAsia="Times New Roman" w:hint="default"/>
                <w:spacing w:val="6"/>
                <w:sz w:val="20"/>
                <w:szCs w:val="20"/>
              </w:rPr>
              <w:t>2014</w:t>
            </w:r>
            <w:r>
              <w:rPr>
                <w:rFonts w:ascii="宋体" w:hAnsi="宋体" w:cs="宋体" w:eastAsia="宋体" w:hint="default"/>
                <w:spacing w:val="6"/>
                <w:sz w:val="20"/>
                <w:szCs w:val="20"/>
              </w:rPr>
              <w:t>年度利润分配方案调整非公开发行</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股票发行价格和发行数量的公告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2015/6/13</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2015-059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关于与国家信息中心签署合作协议的公告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2015/6/30</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关于股票交易异常波动的公告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2015/7/2</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重大事项停牌公告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2015/7/8</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2015-062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关于中新苏州工业园区创业投资有限公司计划增</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持公司股份的公告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2015/7/10</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2015-063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关于昆山市申昌科技有限公司计划增持公司股份</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2015/7/10</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2015-064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复牌公告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2015/7/15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第六届董事会第十一次会议决议公告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2015/7/15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关于全资子公司中农信达对外投资暨关联交易公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2015/7/15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关于中新苏州工业园区创业投资有限公司完成增</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持计划的公告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2015/7/22</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7"/>
              <w:jc w:val="left"/>
              <w:rPr>
                <w:rFonts w:ascii="宋体" w:hAnsi="宋体" w:cs="宋体" w:eastAsia="宋体" w:hint="default"/>
                <w:sz w:val="20"/>
                <w:szCs w:val="20"/>
              </w:rPr>
            </w:pPr>
            <w:r>
              <w:rPr>
                <w:rFonts w:ascii="宋体" w:hAnsi="宋体" w:cs="宋体" w:eastAsia="宋体" w:hint="default"/>
                <w:spacing w:val="5"/>
                <w:sz w:val="20"/>
                <w:szCs w:val="20"/>
              </w:rPr>
              <w:t>关于</w:t>
            </w:r>
            <w:r>
              <w:rPr>
                <w:rFonts w:ascii="Times New Roman" w:hAnsi="Times New Roman" w:cs="Times New Roman" w:eastAsia="Times New Roman" w:hint="default"/>
                <w:spacing w:val="5"/>
                <w:sz w:val="20"/>
                <w:szCs w:val="20"/>
              </w:rPr>
              <w:t>2015</w:t>
            </w:r>
            <w:r>
              <w:rPr>
                <w:rFonts w:ascii="宋体" w:hAnsi="宋体" w:cs="宋体" w:eastAsia="宋体" w:hint="default"/>
                <w:spacing w:val="5"/>
                <w:sz w:val="20"/>
                <w:szCs w:val="20"/>
              </w:rPr>
              <w:t>年半年度资本公积金转增股本预案预披</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露的公告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2015-069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关于收到《中国证监会行政许可项目审查反馈意见</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通知书》的公告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关于公司最近五年未被证券监管部门和交易所采</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取处罚或监管措施的公告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2015/8/13</w:t>
            </w:r>
          </w:p>
        </w:tc>
        <w:tc>
          <w:tcPr>
            <w:tcW w:w="1444" w:type="dxa"/>
            <w:vMerge/>
            <w:tcBorders>
              <w:left w:val="single" w:sz="4" w:space="0" w:color="000000"/>
              <w:right w:val="single" w:sz="12" w:space="0" w:color="000000"/>
            </w:tcBorders>
          </w:tcPr>
          <w:p>
            <w:pPr/>
          </w:p>
        </w:tc>
      </w:tr>
      <w:tr>
        <w:trPr>
          <w:trHeight w:val="664" w:hRule="exact"/>
        </w:trPr>
        <w:tc>
          <w:tcPr>
            <w:tcW w:w="9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2015-071</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关于非公开发行股票摊薄即期收益的风险提示公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B57</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2015/8/13</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5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989"/>
        <w:gridCol w:w="4394"/>
        <w:gridCol w:w="1277"/>
        <w:gridCol w:w="992"/>
        <w:gridCol w:w="1444"/>
      </w:tblGrid>
      <w:tr>
        <w:trPr>
          <w:trHeight w:val="494" w:hRule="exact"/>
        </w:trPr>
        <w:tc>
          <w:tcPr>
            <w:tcW w:w="98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2015-072</w:t>
            </w:r>
          </w:p>
        </w:tc>
        <w:tc>
          <w:tcPr>
            <w:tcW w:w="4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第六届董事会第十二次会议决议公告</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val="restart"/>
            <w:tcBorders>
              <w:top w:val="single" w:sz="12" w:space="0" w:color="000000"/>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半年度报告摘要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关于变更公司董事会秘书并聘任证券事务代表的</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关于子公司神州数码系统集成服务有限公司向华</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侨银行申请授信并由公司提供担保的公告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关于子公司北京中农信达信息技术有限公司向北</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京银行申请授信并由公司提供担保的公告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966"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w:t>
            </w:r>
            <w:r>
              <w:rPr>
                <w:rFonts w:ascii="宋体" w:hAnsi="宋体" w:cs="宋体" w:eastAsia="宋体" w:hint="default"/>
                <w:spacing w:val="-73"/>
                <w:sz w:val="20"/>
                <w:szCs w:val="20"/>
              </w:rPr>
              <w:t> </w:t>
            </w:r>
            <w:r>
              <w:rPr>
                <w:rFonts w:ascii="宋体" w:hAnsi="宋体" w:cs="宋体" w:eastAsia="宋体" w:hint="default"/>
                <w:sz w:val="20"/>
                <w:szCs w:val="20"/>
              </w:rPr>
              <w:t>于</w:t>
            </w:r>
            <w:r>
              <w:rPr>
                <w:rFonts w:ascii="宋体" w:hAnsi="宋体" w:cs="宋体" w:eastAsia="宋体" w:hint="default"/>
                <w:spacing w:val="-73"/>
                <w:sz w:val="20"/>
                <w:szCs w:val="20"/>
              </w:rPr>
              <w:t> </w:t>
            </w:r>
            <w:r>
              <w:rPr>
                <w:rFonts w:ascii="宋体" w:hAnsi="宋体" w:cs="宋体" w:eastAsia="宋体" w:hint="default"/>
                <w:sz w:val="20"/>
                <w:szCs w:val="20"/>
              </w:rPr>
              <w:t>子</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3"/>
                <w:sz w:val="20"/>
                <w:szCs w:val="20"/>
              </w:rPr>
              <w:t> </w:t>
            </w:r>
            <w:r>
              <w:rPr>
                <w:rFonts w:ascii="宋体" w:hAnsi="宋体" w:cs="宋体" w:eastAsia="宋体" w:hint="default"/>
                <w:sz w:val="20"/>
                <w:szCs w:val="20"/>
              </w:rPr>
              <w:t>司</w:t>
            </w:r>
            <w:r>
              <w:rPr>
                <w:rFonts w:ascii="宋体" w:hAnsi="宋体" w:cs="宋体" w:eastAsia="宋体" w:hint="default"/>
                <w:spacing w:val="-72"/>
                <w:sz w:val="20"/>
                <w:szCs w:val="20"/>
              </w:rPr>
              <w:t> </w:t>
            </w:r>
            <w:r>
              <w:rPr>
                <w:rFonts w:ascii="宋体" w:hAnsi="宋体" w:cs="宋体" w:eastAsia="宋体" w:hint="default"/>
                <w:sz w:val="20"/>
                <w:szCs w:val="20"/>
              </w:rPr>
              <w:t>神</w:t>
            </w:r>
            <w:r>
              <w:rPr>
                <w:rFonts w:ascii="宋体" w:hAnsi="宋体" w:cs="宋体" w:eastAsia="宋体" w:hint="default"/>
                <w:spacing w:val="-73"/>
                <w:sz w:val="20"/>
                <w:szCs w:val="20"/>
              </w:rPr>
              <w:t> </w:t>
            </w:r>
            <w:r>
              <w:rPr>
                <w:rFonts w:ascii="宋体" w:hAnsi="宋体" w:cs="宋体" w:eastAsia="宋体" w:hint="default"/>
                <w:sz w:val="20"/>
                <w:szCs w:val="20"/>
              </w:rPr>
              <w:t>州</w:t>
            </w:r>
            <w:r>
              <w:rPr>
                <w:rFonts w:ascii="宋体" w:hAnsi="宋体" w:cs="宋体" w:eastAsia="宋体" w:hint="default"/>
                <w:spacing w:val="-73"/>
                <w:sz w:val="20"/>
                <w:szCs w:val="20"/>
              </w:rPr>
              <w:t> </w:t>
            </w:r>
            <w:r>
              <w:rPr>
                <w:rFonts w:ascii="宋体" w:hAnsi="宋体" w:cs="宋体" w:eastAsia="宋体" w:hint="default"/>
                <w:sz w:val="20"/>
                <w:szCs w:val="20"/>
              </w:rPr>
              <w:t>数</w:t>
            </w:r>
            <w:r>
              <w:rPr>
                <w:rFonts w:ascii="宋体" w:hAnsi="宋体" w:cs="宋体" w:eastAsia="宋体" w:hint="default"/>
                <w:spacing w:val="-73"/>
                <w:sz w:val="20"/>
                <w:szCs w:val="20"/>
              </w:rPr>
              <w:t> </w:t>
            </w:r>
            <w:r>
              <w:rPr>
                <w:rFonts w:ascii="宋体" w:hAnsi="宋体" w:cs="宋体" w:eastAsia="宋体" w:hint="default"/>
                <w:sz w:val="20"/>
                <w:szCs w:val="20"/>
              </w:rPr>
              <w:t>码</w:t>
            </w:r>
            <w:r>
              <w:rPr>
                <w:rFonts w:ascii="宋体" w:hAnsi="宋体" w:cs="宋体" w:eastAsia="宋体" w:hint="default"/>
                <w:spacing w:val="-73"/>
                <w:sz w:val="20"/>
                <w:szCs w:val="20"/>
              </w:rPr>
              <w:t> </w:t>
            </w:r>
            <w:r>
              <w:rPr>
                <w:rFonts w:ascii="宋体" w:hAnsi="宋体" w:cs="宋体" w:eastAsia="宋体" w:hint="default"/>
                <w:sz w:val="20"/>
                <w:szCs w:val="20"/>
              </w:rPr>
              <w:t>集</w:t>
            </w:r>
            <w:r>
              <w:rPr>
                <w:rFonts w:ascii="宋体" w:hAnsi="宋体" w:cs="宋体" w:eastAsia="宋体" w:hint="default"/>
                <w:spacing w:val="-72"/>
                <w:sz w:val="20"/>
                <w:szCs w:val="20"/>
              </w:rPr>
              <w:t> </w:t>
            </w:r>
            <w:r>
              <w:rPr>
                <w:rFonts w:ascii="宋体" w:hAnsi="宋体" w:cs="宋体" w:eastAsia="宋体" w:hint="default"/>
                <w:sz w:val="20"/>
                <w:szCs w:val="20"/>
              </w:rPr>
              <w:t>成</w:t>
            </w:r>
            <w:r>
              <w:rPr>
                <w:rFonts w:ascii="宋体" w:hAnsi="宋体" w:cs="宋体" w:eastAsia="宋体" w:hint="default"/>
                <w:spacing w:val="-73"/>
                <w:sz w:val="20"/>
                <w:szCs w:val="20"/>
              </w:rPr>
              <w:t> </w:t>
            </w:r>
            <w:r>
              <w:rPr>
                <w:rFonts w:ascii="宋体" w:hAnsi="宋体" w:cs="宋体" w:eastAsia="宋体" w:hint="default"/>
                <w:sz w:val="20"/>
                <w:szCs w:val="20"/>
              </w:rPr>
              <w:t>系</w:t>
            </w:r>
            <w:r>
              <w:rPr>
                <w:rFonts w:ascii="宋体" w:hAnsi="宋体" w:cs="宋体" w:eastAsia="宋体" w:hint="default"/>
                <w:spacing w:val="-73"/>
                <w:sz w:val="20"/>
                <w:szCs w:val="20"/>
              </w:rPr>
              <w:t> </w:t>
            </w:r>
            <w:r>
              <w:rPr>
                <w:rFonts w:ascii="宋体" w:hAnsi="宋体" w:cs="宋体" w:eastAsia="宋体" w:hint="default"/>
                <w:sz w:val="20"/>
                <w:szCs w:val="20"/>
              </w:rPr>
              <w:t>统</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spacing w:val="-73"/>
                <w:sz w:val="20"/>
                <w:szCs w:val="20"/>
              </w:rPr>
              <w:t> </w:t>
            </w:r>
            <w:r>
              <w:rPr>
                <w:rFonts w:ascii="宋体" w:hAnsi="宋体" w:cs="宋体" w:eastAsia="宋体" w:hint="default"/>
                <w:sz w:val="20"/>
                <w:szCs w:val="20"/>
              </w:rPr>
              <w:t>限</w:t>
            </w:r>
            <w:r>
              <w:rPr>
                <w:rFonts w:ascii="宋体" w:hAnsi="宋体" w:cs="宋体" w:eastAsia="宋体" w:hint="default"/>
                <w:spacing w:val="-72"/>
                <w:sz w:val="20"/>
                <w:szCs w:val="20"/>
              </w:rPr>
              <w:t> </w:t>
            </w:r>
            <w:r>
              <w:rPr>
                <w:rFonts w:ascii="宋体" w:hAnsi="宋体" w:cs="宋体" w:eastAsia="宋体" w:hint="default"/>
                <w:sz w:val="20"/>
                <w:szCs w:val="20"/>
              </w:rPr>
              <w:t>公</w:t>
            </w:r>
            <w:r>
              <w:rPr>
                <w:rFonts w:ascii="宋体" w:hAnsi="宋体" w:cs="宋体" w:eastAsia="宋体" w:hint="default"/>
                <w:spacing w:val="-73"/>
                <w:sz w:val="20"/>
                <w:szCs w:val="20"/>
              </w:rPr>
              <w:t> </w:t>
            </w:r>
            <w:r>
              <w:rPr>
                <w:rFonts w:ascii="宋体" w:hAnsi="宋体" w:cs="宋体" w:eastAsia="宋体" w:hint="default"/>
                <w:sz w:val="20"/>
                <w:szCs w:val="20"/>
              </w:rPr>
              <w:t>司</w:t>
            </w:r>
            <w:r>
              <w:rPr>
                <w:rFonts w:ascii="宋体" w:hAnsi="宋体" w:cs="宋体" w:eastAsia="宋体" w:hint="default"/>
                <w:spacing w:val="-73"/>
                <w:sz w:val="20"/>
                <w:szCs w:val="20"/>
              </w:rPr>
              <w:t> </w:t>
            </w:r>
            <w:r>
              <w:rPr>
                <w:rFonts w:ascii="宋体" w:hAnsi="宋体" w:cs="宋体" w:eastAsia="宋体" w:hint="default"/>
                <w:sz w:val="20"/>
                <w:szCs w:val="20"/>
              </w:rPr>
              <w:t>向</w:t>
            </w:r>
            <w:r>
              <w:rPr>
                <w:rFonts w:ascii="宋体" w:hAnsi="宋体" w:cs="宋体" w:eastAsia="宋体" w:hint="default"/>
                <w:spacing w:val="-70"/>
                <w:sz w:val="20"/>
                <w:szCs w:val="20"/>
              </w:rPr>
              <w:t> </w:t>
            </w:r>
            <w:r>
              <w:rPr>
                <w:rFonts w:ascii="Times New Roman" w:hAnsi="Times New Roman" w:cs="Times New Roman" w:eastAsia="Times New Roman" w:hint="default"/>
                <w:sz w:val="20"/>
                <w:szCs w:val="20"/>
              </w:rPr>
              <w:t>GE</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CAPITAL  SERVICES  PTE</w:t>
            </w:r>
            <w:r>
              <w:rPr>
                <w:rFonts w:ascii="Times New Roman" w:hAnsi="Times New Roman" w:cs="Times New Roman" w:eastAsia="Times New Roman" w:hint="default"/>
                <w:spacing w:val="-12"/>
                <w:sz w:val="20"/>
                <w:szCs w:val="20"/>
              </w:rPr>
              <w:t> </w:t>
            </w:r>
            <w:r>
              <w:rPr>
                <w:rFonts w:ascii="Times New Roman" w:hAnsi="Times New Roman" w:cs="Times New Roman" w:eastAsia="Times New Roman" w:hint="default"/>
                <w:sz w:val="20"/>
                <w:szCs w:val="20"/>
              </w:rPr>
              <w:t>LTD</w:t>
            </w:r>
            <w:r>
              <w:rPr>
                <w:rFonts w:ascii="宋体" w:hAnsi="宋体" w:cs="宋体" w:eastAsia="宋体" w:hint="default"/>
                <w:sz w:val="20"/>
                <w:szCs w:val="20"/>
              </w:rPr>
              <w:t>申请授信并由公司</w:t>
            </w:r>
          </w:p>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提供担保的公告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2015-078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年度第三次临时股东大会的通知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2015-079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第六届监事会第十一次会议决议公告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2015/8/26</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关于股票交易异常波动的公告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2015/9/7</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年度第三次临时股东大会的提示性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2015/9/9</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年度第三次临时股东大会决议公告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2015/9/12</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2015-083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第六届监事会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年第二次临时会议决议公告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2015/9/12</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年半年度资本公积金转增股本实施公告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2015/9/16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关于实施</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年半年度资本公积金转增股本方案</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调整非公开发行股票发行价格和发行数量的公告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2015/9/25</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简式权益变动报告书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8"/>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2015/9/26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2015-087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关于昆山市申昌科技有限公司完成增持计划的公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2015/10/16</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2015-088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年第三季度报告正文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2015/10/29</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2015-089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关于调整非公开发行股票方案的停牌公告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2015/11/10</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关于收到《中国证监会行政许可申请中止审查通知</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书》的公告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2015/11/11</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第六届董事会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年第二次临时会议决议公告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2015-092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关于调整公司非公开发行股票方案的公告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关于非公开发行股票预案修订情况说明的公告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关于公司与特定对象签署附条件生效的股份认购</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协议之补充协议和终止协议的公告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664" w:hRule="exact"/>
        </w:trPr>
        <w:tc>
          <w:tcPr>
            <w:tcW w:w="9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2015-095</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关于关联方认购非公开发行股票暨与关联方签订</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股份认购协议之补充协议的关联交易事项的公告</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19"/>
              <w:jc w:val="center"/>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989"/>
        <w:gridCol w:w="4394"/>
        <w:gridCol w:w="1277"/>
        <w:gridCol w:w="992"/>
        <w:gridCol w:w="1444"/>
      </w:tblGrid>
      <w:tr>
        <w:trPr>
          <w:trHeight w:val="494" w:hRule="exact"/>
        </w:trPr>
        <w:tc>
          <w:tcPr>
            <w:tcW w:w="98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2015-096</w:t>
            </w:r>
          </w:p>
        </w:tc>
        <w:tc>
          <w:tcPr>
            <w:tcW w:w="4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年度第四次临时股东大会的通知</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B49</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2015/11/13</w:t>
            </w:r>
          </w:p>
        </w:tc>
        <w:tc>
          <w:tcPr>
            <w:tcW w:w="1444" w:type="dxa"/>
            <w:vMerge w:val="restart"/>
            <w:tcBorders>
              <w:top w:val="single" w:sz="12" w:space="0" w:color="000000"/>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关于调整非公开发行股票方案的复牌公告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关于非公开发行股票摊薄即期收益的风险提示公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2015-099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第六届监事会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年第三次临时会议决议公告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2015/11/13</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2015-100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2015</w:t>
            </w:r>
            <w:r>
              <w:rPr>
                <w:rFonts w:ascii="宋体" w:hAnsi="宋体" w:cs="宋体" w:eastAsia="宋体" w:hint="default"/>
                <w:spacing w:val="6"/>
                <w:sz w:val="20"/>
                <w:szCs w:val="20"/>
              </w:rPr>
              <w:t>年度第四次临时股东大会的提示性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2015/11/26</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2015-101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年度第四次临时股东大会决议公告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center"/>
              <w:rPr>
                <w:rFonts w:ascii="Times New Roman" w:hAnsi="Times New Roman" w:cs="Times New Roman" w:eastAsia="Times New Roman" w:hint="default"/>
                <w:sz w:val="20"/>
                <w:szCs w:val="20"/>
              </w:rPr>
            </w:pPr>
            <w:r>
              <w:rPr>
                <w:rFonts w:ascii="Times New Roman"/>
                <w:sz w:val="20"/>
              </w:rPr>
              <w:t>2015/12/2</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2015-102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第六届董事会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年第三次临时会议决议公告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2015-103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关于核销部分应收账款和其他应收款的公告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2015-104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关于公司及下属子公司使用自有资金购买理财产</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品的公告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2015-105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关于公司向北京银行申请授信的公告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1278"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2015-106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both"/>
              <w:rPr>
                <w:rFonts w:ascii="宋体" w:hAnsi="宋体" w:cs="宋体" w:eastAsia="宋体" w:hint="default"/>
                <w:sz w:val="20"/>
                <w:szCs w:val="20"/>
              </w:rPr>
            </w:pPr>
            <w:r>
              <w:rPr>
                <w:rFonts w:ascii="宋体" w:hAnsi="宋体" w:cs="宋体" w:eastAsia="宋体" w:hint="default"/>
                <w:spacing w:val="6"/>
                <w:sz w:val="20"/>
                <w:szCs w:val="20"/>
              </w:rPr>
              <w:t>关于公司和下属子公司神州数码系统集成服务有</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限公司、神州数码信息系统有限公司、神州数码金</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6"/>
                <w:sz w:val="20"/>
                <w:szCs w:val="20"/>
              </w:rPr>
              <w:t>信科技股份有限公司向招商银行申请授信并提供</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担保的公告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2015-107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Times New Roman" w:hAnsi="Times New Roman" w:cs="Times New Roman" w:eastAsia="Times New Roman" w:hint="default"/>
                <w:sz w:val="20"/>
                <w:szCs w:val="20"/>
              </w:rPr>
              <w:t>2016</w:t>
            </w:r>
            <w:r>
              <w:rPr>
                <w:rFonts w:ascii="宋体" w:hAnsi="宋体" w:cs="宋体" w:eastAsia="宋体" w:hint="default"/>
                <w:sz w:val="20"/>
                <w:szCs w:val="20"/>
              </w:rPr>
              <w:t>年度第一次临时股东大会的通知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2015-108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第六届监事会</w:t>
            </w:r>
            <w:r>
              <w:rPr>
                <w:rFonts w:ascii="Times New Roman" w:hAnsi="Times New Roman" w:cs="Times New Roman" w:eastAsia="Times New Roman" w:hint="default"/>
                <w:sz w:val="20"/>
                <w:szCs w:val="20"/>
              </w:rPr>
              <w:t>2015</w:t>
            </w:r>
            <w:r>
              <w:rPr>
                <w:rFonts w:ascii="宋体" w:hAnsi="宋体" w:cs="宋体" w:eastAsia="宋体" w:hint="default"/>
                <w:sz w:val="20"/>
                <w:szCs w:val="20"/>
              </w:rPr>
              <w:t>年第四次临时会议决议公告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2015-109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关于职工代表监事换届选举的公告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关于股票交易异常波动的公告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关于收到《中国证监会行政许可申请恢复审查通知</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书》的公告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2015/12/15</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6"/>
                <w:sz w:val="20"/>
                <w:szCs w:val="20"/>
              </w:rPr>
              <w:t>关于公司股东股票质押式回购交易提前购回的公</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2015/12/17</w:t>
            </w:r>
          </w:p>
        </w:tc>
        <w:tc>
          <w:tcPr>
            <w:tcW w:w="1444" w:type="dxa"/>
            <w:vMerge/>
            <w:tcBorders>
              <w:left w:val="single" w:sz="4" w:space="0" w:color="000000"/>
              <w:right w:val="single" w:sz="12" w:space="0" w:color="000000"/>
            </w:tcBorders>
          </w:tcPr>
          <w:p>
            <w:pPr/>
          </w:p>
        </w:tc>
      </w:tr>
      <w:tr>
        <w:trPr>
          <w:trHeight w:val="485"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关于公司股东进行股票质押式回购交易的公告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2015/12/23</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2015-114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4" w:right="2"/>
              <w:jc w:val="left"/>
              <w:rPr>
                <w:rFonts w:ascii="Times New Roman" w:hAnsi="Times New Roman" w:cs="Times New Roman" w:eastAsia="Times New Roman" w:hint="default"/>
                <w:sz w:val="20"/>
                <w:szCs w:val="20"/>
              </w:rPr>
            </w:pPr>
            <w:r>
              <w:rPr>
                <w:rFonts w:ascii="宋体" w:hAnsi="宋体" w:cs="宋体" w:eastAsia="宋体" w:hint="default"/>
                <w:spacing w:val="6"/>
                <w:sz w:val="20"/>
                <w:szCs w:val="20"/>
              </w:rPr>
              <w:t>关于深圳证券交易所对公司独立董事任职资格关</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注函的公告</w:t>
            </w:r>
            <w:r>
              <w:rPr>
                <w:rFonts w:ascii="Times New Roman" w:hAnsi="Times New Roman" w:cs="Times New Roman" w:eastAsia="Times New Roman" w:hint="default"/>
                <w:sz w:val="20"/>
                <w:szCs w:val="20"/>
              </w:rPr>
              <w:t>(2015-12-25)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2015/12/25</w:t>
            </w:r>
          </w:p>
        </w:tc>
        <w:tc>
          <w:tcPr>
            <w:tcW w:w="1444" w:type="dxa"/>
            <w:vMerge/>
            <w:tcBorders>
              <w:left w:val="single" w:sz="4" w:space="0" w:color="000000"/>
              <w:right w:val="single" w:sz="12" w:space="0" w:color="000000"/>
            </w:tcBorders>
          </w:tcPr>
          <w:p>
            <w:pPr/>
          </w:p>
        </w:tc>
      </w:tr>
      <w:tr>
        <w:trPr>
          <w:trHeight w:val="48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Times New Roman" w:hAnsi="Times New Roman" w:cs="Times New Roman" w:eastAsia="Times New Roman" w:hint="default"/>
                <w:sz w:val="20"/>
                <w:szCs w:val="20"/>
              </w:rPr>
            </w:pPr>
            <w:r>
              <w:rPr>
                <w:rFonts w:ascii="Times New Roman"/>
                <w:sz w:val="20"/>
              </w:rPr>
              <w:t>2015-115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关于重大经营合同中标的公告</w:t>
            </w:r>
            <w:r>
              <w:rPr>
                <w:rFonts w:ascii="Times New Roman" w:hAnsi="Times New Roman" w:cs="Times New Roman" w:eastAsia="Times New Roman" w:hint="default"/>
                <w:sz w:val="20"/>
                <w:szCs w:val="20"/>
              </w:rPr>
              <w:t>(2015-12-26)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Times New Roman" w:hAnsi="Times New Roman" w:cs="Times New Roman" w:eastAsia="Times New Roman" w:hint="default"/>
                <w:sz w:val="20"/>
                <w:szCs w:val="20"/>
              </w:rPr>
            </w:pPr>
            <w:r>
              <w:rPr>
                <w:rFonts w:ascii="Times New Roman"/>
                <w:sz w:val="20"/>
              </w:rPr>
              <w:t>2015/12/26</w:t>
            </w:r>
          </w:p>
        </w:tc>
        <w:tc>
          <w:tcPr>
            <w:tcW w:w="1444" w:type="dxa"/>
            <w:vMerge/>
            <w:tcBorders>
              <w:left w:val="single" w:sz="4" w:space="0" w:color="000000"/>
              <w:right w:val="single" w:sz="12" w:space="0" w:color="000000"/>
            </w:tcBorders>
          </w:tcPr>
          <w:p>
            <w:pPr/>
          </w:p>
        </w:tc>
      </w:tr>
      <w:tr>
        <w:trPr>
          <w:trHeight w:val="654" w:hRule="exact"/>
        </w:trPr>
        <w:tc>
          <w:tcPr>
            <w:tcW w:w="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2015-116</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5"/>
              <w:jc w:val="left"/>
              <w:rPr>
                <w:rFonts w:ascii="宋体" w:hAnsi="宋体" w:cs="宋体" w:eastAsia="宋体" w:hint="default"/>
                <w:sz w:val="20"/>
                <w:szCs w:val="20"/>
              </w:rPr>
            </w:pPr>
            <w:r>
              <w:rPr>
                <w:rFonts w:ascii="宋体" w:hAnsi="宋体" w:cs="宋体" w:eastAsia="宋体" w:hint="default"/>
                <w:spacing w:val="6"/>
                <w:sz w:val="20"/>
                <w:szCs w:val="20"/>
              </w:rPr>
              <w:t>关于召开</w:t>
            </w:r>
            <w:r>
              <w:rPr>
                <w:rFonts w:ascii="Times New Roman" w:hAnsi="Times New Roman" w:cs="Times New Roman" w:eastAsia="Times New Roman" w:hint="default"/>
                <w:spacing w:val="6"/>
                <w:sz w:val="20"/>
                <w:szCs w:val="20"/>
              </w:rPr>
              <w:t>2016</w:t>
            </w:r>
            <w:r>
              <w:rPr>
                <w:rFonts w:ascii="宋体" w:hAnsi="宋体" w:cs="宋体" w:eastAsia="宋体" w:hint="default"/>
                <w:spacing w:val="6"/>
                <w:sz w:val="20"/>
                <w:szCs w:val="20"/>
              </w:rPr>
              <w:t>年度第一次临时股东大会的提示性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2015/12/31</w:t>
            </w:r>
          </w:p>
        </w:tc>
        <w:tc>
          <w:tcPr>
            <w:tcW w:w="1444" w:type="dxa"/>
            <w:vMerge/>
            <w:tcBorders>
              <w:left w:val="single" w:sz="4" w:space="0" w:color="000000"/>
              <w:right w:val="single" w:sz="12" w:space="0" w:color="000000"/>
            </w:tcBorders>
          </w:tcPr>
          <w:p>
            <w:pPr/>
          </w:p>
        </w:tc>
      </w:tr>
      <w:tr>
        <w:trPr>
          <w:trHeight w:val="665" w:hRule="exact"/>
        </w:trPr>
        <w:tc>
          <w:tcPr>
            <w:tcW w:w="98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0"/>
              <w:jc w:val="left"/>
              <w:rPr>
                <w:rFonts w:ascii="Times New Roman" w:hAnsi="Times New Roman" w:cs="Times New Roman" w:eastAsia="Times New Roman" w:hint="default"/>
                <w:sz w:val="20"/>
                <w:szCs w:val="20"/>
              </w:rPr>
            </w:pPr>
            <w:r>
              <w:rPr>
                <w:rFonts w:ascii="Times New Roman"/>
                <w:sz w:val="20"/>
              </w:rPr>
              <w:t>2015-117</w:t>
            </w:r>
          </w:p>
        </w:tc>
        <w:tc>
          <w:tcPr>
            <w:tcW w:w="439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5"/>
              <w:ind w:left="4" w:right="2"/>
              <w:jc w:val="left"/>
              <w:rPr>
                <w:rFonts w:ascii="宋体" w:hAnsi="宋体" w:cs="宋体" w:eastAsia="宋体" w:hint="default"/>
                <w:sz w:val="20"/>
                <w:szCs w:val="20"/>
              </w:rPr>
            </w:pPr>
            <w:r>
              <w:rPr>
                <w:rFonts w:ascii="宋体" w:hAnsi="宋体" w:cs="宋体" w:eastAsia="宋体" w:hint="default"/>
                <w:spacing w:val="-2"/>
                <w:sz w:val="20"/>
                <w:szCs w:val="20"/>
              </w:rPr>
              <w:t>关于收到《中国证监会行政许可项目审查反馈意见</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通知书》的公告</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left="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B68</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58"/>
              <w:jc w:val="center"/>
              <w:rPr>
                <w:rFonts w:ascii="Times New Roman" w:hAnsi="Times New Roman" w:cs="Times New Roman" w:eastAsia="Times New Roman" w:hint="default"/>
                <w:sz w:val="20"/>
                <w:szCs w:val="20"/>
              </w:rPr>
            </w:pPr>
            <w:r>
              <w:rPr>
                <w:rFonts w:ascii="Times New Roman"/>
                <w:sz w:val="20"/>
              </w:rPr>
              <w:t>2015/12/31</w:t>
            </w:r>
          </w:p>
        </w:tc>
        <w:tc>
          <w:tcPr>
            <w:tcW w:w="1444" w:type="dxa"/>
            <w:vMerge/>
            <w:tcBorders>
              <w:left w:val="single" w:sz="4" w:space="0" w:color="000000"/>
              <w:bottom w:val="single" w:sz="12" w:space="0" w:color="000000"/>
              <w:right w:val="single" w:sz="12" w:space="0" w:color="000000"/>
            </w:tcBorders>
          </w:tcPr>
          <w:p>
            <w:pPr/>
          </w:p>
        </w:tc>
      </w:tr>
    </w:tbl>
    <w:p>
      <w:pPr>
        <w:spacing w:after="0"/>
        <w:sectPr>
          <w:pgSz w:w="11910" w:h="16840"/>
          <w:pgMar w:header="877" w:footer="1226" w:top="1100" w:bottom="142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5"/>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16"/>
          <w:szCs w:val="16"/>
        </w:rPr>
      </w:pPr>
    </w:p>
    <w:p>
      <w:pPr>
        <w:pStyle w:val="BodyText"/>
        <w:spacing w:line="393"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日，公司第六届董事会第十一次会议审议通过了《关于全资子公司收购旗硕科技部分股权 </w:t>
      </w:r>
      <w:r>
        <w:rPr>
          <w:spacing w:val="-3"/>
        </w:rPr>
        <w:t>以及增资旗硕科技的议案》，同意公司全资子公司中农信达为拓展业务领域，增强持续经营能力，联合其</w:t>
      </w:r>
      <w:r>
        <w:rPr>
          <w:spacing w:val="-74"/>
        </w:rPr>
        <w:t> </w:t>
      </w:r>
      <w:r>
        <w:rPr>
          <w:spacing w:val="-74"/>
        </w:rPr>
      </w:r>
      <w:r>
        <w:rPr/>
        <w:t>张丹丹、冯健刚、王宇飞，收购北京旗硕基业科技股份有限公司（以下简称</w:t>
      </w:r>
      <w:r>
        <w:rPr>
          <w:rFonts w:ascii="Times New Roman" w:hAnsi="Times New Roman" w:cs="Times New Roman" w:eastAsia="Times New Roman" w:hint="default"/>
        </w:rPr>
        <w:t>“</w:t>
      </w:r>
      <w:r>
        <w:rPr/>
        <w:t>旗硕科技</w:t>
      </w:r>
      <w:r>
        <w:rPr>
          <w:rFonts w:ascii="Times New Roman" w:hAnsi="Times New Roman" w:cs="Times New Roman" w:eastAsia="Times New Roman" w:hint="default"/>
        </w:rPr>
        <w:t>”</w:t>
      </w:r>
      <w:r>
        <w:rPr/>
        <w:t>）部分股权并增资 </w:t>
      </w:r>
      <w:r>
        <w:rPr>
          <w:spacing w:val="-3"/>
        </w:rPr>
        <w:t>旗硕科技，通过股权转让及增资的方式获得旗硕科技总计 </w:t>
      </w:r>
      <w:r>
        <w:rPr>
          <w:rFonts w:ascii="Times New Roman" w:hAnsi="Times New Roman" w:cs="Times New Roman" w:eastAsia="Times New Roman" w:hint="default"/>
          <w:spacing w:val="-4"/>
        </w:rPr>
        <w:t>51.0114%</w:t>
      </w:r>
      <w:r>
        <w:rPr>
          <w:spacing w:val="-4"/>
        </w:rPr>
        <w:t>的股份。上述事项的具体内容详见</w:t>
      </w:r>
      <w:r>
        <w:rPr>
          <w:spacing w:val="-83"/>
        </w:rPr>
        <w:t> </w:t>
      </w:r>
      <w:r>
        <w:rPr>
          <w:rFonts w:ascii="Times New Roman" w:hAnsi="Times New Roman" w:cs="Times New Roman" w:eastAsia="Times New Roman" w:hint="default"/>
        </w:rPr>
        <w:t>2015</w:t>
      </w:r>
    </w:p>
    <w:p>
      <w:pPr>
        <w:pStyle w:val="BodyText"/>
        <w:spacing w:line="386" w:lineRule="auto" w:before="28"/>
        <w:ind w:right="1124"/>
        <w:jc w:val="left"/>
      </w:pP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日《证券时报》和巨潮资讯网（</w:t>
      </w:r>
      <w:hyperlink r:id="rId10">
        <w:r>
          <w:rPr>
            <w:rFonts w:ascii="Times New Roman" w:hAnsi="Times New Roman" w:cs="Times New Roman" w:eastAsia="Times New Roman" w:hint="default"/>
          </w:rPr>
          <w:t>http://www.cninfo.com.cn</w:t>
        </w:r>
      </w:hyperlink>
      <w:r>
        <w:rPr/>
        <w:t>）公布的《关于全资子公司中农信达对 </w:t>
      </w:r>
      <w:r>
        <w:rPr>
          <w:spacing w:val="-9"/>
        </w:rPr>
        <w:t>外投资暨关联交易公告》。</w:t>
      </w:r>
    </w:p>
    <w:p>
      <w:pPr>
        <w:spacing w:line="240" w:lineRule="auto" w:before="2"/>
        <w:rPr>
          <w:rFonts w:ascii="宋体" w:hAnsi="宋体" w:cs="宋体" w:eastAsia="宋体" w:hint="default"/>
          <w:sz w:val="20"/>
          <w:szCs w:val="20"/>
        </w:rPr>
      </w:pPr>
    </w:p>
    <w:p>
      <w:pPr>
        <w:pStyle w:val="Heading2"/>
        <w:spacing w:line="240" w:lineRule="auto"/>
        <w:ind w:right="1135"/>
        <w:jc w:val="left"/>
        <w:rPr>
          <w:b w:val="0"/>
          <w:bCs w:val="0"/>
        </w:rPr>
      </w:pPr>
      <w:bookmarkStart w:name="二十、社会责任情况" w:id="103"/>
      <w:bookmarkEnd w:id="103"/>
      <w:r>
        <w:rPr>
          <w:b w:val="0"/>
          <w:bCs w:val="0"/>
        </w:rPr>
      </w:r>
      <w:r>
        <w:rPr/>
        <w:t>二十、社会责任情况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573" w:right="1116"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1"/>
        </w:rPr>
        <w:t>报告期内，公司高度重视企业社会责任工作，在业务经营和发展的过程中，努力做到经济效益与社会</w:t>
      </w:r>
    </w:p>
    <w:p>
      <w:pPr>
        <w:pStyle w:val="BodyText"/>
        <w:spacing w:line="240" w:lineRule="auto" w:before="37"/>
        <w:ind w:right="1135"/>
        <w:jc w:val="left"/>
      </w:pPr>
      <w:r>
        <w:rPr/>
        <w:t>效益、短期利益与长远收益兼顾，实现公司与社会的健康和谐发展。</w:t>
      </w:r>
    </w:p>
    <w:p>
      <w:pPr>
        <w:spacing w:line="240" w:lineRule="auto" w:before="10"/>
        <w:rPr>
          <w:rFonts w:ascii="宋体" w:hAnsi="宋体" w:cs="宋体" w:eastAsia="宋体" w:hint="default"/>
          <w:sz w:val="17"/>
          <w:szCs w:val="17"/>
        </w:rPr>
      </w:pPr>
    </w:p>
    <w:p>
      <w:pPr>
        <w:pStyle w:val="BodyText"/>
        <w:spacing w:line="441" w:lineRule="auto"/>
        <w:ind w:left="573" w:right="0"/>
        <w:jc w:val="left"/>
      </w:pPr>
      <w:r>
        <w:rPr/>
        <w:t>（一）维护股东权益，提升股东价值 </w:t>
      </w:r>
      <w:r>
        <w:rPr>
          <w:spacing w:val="-6"/>
        </w:rPr>
        <w:t>本年度，公司按照《公司法》、《证券法》等有关法律法规的规定，进一步健全公司治理机制，完善公</w:t>
      </w:r>
    </w:p>
    <w:p>
      <w:pPr>
        <w:pStyle w:val="BodyText"/>
        <w:spacing w:line="400" w:lineRule="auto" w:before="16"/>
        <w:ind w:right="0"/>
        <w:jc w:val="left"/>
      </w:pPr>
      <w:r>
        <w:rPr/>
        <w:t>司治理结构，加强战略业务布局</w:t>
      </w:r>
      <w:r>
        <w:rPr>
          <w:rFonts w:ascii="Times New Roman" w:hAnsi="Times New Roman" w:cs="Times New Roman" w:eastAsia="Times New Roman" w:hint="default"/>
        </w:rPr>
        <w:t>,</w:t>
      </w:r>
      <w:r>
        <w:rPr/>
        <w:t>在保护股东权益的同时，实现股东价值的增长。</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年公司通过资本运 </w:t>
      </w:r>
      <w:r>
        <w:rPr>
          <w:spacing w:val="-1"/>
        </w:rPr>
        <w:t>作成功并购了旗硕科技，合资设立杨凌农业云服务公司，补充了互联网农业服务内容，完善了互联网农业</w:t>
      </w:r>
      <w:r>
        <w:rPr>
          <w:spacing w:val="-83"/>
        </w:rPr>
        <w:t> </w:t>
      </w:r>
      <w:r>
        <w:rPr>
          <w:spacing w:val="-83"/>
        </w:rPr>
      </w:r>
      <w:r>
        <w:rPr>
          <w:spacing w:val="-1"/>
        </w:rPr>
        <w:t>生态布局，为公司全面提升业务价值和盈利能力注入了活力；公司农业业务的布局也赢得了资本市场的高</w:t>
      </w:r>
      <w:r>
        <w:rPr>
          <w:spacing w:val="-81"/>
        </w:rPr>
        <w:t> </w:t>
      </w:r>
      <w:r>
        <w:rPr>
          <w:spacing w:val="-81"/>
        </w:rPr>
      </w:r>
      <w:r>
        <w:rPr/>
        <w:t>度认可，推动了公司市值的持续攀升，股东价值得到了提高。</w:t>
      </w:r>
    </w:p>
    <w:p>
      <w:pPr>
        <w:pStyle w:val="BodyText"/>
        <w:spacing w:line="410" w:lineRule="auto" w:before="92"/>
        <w:ind w:right="0" w:firstLine="420"/>
        <w:jc w:val="left"/>
      </w:pPr>
      <w:r>
        <w:rPr>
          <w:spacing w:val="-1"/>
        </w:rPr>
        <w:t>（二）运用数据量化技术支持国家的管理决策，推动产业资源优化整合和效率提升，支持传统行业的</w:t>
      </w:r>
      <w:r>
        <w:rPr/>
        <w:t> 互联网</w:t>
      </w:r>
      <w:r>
        <w:rPr>
          <w:rFonts w:ascii="Times New Roman" w:hAnsi="Times New Roman" w:cs="Times New Roman" w:eastAsia="Times New Roman" w:hint="default"/>
        </w:rPr>
        <w:t>+</w:t>
      </w:r>
      <w:r>
        <w:rPr/>
        <w:t>转型升级</w:t>
      </w:r>
    </w:p>
    <w:p>
      <w:pPr>
        <w:pStyle w:val="BodyText"/>
        <w:spacing w:line="400" w:lineRule="auto" w:before="50"/>
        <w:ind w:right="0" w:firstLine="420"/>
        <w:jc w:val="left"/>
      </w:pPr>
      <w:r>
        <w:rPr>
          <w:spacing w:val="-1"/>
        </w:rPr>
        <w:t>公司大力发展多领域数据模型技术及应用，将数据分析和用户体验运用到服务过程中，促进产业进一</w:t>
      </w:r>
      <w:r>
        <w:rPr/>
        <w:t> </w:t>
      </w:r>
      <w:r>
        <w:rPr>
          <w:spacing w:val="-1"/>
        </w:rPr>
        <w:t>步升级与创新。在金融行业，公司运用大数据模型全面支持银行业利率市场化和互联网金融创新；在税务</w:t>
      </w:r>
      <w:r>
        <w:rPr>
          <w:spacing w:val="-83"/>
        </w:rPr>
        <w:t> </w:t>
      </w:r>
      <w:r>
        <w:rPr>
          <w:spacing w:val="-83"/>
        </w:rPr>
      </w:r>
      <w:r>
        <w:rPr/>
        <w:t>行业，公司运用大数据分析，支持全国税务数据大集中和财税改革；在智慧城市领域，公司首创</w:t>
      </w:r>
      <w:r>
        <w:rPr>
          <w:rFonts w:ascii="Times New Roman" w:hAnsi="Times New Roman" w:cs="Times New Roman" w:eastAsia="Times New Roman" w:hint="default"/>
        </w:rPr>
        <w:t>“</w:t>
      </w:r>
      <w:r>
        <w:rPr/>
        <w:t>城市多 维虚拟映像</w:t>
      </w:r>
      <w:r>
        <w:rPr>
          <w:rFonts w:ascii="Times New Roman" w:hAnsi="Times New Roman" w:cs="Times New Roman" w:eastAsia="Times New Roman" w:hint="default"/>
        </w:rPr>
        <w:t>”</w:t>
      </w:r>
      <w:r>
        <w:rPr/>
        <w:t>理念，突破了城市大数据建模方法论，有力支持了城市的融合服务创新；在农业领域，公司 </w:t>
      </w:r>
      <w:r>
        <w:rPr>
          <w:spacing w:val="-1"/>
        </w:rPr>
        <w:t>依托大数据进行产业资源整合和服务创新。公司正凭借自身的努力，支持各行业进入量化分析、科学决策</w:t>
      </w:r>
      <w:r>
        <w:rPr>
          <w:spacing w:val="-83"/>
        </w:rPr>
        <w:t> </w:t>
      </w:r>
      <w:r>
        <w:rPr>
          <w:spacing w:val="-83"/>
        </w:rPr>
      </w:r>
      <w:r>
        <w:rPr/>
        <w:t>的精细化管理发展阶段，加强了产业资源的优化配置，助力行业的改革创新和效率效益提升。</w:t>
      </w:r>
    </w:p>
    <w:p>
      <w:pPr>
        <w:pStyle w:val="BodyText"/>
        <w:spacing w:line="240" w:lineRule="auto" w:before="92"/>
        <w:ind w:left="573" w:right="1135"/>
        <w:jc w:val="left"/>
      </w:pPr>
      <w:r>
        <w:rPr/>
        <w:t>（三）利用先进技术改善国计民生，推动农产品的安全生产、质量改善和溯源认证</w:t>
      </w:r>
    </w:p>
    <w:p>
      <w:pPr>
        <w:spacing w:after="0" w:line="240" w:lineRule="auto"/>
        <w:jc w:val="left"/>
        <w:sectPr>
          <w:pgSz w:w="11910" w:h="16840"/>
          <w:pgMar w:header="877" w:footer="1226" w:top="1100" w:bottom="1420" w:left="980" w:right="0"/>
        </w:sectPr>
      </w:pPr>
    </w:p>
    <w:p>
      <w:pPr>
        <w:spacing w:line="240" w:lineRule="auto" w:before="8"/>
        <w:rPr>
          <w:rFonts w:ascii="宋体" w:hAnsi="宋体" w:cs="宋体" w:eastAsia="宋体" w:hint="default"/>
          <w:sz w:val="26"/>
          <w:szCs w:val="26"/>
        </w:rPr>
      </w:pPr>
    </w:p>
    <w:p>
      <w:pPr>
        <w:pStyle w:val="BodyText"/>
        <w:spacing w:line="403" w:lineRule="auto" w:before="35"/>
        <w:ind w:right="0" w:firstLine="420"/>
        <w:jc w:val="left"/>
      </w:pPr>
      <w:r>
        <w:rPr/>
        <w:t>公司通过并购物联网技术，建立农产品溯源认证平台，有效推进农业生产过程的管理监控和质量追溯 体系建设。物联网技术可实时监控农业各环节的状况并采集数据，覆盖育种、土壤、种植、收割、加工、</w:t>
      </w:r>
      <w:r>
        <w:rPr>
          <w:spacing w:val="-38"/>
        </w:rPr>
        <w:t> </w:t>
      </w:r>
      <w:r>
        <w:rPr>
          <w:spacing w:val="-38"/>
        </w:rPr>
      </w:r>
      <w:r>
        <w:rPr/>
        <w:t>仓储、流通及销售等环节，公司积极推动农业物联网应用，加强智能应用技术研发，依托信息技术建设完</w:t>
      </w:r>
      <w:r>
        <w:rPr/>
        <w:t> 善农产品追溯体系，保障国家的农产品及食品质量安全，</w:t>
      </w:r>
      <w:r>
        <w:rPr>
          <w:rFonts w:ascii="Times New Roman" w:hAnsi="Times New Roman" w:cs="Times New Roman" w:eastAsia="Times New Roman" w:hint="default"/>
        </w:rPr>
        <w:t>“</w:t>
      </w:r>
      <w:r>
        <w:rPr/>
        <w:t>为耕者谋利，为食者造福</w:t>
      </w:r>
      <w:r>
        <w:rPr>
          <w:rFonts w:ascii="Times New Roman" w:hAnsi="Times New Roman" w:cs="Times New Roman" w:eastAsia="Times New Roman" w:hint="default"/>
        </w:rPr>
        <w:t>”</w:t>
      </w:r>
      <w:r>
        <w:rPr/>
        <w:t>。随着，该项业务的 推广发展，可有力的支撑国家食品质量安全的改善和民生幸福。</w:t>
      </w:r>
    </w:p>
    <w:p>
      <w:pPr>
        <w:pStyle w:val="BodyText"/>
        <w:spacing w:line="444" w:lineRule="auto" w:before="90"/>
        <w:ind w:left="573" w:right="1117"/>
        <w:jc w:val="left"/>
      </w:pPr>
      <w:r>
        <w:rPr/>
        <w:t>（四）加强联合研发，支持和保障国家的信息网络安全 自</w:t>
      </w:r>
      <w:r>
        <w:rPr>
          <w:rFonts w:ascii="Times New Roman" w:hAnsi="Times New Roman" w:cs="Times New Roman" w:eastAsia="Times New Roman" w:hint="default"/>
        </w:rPr>
        <w:t>“</w:t>
      </w:r>
      <w:r>
        <w:rPr/>
        <w:t>棱镜门</w:t>
      </w:r>
      <w:r>
        <w:rPr>
          <w:rFonts w:ascii="Times New Roman" w:hAnsi="Times New Roman" w:cs="Times New Roman" w:eastAsia="Times New Roman" w:hint="default"/>
        </w:rPr>
        <w:t>”</w:t>
      </w:r>
      <w:r>
        <w:rPr/>
        <w:t>事件以来，国家的信息网络安全形势日益严峻。公司联合国内的软硬件厂商，成立安全可</w:t>
      </w:r>
    </w:p>
    <w:p>
      <w:pPr>
        <w:pStyle w:val="BodyText"/>
        <w:spacing w:line="270" w:lineRule="exact"/>
        <w:ind w:right="0"/>
        <w:jc w:val="both"/>
      </w:pPr>
      <w:r>
        <w:rPr>
          <w:spacing w:val="-3"/>
        </w:rPr>
        <w:t>靠产业联盟</w:t>
      </w:r>
      <w:r>
        <w:rPr>
          <w:rFonts w:ascii="Times New Roman" w:hAnsi="Times New Roman" w:cs="Times New Roman" w:eastAsia="Times New Roman" w:hint="default"/>
          <w:spacing w:val="-3"/>
        </w:rPr>
        <w:t>“</w:t>
      </w:r>
      <w:r>
        <w:rPr>
          <w:spacing w:val="-3"/>
        </w:rPr>
        <w:t>龙安联盟</w:t>
      </w:r>
      <w:r>
        <w:rPr>
          <w:rFonts w:ascii="Times New Roman" w:hAnsi="Times New Roman" w:cs="Times New Roman" w:eastAsia="Times New Roman" w:hint="default"/>
          <w:spacing w:val="-3"/>
        </w:rPr>
        <w:t>”</w:t>
      </w:r>
      <w:r>
        <w:rPr>
          <w:spacing w:val="-3"/>
        </w:rPr>
        <w:t>，加强安全可靠计算机信息系统的联合研发及应用推广，推出安全可靠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运维标准</w:t>
      </w:r>
    </w:p>
    <w:p>
      <w:pPr>
        <w:pStyle w:val="BodyText"/>
        <w:spacing w:line="398" w:lineRule="auto" w:before="177"/>
        <w:ind w:right="1132"/>
        <w:jc w:val="both"/>
      </w:pPr>
      <w:r>
        <w:rPr>
          <w:spacing w:val="-1"/>
        </w:rPr>
        <w:t>体系和相关解决方案产品，积极推动我国各个行业的信息安全水平，并在金融、军队、政府等国家信息安</w:t>
      </w:r>
      <w:r>
        <w:rPr>
          <w:spacing w:val="-86"/>
        </w:rPr>
        <w:t> </w:t>
      </w:r>
      <w:r>
        <w:rPr>
          <w:spacing w:val="-86"/>
        </w:rPr>
      </w:r>
      <w:r>
        <w:rPr/>
        <w:t>全重点领域的信息系统建设中发挥优势，支持</w:t>
      </w:r>
      <w:r>
        <w:rPr>
          <w:rFonts w:ascii="Times New Roman" w:hAnsi="Times New Roman" w:cs="Times New Roman" w:eastAsia="Times New Roman" w:hint="default"/>
        </w:rPr>
        <w:t>“</w:t>
      </w:r>
      <w:r>
        <w:rPr/>
        <w:t>京沪干线量子保密通信</w:t>
      </w:r>
      <w:r>
        <w:rPr>
          <w:rFonts w:ascii="Times New Roman" w:hAnsi="Times New Roman" w:cs="Times New Roman" w:eastAsia="Times New Roman" w:hint="default"/>
        </w:rPr>
        <w:t>”</w:t>
      </w:r>
      <w:r>
        <w:rPr/>
        <w:t>等国家重大安全保障项目的建设， 取得了可喜成果。</w:t>
      </w:r>
    </w:p>
    <w:p>
      <w:pPr>
        <w:pStyle w:val="BodyText"/>
        <w:spacing w:line="417" w:lineRule="auto" w:before="94"/>
        <w:ind w:left="57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加强员工培训和人才培养，提升员工的公民素养，支持大众创业、万众创新</w:t>
      </w:r>
      <w:r>
        <w:rPr>
          <w:w w:val="99"/>
        </w:rPr>
        <w:t> </w:t>
      </w:r>
      <w:r>
        <w:rPr>
          <w:spacing w:val="-1"/>
        </w:rPr>
        <w:t>公司重视员工的职业发展规划和专业技能培训，注重员工专业才能与良好品行的兼顾培养，每年组织</w:t>
      </w:r>
    </w:p>
    <w:p>
      <w:pPr>
        <w:pStyle w:val="BodyText"/>
        <w:spacing w:line="400" w:lineRule="auto" w:before="37"/>
        <w:ind w:right="1131"/>
        <w:jc w:val="both"/>
      </w:pPr>
      <w:r>
        <w:rPr>
          <w:spacing w:val="-1"/>
        </w:rPr>
        <w:t>员工开展植树、爱心义卖、支贫赈灾等各类公益活动，提升企业及员工的社会责任感和感恩回报意识。加</w:t>
      </w:r>
      <w:r>
        <w:rPr>
          <w:spacing w:val="-85"/>
        </w:rPr>
        <w:t> </w:t>
      </w:r>
      <w:r>
        <w:rPr>
          <w:spacing w:val="-85"/>
        </w:rPr>
      </w:r>
      <w:r>
        <w:rPr>
          <w:spacing w:val="-1"/>
        </w:rPr>
        <w:t>强对员工的心理辅导，引导员工建立爱国敬业、积极向上的健康心理心态和生活追求，推动企业与社会的</w:t>
      </w:r>
      <w:r>
        <w:rPr>
          <w:spacing w:val="-83"/>
        </w:rPr>
        <w:t> </w:t>
      </w:r>
      <w:r>
        <w:rPr>
          <w:spacing w:val="-83"/>
        </w:rPr>
      </w:r>
      <w:r>
        <w:rPr>
          <w:spacing w:val="-1"/>
        </w:rPr>
        <w:t>和谐发展以及员工的个人进步。</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spacing w:val="-2"/>
        </w:rPr>
        <w:t>年，公司更是改进机制，鼓励内部创新创业，凭借公司所处信息技术</w:t>
      </w:r>
      <w:r>
        <w:rPr/>
        <w:t> 行业的优势和员工特长，支持国家大众创业、万众创新的发展战略。</w:t>
      </w:r>
    </w:p>
    <w:p>
      <w:pPr>
        <w:pStyle w:val="BodyText"/>
        <w:spacing w:line="240" w:lineRule="auto" w:before="93"/>
        <w:ind w:right="0"/>
        <w:jc w:val="both"/>
      </w:pPr>
      <w:r>
        <w:rPr/>
        <w:t>上市公司及其子公司是否属于国家环境保护部门规定的重污染行业</w:t>
      </w:r>
    </w:p>
    <w:p>
      <w:pPr>
        <w:spacing w:line="240" w:lineRule="auto" w:before="10"/>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0"/>
        <w:jc w:val="both"/>
        <w:rPr>
          <w:b w:val="0"/>
          <w:bCs w:val="0"/>
        </w:rPr>
      </w:pPr>
      <w:bookmarkStart w:name="二十一、公司债券相关情况" w:id="104"/>
      <w:bookmarkEnd w:id="104"/>
      <w:r>
        <w:rPr>
          <w:b w:val="0"/>
          <w:bCs w:val="0"/>
        </w:rPr>
      </w:r>
      <w:r>
        <w:rPr/>
        <w:t>二十一、公司债券相关情况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1132"/>
        <w:jc w:val="both"/>
      </w:pPr>
      <w:r>
        <w:rPr>
          <w:spacing w:val="-1"/>
        </w:rPr>
        <w:t>公司是否存在公开发行并在证券交易所上市，且在年度报告批准报出日未到期或到期未能全额兑付的公司</w:t>
      </w:r>
      <w:r>
        <w:rPr>
          <w:spacing w:val="-81"/>
        </w:rPr>
        <w:t> </w:t>
      </w:r>
      <w:r>
        <w:rPr>
          <w:spacing w:val="-81"/>
        </w:rPr>
      </w:r>
      <w:r>
        <w:rPr/>
        <w:t>债券</w:t>
      </w:r>
    </w:p>
    <w:p>
      <w:pPr>
        <w:pStyle w:val="BodyText"/>
        <w:spacing w:line="240" w:lineRule="auto" w:before="83"/>
        <w:ind w:left="154" w:right="0"/>
        <w:jc w:val="both"/>
      </w:pPr>
      <w:r>
        <w:rPr/>
        <w:t>否</w:t>
      </w:r>
    </w:p>
    <w:p>
      <w:pPr>
        <w:spacing w:after="0" w:line="240" w:lineRule="auto"/>
        <w:jc w:val="both"/>
        <w:sectPr>
          <w:pgSz w:w="11910" w:h="16840"/>
          <w:pgMar w:header="877" w:footer="1226" w:top="1100" w:bottom="1420" w:left="980" w:right="0"/>
        </w:sectPr>
      </w:pPr>
    </w:p>
    <w:p>
      <w:pPr>
        <w:spacing w:before="15"/>
        <w:ind w:left="9854" w:right="0" w:firstLine="0"/>
        <w:jc w:val="left"/>
        <w:rPr>
          <w:rFonts w:ascii="宋体" w:hAnsi="宋体" w:cs="宋体" w:eastAsia="宋体" w:hint="default"/>
          <w:sz w:val="18"/>
          <w:szCs w:val="18"/>
        </w:rPr>
      </w:pP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7"/>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2"/>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p>
      <w:pPr>
        <w:spacing w:line="240" w:lineRule="auto" w:before="8"/>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4"/>
        <w:ind w:left="5143" w:right="0"/>
        <w:jc w:val="left"/>
        <w:rPr>
          <w:b w:val="0"/>
          <w:bCs w:val="0"/>
        </w:rPr>
      </w:pPr>
      <w:bookmarkStart w:name="第六节股份变动及股东情况" w:id="105"/>
      <w:bookmarkEnd w:id="105"/>
      <w:r>
        <w:rPr>
          <w:b w:val="0"/>
          <w:bCs w:val="0"/>
        </w:rPr>
      </w:r>
      <w:bookmarkStart w:name="_bookmark5" w:id="106"/>
      <w:bookmarkEnd w:id="10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35"/>
          <w:footerReference w:type="default" r:id="rId36"/>
          <w:pgSz w:w="16840" w:h="11910" w:orient="landscape"/>
          <w:pgMar w:header="0" w:footer="0" w:top="800" w:bottom="0" w:left="1300" w:right="0"/>
        </w:sectPr>
      </w:pPr>
    </w:p>
    <w:p>
      <w:pPr>
        <w:pStyle w:val="Heading2"/>
        <w:spacing w:line="240" w:lineRule="auto" w:before="26"/>
        <w:ind w:left="140" w:right="0"/>
        <w:jc w:val="left"/>
        <w:rPr>
          <w:b w:val="0"/>
          <w:bCs w:val="0"/>
        </w:rPr>
      </w:pPr>
      <w:bookmarkStart w:name="一、股份变动情况" w:id="107"/>
      <w:bookmarkEnd w:id="107"/>
      <w:r>
        <w:rPr>
          <w:b w:val="0"/>
          <w:bCs w:val="0"/>
        </w:rPr>
      </w:r>
      <w:r>
        <w:rPr>
          <w:w w:val="95"/>
        </w:rPr>
        <w:t>一、股份变动情况</w:t>
      </w:r>
      <w:r>
        <w:rPr>
          <w:b w:val="0"/>
          <w:bCs w:val="0"/>
        </w:rPr>
      </w:r>
    </w:p>
    <w:p>
      <w:pPr>
        <w:pStyle w:val="Heading6"/>
        <w:spacing w:line="240" w:lineRule="auto"/>
        <w:ind w:left="140"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7"/>
          <w:szCs w:val="1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6840" w:h="11910" w:orient="landscape"/>
          <w:pgMar w:top="1060" w:bottom="1420" w:left="1300" w:right="0"/>
          <w:cols w:num="2" w:equalWidth="0">
            <w:col w:w="2066" w:space="11076"/>
            <w:col w:w="2398"/>
          </w:cols>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243"/>
        <w:gridCol w:w="1217"/>
        <w:gridCol w:w="1205"/>
        <w:gridCol w:w="1206"/>
        <w:gridCol w:w="1202"/>
        <w:gridCol w:w="1202"/>
        <w:gridCol w:w="1202"/>
        <w:gridCol w:w="1205"/>
        <w:gridCol w:w="1163"/>
        <w:gridCol w:w="1162"/>
      </w:tblGrid>
      <w:tr>
        <w:trPr>
          <w:trHeight w:val="215" w:hRule="exact"/>
        </w:trPr>
        <w:tc>
          <w:tcPr>
            <w:tcW w:w="324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422"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7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017" w:type="dxa"/>
            <w:gridSpan w:val="5"/>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325"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3243" w:type="dxa"/>
            <w:vMerge w:val="restart"/>
            <w:tcBorders>
              <w:top w:val="nil" w:sz="6" w:space="0" w:color="auto"/>
              <w:left w:val="single" w:sz="12" w:space="0" w:color="000000"/>
              <w:right w:val="single" w:sz="4" w:space="0" w:color="000000"/>
            </w:tcBorders>
            <w:shd w:val="clear" w:color="auto" w:fill="D2D2D2"/>
          </w:tcPr>
          <w:p>
            <w:pPr/>
          </w:p>
        </w:tc>
        <w:tc>
          <w:tcPr>
            <w:tcW w:w="2422" w:type="dxa"/>
            <w:gridSpan w:val="2"/>
            <w:vMerge/>
            <w:tcBorders>
              <w:left w:val="single" w:sz="4" w:space="0" w:color="000000"/>
              <w:bottom w:val="single" w:sz="4" w:space="0" w:color="000000"/>
              <w:right w:val="single" w:sz="4" w:space="0" w:color="000000"/>
            </w:tcBorders>
            <w:shd w:val="clear" w:color="auto" w:fill="D2D2D2"/>
          </w:tcPr>
          <w:p>
            <w:pPr/>
          </w:p>
        </w:tc>
        <w:tc>
          <w:tcPr>
            <w:tcW w:w="6017" w:type="dxa"/>
            <w:gridSpan w:val="5"/>
            <w:vMerge/>
            <w:tcBorders>
              <w:left w:val="single" w:sz="4" w:space="0" w:color="000000"/>
              <w:bottom w:val="single" w:sz="4" w:space="0" w:color="000000"/>
              <w:right w:val="single" w:sz="4" w:space="0" w:color="000000"/>
            </w:tcBorders>
            <w:shd w:val="clear" w:color="auto" w:fill="D2D2D2"/>
          </w:tcPr>
          <w:p>
            <w:pPr/>
          </w:p>
        </w:tc>
        <w:tc>
          <w:tcPr>
            <w:tcW w:w="2325"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3243" w:type="dxa"/>
            <w:vMerge/>
            <w:tcBorders>
              <w:left w:val="single" w:sz="12"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16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324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361,106,561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322,493,493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322,493,493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683,600,054</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74.48%</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74,142,943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21,186,441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21,186,441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95,329,384</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10.39%</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277,605,201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291,948,635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291,948,635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569,553,836</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62.05%</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257,084,974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257,084,974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257,084,974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514,169,948</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56.02%</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41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20,520,227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34,863,661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34,863,661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55,383,888</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18,716,834</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9,358,417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18,716,834</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right="141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90,627,680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143,584,182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143,584,182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234,211,862</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25.52%</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90,627,680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143,584,182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143,584,182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234,211,862</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25.52%</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4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r>
      <w:tr>
        <w:trPr>
          <w:trHeight w:val="412" w:hRule="exact"/>
        </w:trPr>
        <w:tc>
          <w:tcPr>
            <w:tcW w:w="324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7"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451,734,241</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466,077,675</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466,077,675</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917,811,916</w:t>
            </w:r>
          </w:p>
        </w:tc>
        <w:tc>
          <w:tcPr>
            <w:tcW w:w="11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100.00%</w:t>
            </w:r>
          </w:p>
        </w:tc>
      </w:tr>
    </w:tbl>
    <w:p>
      <w:pPr>
        <w:spacing w:before="79"/>
        <w:ind w:left="6965" w:right="8262" w:firstLine="0"/>
        <w:jc w:val="center"/>
        <w:rPr>
          <w:rFonts w:ascii="Times New Roman" w:hAnsi="Times New Roman" w:cs="Times New Roman" w:eastAsia="Times New Roman" w:hint="default"/>
          <w:sz w:val="18"/>
          <w:szCs w:val="18"/>
        </w:rPr>
      </w:pPr>
      <w:r>
        <w:rPr/>
        <w:pict>
          <v:shape style="position:absolute;margin-left:774.419983pt;margin-top:37.932346pt;width:67.5pt;height:38.5pt;mso-position-horizontal-relative:page;mso-position-vertical-relative:paragraph;z-index:1768" type="#_x0000_t75" stroked="false">
            <v:imagedata r:id="rId16" o:title=""/>
          </v:shape>
        </w:pict>
      </w:r>
      <w:r>
        <w:rPr>
          <w:rFonts w:ascii="Times New Roman"/>
          <w:sz w:val="18"/>
        </w:rPr>
        <w:t>65</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4"/>
        <w:ind w:right="1135"/>
        <w:jc w:val="left"/>
      </w:pPr>
      <w:r>
        <w:rPr/>
        <w:t>股份变动的原因</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240" w:lineRule="auto"/>
        <w:ind w:left="558" w:right="1040"/>
        <w:jc w:val="cente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日，公司关于向特定对象发行股份购买资产并募集配套资金的资产重组事项中的</w:t>
      </w:r>
    </w:p>
    <w:p>
      <w:pPr>
        <w:pStyle w:val="BodyText"/>
        <w:spacing w:line="240" w:lineRule="auto" w:before="179"/>
        <w:ind w:right="1135"/>
        <w:jc w:val="left"/>
      </w:pPr>
      <w:r>
        <w:rPr/>
        <w:t>配套募集股份</w:t>
      </w:r>
      <w:r>
        <w:rPr>
          <w:spacing w:val="-53"/>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2"/>
        </w:rPr>
        <w:t> </w:t>
      </w:r>
      <w:r>
        <w:rPr/>
        <w:t>股上市流通，公司股本由</w:t>
      </w:r>
      <w:r>
        <w:rPr>
          <w:spacing w:val="-53"/>
        </w:rPr>
        <w:t> </w:t>
      </w:r>
      <w:r>
        <w:rPr>
          <w:rFonts w:ascii="Times New Roman" w:hAnsi="Times New Roman" w:cs="Times New Roman" w:eastAsia="Times New Roman" w:hint="default"/>
        </w:rPr>
        <w:t>451,734,241</w:t>
      </w:r>
      <w:r>
        <w:rPr>
          <w:rFonts w:ascii="Times New Roman" w:hAnsi="Times New Roman" w:cs="Times New Roman" w:eastAsia="Times New Roman" w:hint="default"/>
          <w:spacing w:val="-1"/>
        </w:rPr>
        <w:t> </w:t>
      </w:r>
      <w:r>
        <w:rPr/>
        <w:t>股增加到</w:t>
      </w:r>
      <w:r>
        <w:rPr>
          <w:spacing w:val="-55"/>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1"/>
        </w:rPr>
        <w:t> </w:t>
      </w:r>
      <w:r>
        <w:rPr/>
        <w:t>股。</w:t>
      </w:r>
    </w:p>
    <w:p>
      <w:pPr>
        <w:spacing w:line="240" w:lineRule="auto" w:before="6"/>
        <w:rPr>
          <w:rFonts w:ascii="宋体" w:hAnsi="宋体" w:cs="宋体" w:eastAsia="宋体" w:hint="default"/>
          <w:sz w:val="16"/>
          <w:szCs w:val="16"/>
        </w:rPr>
      </w:pPr>
    </w:p>
    <w:p>
      <w:pPr>
        <w:pStyle w:val="BodyText"/>
        <w:spacing w:line="240" w:lineRule="auto"/>
        <w:ind w:left="528" w:right="1117"/>
        <w:jc w:val="cente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日，公司第六届董事会第十二次会议审议通过了《关于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年半年度资本公积金</w:t>
      </w:r>
    </w:p>
    <w:p>
      <w:pPr>
        <w:pStyle w:val="BodyText"/>
        <w:spacing w:line="240" w:lineRule="auto" w:before="177"/>
        <w:ind w:right="0"/>
        <w:jc w:val="left"/>
      </w:pPr>
      <w:r>
        <w:rPr/>
        <w:t>转增股本预案的议案</w:t>
      </w:r>
      <w:r>
        <w:rPr>
          <w:spacing w:val="-105"/>
        </w:rPr>
        <w:t>》</w:t>
      </w:r>
      <w:r>
        <w:rPr>
          <w:spacing w:val="-106"/>
        </w:rPr>
        <w:t>，</w:t>
      </w:r>
      <w:r>
        <w:rPr/>
        <w:t>以公司总股本</w:t>
      </w:r>
      <w:r>
        <w:rPr>
          <w:spacing w:val="-56"/>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3"/>
        </w:rPr>
        <w:t> </w:t>
      </w:r>
      <w:r>
        <w:rPr/>
        <w:t>股为基数</w:t>
      </w:r>
      <w:r>
        <w:rPr>
          <w:spacing w:val="-106"/>
        </w:rPr>
        <w:t>，</w:t>
      </w:r>
      <w:r>
        <w:rPr/>
        <w:t>以资本公积金向全体股东每</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spacing w:val="-2"/>
        </w:rPr>
        <w:t>转</w:t>
      </w:r>
      <w:r>
        <w:rPr/>
        <w:t>增</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p>
    <w:p>
      <w:pPr>
        <w:pStyle w:val="BodyText"/>
        <w:spacing w:line="240" w:lineRule="auto" w:before="177"/>
        <w:ind w:right="1135"/>
        <w:jc w:val="left"/>
      </w:pPr>
      <w:r>
        <w:rPr>
          <w:rFonts w:ascii="Times New Roman" w:hAnsi="Times New Roman" w:cs="Times New Roman" w:eastAsia="Times New Roman" w:hint="default"/>
        </w:rPr>
        <w:t>2015 </w:t>
      </w:r>
      <w:r>
        <w:rPr/>
        <w:t>年半年度不送红股、不进行现金分红。本议案已经公司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年度第三次临</w:t>
      </w:r>
    </w:p>
    <w:p>
      <w:pPr>
        <w:pStyle w:val="BodyText"/>
        <w:spacing w:line="240" w:lineRule="auto" w:before="177"/>
        <w:ind w:right="0"/>
        <w:jc w:val="left"/>
        <w:rPr>
          <w:rFonts w:ascii="Times New Roman" w:hAnsi="Times New Roman" w:cs="Times New Roman" w:eastAsia="Times New Roman" w:hint="default"/>
        </w:rPr>
      </w:pPr>
      <w:r>
        <w:rPr/>
        <w:t>时股东大会进行审议通过</w:t>
      </w:r>
      <w:r>
        <w:rPr>
          <w:spacing w:val="-105"/>
        </w:rPr>
        <w:t>，</w:t>
      </w:r>
      <w:r>
        <w:rPr/>
        <w:t>并于</w:t>
      </w:r>
      <w:r>
        <w:rPr>
          <w:spacing w:val="-7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72"/>
        </w:rPr>
        <w:t>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w:t>
      </w:r>
      <w:r>
        <w:rPr>
          <w:spacing w:val="-7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2"/>
        </w:rPr>
        <w:t>日</w:t>
      </w:r>
      <w:r>
        <w:rPr/>
        <w:t>实施完毕</w:t>
      </w:r>
      <w:r>
        <w:rPr>
          <w:spacing w:val="-105"/>
        </w:rPr>
        <w:t>，</w:t>
      </w:r>
      <w:r>
        <w:rPr>
          <w:spacing w:val="-2"/>
        </w:rPr>
        <w:t>公</w:t>
      </w:r>
      <w:r>
        <w:rPr/>
        <w:t>司总股本由</w:t>
      </w:r>
      <w:r>
        <w:rPr>
          <w:spacing w:val="-72"/>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19"/>
        </w:rPr>
        <w:t> </w:t>
      </w:r>
      <w:r>
        <w:rPr>
          <w:spacing w:val="-2"/>
        </w:rPr>
        <w:t>股</w:t>
      </w:r>
      <w:r>
        <w:rPr/>
        <w:t>增加到</w:t>
      </w:r>
      <w:r>
        <w:rPr>
          <w:spacing w:val="-72"/>
        </w:rPr>
        <w:t> </w:t>
      </w:r>
      <w:r>
        <w:rPr>
          <w:rFonts w:ascii="Times New Roman" w:hAnsi="Times New Roman" w:cs="Times New Roman" w:eastAsia="Times New Roman" w:hint="default"/>
        </w:rPr>
        <w:t>917,8</w:t>
      </w:r>
      <w:r>
        <w:rPr>
          <w:rFonts w:ascii="Times New Roman" w:hAnsi="Times New Roman" w:cs="Times New Roman" w:eastAsia="Times New Roman" w:hint="default"/>
          <w:spacing w:val="-9"/>
        </w:rPr>
        <w:t>1</w:t>
      </w:r>
      <w:r>
        <w:rPr>
          <w:rFonts w:ascii="Times New Roman" w:hAnsi="Times New Roman" w:cs="Times New Roman" w:eastAsia="Times New Roman" w:hint="default"/>
        </w:rPr>
        <w:t>1,916</w:t>
      </w:r>
    </w:p>
    <w:p>
      <w:pPr>
        <w:pStyle w:val="BodyText"/>
        <w:spacing w:line="444" w:lineRule="auto" w:before="178"/>
        <w:ind w:left="154" w:right="8862"/>
        <w:jc w:val="left"/>
      </w:pPr>
      <w:r>
        <w:rPr/>
        <w:t>股。 股份变动的批准情况</w:t>
      </w:r>
    </w:p>
    <w:p>
      <w:pPr>
        <w:pStyle w:val="BodyText"/>
        <w:spacing w:line="240" w:lineRule="auto" w:before="55"/>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240" w:lineRule="auto"/>
        <w:ind w:left="558" w:right="1116"/>
        <w:jc w:val="center"/>
      </w:pPr>
      <w:r>
        <w:rPr>
          <w:rFonts w:ascii="Times New Roman" w:hAnsi="Times New Roman" w:cs="Times New Roman" w:eastAsia="Times New Roman" w:hint="default"/>
        </w:rPr>
        <w:t>1</w:t>
      </w:r>
      <w:r>
        <w:rPr/>
        <w:t>、公司股本由</w:t>
      </w:r>
      <w:r>
        <w:rPr>
          <w:spacing w:val="-58"/>
        </w:rPr>
        <w:t> </w:t>
      </w:r>
      <w:r>
        <w:rPr>
          <w:rFonts w:ascii="Times New Roman" w:hAnsi="Times New Roman" w:cs="Times New Roman" w:eastAsia="Times New Roman" w:hint="default"/>
        </w:rPr>
        <w:t>451,734,241</w:t>
      </w:r>
      <w:r>
        <w:rPr>
          <w:rFonts w:ascii="Times New Roman" w:hAnsi="Times New Roman" w:cs="Times New Roman" w:eastAsia="Times New Roman" w:hint="default"/>
          <w:spacing w:val="-5"/>
        </w:rPr>
        <w:t> </w:t>
      </w:r>
      <w:r>
        <w:rPr/>
        <w:t>股增加到</w:t>
      </w:r>
      <w:r>
        <w:rPr>
          <w:spacing w:val="-58"/>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5"/>
        </w:rPr>
        <w:t> </w:t>
      </w:r>
      <w:r>
        <w:rPr/>
        <w:t>股，业经公司第六届董事会</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年第九次临时会议</w:t>
      </w:r>
    </w:p>
    <w:p>
      <w:pPr>
        <w:pStyle w:val="BodyText"/>
        <w:spacing w:line="386" w:lineRule="auto" w:before="177"/>
        <w:ind w:right="1200"/>
        <w:jc w:val="left"/>
      </w:pPr>
      <w:r>
        <w:rPr/>
        <w:t>和</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年度第四次临时股东大会审议通过，并经中国证监会《关于核准神州数码信息服务股份有限公司 </w:t>
      </w:r>
      <w:r>
        <w:rPr>
          <w:spacing w:val="-3"/>
        </w:rPr>
        <w:t>向冯健刚等发行股份购买资产并募集配套资金的批复》（证监许可</w:t>
      </w:r>
      <w:r>
        <w:rPr>
          <w:rFonts w:ascii="Times New Roman" w:hAnsi="Times New Roman" w:cs="Times New Roman" w:eastAsia="Times New Roman" w:hint="default"/>
          <w:spacing w:val="-3"/>
        </w:rPr>
        <w:t>[2014]1258</w:t>
      </w:r>
      <w:r>
        <w:rPr>
          <w:rFonts w:ascii="Times New Roman" w:hAnsi="Times New Roman" w:cs="Times New Roman" w:eastAsia="Times New Roman" w:hint="default"/>
          <w:spacing w:val="14"/>
        </w:rPr>
        <w:t> </w:t>
      </w:r>
      <w:r>
        <w:rPr>
          <w:spacing w:val="-1"/>
        </w:rPr>
        <w:t>号）核准。</w:t>
      </w:r>
    </w:p>
    <w:p>
      <w:pPr>
        <w:pStyle w:val="BodyText"/>
        <w:spacing w:line="240" w:lineRule="auto" w:before="74"/>
        <w:ind w:left="521" w:right="1117"/>
        <w:jc w:val="center"/>
        <w:rPr>
          <w:rFonts w:ascii="Times New Roman" w:hAnsi="Times New Roman" w:cs="Times New Roman" w:eastAsia="Times New Roman" w:hint="default"/>
        </w:rPr>
      </w:pPr>
      <w:r>
        <w:rPr>
          <w:rFonts w:ascii="Times New Roman" w:hAnsi="Times New Roman" w:cs="Times New Roman" w:eastAsia="Times New Roman" w:hint="default"/>
        </w:rPr>
        <w:t>2</w:t>
      </w:r>
      <w:r>
        <w:rPr/>
        <w:t>、公司总股本由</w:t>
      </w:r>
      <w:r>
        <w:rPr>
          <w:spacing w:val="-56"/>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3"/>
        </w:rPr>
        <w:t> </w:t>
      </w:r>
      <w:r>
        <w:rPr/>
        <w:t>股增加到</w:t>
      </w:r>
      <w:r>
        <w:rPr>
          <w:spacing w:val="-55"/>
        </w:rPr>
        <w:t> </w:t>
      </w:r>
      <w:r>
        <w:rPr>
          <w:rFonts w:ascii="Times New Roman" w:hAnsi="Times New Roman" w:cs="Times New Roman" w:eastAsia="Times New Roman" w:hint="default"/>
        </w:rPr>
        <w:t>917,811,916</w:t>
      </w:r>
      <w:r>
        <w:rPr>
          <w:rFonts w:ascii="Times New Roman" w:hAnsi="Times New Roman" w:cs="Times New Roman" w:eastAsia="Times New Roman" w:hint="default"/>
          <w:spacing w:val="-3"/>
        </w:rPr>
        <w:t> </w:t>
      </w:r>
      <w:r>
        <w:rPr/>
        <w:t>股，业经公司第六届董事会第十二次会议和</w:t>
      </w:r>
      <w:r>
        <w:rPr>
          <w:spacing w:val="-55"/>
        </w:rPr>
        <w:t> </w:t>
      </w:r>
      <w:r>
        <w:rPr>
          <w:rFonts w:ascii="Times New Roman" w:hAnsi="Times New Roman" w:cs="Times New Roman" w:eastAsia="Times New Roman" w:hint="default"/>
        </w:rPr>
        <w:t>2015</w:t>
      </w:r>
    </w:p>
    <w:p>
      <w:pPr>
        <w:pStyle w:val="BodyText"/>
        <w:spacing w:line="444" w:lineRule="auto" w:before="178"/>
        <w:ind w:left="154" w:right="7392"/>
        <w:jc w:val="left"/>
      </w:pPr>
      <w:r>
        <w:rPr/>
        <w:t>年度第三次临时股东大会审议通过。 股份变动的过户情况</w:t>
      </w:r>
    </w:p>
    <w:p>
      <w:pPr>
        <w:pStyle w:val="BodyText"/>
        <w:spacing w:line="240" w:lineRule="auto" w:before="5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BodyText"/>
        <w:spacing w:line="240" w:lineRule="auto"/>
        <w:ind w:left="558" w:right="1008"/>
        <w:jc w:val="center"/>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日，本公司就配套募集资金事项向华商基金管理有限公司等</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名特定投资者发行</w:t>
      </w:r>
    </w:p>
    <w:p>
      <w:pPr>
        <w:pStyle w:val="BodyText"/>
        <w:spacing w:line="240" w:lineRule="auto" w:before="177"/>
        <w:ind w:left="154" w:right="1135"/>
        <w:jc w:val="left"/>
      </w:pPr>
      <w:r>
        <w:rPr/>
        <w:t>的</w:t>
      </w:r>
      <w:r>
        <w:rPr>
          <w:spacing w:val="-53"/>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1"/>
        </w:rPr>
        <w:t> </w:t>
      </w:r>
      <w:r>
        <w:rPr/>
        <w:t>股新增股份，向中国证券登记结算有限责任公司深圳分公司提交了相关登记材料。本次新增</w:t>
      </w:r>
    </w:p>
    <w:p>
      <w:pPr>
        <w:pStyle w:val="BodyText"/>
        <w:spacing w:line="240" w:lineRule="auto" w:before="178"/>
        <w:ind w:left="154" w:right="1135"/>
        <w:jc w:val="left"/>
      </w:pPr>
      <w:r>
        <w:rPr/>
        <w:t>股份上市首日为</w:t>
      </w:r>
      <w:r>
        <w:rPr>
          <w:spacing w:val="-52"/>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13 </w:t>
      </w:r>
      <w:r>
        <w:rPr/>
        <w:t>日。</w:t>
      </w:r>
    </w:p>
    <w:p>
      <w:pPr>
        <w:spacing w:line="240" w:lineRule="auto" w:before="8"/>
        <w:rPr>
          <w:rFonts w:ascii="宋体" w:hAnsi="宋体" w:cs="宋体" w:eastAsia="宋体" w:hint="default"/>
          <w:sz w:val="16"/>
          <w:szCs w:val="16"/>
        </w:rPr>
      </w:pPr>
    </w:p>
    <w:p>
      <w:pPr>
        <w:pStyle w:val="BodyText"/>
        <w:spacing w:line="240" w:lineRule="auto"/>
        <w:ind w:left="529" w:right="1117"/>
        <w:jc w:val="cente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年半年度实施的资本公积金向全体股东每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股的方案，该次转增股已于 </w:t>
      </w: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t>年</w:t>
      </w:r>
    </w:p>
    <w:p>
      <w:pPr>
        <w:pStyle w:val="BodyText"/>
        <w:spacing w:line="412" w:lineRule="auto" w:before="178"/>
        <w:ind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 </w:t>
      </w:r>
      <w:r>
        <w:rPr/>
        <w:t>日直接记入股东证券账户，该批无限售流通股起始交易日为 </w:t>
      </w:r>
      <w:r>
        <w:rPr>
          <w:rFonts w:ascii="Times New Roman" w:hAnsi="Times New Roman" w:cs="Times New Roman" w:eastAsia="Times New Roman" w:hint="default"/>
        </w:rPr>
        <w:t>2015</w:t>
      </w:r>
      <w:r>
        <w:rPr>
          <w:rFonts w:ascii="Times New Roman" w:hAnsi="Times New Roman" w:cs="Times New Roman" w:eastAsia="Times New Roman" w:hint="default"/>
          <w:spacing w:val="5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240" w:lineRule="auto" w:before="81"/>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386" w:lineRule="auto"/>
        <w:ind w:right="1128" w:firstLine="420"/>
        <w:jc w:val="left"/>
      </w:pPr>
      <w:r>
        <w:rPr>
          <w:rFonts w:ascii="Times New Roman" w:hAnsi="Times New Roman" w:cs="Times New Roman" w:eastAsia="Times New Roman" w:hint="default"/>
        </w:rPr>
        <w:t>1</w:t>
      </w:r>
      <w:r>
        <w:rPr/>
        <w:t>、向特定投资者发行的</w:t>
      </w:r>
      <w:r>
        <w:rPr>
          <w:spacing w:val="-57"/>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4"/>
        </w:rPr>
        <w:t> </w:t>
      </w:r>
      <w:r>
        <w:rPr/>
        <w:t>股新增股份已于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日上市。根据每股收益、稀释每股 收益及归属于公司普通股股东的每股净资产的计算公式，本次股份变动的加权权重影响为</w:t>
      </w:r>
      <w:r>
        <w:rPr>
          <w:spacing w:val="-53"/>
        </w:rPr>
        <w:t> </w:t>
      </w:r>
      <w:r>
        <w:rPr>
          <w:rFonts w:ascii="Times New Roman" w:hAnsi="Times New Roman" w:cs="Times New Roman" w:eastAsia="Times New Roman" w:hint="default"/>
        </w:rPr>
        <w:t>0</w:t>
      </w:r>
      <w:r>
        <w:rPr/>
        <w:t>，因此对上述</w:t>
      </w:r>
    </w:p>
    <w:p>
      <w:pPr>
        <w:spacing w:after="0" w:line="386" w:lineRule="auto"/>
        <w:jc w:val="left"/>
        <w:sectPr>
          <w:footerReference w:type="default" r:id="rId37"/>
          <w:pgSz w:w="11910" w:h="16840"/>
          <w:pgMar w:footer="1226" w:header="0" w:top="1100" w:bottom="1420" w:left="980" w:right="0"/>
          <w:pgNumType w:start="66"/>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指标无影响。</w:t>
      </w:r>
    </w:p>
    <w:p>
      <w:pPr>
        <w:spacing w:line="240" w:lineRule="auto" w:before="9"/>
        <w:rPr>
          <w:rFonts w:ascii="宋体" w:hAnsi="宋体" w:cs="宋体" w:eastAsia="宋体" w:hint="default"/>
          <w:sz w:val="17"/>
          <w:szCs w:val="17"/>
        </w:rPr>
      </w:pPr>
    </w:p>
    <w:p>
      <w:pPr>
        <w:pStyle w:val="BodyText"/>
        <w:spacing w:line="386" w:lineRule="auto"/>
        <w:ind w:right="1130" w:firstLine="420"/>
        <w:jc w:val="righ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
        </w:rPr>
        <w:t> </w:t>
      </w:r>
      <w:r>
        <w:rPr/>
        <w:t>年半年度实施资本公积转增股本方案，以公司总股本</w:t>
      </w:r>
      <w:r>
        <w:rPr>
          <w:spacing w:val="-57"/>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5"/>
        </w:rPr>
        <w:t> </w:t>
      </w:r>
      <w:r>
        <w:rPr>
          <w:spacing w:val="-3"/>
        </w:rPr>
        <w:t>股为基数，以资本公积金向</w:t>
      </w:r>
      <w:r>
        <w:rPr/>
        <w:t> 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9"/>
        </w:rPr>
        <w:t>股；本方案已于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7"/>
        </w:rPr>
        <w:t>日实施完毕，按新股本</w:t>
      </w:r>
      <w:r>
        <w:rPr>
          <w:spacing w:val="-53"/>
        </w:rPr>
        <w:t> </w:t>
      </w:r>
      <w:r>
        <w:rPr>
          <w:rFonts w:ascii="Times New Roman" w:hAnsi="Times New Roman" w:cs="Times New Roman" w:eastAsia="Times New Roman" w:hint="default"/>
        </w:rPr>
        <w:t>917,811,916</w:t>
      </w:r>
      <w:r>
        <w:rPr>
          <w:rFonts w:ascii="Times New Roman" w:hAnsi="Times New Roman" w:cs="Times New Roman" w:eastAsia="Times New Roman" w:hint="default"/>
          <w:spacing w:val="-1"/>
        </w:rPr>
        <w:t> </w:t>
      </w:r>
      <w:r>
        <w:rPr/>
        <w:t>股摊薄计算，</w:t>
      </w:r>
    </w:p>
    <w:p>
      <w:pPr>
        <w:pStyle w:val="BodyText"/>
        <w:spacing w:line="240" w:lineRule="auto" w:before="36"/>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年每股收益为</w:t>
      </w:r>
      <w:r>
        <w:rPr>
          <w:spacing w:val="-55"/>
        </w:rPr>
        <w:t> </w:t>
      </w:r>
      <w:r>
        <w:rPr>
          <w:rFonts w:ascii="Times New Roman" w:hAnsi="Times New Roman" w:cs="Times New Roman" w:eastAsia="Times New Roman" w:hint="default"/>
        </w:rPr>
        <w:t>0.3820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股、稀释每股收益为</w:t>
      </w:r>
      <w:r>
        <w:rPr>
          <w:spacing w:val="-55"/>
        </w:rPr>
        <w:t> </w:t>
      </w:r>
      <w:r>
        <w:rPr>
          <w:rFonts w:ascii="Times New Roman" w:hAnsi="Times New Roman" w:cs="Times New Roman" w:eastAsia="Times New Roman" w:hint="default"/>
        </w:rPr>
        <w:t>0.3820</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spacing w:val="-3"/>
        </w:rPr>
        <w:t>/</w:t>
      </w:r>
      <w:r>
        <w:rPr>
          <w:spacing w:val="-3"/>
        </w:rPr>
        <w:t>股，比较期间</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年度每股收益为</w:t>
      </w:r>
      <w:r>
        <w:rPr>
          <w:spacing w:val="-56"/>
        </w:rPr>
        <w:t> </w:t>
      </w:r>
      <w:r>
        <w:rPr>
          <w:rFonts w:ascii="Times New Roman" w:hAnsi="Times New Roman" w:cs="Times New Roman" w:eastAsia="Times New Roman" w:hint="default"/>
        </w:rPr>
        <w:t>0.3241</w:t>
      </w:r>
      <w:r>
        <w:rPr>
          <w:rFonts w:ascii="Times New Roman" w:hAnsi="Times New Roman" w:cs="Times New Roman" w:eastAsia="Times New Roman" w:hint="default"/>
          <w:spacing w:val="-1"/>
        </w:rPr>
        <w:t> </w:t>
      </w:r>
      <w:r>
        <w:rPr/>
        <w:t>元</w:t>
      </w:r>
    </w:p>
    <w:p>
      <w:pPr>
        <w:pStyle w:val="BodyText"/>
        <w:spacing w:line="420" w:lineRule="auto" w:before="178"/>
        <w:ind w:left="154" w:right="6132"/>
        <w:jc w:val="left"/>
      </w:pPr>
      <w:r>
        <w:rPr>
          <w:rFonts w:ascii="Times New Roman" w:hAnsi="Times New Roman" w:cs="Times New Roman" w:eastAsia="Times New Roman" w:hint="default"/>
        </w:rPr>
        <w:t>/</w:t>
      </w:r>
      <w:r>
        <w:rPr/>
        <w:t>股、稀释每股收益</w:t>
      </w:r>
      <w:r>
        <w:rPr>
          <w:spacing w:val="-53"/>
        </w:rPr>
        <w:t> </w:t>
      </w:r>
      <w:r>
        <w:rPr>
          <w:rFonts w:ascii="Times New Roman" w:hAnsi="Times New Roman" w:cs="Times New Roman" w:eastAsia="Times New Roman" w:hint="default"/>
        </w:rPr>
        <w:t>0.3241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75"/>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before="16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79"/>
        <w:gridCol w:w="1349"/>
        <w:gridCol w:w="1143"/>
        <w:gridCol w:w="1134"/>
        <w:gridCol w:w="1417"/>
        <w:gridCol w:w="1418"/>
        <w:gridCol w:w="1630"/>
      </w:tblGrid>
      <w:tr>
        <w:trPr>
          <w:trHeight w:val="764" w:hRule="exact"/>
        </w:trPr>
        <w:tc>
          <w:tcPr>
            <w:tcW w:w="14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295" w:right="117"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201" w:right="200"/>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 w:right="184"/>
              <w:jc w:val="left"/>
              <w:rPr>
                <w:rFonts w:ascii="宋体" w:hAnsi="宋体" w:cs="宋体" w:eastAsia="宋体" w:hint="default"/>
                <w:sz w:val="18"/>
                <w:szCs w:val="18"/>
              </w:rPr>
            </w:pPr>
            <w:r>
              <w:rPr>
                <w:rFonts w:ascii="宋体" w:hAnsi="宋体" w:cs="宋体" w:eastAsia="宋体" w:hint="default"/>
                <w:sz w:val="18"/>
                <w:szCs w:val="18"/>
              </w:rPr>
              <w:t>神州数码软件有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194,770,055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194,770,055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389,540,110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194,770,055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日可 解除限售 </w:t>
            </w:r>
            <w:r>
              <w:rPr>
                <w:rFonts w:ascii="Times New Roman" w:hAnsi="Times New Roman" w:cs="Times New Roman" w:eastAsia="Times New Roman" w:hint="default"/>
                <w:sz w:val="18"/>
                <w:szCs w:val="18"/>
              </w:rPr>
              <w:t>389,540,110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84"/>
              <w:jc w:val="both"/>
              <w:rPr>
                <w:rFonts w:ascii="宋体" w:hAnsi="宋体" w:cs="宋体" w:eastAsia="宋体" w:hint="default"/>
                <w:sz w:val="18"/>
                <w:szCs w:val="18"/>
              </w:rPr>
            </w:pPr>
            <w:r>
              <w:rPr>
                <w:rFonts w:ascii="宋体" w:hAnsi="宋体" w:cs="宋体" w:eastAsia="宋体" w:hint="default"/>
                <w:sz w:val="18"/>
                <w:szCs w:val="18"/>
              </w:rPr>
              <w:t>天津信锐投资合 伙企业（有限合 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59,510,588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59,510,588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119,021,176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59,510,588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日可 解除限售 </w:t>
            </w:r>
            <w:r>
              <w:rPr>
                <w:rFonts w:ascii="Times New Roman" w:hAnsi="Times New Roman" w:cs="Times New Roman" w:eastAsia="Times New Roman" w:hint="default"/>
                <w:sz w:val="18"/>
                <w:szCs w:val="18"/>
              </w:rPr>
              <w:t>119,021,176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r>
        <w:trPr>
          <w:trHeight w:val="1650"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 w:right="184"/>
              <w:jc w:val="both"/>
              <w:rPr>
                <w:rFonts w:ascii="宋体" w:hAnsi="宋体" w:cs="宋体" w:eastAsia="宋体" w:hint="default"/>
                <w:sz w:val="18"/>
                <w:szCs w:val="18"/>
              </w:rPr>
            </w:pPr>
            <w:r>
              <w:rPr>
                <w:rFonts w:ascii="宋体" w:hAnsi="宋体" w:cs="宋体" w:eastAsia="宋体" w:hint="default"/>
                <w:sz w:val="18"/>
                <w:szCs w:val="18"/>
              </w:rPr>
              <w:t>中新苏州工业园 区创业投资有限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52,956,503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26,478,252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52,956,504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52,956,503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日已</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26,478,251</w:t>
            </w:r>
          </w:p>
          <w:p>
            <w:pPr>
              <w:pStyle w:val="TableParagraph"/>
              <w:spacing w:line="309" w:lineRule="auto" w:before="63"/>
              <w:ind w:left="22" w:right="11"/>
              <w:jc w:val="left"/>
              <w:rPr>
                <w:rFonts w:ascii="宋体" w:hAnsi="宋体" w:cs="宋体" w:eastAsia="宋体" w:hint="default"/>
                <w:sz w:val="18"/>
                <w:szCs w:val="18"/>
              </w:rPr>
            </w:pP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日可解除限售股 </w:t>
            </w:r>
            <w:r>
              <w:rPr>
                <w:rFonts w:ascii="Times New Roman" w:hAnsi="Times New Roman" w:cs="Times New Roman" w:eastAsia="Times New Roman" w:hint="default"/>
                <w:sz w:val="18"/>
                <w:szCs w:val="18"/>
              </w:rPr>
              <w:t>52,956,504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 w:right="184"/>
              <w:jc w:val="left"/>
              <w:rPr>
                <w:rFonts w:ascii="宋体" w:hAnsi="宋体" w:cs="宋体" w:eastAsia="宋体" w:hint="default"/>
                <w:sz w:val="18"/>
                <w:szCs w:val="18"/>
              </w:rPr>
            </w:pPr>
            <w:r>
              <w:rPr>
                <w:rFonts w:ascii="宋体" w:hAnsi="宋体" w:cs="宋体" w:eastAsia="宋体" w:hint="default"/>
                <w:sz w:val="18"/>
                <w:szCs w:val="18"/>
              </w:rPr>
              <w:t>昆山市申昌科技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21,186,440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21,186,440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42,372,880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21,186,440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42,372,880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360" w:lineRule="auto" w:before="91"/>
              <w:ind w:left="13" w:right="54"/>
              <w:jc w:val="left"/>
              <w:rPr>
                <w:rFonts w:ascii="Times New Roman" w:hAnsi="Times New Roman" w:cs="Times New Roman" w:eastAsia="Times New Roman" w:hint="default"/>
                <w:sz w:val="18"/>
                <w:szCs w:val="18"/>
              </w:rPr>
            </w:pPr>
            <w:r>
              <w:rPr>
                <w:rFonts w:ascii="Times New Roman"/>
                <w:sz w:val="18"/>
              </w:rPr>
              <w:t>Infinity</w:t>
            </w:r>
            <w:r>
              <w:rPr>
                <w:rFonts w:ascii="Times New Roman"/>
                <w:spacing w:val="-1"/>
                <w:sz w:val="18"/>
              </w:rPr>
              <w:t> </w:t>
            </w:r>
            <w:r>
              <w:rPr>
                <w:rFonts w:ascii="Times New Roman"/>
                <w:sz w:val="18"/>
              </w:rPr>
              <w:t>I-China</w:t>
            </w:r>
            <w:r>
              <w:rPr>
                <w:rFonts w:ascii="Times New Roman"/>
                <w:w w:val="99"/>
                <w:sz w:val="18"/>
              </w:rPr>
              <w:t> </w:t>
            </w:r>
            <w:r>
              <w:rPr>
                <w:rFonts w:ascii="Times New Roman"/>
                <w:sz w:val="18"/>
              </w:rPr>
              <w:t>Investments(Israel)</w:t>
            </w:r>
          </w:p>
          <w:p>
            <w:pPr>
              <w:pStyle w:val="TableParagraph"/>
              <w:spacing w:line="240" w:lineRule="auto" w:before="6"/>
              <w:ind w:left="13" w:right="0"/>
              <w:jc w:val="left"/>
              <w:rPr>
                <w:rFonts w:ascii="Times New Roman" w:hAnsi="Times New Roman" w:cs="Times New Roman" w:eastAsia="Times New Roman" w:hint="default"/>
                <w:sz w:val="18"/>
                <w:szCs w:val="18"/>
              </w:rPr>
            </w:pPr>
            <w:r>
              <w:rPr>
                <w:rFonts w:ascii="Times New Roman"/>
                <w:spacing w:val="-5"/>
                <w:sz w:val="18"/>
              </w:rPr>
              <w:t>,L.P.</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9,358,417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9,358,417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18,716,834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9,358,417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18,716,834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932" w:hRule="exact"/>
        </w:trPr>
        <w:tc>
          <w:tcPr>
            <w:tcW w:w="14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6,073,988</w:t>
            </w:r>
          </w:p>
        </w:tc>
        <w:tc>
          <w:tcPr>
            <w:tcW w:w="11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6,073,988</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12,147,976</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6,073,988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1,214,798</w:t>
            </w:r>
          </w:p>
          <w:p>
            <w:pPr>
              <w:pStyle w:val="TableParagraph"/>
              <w:spacing w:line="309" w:lineRule="auto" w:before="63"/>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日可解除限售 </w:t>
            </w:r>
            <w:r>
              <w:rPr>
                <w:rFonts w:ascii="Times New Roman" w:hAnsi="Times New Roman" w:cs="Times New Roman" w:eastAsia="Times New Roman" w:hint="default"/>
                <w:sz w:val="18"/>
                <w:szCs w:val="18"/>
              </w:rPr>
              <w:t>1,214,798 </w:t>
            </w:r>
            <w:r>
              <w:rPr>
                <w:rFonts w:ascii="宋体" w:hAnsi="宋体" w:cs="宋体" w:eastAsia="宋体" w:hint="default"/>
                <w:sz w:val="18"/>
                <w:szCs w:val="18"/>
              </w:rPr>
              <w:t>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tc>
      </w:tr>
    </w:tbl>
    <w:p>
      <w:pPr>
        <w:spacing w:after="0" w:line="240" w:lineRule="auto"/>
        <w:jc w:val="left"/>
        <w:rPr>
          <w:rFonts w:ascii="宋体" w:hAnsi="宋体" w:cs="宋体" w:eastAsia="宋体" w:hint="default"/>
          <w:sz w:val="18"/>
          <w:szCs w:val="18"/>
        </w:rPr>
        <w:sectPr>
          <w:pgSz w:w="11910" w:h="16840"/>
          <w:pgMar w:header="0" w:footer="1226" w:top="1100" w:bottom="142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479"/>
        <w:gridCol w:w="1349"/>
        <w:gridCol w:w="1143"/>
        <w:gridCol w:w="1134"/>
        <w:gridCol w:w="1417"/>
        <w:gridCol w:w="1418"/>
        <w:gridCol w:w="1630"/>
      </w:tblGrid>
      <w:tr>
        <w:trPr>
          <w:trHeight w:val="473" w:hRule="exact"/>
        </w:trPr>
        <w:tc>
          <w:tcPr>
            <w:tcW w:w="1479" w:type="dxa"/>
            <w:tcBorders>
              <w:top w:val="single" w:sz="12" w:space="0" w:color="000000"/>
              <w:left w:val="single" w:sz="12" w:space="0" w:color="000000"/>
              <w:bottom w:val="single" w:sz="4" w:space="0" w:color="000000"/>
              <w:right w:val="single" w:sz="4" w:space="0" w:color="000000"/>
            </w:tcBorders>
          </w:tcPr>
          <w:p>
            <w:pPr/>
          </w:p>
        </w:tc>
        <w:tc>
          <w:tcPr>
            <w:tcW w:w="1349" w:type="dxa"/>
            <w:tcBorders>
              <w:top w:val="single" w:sz="12" w:space="0" w:color="000000"/>
              <w:left w:val="single" w:sz="4" w:space="0" w:color="000000"/>
              <w:bottom w:val="single" w:sz="4" w:space="0" w:color="000000"/>
              <w:right w:val="single" w:sz="4" w:space="0" w:color="000000"/>
            </w:tcBorders>
          </w:tcPr>
          <w:p>
            <w:pPr/>
          </w:p>
        </w:tc>
        <w:tc>
          <w:tcPr>
            <w:tcW w:w="1143"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417"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63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3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9,718,380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27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5,540,462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5,540,462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11,080,924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5,540,462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1,108,092</w:t>
            </w:r>
          </w:p>
          <w:p>
            <w:pPr>
              <w:pStyle w:val="TableParagraph"/>
              <w:spacing w:line="309" w:lineRule="auto" w:before="63"/>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日可解除限售 </w:t>
            </w:r>
            <w:r>
              <w:rPr>
                <w:rFonts w:ascii="Times New Roman" w:hAnsi="Times New Roman" w:cs="Times New Roman" w:eastAsia="Times New Roman" w:hint="default"/>
                <w:sz w:val="18"/>
                <w:szCs w:val="18"/>
              </w:rPr>
              <w:t>1,108,092 </w:t>
            </w:r>
            <w:r>
              <w:rPr>
                <w:rFonts w:ascii="宋体" w:hAnsi="宋体" w:cs="宋体" w:eastAsia="宋体" w:hint="default"/>
                <w:sz w:val="18"/>
                <w:szCs w:val="18"/>
              </w:rPr>
              <w:t>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8,864,740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27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4,432,369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4,432,369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8,864,738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4,432,369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886,474</w:t>
            </w:r>
          </w:p>
          <w:p>
            <w:pPr>
              <w:pStyle w:val="TableParagraph"/>
              <w:spacing w:line="309" w:lineRule="auto" w:before="63"/>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日可解除限售 </w:t>
            </w:r>
            <w:r>
              <w:rPr>
                <w:rFonts w:ascii="Times New Roman" w:hAnsi="Times New Roman" w:cs="Times New Roman" w:eastAsia="Times New Roman" w:hint="default"/>
                <w:sz w:val="18"/>
                <w:szCs w:val="18"/>
              </w:rPr>
              <w:t>886,474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7,091,790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3,078,033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3,078,033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6,156,066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3,078,033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3,517,752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 </w:t>
            </w:r>
            <w:r>
              <w:rPr>
                <w:rFonts w:ascii="Times New Roman" w:hAnsi="Times New Roman" w:cs="Times New Roman" w:eastAsia="Times New Roman" w:hint="default"/>
                <w:sz w:val="18"/>
                <w:szCs w:val="18"/>
              </w:rPr>
              <w:t>2,638,314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6"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3" w:right="184"/>
              <w:jc w:val="left"/>
              <w:rPr>
                <w:rFonts w:ascii="宋体" w:hAnsi="宋体" w:cs="宋体" w:eastAsia="宋体" w:hint="default"/>
                <w:sz w:val="18"/>
                <w:szCs w:val="18"/>
              </w:rPr>
            </w:pPr>
            <w:r>
              <w:rPr>
                <w:rFonts w:ascii="宋体" w:hAnsi="宋体" w:cs="宋体" w:eastAsia="宋体" w:hint="default"/>
                <w:sz w:val="18"/>
                <w:szCs w:val="18"/>
              </w:rPr>
              <w:t>南京汇庆天下科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2,804,331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2,804,331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5,608,662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2,804,331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日可</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5,608,662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820,809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1,641,618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820,809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1,641,618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王建林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287,283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574,566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287,283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574,566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蒋云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287,283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574,566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287,283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574,566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7,171,717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7,171,717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14,343,434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7,171,717 </w:t>
            </w:r>
            <w:r>
              <w:rPr>
                <w:rFonts w:ascii="宋体" w:hAnsi="宋体" w:cs="宋体" w:eastAsia="宋体" w:hint="default"/>
                <w:sz w:val="18"/>
                <w:szCs w:val="18"/>
              </w:rPr>
              <w:t>股</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14,343,434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75" w:hRule="exact"/>
        </w:trPr>
        <w:tc>
          <w:tcPr>
            <w:tcW w:w="147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368,278,278</w:t>
            </w:r>
          </w:p>
        </w:tc>
        <w:tc>
          <w:tcPr>
            <w:tcW w:w="11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341,800,027</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683,600,054</w:t>
            </w:r>
          </w:p>
        </w:tc>
        <w:tc>
          <w:tcPr>
            <w:tcW w:w="141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2"/>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0" w:footer="1226" w:top="1100" w:bottom="1420" w:left="980" w:right="0"/>
        </w:sectPr>
      </w:pPr>
    </w:p>
    <w:p>
      <w:pPr>
        <w:spacing w:line="240" w:lineRule="auto" w:before="9"/>
        <w:rPr>
          <w:rFonts w:ascii="宋体" w:hAnsi="宋体" w:cs="宋体" w:eastAsia="宋体" w:hint="default"/>
          <w:sz w:val="20"/>
          <w:szCs w:val="20"/>
        </w:rPr>
      </w:pPr>
    </w:p>
    <w:p>
      <w:pPr>
        <w:pStyle w:val="Heading6"/>
        <w:spacing w:line="240" w:lineRule="auto" w:before="35"/>
        <w:ind w:left="153" w:right="1135"/>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日，公司关于向特定对象发行股份购买资产并募集配套资金的资产重组事项中的配套</w:t>
      </w:r>
    </w:p>
    <w:p>
      <w:pPr>
        <w:pStyle w:val="BodyText"/>
        <w:spacing w:line="240" w:lineRule="auto" w:before="178"/>
        <w:ind w:right="1135"/>
        <w:jc w:val="left"/>
      </w:pPr>
      <w:r>
        <w:rPr/>
        <w:t>募集股份</w:t>
      </w:r>
      <w:r>
        <w:rPr>
          <w:spacing w:val="-53"/>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1"/>
        </w:rPr>
        <w:t> </w:t>
      </w:r>
      <w:r>
        <w:rPr/>
        <w:t>股上市流通，公司股本增加到</w:t>
      </w:r>
      <w:r>
        <w:rPr>
          <w:spacing w:val="-53"/>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1"/>
        </w:rPr>
        <w:t> </w:t>
      </w:r>
      <w:r>
        <w:rPr/>
        <w:t>股。</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4"/>
        </w:rPr>
        <w:t>日，公司第六届董事会第十二次会议审议通过了《关于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年半年度资本公积金转增</w:t>
      </w:r>
    </w:p>
    <w:p>
      <w:pPr>
        <w:pStyle w:val="BodyText"/>
        <w:spacing w:line="240" w:lineRule="auto" w:before="177"/>
        <w:ind w:right="0"/>
        <w:jc w:val="left"/>
        <w:rPr>
          <w:rFonts w:ascii="Times New Roman" w:hAnsi="Times New Roman" w:cs="Times New Roman" w:eastAsia="Times New Roman" w:hint="default"/>
        </w:rPr>
      </w:pPr>
      <w:r>
        <w:rPr/>
        <w:t>股本预案的议案</w:t>
      </w:r>
      <w:r>
        <w:rPr>
          <w:spacing w:val="-105"/>
        </w:rPr>
        <w:t>》</w:t>
      </w:r>
      <w:r>
        <w:rPr>
          <w:spacing w:val="-77"/>
        </w:rPr>
        <w:t>，</w:t>
      </w:r>
      <w:r>
        <w:rPr/>
        <w:t>以</w:t>
      </w:r>
      <w:r>
        <w:rPr>
          <w:spacing w:val="-2"/>
        </w:rPr>
        <w:t>公</w:t>
      </w:r>
      <w:r>
        <w:rPr/>
        <w:t>司总股本</w:t>
      </w:r>
      <w:r>
        <w:rPr>
          <w:spacing w:val="-52"/>
        </w:rPr>
        <w:t> </w:t>
      </w:r>
      <w:r>
        <w:rPr>
          <w:rFonts w:ascii="Times New Roman" w:hAnsi="Times New Roman" w:cs="Times New Roman" w:eastAsia="Times New Roman" w:hint="default"/>
        </w:rPr>
        <w:t>458,905,958 </w:t>
      </w:r>
      <w:r>
        <w:rPr/>
        <w:t>股</w:t>
      </w:r>
      <w:r>
        <w:rPr>
          <w:spacing w:val="-2"/>
        </w:rPr>
        <w:t>为</w:t>
      </w:r>
      <w:r>
        <w:rPr/>
        <w:t>基数</w:t>
      </w:r>
      <w:r>
        <w:rPr>
          <w:spacing w:val="-77"/>
        </w:rPr>
        <w:t>，</w:t>
      </w:r>
      <w:r>
        <w:rPr/>
        <w:t>以资本公积金向全体股东每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股转增</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股</w:t>
      </w:r>
      <w:r>
        <w:rPr>
          <w:spacing w:val="-77"/>
        </w:rPr>
        <w:t>；</w:t>
      </w:r>
      <w:r>
        <w:rPr>
          <w:rFonts w:ascii="Times New Roman" w:hAnsi="Times New Roman" w:cs="Times New Roman" w:eastAsia="Times New Roman" w:hint="default"/>
        </w:rPr>
        <w:t>2015</w:t>
      </w:r>
    </w:p>
    <w:p>
      <w:pPr>
        <w:pStyle w:val="BodyText"/>
        <w:spacing w:line="240" w:lineRule="auto" w:before="177"/>
        <w:ind w:right="1135"/>
        <w:jc w:val="left"/>
      </w:pPr>
      <w:r>
        <w:rPr/>
        <w:t>年半年度不送红股、不进行现金分红。本议案已经公司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日召开的</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年度第三次临时股</w:t>
      </w:r>
    </w:p>
    <w:p>
      <w:pPr>
        <w:pStyle w:val="BodyText"/>
        <w:spacing w:line="240" w:lineRule="auto" w:before="177"/>
        <w:ind w:right="1135"/>
        <w:jc w:val="left"/>
        <w:rPr>
          <w:rFonts w:ascii="Times New Roman" w:hAnsi="Times New Roman" w:cs="Times New Roman" w:eastAsia="Times New Roman" w:hint="default"/>
        </w:rPr>
      </w:pPr>
      <w:r>
        <w:rPr/>
        <w:t>东大会进行审议通过，并于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日实施完毕，公司总股本由</w:t>
      </w:r>
      <w:r>
        <w:rPr>
          <w:spacing w:val="-55"/>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2"/>
        </w:rPr>
        <w:t> </w:t>
      </w:r>
      <w:r>
        <w:rPr/>
        <w:t>股增加到</w:t>
      </w:r>
      <w:r>
        <w:rPr>
          <w:spacing w:val="-55"/>
        </w:rPr>
        <w:t> </w:t>
      </w:r>
      <w:r>
        <w:rPr>
          <w:rFonts w:ascii="Times New Roman" w:hAnsi="Times New Roman" w:cs="Times New Roman" w:eastAsia="Times New Roman" w:hint="default"/>
        </w:rPr>
        <w:t>917,811,916</w:t>
      </w:r>
    </w:p>
    <w:p>
      <w:pPr>
        <w:pStyle w:val="BodyText"/>
        <w:spacing w:line="240" w:lineRule="auto" w:before="178"/>
        <w:ind w:right="1135"/>
        <w:jc w:val="left"/>
      </w:pPr>
      <w:r>
        <w:rPr/>
        <w:t>股。</w:t>
      </w:r>
    </w:p>
    <w:p>
      <w:pPr>
        <w:spacing w:line="240" w:lineRule="auto" w:before="10"/>
        <w:rPr>
          <w:rFonts w:ascii="宋体" w:hAnsi="宋体" w:cs="宋体" w:eastAsia="宋体" w:hint="default"/>
          <w:sz w:val="17"/>
          <w:szCs w:val="17"/>
        </w:rPr>
      </w:pPr>
    </w:p>
    <w:p>
      <w:pPr>
        <w:pStyle w:val="BodyText"/>
        <w:spacing w:line="240" w:lineRule="auto"/>
        <w:ind w:left="574" w:right="1135"/>
        <w:jc w:val="left"/>
      </w:pPr>
      <w:r>
        <w:rPr/>
        <w:t>股东结构变动情况如下：</w:t>
      </w:r>
    </w:p>
    <w:p>
      <w:pPr>
        <w:spacing w:line="240" w:lineRule="auto" w:before="12"/>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127"/>
        <w:gridCol w:w="1702"/>
        <w:gridCol w:w="1134"/>
        <w:gridCol w:w="1559"/>
        <w:gridCol w:w="1702"/>
        <w:gridCol w:w="1133"/>
      </w:tblGrid>
      <w:tr>
        <w:trPr>
          <w:trHeight w:val="494" w:hRule="exact"/>
        </w:trPr>
        <w:tc>
          <w:tcPr>
            <w:tcW w:w="2127"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股份类型</w:t>
            </w:r>
          </w:p>
        </w:tc>
        <w:tc>
          <w:tcPr>
            <w:tcW w:w="2836" w:type="dxa"/>
            <w:gridSpan w:val="2"/>
            <w:tcBorders>
              <w:top w:val="single" w:sz="12"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1559"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本次变动数</w:t>
            </w:r>
          </w:p>
        </w:tc>
        <w:tc>
          <w:tcPr>
            <w:tcW w:w="2835" w:type="dxa"/>
            <w:gridSpan w:val="2"/>
            <w:tcBorders>
              <w:top w:val="single" w:sz="12" w:space="0" w:color="000000"/>
              <w:left w:val="single" w:sz="4" w:space="0" w:color="000000"/>
              <w:bottom w:val="single" w:sz="4" w:space="0" w:color="FFFFFF"/>
              <w:right w:val="single" w:sz="12" w:space="0" w:color="000000"/>
            </w:tcBorders>
            <w:shd w:val="clear" w:color="auto" w:fill="D9D9D9"/>
          </w:tcPr>
          <w:p>
            <w:pPr>
              <w:pStyle w:val="TableParagraph"/>
              <w:spacing w:line="240" w:lineRule="auto" w:before="92"/>
              <w:ind w:left="370"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84" w:hRule="exact"/>
        </w:trPr>
        <w:tc>
          <w:tcPr>
            <w:tcW w:w="2127" w:type="dxa"/>
            <w:vMerge/>
            <w:tcBorders>
              <w:left w:val="single" w:sz="12" w:space="0" w:color="000000"/>
              <w:bottom w:val="single" w:sz="4" w:space="0" w:color="000000"/>
              <w:right w:val="single" w:sz="4" w:space="0" w:color="000000"/>
            </w:tcBorders>
            <w:shd w:val="clear" w:color="auto" w:fill="D9D9D9"/>
          </w:tcPr>
          <w:p>
            <w:pPr/>
          </w:p>
        </w:tc>
        <w:tc>
          <w:tcPr>
            <w:tcW w:w="170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34"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92"/>
              <w:ind w:left="1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vMerge/>
            <w:tcBorders>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33" w:type="dxa"/>
            <w:tcBorders>
              <w:top w:val="single" w:sz="4" w:space="0" w:color="FFFFFF"/>
              <w:left w:val="single" w:sz="4" w:space="0" w:color="000000"/>
              <w:bottom w:val="single" w:sz="4" w:space="0" w:color="000000"/>
              <w:right w:val="single" w:sz="12" w:space="0" w:color="000000"/>
            </w:tcBorders>
            <w:shd w:val="clear" w:color="auto" w:fill="D9D9D9"/>
          </w:tcPr>
          <w:p>
            <w:pPr>
              <w:pStyle w:val="TableParagraph"/>
              <w:spacing w:line="240" w:lineRule="auto" w:before="92"/>
              <w:ind w:left="1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4"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一、有限售条件的流通股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z w:val="18"/>
              </w:rPr>
              <w:t>361,106,561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79.94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322,493,493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683,600,054</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1"/>
              <w:ind w:right="-6"/>
              <w:jc w:val="right"/>
              <w:rPr>
                <w:rFonts w:ascii="Times New Roman" w:hAnsi="Times New Roman" w:cs="Times New Roman" w:eastAsia="Times New Roman" w:hint="default"/>
                <w:sz w:val="18"/>
                <w:szCs w:val="18"/>
              </w:rPr>
            </w:pPr>
            <w:r>
              <w:rPr>
                <w:rFonts w:ascii="Times New Roman"/>
                <w:sz w:val="18"/>
              </w:rPr>
              <w:t>74.48</w:t>
            </w:r>
          </w:p>
        </w:tc>
      </w:tr>
      <w:tr>
        <w:trPr>
          <w:trHeight w:val="484"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90,627,680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20.06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143,584,182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234,211,862</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25.52</w:t>
            </w:r>
          </w:p>
        </w:tc>
      </w:tr>
      <w:tr>
        <w:trPr>
          <w:trHeight w:val="495" w:hRule="exact"/>
        </w:trPr>
        <w:tc>
          <w:tcPr>
            <w:tcW w:w="21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451,734,241</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466,077,675</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917,811,916</w:t>
            </w: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BodyText"/>
        <w:spacing w:line="240" w:lineRule="auto" w:before="194"/>
        <w:ind w:left="154" w:right="1135"/>
        <w:jc w:val="left"/>
      </w:pPr>
      <w:r>
        <w:rPr>
          <w:rFonts w:ascii="Times New Roman" w:hAnsi="Times New Roman" w:cs="Times New Roman" w:eastAsia="Times New Roman" w:hint="default"/>
        </w:rPr>
        <w:t>(2)</w:t>
      </w:r>
      <w:r>
        <w:rPr/>
        <w:t>公司资产和负债结构的变动情况</w:t>
      </w:r>
    </w:p>
    <w:p>
      <w:pPr>
        <w:spacing w:line="240" w:lineRule="auto" w:before="10"/>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2419"/>
        <w:gridCol w:w="2199"/>
        <w:gridCol w:w="1198"/>
        <w:gridCol w:w="2348"/>
        <w:gridCol w:w="1138"/>
      </w:tblGrid>
      <w:tr>
        <w:trPr>
          <w:trHeight w:val="493" w:hRule="exact"/>
        </w:trPr>
        <w:tc>
          <w:tcPr>
            <w:tcW w:w="241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96"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年末</w:t>
            </w:r>
          </w:p>
        </w:tc>
        <w:tc>
          <w:tcPr>
            <w:tcW w:w="3486"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w:t>
            </w:r>
          </w:p>
        </w:tc>
      </w:tr>
      <w:tr>
        <w:trPr>
          <w:trHeight w:val="655" w:hRule="exact"/>
        </w:trPr>
        <w:tc>
          <w:tcPr>
            <w:tcW w:w="2419" w:type="dxa"/>
            <w:vMerge/>
            <w:tcBorders>
              <w:left w:val="single" w:sz="12" w:space="0" w:color="000000"/>
              <w:bottom w:val="single" w:sz="4" w:space="0" w:color="000000"/>
              <w:right w:val="single" w:sz="4" w:space="0" w:color="000000"/>
            </w:tcBorders>
            <w:shd w:val="clear" w:color="auto" w:fill="D9D9D9"/>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20"/>
              <w:ind w:left="69" w:right="26" w:hanging="41"/>
              <w:jc w:val="left"/>
              <w:rPr>
                <w:rFonts w:ascii="宋体" w:hAnsi="宋体" w:cs="宋体" w:eastAsia="宋体" w:hint="default"/>
                <w:sz w:val="18"/>
                <w:szCs w:val="18"/>
              </w:rPr>
            </w:pPr>
            <w:r>
              <w:rPr>
                <w:rFonts w:ascii="宋体" w:hAnsi="宋体" w:cs="宋体" w:eastAsia="宋体" w:hint="default"/>
                <w:sz w:val="18"/>
                <w:szCs w:val="18"/>
              </w:rPr>
              <w:t>占总资产</w:t>
            </w:r>
            <w:r>
              <w:rPr>
                <w:rFonts w:ascii="Times New Roman" w:hAnsi="Times New Roman" w:cs="Times New Roman" w:eastAsia="Times New Roman" w:hint="default"/>
                <w:sz w:val="18"/>
                <w:szCs w:val="18"/>
              </w:rPr>
              <w:t>/</w:t>
            </w:r>
            <w:r>
              <w:rPr>
                <w:rFonts w:ascii="宋体" w:hAnsi="宋体" w:cs="宋体" w:eastAsia="宋体" w:hint="default"/>
                <w:sz w:val="18"/>
                <w:szCs w:val="18"/>
              </w:rPr>
              <w:t>总负 债比例（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300" w:lineRule="auto" w:before="20"/>
              <w:ind w:left="4" w:right="77" w:firstLine="84"/>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w:t>
            </w:r>
            <w:r>
              <w:rPr>
                <w:rFonts w:ascii="Times New Roman" w:hAnsi="Times New Roman" w:cs="Times New Roman" w:eastAsia="Times New Roman" w:hint="default"/>
                <w:sz w:val="18"/>
                <w:szCs w:val="18"/>
              </w:rPr>
              <w:t>/</w:t>
            </w:r>
            <w:r>
              <w:rPr>
                <w:rFonts w:ascii="宋体" w:hAnsi="宋体" w:cs="宋体" w:eastAsia="宋体" w:hint="default"/>
                <w:sz w:val="18"/>
                <w:szCs w:val="18"/>
              </w:rPr>
              <w:t>总 </w:t>
            </w:r>
            <w:r>
              <w:rPr>
                <w:rFonts w:ascii="宋体" w:hAnsi="宋体" w:cs="宋体" w:eastAsia="宋体" w:hint="default"/>
                <w:spacing w:val="-4"/>
                <w:sz w:val="18"/>
                <w:szCs w:val="18"/>
              </w:rPr>
              <w:t>负债比例（</w:t>
            </w:r>
            <w:r>
              <w:rPr>
                <w:rFonts w:ascii="Times New Roman" w:hAnsi="Times New Roman" w:cs="Times New Roman" w:eastAsia="Times New Roman" w:hint="default"/>
                <w:spacing w:val="-4"/>
                <w:sz w:val="18"/>
                <w:szCs w:val="18"/>
              </w:rPr>
              <w:t>%</w:t>
            </w:r>
          </w:p>
        </w:tc>
      </w:tr>
      <w:tr>
        <w:trPr>
          <w:trHeight w:val="484"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5,905,102,259.84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80.11</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5"/>
              <w:jc w:val="right"/>
              <w:rPr>
                <w:rFonts w:ascii="Times New Roman" w:hAnsi="Times New Roman" w:cs="Times New Roman" w:eastAsia="Times New Roman" w:hint="default"/>
                <w:sz w:val="18"/>
                <w:szCs w:val="18"/>
              </w:rPr>
            </w:pPr>
            <w:r>
              <w:rPr>
                <w:rFonts w:ascii="Times New Roman"/>
                <w:spacing w:val="-1"/>
                <w:sz w:val="18"/>
              </w:rPr>
              <w:t>4,919,417,956.68</w:t>
            </w:r>
          </w:p>
        </w:tc>
        <w:tc>
          <w:tcPr>
            <w:tcW w:w="1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76.83</w:t>
            </w:r>
          </w:p>
        </w:tc>
      </w:tr>
      <w:tr>
        <w:trPr>
          <w:trHeight w:val="484"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1,466,558,670.89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19.89</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5"/>
              <w:jc w:val="right"/>
              <w:rPr>
                <w:rFonts w:ascii="Times New Roman" w:hAnsi="Times New Roman" w:cs="Times New Roman" w:eastAsia="Times New Roman" w:hint="default"/>
                <w:sz w:val="18"/>
                <w:szCs w:val="18"/>
              </w:rPr>
            </w:pPr>
            <w:r>
              <w:rPr>
                <w:rFonts w:ascii="Times New Roman"/>
                <w:spacing w:val="-1"/>
                <w:sz w:val="18"/>
              </w:rPr>
              <w:t>1,483,945,427.73</w:t>
            </w:r>
          </w:p>
        </w:tc>
        <w:tc>
          <w:tcPr>
            <w:tcW w:w="1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23.17</w:t>
            </w:r>
          </w:p>
        </w:tc>
      </w:tr>
      <w:tr>
        <w:trPr>
          <w:trHeight w:val="485"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7,371,660,930.73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100.00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5"/>
              <w:jc w:val="right"/>
              <w:rPr>
                <w:rFonts w:ascii="Times New Roman" w:hAnsi="Times New Roman" w:cs="Times New Roman" w:eastAsia="Times New Roman" w:hint="default"/>
                <w:sz w:val="18"/>
                <w:szCs w:val="18"/>
              </w:rPr>
            </w:pPr>
            <w:r>
              <w:rPr>
                <w:rFonts w:ascii="Times New Roman"/>
                <w:spacing w:val="-1"/>
                <w:sz w:val="18"/>
              </w:rPr>
              <w:t>6,403,363,384.41</w:t>
            </w:r>
          </w:p>
        </w:tc>
        <w:tc>
          <w:tcPr>
            <w:tcW w:w="1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4,018,866,947.56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98.72</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5"/>
              <w:jc w:val="right"/>
              <w:rPr>
                <w:rFonts w:ascii="Times New Roman" w:hAnsi="Times New Roman" w:cs="Times New Roman" w:eastAsia="Times New Roman" w:hint="default"/>
                <w:sz w:val="18"/>
                <w:szCs w:val="18"/>
              </w:rPr>
            </w:pPr>
            <w:r>
              <w:rPr>
                <w:rFonts w:ascii="Times New Roman"/>
                <w:spacing w:val="-1"/>
                <w:sz w:val="18"/>
              </w:rPr>
              <w:t>3,167,556,213.54</w:t>
            </w:r>
          </w:p>
        </w:tc>
        <w:tc>
          <w:tcPr>
            <w:tcW w:w="1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92.03</w:t>
            </w:r>
          </w:p>
        </w:tc>
      </w:tr>
      <w:tr>
        <w:trPr>
          <w:trHeight w:val="484"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right"/>
              <w:rPr>
                <w:rFonts w:ascii="Times New Roman" w:hAnsi="Times New Roman" w:cs="Times New Roman" w:eastAsia="Times New Roman" w:hint="default"/>
                <w:sz w:val="18"/>
                <w:szCs w:val="18"/>
              </w:rPr>
            </w:pPr>
            <w:r>
              <w:rPr>
                <w:rFonts w:ascii="Times New Roman"/>
                <w:spacing w:val="-1"/>
                <w:sz w:val="18"/>
              </w:rPr>
              <w:t>52,285,208.72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1.28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right"/>
              <w:rPr>
                <w:rFonts w:ascii="Times New Roman" w:hAnsi="Times New Roman" w:cs="Times New Roman" w:eastAsia="Times New Roman" w:hint="default"/>
                <w:sz w:val="18"/>
                <w:szCs w:val="18"/>
              </w:rPr>
            </w:pPr>
            <w:r>
              <w:rPr>
                <w:rFonts w:ascii="Times New Roman"/>
                <w:spacing w:val="-1"/>
                <w:sz w:val="18"/>
              </w:rPr>
              <w:t>274,292,334.72</w:t>
            </w:r>
          </w:p>
        </w:tc>
        <w:tc>
          <w:tcPr>
            <w:tcW w:w="1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7.97</w:t>
            </w:r>
          </w:p>
        </w:tc>
      </w:tr>
      <w:tr>
        <w:trPr>
          <w:trHeight w:val="484"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4,071,152,156.28</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z w:val="18"/>
              </w:rPr>
              <w:t>100.00</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5"/>
              <w:jc w:val="right"/>
              <w:rPr>
                <w:rFonts w:ascii="Times New Roman" w:hAnsi="Times New Roman" w:cs="Times New Roman" w:eastAsia="Times New Roman" w:hint="default"/>
                <w:sz w:val="18"/>
                <w:szCs w:val="18"/>
              </w:rPr>
            </w:pPr>
            <w:r>
              <w:rPr>
                <w:rFonts w:ascii="Times New Roman"/>
                <w:spacing w:val="-1"/>
                <w:sz w:val="18"/>
              </w:rPr>
              <w:t>3,441,848,548.26</w:t>
            </w:r>
          </w:p>
        </w:tc>
        <w:tc>
          <w:tcPr>
            <w:tcW w:w="1138"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31"/>
              <w:ind w:right="-6"/>
              <w:jc w:val="right"/>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2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3"/>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3"/>
              <w:jc w:val="right"/>
              <w:rPr>
                <w:rFonts w:ascii="Times New Roman" w:hAnsi="Times New Roman" w:cs="Times New Roman" w:eastAsia="Times New Roman" w:hint="default"/>
                <w:sz w:val="18"/>
                <w:szCs w:val="18"/>
              </w:rPr>
            </w:pPr>
            <w:r>
              <w:rPr>
                <w:rFonts w:ascii="Times New Roman"/>
                <w:spacing w:val="-1"/>
                <w:sz w:val="18"/>
              </w:rPr>
              <w:t>3,300,508,774.45</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1"/>
              <w:jc w:val="right"/>
              <w:rPr>
                <w:rFonts w:ascii="Times New Roman" w:hAnsi="Times New Roman" w:cs="Times New Roman" w:eastAsia="Times New Roman" w:hint="default"/>
                <w:sz w:val="18"/>
                <w:szCs w:val="18"/>
              </w:rPr>
            </w:pPr>
            <w:r>
              <w:rPr>
                <w:rFonts w:ascii="Times New Roman"/>
                <w:sz w:val="18"/>
              </w:rPr>
              <w:t>44.77</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5"/>
              <w:jc w:val="right"/>
              <w:rPr>
                <w:rFonts w:ascii="Times New Roman" w:hAnsi="Times New Roman" w:cs="Times New Roman" w:eastAsia="Times New Roman" w:hint="default"/>
                <w:sz w:val="18"/>
                <w:szCs w:val="18"/>
              </w:rPr>
            </w:pPr>
            <w:r>
              <w:rPr>
                <w:rFonts w:ascii="Times New Roman"/>
                <w:spacing w:val="-1"/>
                <w:sz w:val="18"/>
              </w:rPr>
              <w:t>2,961,514,836.15</w:t>
            </w:r>
          </w:p>
        </w:tc>
        <w:tc>
          <w:tcPr>
            <w:tcW w:w="1138"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33"/>
              <w:ind w:right="-6"/>
              <w:jc w:val="right"/>
              <w:rPr>
                <w:rFonts w:ascii="Times New Roman" w:hAnsi="Times New Roman" w:cs="Times New Roman" w:eastAsia="Times New Roman" w:hint="default"/>
                <w:sz w:val="18"/>
                <w:szCs w:val="18"/>
              </w:rPr>
            </w:pPr>
            <w:r>
              <w:rPr>
                <w:rFonts w:ascii="Times New Roman"/>
                <w:sz w:val="18"/>
              </w:rPr>
              <w:t>46.25</w:t>
            </w:r>
          </w:p>
        </w:tc>
      </w:tr>
      <w:tr>
        <w:trPr>
          <w:trHeight w:val="493" w:hRule="exact"/>
        </w:trPr>
        <w:tc>
          <w:tcPr>
            <w:tcW w:w="241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归属母公司所有者权益</w:t>
            </w:r>
          </w:p>
        </w:tc>
        <w:tc>
          <w:tcPr>
            <w:tcW w:w="2199"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3,249,319,003.38</w:t>
            </w:r>
          </w:p>
        </w:tc>
        <w:tc>
          <w:tcPr>
            <w:tcW w:w="1198"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z w:val="18"/>
              </w:rPr>
              <w:t>44.08</w:t>
            </w:r>
          </w:p>
        </w:tc>
        <w:tc>
          <w:tcPr>
            <w:tcW w:w="2348"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131"/>
              <w:ind w:right="5"/>
              <w:jc w:val="right"/>
              <w:rPr>
                <w:rFonts w:ascii="Times New Roman" w:hAnsi="Times New Roman" w:cs="Times New Roman" w:eastAsia="Times New Roman" w:hint="default"/>
                <w:sz w:val="18"/>
                <w:szCs w:val="18"/>
              </w:rPr>
            </w:pPr>
            <w:r>
              <w:rPr>
                <w:rFonts w:ascii="Times New Roman"/>
                <w:spacing w:val="-1"/>
                <w:sz w:val="18"/>
              </w:rPr>
              <w:t>2,929,881,997.26</w:t>
            </w:r>
          </w:p>
        </w:tc>
        <w:tc>
          <w:tcPr>
            <w:tcW w:w="1138" w:type="dxa"/>
            <w:tcBorders>
              <w:top w:val="single" w:sz="4" w:space="0" w:color="000000"/>
              <w:left w:val="single" w:sz="4" w:space="0" w:color="000000"/>
              <w:bottom w:val="single" w:sz="12" w:space="0" w:color="000000"/>
              <w:right w:val="single" w:sz="12" w:space="0" w:color="000000"/>
            </w:tcBorders>
            <w:shd w:val="clear" w:color="auto" w:fill="D9D9D9"/>
          </w:tcPr>
          <w:p>
            <w:pPr>
              <w:pStyle w:val="TableParagraph"/>
              <w:spacing w:line="240" w:lineRule="auto" w:before="131"/>
              <w:ind w:right="-6"/>
              <w:jc w:val="right"/>
              <w:rPr>
                <w:rFonts w:ascii="Times New Roman" w:hAnsi="Times New Roman" w:cs="Times New Roman" w:eastAsia="Times New Roman" w:hint="default"/>
                <w:sz w:val="18"/>
                <w:szCs w:val="18"/>
              </w:rPr>
            </w:pPr>
            <w:r>
              <w:rPr>
                <w:rFonts w:ascii="Times New Roman"/>
                <w:sz w:val="18"/>
              </w:rPr>
              <w:t>45.76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10"/>
        <w:rPr>
          <w:rFonts w:ascii="宋体" w:hAnsi="宋体" w:cs="宋体" w:eastAsia="宋体" w:hint="default"/>
          <w:sz w:val="20"/>
          <w:szCs w:val="20"/>
        </w:rPr>
      </w:pPr>
    </w:p>
    <w:p>
      <w:pPr>
        <w:pStyle w:val="Heading6"/>
        <w:spacing w:line="240" w:lineRule="auto" w:before="35"/>
        <w:ind w:left="153" w:right="1135"/>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1135"/>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2"/>
        <w:gridCol w:w="268"/>
        <w:gridCol w:w="940"/>
        <w:gridCol w:w="143"/>
        <w:gridCol w:w="850"/>
        <w:gridCol w:w="311"/>
        <w:gridCol w:w="823"/>
        <w:gridCol w:w="263"/>
        <w:gridCol w:w="871"/>
        <w:gridCol w:w="568"/>
        <w:gridCol w:w="566"/>
        <w:gridCol w:w="521"/>
        <w:gridCol w:w="473"/>
        <w:gridCol w:w="844"/>
        <w:gridCol w:w="932"/>
      </w:tblGrid>
      <w:tr>
        <w:trPr>
          <w:trHeight w:val="171" w:hRule="exact"/>
        </w:trPr>
        <w:tc>
          <w:tcPr>
            <w:tcW w:w="1202" w:type="dxa"/>
            <w:vMerge w:val="restart"/>
            <w:tcBorders>
              <w:top w:val="single" w:sz="12" w:space="0" w:color="000000"/>
              <w:left w:val="single" w:sz="12" w:space="0" w:color="000000"/>
              <w:right w:val="single" w:sz="4" w:space="0" w:color="000000"/>
            </w:tcBorders>
            <w:shd w:val="clear" w:color="auto" w:fill="D2D2D2"/>
          </w:tcPr>
          <w:p>
            <w:pPr/>
          </w:p>
        </w:tc>
        <w:tc>
          <w:tcPr>
            <w:tcW w:w="1208" w:type="dxa"/>
            <w:gridSpan w:val="2"/>
            <w:vMerge w:val="restart"/>
            <w:tcBorders>
              <w:top w:val="single" w:sz="12"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48,055</w:t>
            </w:r>
          </w:p>
        </w:tc>
        <w:tc>
          <w:tcPr>
            <w:tcW w:w="1304" w:type="dxa"/>
            <w:gridSpan w:val="3"/>
            <w:tcBorders>
              <w:top w:val="single" w:sz="12"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58,833</w:t>
            </w:r>
          </w:p>
        </w:tc>
        <w:tc>
          <w:tcPr>
            <w:tcW w:w="1439" w:type="dxa"/>
            <w:gridSpan w:val="2"/>
            <w:tcBorders>
              <w:top w:val="single" w:sz="12"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17"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1"/>
              <w:ind w:left="11"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932" w:type="dxa"/>
            <w:vMerge w:val="restart"/>
            <w:tcBorders>
              <w:top w:val="single" w:sz="12" w:space="0" w:color="000000"/>
              <w:left w:val="single" w:sz="13" w:space="0" w:color="D2D2D2"/>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tcBorders>
              <w:left w:val="single" w:sz="12"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86"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w:t>
            </w:r>
          </w:p>
        </w:tc>
        <w:tc>
          <w:tcPr>
            <w:tcW w:w="1086" w:type="dxa"/>
            <w:gridSpan w:val="2"/>
            <w:vMerge/>
            <w:tcBorders>
              <w:left w:val="single" w:sz="9" w:space="0" w:color="D2D2D2"/>
              <w:right w:val="single" w:sz="9" w:space="0" w:color="D2D2D2"/>
            </w:tcBorders>
          </w:tcPr>
          <w:p>
            <w:pPr/>
          </w:p>
        </w:tc>
        <w:tc>
          <w:tcPr>
            <w:tcW w:w="1317" w:type="dxa"/>
            <w:gridSpan w:val="2"/>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12" w:space="0" w:color="000000"/>
            </w:tcBorders>
          </w:tcPr>
          <w:p>
            <w:pPr/>
          </w:p>
        </w:tc>
      </w:tr>
      <w:tr>
        <w:trPr>
          <w:trHeight w:val="703" w:hRule="exact"/>
        </w:trPr>
        <w:tc>
          <w:tcPr>
            <w:tcW w:w="1202"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51"/>
              <w:ind w:left="13"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304"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17" w:type="dxa"/>
            <w:gridSpan w:val="2"/>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12" w:space="0" w:color="000000"/>
            </w:tcBorders>
          </w:tcPr>
          <w:p>
            <w:pPr/>
          </w:p>
        </w:tc>
      </w:tr>
      <w:tr>
        <w:trPr>
          <w:trHeight w:val="156" w:hRule="exact"/>
        </w:trPr>
        <w:tc>
          <w:tcPr>
            <w:tcW w:w="1202" w:type="dxa"/>
            <w:vMerge w:val="restart"/>
            <w:tcBorders>
              <w:top w:val="nil" w:sz="6" w:space="0" w:color="auto"/>
              <w:left w:val="single" w:sz="12"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17" w:type="dxa"/>
            <w:gridSpan w:val="2"/>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12" w:space="0" w:color="000000"/>
            </w:tcBorders>
          </w:tcPr>
          <w:p>
            <w:pPr/>
          </w:p>
        </w:tc>
      </w:tr>
      <w:tr>
        <w:trPr>
          <w:trHeight w:val="176" w:hRule="exact"/>
        </w:trPr>
        <w:tc>
          <w:tcPr>
            <w:tcW w:w="1202" w:type="dxa"/>
            <w:vMerge/>
            <w:tcBorders>
              <w:left w:val="single" w:sz="12"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16" w:space="0" w:color="D2D2D2"/>
              <w:right w:val="single" w:sz="9" w:space="0" w:color="D2D2D2"/>
            </w:tcBorders>
          </w:tcPr>
          <w:p>
            <w:pPr/>
          </w:p>
        </w:tc>
        <w:tc>
          <w:tcPr>
            <w:tcW w:w="130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16" w:space="0" w:color="D2D2D2"/>
              <w:right w:val="single" w:sz="9"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16" w:space="0" w:color="D2D2D2"/>
              <w:right w:val="single" w:sz="9" w:space="0" w:color="D2D2D2"/>
            </w:tcBorders>
          </w:tcPr>
          <w:p>
            <w:pPr/>
          </w:p>
        </w:tc>
        <w:tc>
          <w:tcPr>
            <w:tcW w:w="131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13" w:space="0" w:color="D2D2D2"/>
              <w:bottom w:val="single" w:sz="16" w:space="0" w:color="D2D2D2"/>
              <w:right w:val="single" w:sz="12" w:space="0" w:color="000000"/>
            </w:tcBorders>
          </w:tcPr>
          <w:p>
            <w:pPr/>
          </w:p>
        </w:tc>
      </w:tr>
      <w:tr>
        <w:trPr>
          <w:trHeight w:val="433" w:hRule="exact"/>
        </w:trPr>
        <w:tc>
          <w:tcPr>
            <w:tcW w:w="9575" w:type="dxa"/>
            <w:gridSpan w:val="15"/>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left="305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80" w:hRule="exact"/>
        </w:trPr>
        <w:tc>
          <w:tcPr>
            <w:tcW w:w="1470" w:type="dxa"/>
            <w:gridSpan w:val="2"/>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5" w:type="dxa"/>
            <w:gridSpan w:val="2"/>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8"/>
              <w:ind w:left="2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562" w:hRule="exact"/>
        </w:trPr>
        <w:tc>
          <w:tcPr>
            <w:tcW w:w="1470" w:type="dxa"/>
            <w:gridSpan w:val="2"/>
            <w:vMerge/>
            <w:tcBorders>
              <w:left w:val="single" w:sz="12"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3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31"/>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74"/>
              <w:jc w:val="left"/>
              <w:rPr>
                <w:rFonts w:ascii="宋体" w:hAnsi="宋体" w:cs="宋体" w:eastAsia="宋体" w:hint="default"/>
                <w:sz w:val="18"/>
                <w:szCs w:val="18"/>
              </w:rPr>
            </w:pPr>
            <w:r>
              <w:rPr>
                <w:rFonts w:ascii="宋体" w:hAnsi="宋体" w:cs="宋体" w:eastAsia="宋体" w:hint="default"/>
                <w:sz w:val="18"/>
                <w:szCs w:val="18"/>
              </w:rPr>
              <w:t>神州数码软件有 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389,540,110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194,770,</w:t>
            </w:r>
            <w:r>
              <w:rPr>
                <w:rFonts w:ascii="Times New Roman"/>
                <w:spacing w:val="-1"/>
                <w:sz w:val="18"/>
              </w:rPr>
              <w:t> </w:t>
            </w:r>
            <w:r>
              <w:rPr>
                <w:rFonts w:ascii="Times New Roman"/>
                <w:sz w:val="18"/>
              </w:rPr>
              <w:t>055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389,540,110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74"/>
              <w:jc w:val="both"/>
              <w:rPr>
                <w:rFonts w:ascii="宋体" w:hAnsi="宋体" w:cs="宋体" w:eastAsia="宋体" w:hint="default"/>
                <w:sz w:val="18"/>
                <w:szCs w:val="18"/>
              </w:rPr>
            </w:pPr>
            <w:r>
              <w:rPr>
                <w:rFonts w:ascii="宋体" w:hAnsi="宋体" w:cs="宋体" w:eastAsia="宋体" w:hint="default"/>
                <w:sz w:val="18"/>
                <w:szCs w:val="18"/>
              </w:rPr>
              <w:t>天津信锐投资合 伙企业（有限合 伙）</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119,021,176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59,510,588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119,021,176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56,800,000</w:t>
            </w:r>
          </w:p>
        </w:tc>
      </w:tr>
      <w:tr>
        <w:trPr>
          <w:trHeight w:val="1026"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74"/>
              <w:jc w:val="both"/>
              <w:rPr>
                <w:rFonts w:ascii="宋体" w:hAnsi="宋体" w:cs="宋体" w:eastAsia="宋体" w:hint="default"/>
                <w:sz w:val="18"/>
                <w:szCs w:val="18"/>
              </w:rPr>
            </w:pPr>
            <w:r>
              <w:rPr>
                <w:rFonts w:ascii="宋体" w:hAnsi="宋体" w:cs="宋体" w:eastAsia="宋体" w:hint="default"/>
                <w:sz w:val="18"/>
                <w:szCs w:val="18"/>
              </w:rPr>
              <w:t>中新苏州工业园 区创业投资有限 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99,737,888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46,781,385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52,956,504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46,781,384</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74"/>
              <w:jc w:val="left"/>
              <w:rPr>
                <w:rFonts w:ascii="宋体" w:hAnsi="宋体" w:cs="宋体" w:eastAsia="宋体" w:hint="default"/>
                <w:sz w:val="18"/>
                <w:szCs w:val="18"/>
              </w:rPr>
            </w:pPr>
            <w:r>
              <w:rPr>
                <w:rFonts w:ascii="宋体" w:hAnsi="宋体" w:cs="宋体" w:eastAsia="宋体" w:hint="default"/>
                <w:sz w:val="18"/>
                <w:szCs w:val="18"/>
              </w:rPr>
              <w:t>昆山市申昌科技 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50,718,280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9,634,783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42,372,880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8,345,400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62" w:lineRule="auto" w:before="91"/>
              <w:ind w:left="13" w:right="44"/>
              <w:jc w:val="left"/>
              <w:rPr>
                <w:rFonts w:ascii="Times New Roman" w:hAnsi="Times New Roman" w:cs="Times New Roman" w:eastAsia="Times New Roman" w:hint="default"/>
                <w:sz w:val="18"/>
                <w:szCs w:val="18"/>
              </w:rPr>
            </w:pPr>
            <w:r>
              <w:rPr>
                <w:rFonts w:ascii="Times New Roman"/>
                <w:sz w:val="18"/>
              </w:rPr>
              <w:t>Infinity</w:t>
            </w:r>
            <w:r>
              <w:rPr>
                <w:rFonts w:ascii="Times New Roman"/>
                <w:spacing w:val="-1"/>
                <w:sz w:val="18"/>
              </w:rPr>
              <w:t> </w:t>
            </w:r>
            <w:r>
              <w:rPr>
                <w:rFonts w:ascii="Times New Roman"/>
                <w:sz w:val="18"/>
              </w:rPr>
              <w:t>I-China</w:t>
            </w:r>
            <w:r>
              <w:rPr>
                <w:rFonts w:ascii="Times New Roman"/>
                <w:w w:val="99"/>
                <w:sz w:val="18"/>
              </w:rPr>
              <w:t> </w:t>
            </w:r>
            <w:r>
              <w:rPr>
                <w:rFonts w:ascii="Times New Roman"/>
                <w:sz w:val="18"/>
              </w:rPr>
              <w:t>Investments(Israel)</w:t>
            </w:r>
          </w:p>
          <w:p>
            <w:pPr>
              <w:pStyle w:val="TableParagraph"/>
              <w:spacing w:line="240" w:lineRule="auto" w:before="4"/>
              <w:ind w:left="13" w:right="0"/>
              <w:jc w:val="left"/>
              <w:rPr>
                <w:rFonts w:ascii="Times New Roman" w:hAnsi="Times New Roman" w:cs="Times New Roman" w:eastAsia="Times New Roman" w:hint="default"/>
                <w:sz w:val="18"/>
                <w:szCs w:val="18"/>
              </w:rPr>
            </w:pPr>
            <w:r>
              <w:rPr>
                <w:rFonts w:ascii="Times New Roman"/>
                <w:spacing w:val="-5"/>
                <w:sz w:val="18"/>
              </w:rPr>
              <w:t>,L.P.</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18,716,834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9,358,417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18,716,834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1.32%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0" w:right="0"/>
              <w:jc w:val="left"/>
              <w:rPr>
                <w:rFonts w:ascii="Times New Roman" w:hAnsi="Times New Roman" w:cs="Times New Roman" w:eastAsia="Times New Roman" w:hint="default"/>
                <w:sz w:val="18"/>
                <w:szCs w:val="18"/>
              </w:rPr>
            </w:pPr>
            <w:r>
              <w:rPr>
                <w:rFonts w:ascii="Times New Roman"/>
                <w:sz w:val="18"/>
              </w:rPr>
              <w:t>12,147,976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6,073,988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0" w:right="0"/>
              <w:jc w:val="left"/>
              <w:rPr>
                <w:rFonts w:ascii="Times New Roman" w:hAnsi="Times New Roman" w:cs="Times New Roman" w:eastAsia="Times New Roman" w:hint="default"/>
                <w:sz w:val="18"/>
                <w:szCs w:val="18"/>
              </w:rPr>
            </w:pPr>
            <w:r>
              <w:rPr>
                <w:rFonts w:ascii="Times New Roman"/>
                <w:sz w:val="18"/>
              </w:rPr>
              <w:t>12,147,976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1338"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13"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商盛世成长混合 型证券投资基金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11,837,951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7,017,492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828,956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11,008,995</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1.21%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7" w:right="0"/>
              <w:jc w:val="left"/>
              <w:rPr>
                <w:rFonts w:ascii="Times New Roman" w:hAnsi="Times New Roman" w:cs="Times New Roman" w:eastAsia="Times New Roman" w:hint="default"/>
                <w:sz w:val="18"/>
                <w:szCs w:val="18"/>
              </w:rPr>
            </w:pPr>
            <w:r>
              <w:rPr>
                <w:rFonts w:ascii="Times New Roman"/>
                <w:sz w:val="18"/>
              </w:rPr>
              <w:t>11,080,924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5,540,462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7" w:right="0"/>
              <w:jc w:val="left"/>
              <w:rPr>
                <w:rFonts w:ascii="Times New Roman" w:hAnsi="Times New Roman" w:cs="Times New Roman" w:eastAsia="Times New Roman" w:hint="default"/>
                <w:sz w:val="18"/>
                <w:szCs w:val="18"/>
              </w:rPr>
            </w:pPr>
            <w:r>
              <w:rPr>
                <w:rFonts w:ascii="Times New Roman"/>
                <w:sz w:val="18"/>
              </w:rPr>
              <w:t>11,080,924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470"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8,864,738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4,432,369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8,864,738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470"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08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0.67%</w:t>
            </w:r>
          </w:p>
        </w:tc>
        <w:tc>
          <w:tcPr>
            <w:tcW w:w="113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6,156,066</w:t>
            </w:r>
          </w:p>
        </w:tc>
        <w:tc>
          <w:tcPr>
            <w:tcW w:w="113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3,065,233</w:t>
            </w:r>
          </w:p>
        </w:tc>
        <w:tc>
          <w:tcPr>
            <w:tcW w:w="113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80" w:right="0"/>
              <w:jc w:val="left"/>
              <w:rPr>
                <w:rFonts w:ascii="Times New Roman" w:hAnsi="Times New Roman" w:cs="Times New Roman" w:eastAsia="Times New Roman" w:hint="default"/>
                <w:sz w:val="18"/>
                <w:szCs w:val="18"/>
              </w:rPr>
            </w:pPr>
            <w:r>
              <w:rPr>
                <w:rFonts w:ascii="Times New Roman"/>
                <w:sz w:val="18"/>
              </w:rPr>
              <w:t>6,156,066</w:t>
            </w:r>
          </w:p>
        </w:tc>
        <w:tc>
          <w:tcPr>
            <w:tcW w:w="99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5,340,000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541"/>
        <w:gridCol w:w="3130"/>
        <w:gridCol w:w="1560"/>
        <w:gridCol w:w="1276"/>
        <w:gridCol w:w="1067"/>
      </w:tblGrid>
      <w:tr>
        <w:trPr>
          <w:trHeight w:val="1036" w:hRule="exact"/>
        </w:trPr>
        <w:tc>
          <w:tcPr>
            <w:tcW w:w="254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w:t>
            </w:r>
          </w:p>
        </w:tc>
        <w:tc>
          <w:tcPr>
            <w:tcW w:w="7033" w:type="dxa"/>
            <w:gridSpan w:val="4"/>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华亿投资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年度认购公司非公开发行股份的价格为 </w:t>
            </w:r>
            <w:r>
              <w:rPr>
                <w:rFonts w:ascii="Times New Roman" w:hAnsi="Times New Roman" w:cs="Times New Roman" w:eastAsia="Times New Roman" w:hint="default"/>
                <w:sz w:val="18"/>
                <w:szCs w:val="18"/>
              </w:rPr>
              <w:t>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股，认购股份数量为</w:t>
            </w:r>
          </w:p>
          <w:p>
            <w:pPr>
              <w:pStyle w:val="TableParagraph"/>
              <w:spacing w:line="240" w:lineRule="auto" w:before="6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9,358,417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日起，限售期为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年半年度实施资本公积</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股后，华亿投资的股份增至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18,716,834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17" w:hRule="exact"/>
        </w:trPr>
        <w:tc>
          <w:tcPr>
            <w:tcW w:w="2541" w:type="dxa"/>
            <w:tcBorders>
              <w:top w:val="single" w:sz="4" w:space="0" w:color="000000"/>
              <w:left w:val="single" w:sz="12" w:space="0" w:color="000000"/>
              <w:bottom w:val="nil" w:sz="6" w:space="0" w:color="auto"/>
              <w:right w:val="single" w:sz="4" w:space="0" w:color="000000"/>
            </w:tcBorders>
            <w:shd w:val="clear" w:color="auto" w:fill="D2D2D2"/>
          </w:tcPr>
          <w:p>
            <w:pPr/>
          </w:p>
        </w:tc>
        <w:tc>
          <w:tcPr>
            <w:tcW w:w="7033" w:type="dxa"/>
            <w:gridSpan w:val="4"/>
            <w:vMerge w:val="restart"/>
            <w:tcBorders>
              <w:top w:val="single" w:sz="4" w:space="0" w:color="000000"/>
              <w:left w:val="single" w:sz="10" w:space="0" w:color="D2D2D2"/>
              <w:right w:val="single" w:sz="12" w:space="0" w:color="000000"/>
            </w:tcBorders>
          </w:tcPr>
          <w:p>
            <w:pPr>
              <w:pStyle w:val="TableParagraph"/>
              <w:spacing w:line="312" w:lineRule="auto" w:before="51"/>
              <w:ind w:left="27" w:right="10"/>
              <w:jc w:val="both"/>
              <w:rPr>
                <w:rFonts w:ascii="宋体" w:hAnsi="宋体" w:cs="宋体" w:eastAsia="宋体" w:hint="default"/>
                <w:sz w:val="18"/>
                <w:szCs w:val="18"/>
              </w:rPr>
            </w:pPr>
            <w:r>
              <w:rPr>
                <w:rFonts w:ascii="宋体" w:hAnsi="宋体" w:cs="宋体" w:eastAsia="宋体" w:hint="default"/>
                <w:sz w:val="18"/>
                <w:szCs w:val="18"/>
              </w:rPr>
              <w:t>神码软件与天津信锐之间根据《企业会计准则第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关联方披露》第四条的规定存在关 </w:t>
            </w:r>
            <w:r>
              <w:rPr>
                <w:rFonts w:ascii="宋体" w:hAnsi="宋体" w:cs="宋体" w:eastAsia="宋体" w:hint="default"/>
                <w:spacing w:val="-2"/>
                <w:sz w:val="18"/>
                <w:szCs w:val="18"/>
              </w:rPr>
              <w:t>联关系，除此之外，神码软件与中新创投、申昌科技、华亿投资、冯健刚、王宇飞、张丹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丹均不存在关联关系。未知其余股东之间是否存在关联关系或存在《上市公司收购管理办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法》规定的一致行动人的情形。</w:t>
            </w:r>
          </w:p>
        </w:tc>
      </w:tr>
      <w:tr>
        <w:trPr>
          <w:trHeight w:val="704" w:hRule="exact"/>
        </w:trPr>
        <w:tc>
          <w:tcPr>
            <w:tcW w:w="254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51"/>
              <w:ind w:left="13" w:right="16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33" w:type="dxa"/>
            <w:gridSpan w:val="4"/>
            <w:vMerge/>
            <w:tcBorders>
              <w:left w:val="single" w:sz="10" w:space="0" w:color="D2D2D2"/>
              <w:right w:val="single" w:sz="12" w:space="0" w:color="000000"/>
            </w:tcBorders>
          </w:tcPr>
          <w:p>
            <w:pPr/>
          </w:p>
        </w:tc>
      </w:tr>
      <w:tr>
        <w:trPr>
          <w:trHeight w:val="332" w:hRule="exact"/>
        </w:trPr>
        <w:tc>
          <w:tcPr>
            <w:tcW w:w="2541" w:type="dxa"/>
            <w:tcBorders>
              <w:top w:val="nil" w:sz="6" w:space="0" w:color="auto"/>
              <w:left w:val="single" w:sz="12" w:space="0" w:color="000000"/>
              <w:bottom w:val="single" w:sz="4" w:space="0" w:color="000000"/>
              <w:right w:val="single" w:sz="4" w:space="0" w:color="000000"/>
            </w:tcBorders>
            <w:shd w:val="clear" w:color="auto" w:fill="D2D2D2"/>
          </w:tcPr>
          <w:p>
            <w:pPr/>
          </w:p>
        </w:tc>
        <w:tc>
          <w:tcPr>
            <w:tcW w:w="7033" w:type="dxa"/>
            <w:gridSpan w:val="4"/>
            <w:vMerge/>
            <w:tcBorders>
              <w:left w:val="single" w:sz="10" w:space="0" w:color="D2D2D2"/>
              <w:bottom w:val="single" w:sz="16" w:space="0" w:color="D2D2D2"/>
              <w:right w:val="single" w:sz="12" w:space="0" w:color="000000"/>
            </w:tcBorders>
          </w:tcPr>
          <w:p>
            <w:pPr/>
          </w:p>
        </w:tc>
      </w:tr>
      <w:tr>
        <w:trPr>
          <w:trHeight w:val="433" w:hRule="exact"/>
        </w:trPr>
        <w:tc>
          <w:tcPr>
            <w:tcW w:w="9575" w:type="dxa"/>
            <w:gridSpan w:val="5"/>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79" w:hRule="exact"/>
        </w:trPr>
        <w:tc>
          <w:tcPr>
            <w:tcW w:w="5671" w:type="dxa"/>
            <w:gridSpan w:val="2"/>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3" w:right="54"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343" w:type="dxa"/>
            <w:gridSpan w:val="2"/>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64" w:hRule="exact"/>
        </w:trPr>
        <w:tc>
          <w:tcPr>
            <w:tcW w:w="5671" w:type="dxa"/>
            <w:gridSpan w:val="2"/>
            <w:vMerge/>
            <w:tcBorders>
              <w:left w:val="single" w:sz="12"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63"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46,781,384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46,781,384</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中国建设银行股份有限公司－华商盛世成长混合型证券投资基金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11,008,995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pacing w:val="-1"/>
                <w:sz w:val="18"/>
              </w:rPr>
              <w:t>11,008,995</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8,345,400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8,345,400</w:t>
            </w:r>
          </w:p>
        </w:tc>
      </w:tr>
      <w:tr>
        <w:trPr>
          <w:trHeight w:val="463"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中国建设银行股份有限公司－华商价值精选混合型证券投资基金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5,455,652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5,455,652</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交通银行股份有限公司－富安达优势成长股票型证券投资基金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3,950,000</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3,766,720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3,766,720</w:t>
            </w:r>
          </w:p>
        </w:tc>
      </w:tr>
      <w:tr>
        <w:trPr>
          <w:trHeight w:val="71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56"/>
              <w:jc w:val="left"/>
              <w:rPr>
                <w:rFonts w:ascii="宋体" w:hAnsi="宋体" w:cs="宋体" w:eastAsia="宋体" w:hint="default"/>
                <w:sz w:val="18"/>
                <w:szCs w:val="18"/>
              </w:rPr>
            </w:pPr>
            <w:r>
              <w:rPr>
                <w:rFonts w:ascii="宋体" w:hAnsi="宋体" w:cs="宋体" w:eastAsia="宋体" w:hint="default"/>
                <w:sz w:val="18"/>
                <w:szCs w:val="18"/>
              </w:rPr>
              <w:t>中国工商银行股份有限公司－华商创新成长灵活配置混合型发起式证券 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2,526,114</w:t>
            </w:r>
          </w:p>
        </w:tc>
      </w:tr>
      <w:tr>
        <w:trPr>
          <w:trHeight w:val="463"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2,180,000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2,180,000</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中国建设银行－上投摩根中国优势证券投资基金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1,992,261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1,992,261</w:t>
            </w:r>
          </w:p>
        </w:tc>
      </w:tr>
      <w:tr>
        <w:trPr>
          <w:trHeight w:val="464" w:hRule="exact"/>
        </w:trPr>
        <w:tc>
          <w:tcPr>
            <w:tcW w:w="567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1,900,476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z w:val="18"/>
              </w:rPr>
              <w:t>1,900,476</w:t>
            </w:r>
          </w:p>
        </w:tc>
      </w:tr>
      <w:tr>
        <w:trPr>
          <w:trHeight w:val="714" w:hRule="exact"/>
        </w:trPr>
        <w:tc>
          <w:tcPr>
            <w:tcW w:w="567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名股东之间关联关系或一致行动的说明</w:t>
            </w:r>
          </w:p>
        </w:tc>
        <w:tc>
          <w:tcPr>
            <w:tcW w:w="3903"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73" w:hRule="exact"/>
        </w:trPr>
        <w:tc>
          <w:tcPr>
            <w:tcW w:w="5671"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tc>
        <w:tc>
          <w:tcPr>
            <w:tcW w:w="3903"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spacing w:line="240" w:lineRule="auto" w:before="9"/>
        <w:rPr>
          <w:rFonts w:ascii="宋体" w:hAnsi="宋体" w:cs="宋体" w:eastAsia="宋体" w:hint="default"/>
          <w:sz w:val="16"/>
          <w:szCs w:val="16"/>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16"/>
          <w:szCs w:val="16"/>
        </w:rPr>
      </w:pPr>
    </w:p>
    <w:p>
      <w:pPr>
        <w:pStyle w:val="BodyText"/>
        <w:spacing w:line="240" w:lineRule="auto"/>
        <w:ind w:left="154" w:right="1135"/>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7"/>
        <w:rPr>
          <w:rFonts w:ascii="宋体" w:hAnsi="宋体" w:cs="宋体" w:eastAsia="宋体" w:hint="default"/>
          <w:sz w:val="30"/>
          <w:szCs w:val="30"/>
        </w:rPr>
      </w:pPr>
    </w:p>
    <w:p>
      <w:pPr>
        <w:pStyle w:val="Heading6"/>
        <w:spacing w:line="240" w:lineRule="auto"/>
        <w:ind w:left="153" w:right="1135"/>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right="7393"/>
        <w:jc w:val="left"/>
      </w:pPr>
      <w:r>
        <w:rPr/>
        <w:t>控股股东性质：控股主体性质不明确 控股股东类型：法人</w:t>
      </w:r>
    </w:p>
    <w:p>
      <w:pPr>
        <w:spacing w:after="0" w:line="444" w:lineRule="auto"/>
        <w:jc w:val="left"/>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2695"/>
        <w:gridCol w:w="1559"/>
        <w:gridCol w:w="1843"/>
        <w:gridCol w:w="1702"/>
        <w:gridCol w:w="1769"/>
      </w:tblGrid>
      <w:tr>
        <w:trPr>
          <w:trHeight w:val="724" w:hRule="exact"/>
        </w:trPr>
        <w:tc>
          <w:tcPr>
            <w:tcW w:w="26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0"/>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93" w:right="28"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5" w:hRule="exact"/>
        </w:trPr>
        <w:tc>
          <w:tcPr>
            <w:tcW w:w="26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61"/>
              <w:jc w:val="righ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郭为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73513018-0</w:t>
            </w:r>
          </w:p>
        </w:tc>
        <w:tc>
          <w:tcPr>
            <w:tcW w:w="17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9" w:right="0"/>
              <w:jc w:val="center"/>
              <w:rPr>
                <w:rFonts w:ascii="宋体" w:hAnsi="宋体" w:cs="宋体" w:eastAsia="宋体" w:hint="default"/>
                <w:sz w:val="18"/>
                <w:szCs w:val="18"/>
              </w:rPr>
            </w:pPr>
            <w:r>
              <w:rPr>
                <w:rFonts w:ascii="宋体" w:hAnsi="宋体" w:cs="宋体" w:eastAsia="宋体" w:hint="default"/>
                <w:sz w:val="18"/>
                <w:szCs w:val="18"/>
              </w:rPr>
              <w:t>投资控股</w:t>
            </w:r>
          </w:p>
        </w:tc>
      </w:tr>
      <w:tr>
        <w:trPr>
          <w:trHeight w:val="724" w:hRule="exact"/>
        </w:trPr>
        <w:tc>
          <w:tcPr>
            <w:tcW w:w="26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13" w:right="14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4"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神码软件通过本公司之子公司</w:t>
            </w:r>
            <w:r>
              <w:rPr>
                <w:rFonts w:ascii="宋体" w:hAnsi="宋体" w:cs="宋体" w:eastAsia="宋体" w:hint="default"/>
                <w:spacing w:val="-55"/>
                <w:sz w:val="18"/>
                <w:szCs w:val="18"/>
              </w:rPr>
              <w:t> </w:t>
            </w:r>
            <w:r>
              <w:rPr>
                <w:rFonts w:ascii="Times New Roman" w:hAnsi="Times New Roman" w:cs="Times New Roman" w:eastAsia="Times New Roman" w:hint="default"/>
                <w:w w:val="99"/>
                <w:sz w:val="18"/>
                <w:szCs w:val="18"/>
              </w:rPr>
              <w:t>DC</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间接持有鼎捷软件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17.91%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控股股东报告期内变更</w:t>
      </w:r>
    </w:p>
    <w:p>
      <w:pPr>
        <w:spacing w:line="240" w:lineRule="auto" w:before="10"/>
        <w:rPr>
          <w:rFonts w:ascii="宋体" w:hAnsi="宋体" w:cs="宋体" w:eastAsia="宋体" w:hint="default"/>
          <w:sz w:val="17"/>
          <w:szCs w:val="17"/>
        </w:rPr>
      </w:pPr>
    </w:p>
    <w:p>
      <w:pPr>
        <w:pStyle w:val="BodyText"/>
        <w:spacing w:line="420" w:lineRule="auto"/>
        <w:ind w:left="1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公司报告期控股股东未发生变更。</w:t>
      </w:r>
    </w:p>
    <w:p>
      <w:pPr>
        <w:spacing w:line="240" w:lineRule="auto" w:before="8"/>
        <w:rPr>
          <w:rFonts w:ascii="宋体" w:hAnsi="宋体" w:cs="宋体" w:eastAsia="宋体" w:hint="default"/>
          <w:sz w:val="19"/>
          <w:szCs w:val="19"/>
        </w:rPr>
      </w:pPr>
    </w:p>
    <w:p>
      <w:pPr>
        <w:pStyle w:val="Heading6"/>
        <w:spacing w:line="240" w:lineRule="auto"/>
        <w:ind w:right="1135"/>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30"/>
          <w:szCs w:val="30"/>
        </w:rPr>
      </w:pPr>
    </w:p>
    <w:p>
      <w:pPr>
        <w:pStyle w:val="BodyText"/>
        <w:spacing w:line="444" w:lineRule="auto"/>
        <w:ind w:left="154" w:right="7602"/>
        <w:jc w:val="left"/>
      </w:pPr>
      <w:r>
        <w:rPr/>
        <w:t>实际控制人性质：无实际控制人 实际控制人类型：不存在 公司不存在实际控制人情况的说明</w:t>
      </w:r>
    </w:p>
    <w:p>
      <w:pPr>
        <w:pStyle w:val="BodyText"/>
        <w:spacing w:line="410" w:lineRule="auto" w:before="54"/>
        <w:ind w:left="154" w:right="0"/>
        <w:jc w:val="left"/>
      </w:pPr>
      <w:r>
        <w:rPr>
          <w:spacing w:val="-1"/>
        </w:rPr>
        <w:t>公司的控股股东为神码软件。由于神码软件是神州数码的全资子公司，而神州数码股权结构分散，不存在</w:t>
      </w:r>
      <w:r>
        <w:rPr>
          <w:spacing w:val="-83"/>
        </w:rPr>
        <w:t> </w:t>
      </w:r>
      <w:r>
        <w:rPr>
          <w:spacing w:val="-83"/>
        </w:rPr>
      </w:r>
      <w:r>
        <w:rPr/>
        <w:t>实际控制人，因此公司无实际控制人。</w:t>
      </w:r>
    </w:p>
    <w:p>
      <w:pPr>
        <w:pStyle w:val="BodyText"/>
        <w:spacing w:line="240" w:lineRule="auto" w:before="83"/>
        <w:ind w:left="154" w:right="1135"/>
        <w:jc w:val="left"/>
      </w:pPr>
      <w:r>
        <w:rPr/>
        <w:t>公司最终控制层面是否存在持股比例在</w:t>
      </w:r>
      <w:r>
        <w:rPr>
          <w:spacing w:val="-54"/>
        </w:rPr>
        <w:t> </w:t>
      </w:r>
      <w:r>
        <w:rPr>
          <w:rFonts w:ascii="Times New Roman" w:hAnsi="Times New Roman" w:cs="Times New Roman" w:eastAsia="Times New Roman" w:hint="default"/>
        </w:rPr>
        <w:t>10%</w:t>
      </w:r>
      <w:r>
        <w:rPr/>
        <w:t>以上的股东情况</w:t>
      </w:r>
    </w:p>
    <w:p>
      <w:pPr>
        <w:spacing w:line="240" w:lineRule="auto" w:before="8"/>
        <w:rPr>
          <w:rFonts w:ascii="宋体" w:hAnsi="宋体" w:cs="宋体" w:eastAsia="宋体" w:hint="default"/>
          <w:sz w:val="16"/>
          <w:szCs w:val="16"/>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BodyText"/>
        <w:spacing w:line="420" w:lineRule="auto"/>
        <w:ind w:left="154" w:right="6431"/>
        <w:jc w:val="left"/>
      </w:pPr>
      <w:r>
        <w:rPr/>
        <w:t>公司最终控制层面持股比例</w:t>
      </w:r>
      <w:r>
        <w:rPr>
          <w:spacing w:val="-54"/>
        </w:rPr>
        <w:t> </w:t>
      </w:r>
      <w:r>
        <w:rPr>
          <w:rFonts w:ascii="Times New Roman" w:hAnsi="Times New Roman" w:cs="Times New Roman" w:eastAsia="Times New Roman" w:hint="default"/>
        </w:rPr>
        <w:t>5%</w:t>
      </w:r>
      <w:r>
        <w:rPr/>
        <w:t>以上的股东情况 法人</w:t>
      </w:r>
    </w:p>
    <w:p>
      <w:pPr>
        <w:pStyle w:val="BodyText"/>
        <w:spacing w:line="240" w:lineRule="auto" w:before="75"/>
        <w:ind w:left="154" w:right="1135"/>
        <w:jc w:val="left"/>
      </w:pPr>
      <w:r>
        <w:rPr/>
        <w:t>最终控制层面持股情况</w:t>
      </w:r>
    </w:p>
    <w:p>
      <w:pPr>
        <w:spacing w:line="240" w:lineRule="auto" w:before="13"/>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113"/>
        <w:gridCol w:w="1985"/>
        <w:gridCol w:w="993"/>
        <w:gridCol w:w="1276"/>
        <w:gridCol w:w="1203"/>
      </w:tblGrid>
      <w:tr>
        <w:trPr>
          <w:trHeight w:val="473" w:hRule="exact"/>
        </w:trPr>
        <w:tc>
          <w:tcPr>
            <w:tcW w:w="41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140"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9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61"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9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20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1"/>
              <w:ind w:left="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64" w:hRule="exact"/>
        </w:trPr>
        <w:tc>
          <w:tcPr>
            <w:tcW w:w="41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sz w:val="18"/>
              </w:rPr>
              <w:t>Kosalaki Investments</w:t>
            </w:r>
            <w:r>
              <w:rPr>
                <w:rFonts w:ascii="Times New Roman"/>
                <w:spacing w:val="-5"/>
                <w:sz w:val="18"/>
              </w:rPr>
              <w:t> </w:t>
            </w:r>
            <w:r>
              <w:rPr>
                <w:rFonts w:ascii="Times New Roman"/>
                <w:sz w:val="18"/>
              </w:rPr>
              <w:t>Limited</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1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sz w:val="18"/>
              </w:rPr>
              <w:t>Sparkling Investment (BVI)</w:t>
            </w:r>
            <w:r>
              <w:rPr>
                <w:rFonts w:ascii="Times New Roman"/>
                <w:spacing w:val="-5"/>
                <w:sz w:val="18"/>
              </w:rPr>
              <w:t> </w:t>
            </w:r>
            <w:r>
              <w:rPr>
                <w:rFonts w:ascii="Times New Roman"/>
                <w:sz w:val="18"/>
              </w:rPr>
              <w:t>Limited</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1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sz w:val="18"/>
              </w:rPr>
              <w:t>SAIF III GP Capital</w:t>
            </w:r>
            <w:r>
              <w:rPr>
                <w:rFonts w:ascii="Times New Roman"/>
                <w:spacing w:val="-12"/>
                <w:sz w:val="18"/>
              </w:rPr>
              <w:t> </w:t>
            </w:r>
            <w:r>
              <w:rPr>
                <w:rFonts w:ascii="Times New Roman"/>
                <w:sz w:val="18"/>
              </w:rPr>
              <w:t>Ltd.</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1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sz w:val="18"/>
              </w:rPr>
              <w:t>Allianz</w:t>
            </w:r>
            <w:r>
              <w:rPr>
                <w:rFonts w:ascii="Times New Roman"/>
                <w:spacing w:val="-2"/>
                <w:sz w:val="18"/>
              </w:rPr>
              <w:t> </w:t>
            </w:r>
            <w:r>
              <w:rPr>
                <w:rFonts w:ascii="Times New Roman"/>
                <w:sz w:val="18"/>
              </w:rPr>
              <w:t>SE</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1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2"/>
              <w:ind w:left="13" w:right="0"/>
              <w:jc w:val="left"/>
              <w:rPr>
                <w:rFonts w:ascii="Times New Roman" w:hAnsi="Times New Roman" w:cs="Times New Roman" w:eastAsia="Times New Roman" w:hint="default"/>
                <w:sz w:val="18"/>
                <w:szCs w:val="18"/>
              </w:rPr>
            </w:pPr>
            <w:r>
              <w:rPr>
                <w:rFonts w:ascii="Times New Roman"/>
                <w:sz w:val="18"/>
              </w:rPr>
              <w:t>International </w:t>
            </w:r>
            <w:r>
              <w:rPr>
                <w:rFonts w:ascii="Times New Roman"/>
                <w:spacing w:val="-5"/>
                <w:sz w:val="18"/>
              </w:rPr>
              <w:t>Value </w:t>
            </w:r>
            <w:r>
              <w:rPr>
                <w:rFonts w:ascii="Times New Roman"/>
                <w:sz w:val="18"/>
              </w:rPr>
              <w:t>Advisers,</w:t>
            </w:r>
            <w:r>
              <w:rPr>
                <w:rFonts w:ascii="Times New Roman"/>
                <w:spacing w:val="-9"/>
                <w:sz w:val="18"/>
              </w:rPr>
              <w:t> </w:t>
            </w:r>
            <w:r>
              <w:rPr>
                <w:rFonts w:ascii="Times New Roman"/>
                <w:sz w:val="18"/>
              </w:rPr>
              <w:t>LLC</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11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Legend Holdings Corporation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联想控股股份有限公司</w:t>
            </w:r>
          </w:p>
        </w:tc>
        <w:tc>
          <w:tcPr>
            <w:tcW w:w="1985" w:type="dxa"/>
            <w:tcBorders>
              <w:top w:val="single" w:sz="4" w:space="0" w:color="000000"/>
              <w:left w:val="single" w:sz="4" w:space="0" w:color="000000"/>
              <w:bottom w:val="single" w:sz="12" w:space="0" w:color="000000"/>
              <w:right w:val="single" w:sz="4" w:space="0" w:color="000000"/>
            </w:tcBorders>
          </w:tcPr>
          <w:p>
            <w:pPr/>
          </w:p>
        </w:tc>
        <w:tc>
          <w:tcPr>
            <w:tcW w:w="993"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20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0" w:footer="1226" w:top="1100" w:bottom="1420" w:left="980" w:right="0"/>
        </w:sectPr>
      </w:pPr>
    </w:p>
    <w:p>
      <w:pPr>
        <w:spacing w:line="240" w:lineRule="auto" w:before="11"/>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3329"/>
        <w:gridCol w:w="2260"/>
        <w:gridCol w:w="3980"/>
      </w:tblGrid>
      <w:tr>
        <w:trPr>
          <w:trHeight w:val="443" w:hRule="exact"/>
        </w:trPr>
        <w:tc>
          <w:tcPr>
            <w:tcW w:w="332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749"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2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2"/>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64" w:hRule="exact"/>
        </w:trPr>
        <w:tc>
          <w:tcPr>
            <w:tcW w:w="33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丁鹏云</w:t>
            </w:r>
          </w:p>
        </w:tc>
        <w:tc>
          <w:tcPr>
            <w:tcW w:w="2260" w:type="dxa"/>
            <w:tcBorders>
              <w:top w:val="single" w:sz="4" w:space="0" w:color="000000"/>
              <w:left w:val="single" w:sz="4" w:space="0" w:color="000000"/>
              <w:bottom w:val="single" w:sz="4" w:space="0" w:color="000000"/>
              <w:right w:val="single" w:sz="4" w:space="0" w:color="000000"/>
            </w:tcBorders>
          </w:tcPr>
          <w:p>
            <w:pPr/>
          </w:p>
        </w:tc>
        <w:tc>
          <w:tcPr>
            <w:tcW w:w="3980"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33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33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0" w:type="dxa"/>
            <w:gridSpan w:val="2"/>
            <w:tcBorders>
              <w:top w:val="single" w:sz="4" w:space="0" w:color="000000"/>
              <w:left w:val="single" w:sz="4" w:space="0" w:color="000000"/>
              <w:bottom w:val="single" w:sz="12" w:space="0" w:color="000000"/>
              <w:right w:val="single" w:sz="12" w:space="0" w:color="000000"/>
            </w:tcBorders>
          </w:tcPr>
          <w:p>
            <w:pPr/>
          </w:p>
        </w:tc>
      </w:tr>
    </w:tbl>
    <w:p>
      <w:pPr>
        <w:spacing w:line="302"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注：以上数据为截至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日公司最终控制层面持股比例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以上的股东情况。</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日，广州光电运通</w:t>
      </w:r>
      <w:r>
        <w:rPr>
          <w:rFonts w:ascii="宋体" w:hAnsi="宋体" w:cs="宋体" w:eastAsia="宋体" w:hint="default"/>
          <w:sz w:val="18"/>
          <w:szCs w:val="18"/>
        </w:rPr>
        <w:t> 金融电子股份有限公司持有神州数码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92,270,000 </w:t>
      </w:r>
      <w:r>
        <w:rPr>
          <w:rFonts w:ascii="宋体" w:hAnsi="宋体" w:cs="宋体" w:eastAsia="宋体" w:hint="default"/>
          <w:sz w:val="18"/>
          <w:szCs w:val="18"/>
        </w:rPr>
        <w:t>股，占神州数码总股本的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135"/>
        <w:jc w:val="left"/>
      </w:pPr>
      <w:r>
        <w:rPr/>
        <w:t>实际控制人报告期内变更</w:t>
      </w:r>
    </w:p>
    <w:p>
      <w:pPr>
        <w:spacing w:line="240" w:lineRule="auto" w:before="12"/>
        <w:rPr>
          <w:rFonts w:ascii="宋体" w:hAnsi="宋体" w:cs="宋体" w:eastAsia="宋体" w:hint="default"/>
          <w:sz w:val="17"/>
          <w:szCs w:val="17"/>
        </w:rPr>
      </w:pPr>
    </w:p>
    <w:p>
      <w:pPr>
        <w:pStyle w:val="BodyText"/>
        <w:spacing w:line="432" w:lineRule="auto"/>
        <w:ind w:right="6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6"/>
          <w:szCs w:val="16"/>
        </w:rPr>
      </w:pPr>
    </w:p>
    <w:p>
      <w:pPr>
        <w:spacing w:line="4869" w:lineRule="exact"/>
        <w:ind w:left="3636" w:right="0" w:firstLine="0"/>
        <w:rPr>
          <w:rFonts w:ascii="宋体" w:hAnsi="宋体" w:cs="宋体" w:eastAsia="宋体" w:hint="default"/>
          <w:sz w:val="20"/>
          <w:szCs w:val="20"/>
        </w:rPr>
      </w:pPr>
      <w:r>
        <w:rPr>
          <w:rFonts w:ascii="宋体" w:hAnsi="宋体" w:cs="宋体" w:eastAsia="宋体" w:hint="default"/>
          <w:position w:val="-96"/>
          <w:sz w:val="20"/>
          <w:szCs w:val="20"/>
        </w:rPr>
        <w:pict>
          <v:group style="width:132.450pt;height:243.5pt;mso-position-horizontal-relative:char;mso-position-vertical-relative:line" coordorigin="0,0" coordsize="2649,4870">
            <v:shape style="position:absolute;left:882;top:3533;width:881;height:442" type="#_x0000_t75" stroked="false">
              <v:imagedata r:id="rId38" o:title=""/>
            </v:shape>
            <v:shape style="position:absolute;left:0;top:4416;width:2638;height:442" type="#_x0000_t75" stroked="false">
              <v:imagedata r:id="rId39" o:title=""/>
            </v:shape>
            <v:shape style="position:absolute;left:1265;top:3967;width:109;height:449" type="#_x0000_t75" stroked="false">
              <v:imagedata r:id="rId40" o:title=""/>
            </v:shape>
            <v:group style="position:absolute;left:1058;top:4091;width:512;height:206" coordorigin="1058,4091" coordsize="512,206">
              <v:shape style="position:absolute;left:1058;top:4091;width:512;height:206" coordorigin="1058,4091" coordsize="512,206" path="m1058,4297l1569,4297,1569,4091,1058,4091,1058,4297xe" filled="true" fillcolor="#ffffff" stroked="false">
                <v:path arrowok="t"/>
                <v:fill type="solid"/>
              </v:shape>
              <v:shape style="position:absolute;left:662;top:883;width:1321;height:442" type="#_x0000_t75" stroked="false">
                <v:imagedata r:id="rId41" o:title=""/>
              </v:shape>
              <v:shape style="position:absolute;left:662;top:0;width:1321;height:442" type="#_x0000_t75" stroked="false">
                <v:imagedata r:id="rId42" o:title=""/>
              </v:shape>
              <v:shape style="position:absolute;left:1268;top:434;width:109;height:449" type="#_x0000_t75" stroked="false">
                <v:imagedata r:id="rId43" o:title=""/>
              </v:shape>
            </v:group>
            <v:group style="position:absolute;left:1323;top:765;width:2;height:36" coordorigin="1323,765" coordsize="2,36">
              <v:shape style="position:absolute;left:1323;top:765;width:2;height:36" coordorigin="1323,765" coordsize="0,36" path="m1323,765l1323,800e" filled="false" stroked="true" strokeweight=".776655pt" strokecolor="#000000">
                <v:path arrowok="t"/>
              </v:shape>
              <v:shape style="position:absolute;left:1268;top:1317;width:109;height:449" type="#_x0000_t75" stroked="false">
                <v:imagedata r:id="rId44" o:title=""/>
              </v:shape>
            </v:group>
            <v:group style="position:absolute;left:1323;top:1649;width:2;height:35" coordorigin="1323,1649" coordsize="2,35">
              <v:shape style="position:absolute;left:1323;top:1649;width:2;height:35" coordorigin="1323,1649" coordsize="0,35" path="m1323,1649l1323,1684e" filled="false" stroked="true" strokeweight=".776655pt" strokecolor="#404040">
                <v:path arrowok="t"/>
              </v:shape>
              <v:shape style="position:absolute;left:222;top:1766;width:2202;height:442" type="#_x0000_t75" stroked="false">
                <v:imagedata r:id="rId45" o:title=""/>
              </v:shape>
              <v:shape style="position:absolute;left:1268;top:2201;width:109;height:449" type="#_x0000_t75" stroked="false">
                <v:imagedata r:id="rId46" o:title=""/>
              </v:shape>
            </v:group>
            <v:group style="position:absolute;left:1323;top:2532;width:2;height:35" coordorigin="1323,2532" coordsize="2,35">
              <v:shape style="position:absolute;left:1323;top:2532;width:2;height:35" coordorigin="1323,2532" coordsize="0,35" path="m1323,2532l1323,2567e" filled="false" stroked="true" strokeweight=".776655pt" strokecolor="#404040">
                <v:path arrowok="t"/>
              </v:shape>
              <v:shape style="position:absolute;left:222;top:2650;width:2202;height:442" type="#_x0000_t75" stroked="false">
                <v:imagedata r:id="rId45" o:title=""/>
              </v:shape>
              <v:shape style="position:absolute;left:1268;top:3084;width:109;height:449" type="#_x0000_t75" stroked="false">
                <v:imagedata r:id="rId47" o:title=""/>
              </v:shape>
            </v:group>
            <v:group style="position:absolute;left:1323;top:3415;width:2;height:35" coordorigin="1323,3415" coordsize="2,35">
              <v:shape style="position:absolute;left:1323;top:3415;width:2;height:35" coordorigin="1323,3415" coordsize="0,35" path="m1323,3415l1323,3450e" filled="false" stroked="true" strokeweight=".776655pt" strokecolor="#404040">
                <v:path arrowok="t"/>
              </v:shape>
              <v:shape style="position:absolute;left:1132;top:585;width:382;height:172" type="#_x0000_t202" filled="false" stroked="false">
                <v:textbox inset="0,0,0,0">
                  <w:txbxContent>
                    <w:p>
                      <w:pPr>
                        <w:spacing w:line="171" w:lineRule="exact" w:before="0"/>
                        <w:ind w:left="0" w:right="0" w:firstLine="0"/>
                        <w:jc w:val="left"/>
                        <w:rPr>
                          <w:rFonts w:ascii="Calibri" w:hAnsi="Calibri" w:cs="Calibri" w:eastAsia="Calibri" w:hint="default"/>
                          <w:sz w:val="17"/>
                          <w:szCs w:val="17"/>
                        </w:rPr>
                      </w:pPr>
                      <w:r>
                        <w:rPr>
                          <w:rFonts w:ascii="Calibri"/>
                          <w:sz w:val="17"/>
                        </w:rPr>
                        <w:t>100%</w:t>
                      </w:r>
                    </w:p>
                  </w:txbxContent>
                </v:textbox>
                <w10:wrap type="none"/>
              </v:shape>
              <v:shape style="position:absolute;left:1132;top:1469;width:382;height:172" type="#_x0000_t202" filled="false" stroked="false">
                <v:textbox inset="0,0,0,0">
                  <w:txbxContent>
                    <w:p>
                      <w:pPr>
                        <w:spacing w:line="171" w:lineRule="exact" w:before="0"/>
                        <w:ind w:left="0" w:right="0" w:firstLine="0"/>
                        <w:jc w:val="left"/>
                        <w:rPr>
                          <w:rFonts w:ascii="Calibri" w:hAnsi="Calibri" w:cs="Calibri" w:eastAsia="Calibri" w:hint="default"/>
                          <w:sz w:val="17"/>
                          <w:szCs w:val="17"/>
                        </w:rPr>
                      </w:pPr>
                      <w:r>
                        <w:rPr>
                          <w:rFonts w:ascii="Calibri"/>
                          <w:sz w:val="17"/>
                        </w:rPr>
                        <w:t>100%</w:t>
                      </w:r>
                    </w:p>
                  </w:txbxContent>
                </v:textbox>
                <w10:wrap type="none"/>
              </v:shape>
              <v:shape style="position:absolute;left:1132;top:2352;width:382;height:172" type="#_x0000_t202" filled="false" stroked="false">
                <v:textbox inset="0,0,0,0">
                  <w:txbxContent>
                    <w:p>
                      <w:pPr>
                        <w:spacing w:line="171" w:lineRule="exact" w:before="0"/>
                        <w:ind w:left="0" w:right="0" w:firstLine="0"/>
                        <w:jc w:val="left"/>
                        <w:rPr>
                          <w:rFonts w:ascii="Calibri" w:hAnsi="Calibri" w:cs="Calibri" w:eastAsia="Calibri" w:hint="default"/>
                          <w:sz w:val="17"/>
                          <w:szCs w:val="17"/>
                        </w:rPr>
                      </w:pPr>
                      <w:r>
                        <w:rPr>
                          <w:rFonts w:ascii="Calibri"/>
                          <w:sz w:val="17"/>
                        </w:rPr>
                        <w:t>100%</w:t>
                      </w:r>
                    </w:p>
                  </w:txbxContent>
                </v:textbox>
                <w10:wrap type="none"/>
              </v:shape>
              <v:shape style="position:absolute;left:1132;top:3235;width:382;height:172" type="#_x0000_t202" filled="false" stroked="false">
                <v:textbox inset="0,0,0,0">
                  <w:txbxContent>
                    <w:p>
                      <w:pPr>
                        <w:spacing w:line="171" w:lineRule="exact" w:before="0"/>
                        <w:ind w:left="0" w:right="0" w:firstLine="0"/>
                        <w:jc w:val="left"/>
                        <w:rPr>
                          <w:rFonts w:ascii="Calibri" w:hAnsi="Calibri" w:cs="Calibri" w:eastAsia="Calibri" w:hint="default"/>
                          <w:sz w:val="17"/>
                          <w:szCs w:val="17"/>
                        </w:rPr>
                      </w:pPr>
                      <w:r>
                        <w:rPr>
                          <w:rFonts w:ascii="Calibri"/>
                          <w:sz w:val="17"/>
                        </w:rPr>
                        <w:t>100%</w:t>
                      </w:r>
                    </w:p>
                  </w:txbxContent>
                </v:textbox>
                <w10:wrap type="none"/>
              </v:shape>
              <v:shape style="position:absolute;left:1063;top:4117;width:512;height:172" type="#_x0000_t202" filled="false" stroked="false">
                <v:textbox inset="0,0,0,0">
                  <w:txbxContent>
                    <w:p>
                      <w:pPr>
                        <w:spacing w:line="171" w:lineRule="exact" w:before="0"/>
                        <w:ind w:left="0" w:right="0" w:firstLine="0"/>
                        <w:jc w:val="left"/>
                        <w:rPr>
                          <w:rFonts w:ascii="Calibri" w:hAnsi="Calibri" w:cs="Calibri" w:eastAsia="Calibri" w:hint="default"/>
                          <w:sz w:val="17"/>
                          <w:szCs w:val="17"/>
                        </w:rPr>
                      </w:pPr>
                      <w:r>
                        <w:rPr>
                          <w:rFonts w:ascii="Calibri"/>
                          <w:sz w:val="17"/>
                        </w:rPr>
                        <w:t>42.44%</w:t>
                      </w:r>
                    </w:p>
                  </w:txbxContent>
                </v:textbox>
                <w10:wrap type="none"/>
              </v:shape>
              <v:shape style="position:absolute;left:672;top:10;width:1321;height:442" type="#_x0000_t202" filled="false" stroked="true" strokeweight=".194694pt" strokecolor="#404040">
                <v:textbox inset="0,0,0,0">
                  <w:txbxContent>
                    <w:p>
                      <w:pPr>
                        <w:spacing w:line="170" w:lineRule="exact" w:before="0"/>
                        <w:ind w:left="0" w:right="18" w:firstLine="0"/>
                        <w:jc w:val="center"/>
                        <w:rPr>
                          <w:rFonts w:ascii="宋体" w:hAnsi="宋体" w:cs="宋体" w:eastAsia="宋体" w:hint="default"/>
                          <w:sz w:val="17"/>
                          <w:szCs w:val="17"/>
                        </w:rPr>
                      </w:pPr>
                      <w:r>
                        <w:rPr>
                          <w:rFonts w:ascii="宋体" w:hAnsi="宋体" w:cs="宋体" w:eastAsia="宋体" w:hint="default"/>
                          <w:sz w:val="17"/>
                          <w:szCs w:val="17"/>
                        </w:rPr>
                        <w:t>神州数码</w:t>
                      </w:r>
                    </w:p>
                    <w:p>
                      <w:pPr>
                        <w:spacing w:before="0"/>
                        <w:ind w:left="0" w:right="18" w:firstLine="0"/>
                        <w:jc w:val="center"/>
                        <w:rPr>
                          <w:rFonts w:ascii="宋体" w:hAnsi="宋体" w:cs="宋体" w:eastAsia="宋体" w:hint="default"/>
                          <w:sz w:val="17"/>
                          <w:szCs w:val="17"/>
                        </w:rPr>
                      </w:pPr>
                      <w:r>
                        <w:rPr>
                          <w:rFonts w:ascii="宋体" w:hAnsi="宋体" w:cs="宋体" w:eastAsia="宋体" w:hint="default"/>
                          <w:sz w:val="17"/>
                          <w:szCs w:val="17"/>
                        </w:rPr>
                        <w:t>（</w:t>
                      </w:r>
                      <w:r>
                        <w:rPr>
                          <w:rFonts w:ascii="Calibri" w:hAnsi="Calibri" w:cs="Calibri" w:eastAsia="Calibri" w:hint="default"/>
                          <w:sz w:val="17"/>
                          <w:szCs w:val="17"/>
                        </w:rPr>
                        <w:t>00861.HK</w:t>
                      </w:r>
                      <w:r>
                        <w:rPr>
                          <w:rFonts w:ascii="宋体" w:hAnsi="宋体" w:cs="宋体" w:eastAsia="宋体" w:hint="default"/>
                          <w:sz w:val="17"/>
                          <w:szCs w:val="17"/>
                        </w:rPr>
                        <w:t>）</w:t>
                      </w:r>
                    </w:p>
                  </w:txbxContent>
                </v:textbox>
                <w10:wrap type="none"/>
              </v:shape>
              <v:shape style="position:absolute;left:672;top:893;width:1321;height:443" type="#_x0000_t202" filled="false" stroked="true" strokeweight=".194694pt" strokecolor="#404040">
                <v:textbox inset="0,0,0,0">
                  <w:txbxContent>
                    <w:p>
                      <w:pPr>
                        <w:spacing w:line="244" w:lineRule="auto" w:before="20"/>
                        <w:ind w:left="412" w:right="99" w:hanging="332"/>
                        <w:jc w:val="left"/>
                        <w:rPr>
                          <w:rFonts w:ascii="Calibri" w:hAnsi="Calibri" w:cs="Calibri" w:eastAsia="Calibri" w:hint="default"/>
                          <w:sz w:val="15"/>
                          <w:szCs w:val="15"/>
                        </w:rPr>
                      </w:pPr>
                      <w:r>
                        <w:rPr>
                          <w:rFonts w:ascii="Calibri"/>
                          <w:w w:val="105"/>
                          <w:sz w:val="15"/>
                        </w:rPr>
                        <w:t>Digital China</w:t>
                      </w:r>
                      <w:r>
                        <w:rPr>
                          <w:rFonts w:ascii="Calibri"/>
                          <w:spacing w:val="-17"/>
                          <w:w w:val="105"/>
                          <w:sz w:val="15"/>
                        </w:rPr>
                        <w:t> </w:t>
                      </w:r>
                      <w:r>
                        <w:rPr>
                          <w:rFonts w:ascii="Calibri"/>
                          <w:w w:val="105"/>
                          <w:sz w:val="15"/>
                        </w:rPr>
                        <w:t>(BVI)</w:t>
                      </w:r>
                      <w:r>
                        <w:rPr>
                          <w:rFonts w:ascii="Calibri"/>
                          <w:w w:val="103"/>
                          <w:sz w:val="15"/>
                        </w:rPr>
                        <w:t> </w:t>
                      </w:r>
                      <w:r>
                        <w:rPr>
                          <w:rFonts w:ascii="Calibri"/>
                          <w:w w:val="105"/>
                          <w:sz w:val="15"/>
                        </w:rPr>
                        <w:t>Limited</w:t>
                      </w:r>
                      <w:r>
                        <w:rPr>
                          <w:rFonts w:ascii="Calibri"/>
                          <w:sz w:val="15"/>
                        </w:rPr>
                      </w:r>
                    </w:p>
                  </w:txbxContent>
                </v:textbox>
                <w10:wrap type="none"/>
              </v:shape>
              <v:shape style="position:absolute;left:232;top:1776;width:2203;height:443" type="#_x0000_t202" filled="false" stroked="true" strokeweight=".19473pt" strokecolor="#404040">
                <v:textbox inset="0,0,0,0">
                  <w:txbxContent>
                    <w:p>
                      <w:pPr>
                        <w:spacing w:line="228" w:lineRule="auto" w:before="1"/>
                        <w:ind w:left="158" w:right="177" w:firstLine="110"/>
                        <w:jc w:val="left"/>
                        <w:rPr>
                          <w:rFonts w:ascii="Calibri" w:hAnsi="Calibri" w:cs="Calibri" w:eastAsia="Calibri" w:hint="default"/>
                          <w:sz w:val="15"/>
                          <w:szCs w:val="15"/>
                        </w:rPr>
                      </w:pPr>
                      <w:r>
                        <w:rPr>
                          <w:rFonts w:ascii="Calibri" w:hAnsi="Calibri" w:cs="Calibri" w:eastAsia="Calibri" w:hint="default"/>
                          <w:sz w:val="17"/>
                          <w:szCs w:val="17"/>
                        </w:rPr>
                        <w:t>Grace Glory</w:t>
                      </w:r>
                      <w:r>
                        <w:rPr>
                          <w:rFonts w:ascii="Calibri" w:hAnsi="Calibri" w:cs="Calibri" w:eastAsia="Calibri" w:hint="default"/>
                          <w:spacing w:val="3"/>
                          <w:sz w:val="17"/>
                          <w:szCs w:val="17"/>
                        </w:rPr>
                        <w:t> </w:t>
                      </w:r>
                      <w:r>
                        <w:rPr>
                          <w:rFonts w:ascii="Calibri" w:hAnsi="Calibri" w:cs="Calibri" w:eastAsia="Calibri" w:hint="default"/>
                          <w:sz w:val="17"/>
                          <w:szCs w:val="17"/>
                        </w:rPr>
                        <w:t>Enterprises</w:t>
                      </w:r>
                      <w:r>
                        <w:rPr>
                          <w:rFonts w:ascii="Calibri" w:hAnsi="Calibri" w:cs="Calibri" w:eastAsia="Calibri" w:hint="default"/>
                          <w:w w:val="100"/>
                          <w:sz w:val="17"/>
                          <w:szCs w:val="17"/>
                        </w:rPr>
                        <w:t> </w:t>
                      </w:r>
                      <w:r>
                        <w:rPr>
                          <w:rFonts w:ascii="Calibri" w:hAnsi="Calibri" w:cs="Calibri" w:eastAsia="Calibri" w:hint="default"/>
                          <w:sz w:val="17"/>
                          <w:szCs w:val="17"/>
                        </w:rPr>
                        <w:t>Limited(</w:t>
                      </w:r>
                      <w:r>
                        <w:rPr>
                          <w:rFonts w:ascii="宋体" w:hAnsi="宋体" w:cs="宋体" w:eastAsia="宋体" w:hint="default"/>
                          <w:sz w:val="15"/>
                          <w:szCs w:val="15"/>
                        </w:rPr>
                        <w:t>辉煌企业有限公司</w:t>
                      </w:r>
                      <w:r>
                        <w:rPr>
                          <w:rFonts w:ascii="Calibri" w:hAnsi="Calibri" w:cs="Calibri" w:eastAsia="Calibri" w:hint="default"/>
                          <w:sz w:val="15"/>
                          <w:szCs w:val="15"/>
                        </w:rPr>
                        <w:t>)</w:t>
                      </w:r>
                    </w:p>
                  </w:txbxContent>
                </v:textbox>
                <w10:wrap type="none"/>
              </v:shape>
              <v:shape style="position:absolute;left:232;top:2660;width:2203;height:442" type="#_x0000_t202" filled="false" stroked="true" strokeweight=".19473pt" strokecolor="#404040">
                <v:textbox inset="0,0,0,0">
                  <w:txbxContent>
                    <w:p>
                      <w:pPr>
                        <w:spacing w:line="201" w:lineRule="exact" w:before="0"/>
                        <w:ind w:left="0" w:right="19" w:firstLine="0"/>
                        <w:jc w:val="center"/>
                        <w:rPr>
                          <w:rFonts w:ascii="Calibri" w:hAnsi="Calibri" w:cs="Calibri" w:eastAsia="Calibri" w:hint="default"/>
                          <w:sz w:val="18"/>
                          <w:szCs w:val="18"/>
                        </w:rPr>
                      </w:pPr>
                      <w:r>
                        <w:rPr>
                          <w:rFonts w:ascii="Calibri"/>
                          <w:w w:val="105"/>
                          <w:sz w:val="18"/>
                        </w:rPr>
                        <w:t>Cellular</w:t>
                      </w:r>
                      <w:r>
                        <w:rPr>
                          <w:rFonts w:ascii="Calibri"/>
                          <w:spacing w:val="-23"/>
                          <w:w w:val="105"/>
                          <w:sz w:val="18"/>
                        </w:rPr>
                        <w:t> </w:t>
                      </w:r>
                      <w:r>
                        <w:rPr>
                          <w:rFonts w:ascii="Calibri"/>
                          <w:w w:val="105"/>
                          <w:sz w:val="18"/>
                        </w:rPr>
                        <w:t>Investments</w:t>
                      </w:r>
                      <w:r>
                        <w:rPr>
                          <w:rFonts w:ascii="Calibri"/>
                          <w:sz w:val="18"/>
                        </w:rPr>
                      </w:r>
                    </w:p>
                    <w:p>
                      <w:pPr>
                        <w:spacing w:before="1"/>
                        <w:ind w:left="0" w:right="19" w:firstLine="0"/>
                        <w:jc w:val="center"/>
                        <w:rPr>
                          <w:rFonts w:ascii="Calibri" w:hAnsi="Calibri" w:cs="Calibri" w:eastAsia="Calibri" w:hint="default"/>
                          <w:sz w:val="15"/>
                          <w:szCs w:val="15"/>
                        </w:rPr>
                      </w:pPr>
                      <w:r>
                        <w:rPr>
                          <w:rFonts w:ascii="Calibri" w:hAnsi="Calibri" w:cs="Calibri" w:eastAsia="Calibri" w:hint="default"/>
                          <w:w w:val="105"/>
                          <w:sz w:val="18"/>
                          <w:szCs w:val="18"/>
                        </w:rPr>
                        <w:t>Limited(</w:t>
                      </w:r>
                      <w:r>
                        <w:rPr>
                          <w:rFonts w:ascii="宋体" w:hAnsi="宋体" w:cs="宋体" w:eastAsia="宋体" w:hint="default"/>
                          <w:w w:val="105"/>
                          <w:sz w:val="15"/>
                          <w:szCs w:val="15"/>
                        </w:rPr>
                        <w:t>鸿健投资有限公司</w:t>
                      </w:r>
                      <w:r>
                        <w:rPr>
                          <w:rFonts w:ascii="Calibri" w:hAnsi="Calibri" w:cs="Calibri" w:eastAsia="Calibri" w:hint="default"/>
                          <w:w w:val="105"/>
                          <w:sz w:val="15"/>
                          <w:szCs w:val="15"/>
                        </w:rPr>
                        <w:t>)</w:t>
                      </w:r>
                      <w:r>
                        <w:rPr>
                          <w:rFonts w:ascii="Calibri" w:hAnsi="Calibri" w:cs="Calibri" w:eastAsia="Calibri" w:hint="default"/>
                          <w:sz w:val="15"/>
                          <w:szCs w:val="15"/>
                        </w:rPr>
                      </w:r>
                    </w:p>
                  </w:txbxContent>
                </v:textbox>
                <w10:wrap type="none"/>
              </v:shape>
              <v:shape style="position:absolute;left:893;top:3543;width:882;height:442" type="#_x0000_t202" filled="false" stroked="true" strokeweight=".194635pt" strokecolor="#404040">
                <v:textbox inset="0,0,0,0">
                  <w:txbxContent>
                    <w:p>
                      <w:pPr>
                        <w:spacing w:before="67"/>
                        <w:ind w:left="86" w:right="0" w:firstLine="0"/>
                        <w:jc w:val="left"/>
                        <w:rPr>
                          <w:rFonts w:ascii="宋体" w:hAnsi="宋体" w:cs="宋体" w:eastAsia="宋体" w:hint="default"/>
                          <w:sz w:val="17"/>
                          <w:szCs w:val="17"/>
                        </w:rPr>
                      </w:pPr>
                      <w:r>
                        <w:rPr>
                          <w:rFonts w:ascii="宋体" w:hAnsi="宋体" w:cs="宋体" w:eastAsia="宋体" w:hint="default"/>
                          <w:sz w:val="17"/>
                          <w:szCs w:val="17"/>
                        </w:rPr>
                        <w:t>神码软件</w:t>
                      </w:r>
                    </w:p>
                  </w:txbxContent>
                </v:textbox>
                <w10:wrap type="none"/>
              </v:shape>
              <v:shape style="position:absolute;left:10;top:4427;width:2639;height:443" type="#_x0000_t202" filled="false" stroked="true" strokeweight=".194737pt" strokecolor="#404040">
                <v:textbox inset="0,0,0,0">
                  <w:txbxContent>
                    <w:p>
                      <w:pPr>
                        <w:spacing w:before="67"/>
                        <w:ind w:left="534" w:right="0" w:firstLine="0"/>
                        <w:jc w:val="left"/>
                        <w:rPr>
                          <w:rFonts w:ascii="宋体" w:hAnsi="宋体" w:cs="宋体" w:eastAsia="宋体" w:hint="default"/>
                          <w:sz w:val="17"/>
                          <w:szCs w:val="17"/>
                        </w:rPr>
                      </w:pPr>
                      <w:r>
                        <w:rPr>
                          <w:rFonts w:ascii="宋体" w:hAnsi="宋体" w:cs="宋体" w:eastAsia="宋体" w:hint="default"/>
                          <w:sz w:val="17"/>
                          <w:szCs w:val="17"/>
                        </w:rPr>
                        <w:t>神州信息（</w:t>
                      </w:r>
                      <w:r>
                        <w:rPr>
                          <w:rFonts w:ascii="Calibri" w:hAnsi="Calibri" w:cs="Calibri" w:eastAsia="Calibri" w:hint="default"/>
                          <w:sz w:val="17"/>
                          <w:szCs w:val="17"/>
                        </w:rPr>
                        <w:t>000555</w:t>
                      </w:r>
                      <w:r>
                        <w:rPr>
                          <w:rFonts w:ascii="宋体" w:hAnsi="宋体" w:cs="宋体" w:eastAsia="宋体" w:hint="default"/>
                          <w:sz w:val="17"/>
                          <w:szCs w:val="17"/>
                        </w:rPr>
                        <w:t>）</w:t>
                      </w:r>
                    </w:p>
                  </w:txbxContent>
                </v:textbox>
                <w10:wrap type="none"/>
              </v:shape>
            </v:group>
          </v:group>
        </w:pict>
      </w:r>
      <w:r>
        <w:rPr>
          <w:rFonts w:ascii="宋体" w:hAnsi="宋体" w:cs="宋体" w:eastAsia="宋体" w:hint="default"/>
          <w:position w:val="-96"/>
          <w:sz w:val="20"/>
          <w:szCs w:val="20"/>
        </w:rPr>
      </w:r>
    </w:p>
    <w:p>
      <w:pPr>
        <w:spacing w:line="240" w:lineRule="auto" w:before="2"/>
        <w:rPr>
          <w:rFonts w:ascii="宋体" w:hAnsi="宋体" w:cs="宋体" w:eastAsia="宋体" w:hint="default"/>
          <w:sz w:val="23"/>
          <w:szCs w:val="23"/>
        </w:rPr>
      </w:pPr>
    </w:p>
    <w:p>
      <w:pPr>
        <w:pStyle w:val="BodyText"/>
        <w:spacing w:line="240" w:lineRule="auto" w:before="35"/>
        <w:ind w:right="1135"/>
        <w:jc w:val="left"/>
      </w:pPr>
      <w:r>
        <w:rPr/>
        <w:t>实际控制人通过信托或其他资产管理方式控制公司</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1844"/>
        <w:gridCol w:w="1134"/>
        <w:gridCol w:w="1559"/>
        <w:gridCol w:w="1276"/>
        <w:gridCol w:w="3756"/>
      </w:tblGrid>
      <w:tr>
        <w:trPr>
          <w:trHeight w:val="724" w:hRule="exact"/>
        </w:trPr>
        <w:tc>
          <w:tcPr>
            <w:tcW w:w="18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75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50" w:hRule="exact"/>
        </w:trPr>
        <w:tc>
          <w:tcPr>
            <w:tcW w:w="18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3" w:right="189"/>
              <w:jc w:val="left"/>
              <w:rPr>
                <w:rFonts w:ascii="宋体" w:hAnsi="宋体" w:cs="宋体" w:eastAsia="宋体" w:hint="default"/>
                <w:sz w:val="18"/>
                <w:szCs w:val="18"/>
              </w:rPr>
            </w:pPr>
            <w:r>
              <w:rPr>
                <w:rFonts w:ascii="宋体" w:hAnsi="宋体" w:cs="宋体" w:eastAsia="宋体" w:hint="default"/>
                <w:sz w:val="18"/>
                <w:szCs w:val="18"/>
              </w:rPr>
              <w:t>天津信锐投资合伙企 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32,951.97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23" w:right="9"/>
              <w:jc w:val="both"/>
              <w:rPr>
                <w:rFonts w:ascii="宋体" w:hAnsi="宋体" w:cs="宋体" w:eastAsia="宋体" w:hint="default"/>
                <w:sz w:val="18"/>
                <w:szCs w:val="18"/>
              </w:rPr>
            </w:pPr>
            <w:r>
              <w:rPr>
                <w:rFonts w:ascii="宋体" w:hAnsi="宋体" w:cs="宋体" w:eastAsia="宋体" w:hint="default"/>
                <w:spacing w:val="-4"/>
                <w:sz w:val="18"/>
                <w:szCs w:val="18"/>
              </w:rPr>
              <w:t>以自有资金对商业进行投资；投资咨询（不含金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融、证券、期货业务）；经济贸易咨询；企业管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理咨询；技术推广服务。（以上经营范围涉及行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业许可的凭许可证件，在有效期限内经营，国家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有专项专营规定的按规定办理）</w:t>
            </w:r>
          </w:p>
        </w:tc>
      </w:tr>
      <w:tr>
        <w:trPr>
          <w:trHeight w:val="1972" w:hRule="exact"/>
        </w:trPr>
        <w:tc>
          <w:tcPr>
            <w:tcW w:w="184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3" w:right="189"/>
              <w:jc w:val="left"/>
              <w:rPr>
                <w:rFonts w:ascii="宋体" w:hAnsi="宋体" w:cs="宋体" w:eastAsia="宋体" w:hint="default"/>
                <w:sz w:val="18"/>
                <w:szCs w:val="18"/>
              </w:rPr>
            </w:pPr>
            <w:r>
              <w:rPr>
                <w:rFonts w:ascii="宋体" w:hAnsi="宋体" w:cs="宋体" w:eastAsia="宋体" w:hint="default"/>
                <w:sz w:val="18"/>
                <w:szCs w:val="18"/>
              </w:rPr>
              <w:t>中新苏州工业园区创 业投资有限公司</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林向红</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56"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51"/>
              <w:ind w:left="23" w:right="10"/>
              <w:jc w:val="both"/>
              <w:rPr>
                <w:rFonts w:ascii="宋体" w:hAnsi="宋体" w:cs="宋体" w:eastAsia="宋体" w:hint="default"/>
                <w:sz w:val="18"/>
                <w:szCs w:val="18"/>
              </w:rPr>
            </w:pPr>
            <w:r>
              <w:rPr>
                <w:rFonts w:ascii="宋体" w:hAnsi="宋体" w:cs="宋体" w:eastAsia="宋体" w:hint="default"/>
                <w:spacing w:val="-4"/>
                <w:sz w:val="18"/>
                <w:szCs w:val="18"/>
              </w:rPr>
              <w:t>高新技术企业的直接投资，相关产业的创业投资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基金和创业投资管理公司的发起与管理；企业收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购、兼并、重组、上市策划，企业管理咨询；国</w:t>
            </w:r>
            <w:r>
              <w:rPr>
                <w:rFonts w:ascii="宋体" w:hAnsi="宋体" w:cs="宋体" w:eastAsia="宋体" w:hint="default"/>
                <w:sz w:val="18"/>
                <w:szCs w:val="18"/>
              </w:rPr>
              <w:t> </w:t>
            </w:r>
            <w:r>
              <w:rPr>
                <w:rFonts w:ascii="宋体" w:hAnsi="宋体" w:cs="宋体" w:eastAsia="宋体" w:hint="default"/>
                <w:spacing w:val="-4"/>
                <w:sz w:val="18"/>
                <w:szCs w:val="18"/>
              </w:rPr>
              <w:t>际经济技术交流及其相关业务；主营业务以外的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其他项目投资。（依法须经批准的项目，经相关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部门批准后方可开展经营活动）</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w:t>
      </w:r>
      <w:bookmarkStart w:name="_bookmark6" w:id="120"/>
      <w:bookmarkEnd w:id="120"/>
      <w:r>
        <w:rPr/>
        <w:t>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Heading1"/>
        <w:spacing w:line="240" w:lineRule="auto" w:before="0"/>
        <w:ind w:left="3366" w:right="1135"/>
        <w:jc w:val="left"/>
        <w:rPr>
          <w:b w:val="0"/>
          <w:bCs w:val="0"/>
        </w:rPr>
      </w:pPr>
      <w:bookmarkStart w:name="第七节优先股相关情况" w:id="121"/>
      <w:bookmarkEnd w:id="121"/>
      <w:r>
        <w:rPr>
          <w:b w:val="0"/>
          <w:bCs w:val="0"/>
        </w:rPr>
      </w:r>
      <w:r>
        <w:rPr/>
        <w:t>第七节优先股相关情况</w:t>
      </w:r>
      <w:r>
        <w:rPr>
          <w:b w:val="0"/>
          <w:bCs w:val="0"/>
        </w:rPr>
      </w:r>
    </w:p>
    <w:p>
      <w:pPr>
        <w:spacing w:line="240" w:lineRule="auto" w:before="8"/>
        <w:rPr>
          <w:rFonts w:ascii="宋体" w:hAnsi="宋体" w:cs="宋体" w:eastAsia="宋体" w:hint="default"/>
          <w:b/>
          <w:bCs/>
          <w:sz w:val="46"/>
          <w:szCs w:val="46"/>
        </w:rPr>
      </w:pPr>
    </w:p>
    <w:p>
      <w:pPr>
        <w:pStyle w:val="BodyText"/>
        <w:spacing w:line="420" w:lineRule="auto"/>
        <w:ind w:left="154"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报告期公司不存在优先股。</w:t>
      </w:r>
    </w:p>
    <w:p>
      <w:pPr>
        <w:spacing w:after="0" w:line="420" w:lineRule="auto"/>
        <w:jc w:val="left"/>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001" w:right="1125"/>
        <w:jc w:val="left"/>
        <w:rPr>
          <w:b w:val="0"/>
          <w:bCs w:val="0"/>
        </w:rPr>
      </w:pPr>
      <w:bookmarkStart w:name="第八节董事、监事、高级管理人员和员工情况" w:id="122"/>
      <w:bookmarkEnd w:id="122"/>
      <w:r>
        <w:rPr>
          <w:b w:val="0"/>
          <w:bCs w:val="0"/>
        </w:rPr>
      </w:r>
      <w:bookmarkStart w:name="_bookmark7" w:id="123"/>
      <w:bookmarkEnd w:id="123"/>
      <w:r>
        <w:rPr>
          <w:b w:val="0"/>
          <w:bCs w:val="0"/>
        </w:rPr>
      </w:r>
      <w:r>
        <w:rPr/>
        <w:t>第八节董事、监事、高级管理人员和员工情况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393" w:right="1125"/>
        <w:jc w:val="left"/>
        <w:rPr>
          <w:b w:val="0"/>
          <w:bCs w:val="0"/>
        </w:rPr>
      </w:pPr>
      <w:bookmarkStart w:name="一、 董事、监事和高级管理人员持股变动" w:id="124"/>
      <w:bookmarkEnd w:id="124"/>
      <w:r>
        <w:rPr>
          <w:b w:val="0"/>
          <w:bCs w:val="0"/>
        </w:rPr>
      </w:r>
      <w:r>
        <w:rPr/>
        <w:t>一、</w:t>
      </w:r>
      <w:r>
        <w:rPr>
          <w:spacing w:val="-108"/>
        </w:rPr>
        <w:t> </w:t>
      </w:r>
      <w:r>
        <w:rPr/>
        <w:t>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04"/>
        <w:gridCol w:w="708"/>
        <w:gridCol w:w="851"/>
        <w:gridCol w:w="568"/>
        <w:gridCol w:w="425"/>
        <w:gridCol w:w="1559"/>
        <w:gridCol w:w="1560"/>
        <w:gridCol w:w="708"/>
        <w:gridCol w:w="851"/>
        <w:gridCol w:w="851"/>
        <w:gridCol w:w="708"/>
        <w:gridCol w:w="700"/>
      </w:tblGrid>
      <w:tr>
        <w:trPr>
          <w:trHeight w:val="1036" w:hRule="exact"/>
        </w:trPr>
        <w:tc>
          <w:tcPr>
            <w:tcW w:w="70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165" w:right="6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7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总裁， 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厉军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0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740" w:right="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704"/>
        <w:gridCol w:w="708"/>
        <w:gridCol w:w="851"/>
        <w:gridCol w:w="568"/>
        <w:gridCol w:w="425"/>
        <w:gridCol w:w="1559"/>
        <w:gridCol w:w="1560"/>
        <w:gridCol w:w="708"/>
        <w:gridCol w:w="851"/>
        <w:gridCol w:w="851"/>
        <w:gridCol w:w="708"/>
        <w:gridCol w:w="700"/>
      </w:tblGrid>
      <w:tr>
        <w:trPr>
          <w:trHeight w:val="473" w:hRule="exact"/>
        </w:trPr>
        <w:tc>
          <w:tcPr>
            <w:tcW w:w="70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315"/>
              <w:jc w:val="righ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44</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朱海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郑雪艳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杨九如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15"/>
              <w:jc w:val="righ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730" w:hRule="exact"/>
        </w:trPr>
        <w:tc>
          <w:tcPr>
            <w:tcW w:w="704"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08" w:type="dxa"/>
            <w:tcBorders>
              <w:top w:val="single" w:sz="4" w:space="0" w:color="000000"/>
              <w:left w:val="single" w:sz="4" w:space="0" w:color="000000"/>
              <w:bottom w:val="single" w:sz="16" w:space="0" w:color="D2D2D2"/>
              <w:right w:val="single" w:sz="4" w:space="0" w:color="000000"/>
            </w:tcBorders>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85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55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59" w:hRule="exact"/>
        </w:trPr>
        <w:tc>
          <w:tcPr>
            <w:tcW w:w="70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288"/>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394" w:right="1125"/>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378" w:type="dxa"/>
        <w:tblLayout w:type="fixed"/>
        <w:tblCellMar>
          <w:top w:w="0" w:type="dxa"/>
          <w:left w:w="0" w:type="dxa"/>
          <w:bottom w:w="0" w:type="dxa"/>
          <w:right w:w="0" w:type="dxa"/>
        </w:tblCellMar>
        <w:tblLook w:val="01E0"/>
      </w:tblPr>
      <w:tblGrid>
        <w:gridCol w:w="1331"/>
        <w:gridCol w:w="1648"/>
        <w:gridCol w:w="1419"/>
        <w:gridCol w:w="1984"/>
        <w:gridCol w:w="3188"/>
      </w:tblGrid>
      <w:tr>
        <w:trPr>
          <w:trHeight w:val="437" w:hRule="exact"/>
        </w:trPr>
        <w:tc>
          <w:tcPr>
            <w:tcW w:w="13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164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6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00" w:hRule="exact"/>
        </w:trPr>
        <w:tc>
          <w:tcPr>
            <w:tcW w:w="1331" w:type="dxa"/>
            <w:tcBorders>
              <w:top w:val="single" w:sz="12" w:space="0" w:color="D2D2D2"/>
              <w:left w:val="single" w:sz="12" w:space="0" w:color="000000"/>
              <w:bottom w:val="single" w:sz="4" w:space="0" w:color="000000"/>
              <w:right w:val="single" w:sz="4" w:space="0" w:color="000000"/>
            </w:tcBorders>
          </w:tcPr>
          <w:p>
            <w:pPr>
              <w:pStyle w:val="TableParagraph"/>
              <w:spacing w:line="240" w:lineRule="auto" w:before="107"/>
              <w:ind w:left="13" w:right="0"/>
              <w:jc w:val="left"/>
              <w:rPr>
                <w:rFonts w:ascii="宋体" w:hAnsi="宋体" w:cs="宋体" w:eastAsia="宋体" w:hint="default"/>
                <w:sz w:val="18"/>
                <w:szCs w:val="18"/>
              </w:rPr>
            </w:pPr>
            <w:r>
              <w:rPr>
                <w:rFonts w:ascii="宋体" w:hAnsi="宋体" w:cs="宋体" w:eastAsia="宋体" w:hint="default"/>
                <w:sz w:val="18"/>
                <w:szCs w:val="18"/>
              </w:rPr>
              <w:t>朱海</w:t>
            </w:r>
          </w:p>
        </w:tc>
        <w:tc>
          <w:tcPr>
            <w:tcW w:w="164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63"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缪伟刚</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65"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郑雪艳</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64"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杨九如</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63"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75" w:hRule="exact"/>
        </w:trPr>
        <w:tc>
          <w:tcPr>
            <w:tcW w:w="13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16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报告期内辞职</w:t>
            </w:r>
          </w:p>
        </w:tc>
      </w:tr>
    </w:tbl>
    <w:p>
      <w:pPr>
        <w:spacing w:line="240" w:lineRule="auto" w:before="2"/>
        <w:rPr>
          <w:rFonts w:ascii="宋体" w:hAnsi="宋体" w:cs="宋体" w:eastAsia="宋体" w:hint="default"/>
          <w:b/>
          <w:bCs/>
          <w:sz w:val="18"/>
          <w:szCs w:val="18"/>
        </w:rPr>
      </w:pPr>
    </w:p>
    <w:p>
      <w:pPr>
        <w:pStyle w:val="Heading2"/>
        <w:spacing w:line="240" w:lineRule="auto" w:before="26"/>
        <w:ind w:left="394" w:right="1125"/>
        <w:jc w:val="left"/>
        <w:rPr>
          <w:b w:val="0"/>
          <w:bCs w:val="0"/>
        </w:rPr>
      </w:pPr>
      <w:bookmarkStart w:name="三、任职情况" w:id="126"/>
      <w:bookmarkEnd w:id="126"/>
      <w:r>
        <w:rPr>
          <w:b w:val="0"/>
          <w:bCs w:val="0"/>
        </w:rPr>
      </w:r>
      <w:r>
        <w:rPr/>
        <w:t>三、任职情况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393" w:right="1125"/>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pStyle w:val="BodyText"/>
        <w:spacing w:line="240" w:lineRule="auto"/>
        <w:ind w:left="813" w:right="1125"/>
        <w:jc w:val="left"/>
      </w:pPr>
      <w:r>
        <w:rPr/>
        <w:t>（一）董事会成员</w:t>
      </w:r>
    </w:p>
    <w:p>
      <w:pPr>
        <w:spacing w:line="240" w:lineRule="auto" w:before="10"/>
        <w:rPr>
          <w:rFonts w:ascii="宋体" w:hAnsi="宋体" w:cs="宋体" w:eastAsia="宋体" w:hint="default"/>
          <w:sz w:val="17"/>
          <w:szCs w:val="17"/>
        </w:rPr>
      </w:pPr>
    </w:p>
    <w:p>
      <w:pPr>
        <w:pStyle w:val="BodyText"/>
        <w:spacing w:line="386" w:lineRule="auto"/>
        <w:ind w:left="393" w:right="1125" w:firstLine="420"/>
        <w:jc w:val="left"/>
      </w:pPr>
      <w:r>
        <w:rPr/>
        <w:t>郭为，男，</w:t>
      </w:r>
      <w:r>
        <w:rPr>
          <w:rFonts w:ascii="Times New Roman" w:hAnsi="Times New Roman" w:cs="Times New Roman" w:eastAsia="Times New Roman" w:hint="default"/>
        </w:rPr>
        <w:t>53</w:t>
      </w:r>
      <w:r>
        <w:rPr>
          <w:rFonts w:ascii="Times New Roman" w:hAnsi="Times New Roman" w:cs="Times New Roman" w:eastAsia="Times New Roman" w:hint="default"/>
          <w:spacing w:val="-7"/>
        </w:rPr>
        <w:t> </w:t>
      </w:r>
      <w:r>
        <w:rPr/>
        <w:t>岁，毕业于中国科学技术大学工学院，获硕士学位。</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月，任神州 </w:t>
      </w:r>
      <w:r>
        <w:rPr>
          <w:spacing w:val="-5"/>
        </w:rPr>
        <w:t>数码控股有限公司董事局主席兼首席执行官；</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8"/>
        </w:rPr>
        <w:t>月至今，任神州数码控股有限公司董事局主席；</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月，任鼎捷软件股份有限公司董事；</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 </w:t>
      </w:r>
      <w:r>
        <w:rPr/>
        <w:t>月，任泰康人寿保险股份有 限公司独立董事；</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月至今任神州数码信息服务股份有限公司董事长。</w:t>
      </w:r>
    </w:p>
    <w:p>
      <w:pPr>
        <w:pStyle w:val="BodyText"/>
        <w:spacing w:line="386" w:lineRule="auto" w:before="74"/>
        <w:ind w:left="393" w:right="1131" w:firstLine="420"/>
        <w:jc w:val="both"/>
      </w:pPr>
      <w:r>
        <w:rPr/>
        <w:t>林杨，男，</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t>岁，毕业于西安电子科技大学，获得计算机通讯学士学位，并于</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年毕业于长江商 </w:t>
      </w:r>
      <w:r>
        <w:rPr>
          <w:spacing w:val="-6"/>
        </w:rPr>
        <w:t>学院，获得工商管理硕士学位。</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5"/>
        </w:rPr>
        <w:t>月，任神州数码控股有限公司总裁兼执行董事；</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月至今，任神州数码控股有限公司</w:t>
      </w:r>
      <w:r>
        <w:rPr>
          <w:spacing w:val="-53"/>
        </w:rPr>
        <w:t> </w:t>
      </w:r>
      <w:r>
        <w:rPr>
          <w:rFonts w:ascii="Times New Roman" w:hAnsi="Times New Roman" w:cs="Times New Roman" w:eastAsia="Times New Roman" w:hint="default"/>
        </w:rPr>
        <w:t>CEO</w:t>
      </w:r>
      <w:r>
        <w:rPr>
          <w:rFonts w:ascii="Times New Roman" w:hAnsi="Times New Roman" w:cs="Times New Roman" w:eastAsia="Times New Roman" w:hint="default"/>
          <w:spacing w:val="-1"/>
        </w:rPr>
        <w:t> </w:t>
      </w:r>
      <w:r>
        <w:rPr/>
        <w:t>兼执行董事；</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月至今，任神州数码信息服务股份有</w:t>
      </w:r>
    </w:p>
    <w:p>
      <w:pPr>
        <w:spacing w:after="0" w:line="386" w:lineRule="auto"/>
        <w:jc w:val="both"/>
        <w:sectPr>
          <w:pgSz w:w="11910" w:h="16840"/>
          <w:pgMar w:header="0" w:footer="1226" w:top="1100" w:bottom="1420" w:left="740" w:right="0"/>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限公司董事，自</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月起担任神州数码信息服务股份有限公司副董事长。</w:t>
      </w:r>
    </w:p>
    <w:p>
      <w:pPr>
        <w:spacing w:line="240" w:lineRule="auto" w:before="6"/>
        <w:rPr>
          <w:rFonts w:ascii="宋体" w:hAnsi="宋体" w:cs="宋体" w:eastAsia="宋体" w:hint="default"/>
          <w:sz w:val="16"/>
          <w:szCs w:val="16"/>
        </w:rPr>
      </w:pPr>
    </w:p>
    <w:p>
      <w:pPr>
        <w:pStyle w:val="BodyText"/>
        <w:spacing w:line="386" w:lineRule="auto"/>
        <w:ind w:left="154" w:right="1130" w:firstLine="420"/>
        <w:jc w:val="both"/>
      </w:pPr>
      <w:r>
        <w:rPr>
          <w:spacing w:val="-16"/>
        </w:rPr>
        <w:t>周一兵，男，</w:t>
      </w:r>
      <w:r>
        <w:rPr>
          <w:rFonts w:ascii="Times New Roman" w:hAnsi="Times New Roman" w:cs="Times New Roman" w:eastAsia="Times New Roman" w:hint="default"/>
          <w:spacing w:val="-16"/>
        </w:rPr>
        <w:t>52 </w:t>
      </w:r>
      <w:r>
        <w:rPr>
          <w:spacing w:val="-11"/>
        </w:rPr>
        <w:t>岁，</w:t>
      </w:r>
      <w:r>
        <w:rPr>
          <w:rFonts w:ascii="Times New Roman" w:hAnsi="Times New Roman" w:cs="Times New Roman" w:eastAsia="Times New Roman" w:hint="default"/>
          <w:spacing w:val="-11"/>
        </w:rPr>
        <w:t>1981 </w:t>
      </w:r>
      <w:r>
        <w:rPr/>
        <w:t>年</w:t>
      </w:r>
      <w:r>
        <w:rPr>
          <w:rFonts w:ascii="Times New Roman" w:hAnsi="Times New Roman" w:cs="Times New Roman" w:eastAsia="Times New Roman" w:hint="default"/>
        </w:rPr>
        <w:t>-1985 </w:t>
      </w:r>
      <w:r>
        <w:rPr>
          <w:spacing w:val="-7"/>
        </w:rPr>
        <w:t>年，就读于中国科学技术大学，流体力学专业本科毕业；</w:t>
      </w:r>
      <w:r>
        <w:rPr>
          <w:rFonts w:ascii="Times New Roman" w:hAnsi="Times New Roman" w:cs="Times New Roman" w:eastAsia="Times New Roman" w:hint="default"/>
          <w:spacing w:val="-7"/>
        </w:rPr>
        <w:t>1985</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-1989 </w:t>
      </w:r>
      <w:r>
        <w:rPr/>
        <w:t>年，就读于中国科学技术大学，获精密机械与仪器专业硕士学历。</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月，任神州数码 控股有限公司副总裁，神州数码信息技术服务有限公司总裁兼集成服务战略本部总裁。</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w:t>
      </w:r>
      <w:r>
        <w:rPr>
          <w:spacing w:val="-78"/>
        </w:rPr>
        <w:t> </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月至今任 神州数码信息服务股份有限公司董事、总裁。</w:t>
      </w:r>
    </w:p>
    <w:p>
      <w:pPr>
        <w:pStyle w:val="BodyText"/>
        <w:spacing w:line="386" w:lineRule="auto" w:before="104"/>
        <w:ind w:right="1128" w:firstLine="420"/>
        <w:jc w:val="both"/>
        <w:rPr>
          <w:rFonts w:ascii="Times New Roman" w:hAnsi="Times New Roman" w:cs="Times New Roman" w:eastAsia="Times New Roman" w:hint="default"/>
        </w:rPr>
      </w:pPr>
      <w:r>
        <w:rPr/>
        <w:t>高源，男，</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岁，</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月毕业于上海财经大学，获会计学学士学位；</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月毕业于卡内基 </w:t>
      </w:r>
      <w:r>
        <w:rPr>
          <w:spacing w:val="-11"/>
        </w:rPr>
        <w:t>梅隆大学，获公共管理硕士学位；</w:t>
      </w:r>
      <w:r>
        <w:rPr>
          <w:rFonts w:ascii="Times New Roman" w:hAnsi="Times New Roman" w:cs="Times New Roman" w:eastAsia="Times New Roman" w:hint="default"/>
          <w:spacing w:val="-11"/>
        </w:rPr>
        <w:t>2003</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9"/>
        </w:rPr>
        <w:t>月毕业于麻省理工学院，获工商管理硕士学位。</w:t>
      </w:r>
      <w:r>
        <w:rPr>
          <w:rFonts w:ascii="Times New Roman" w:hAnsi="Times New Roman" w:cs="Times New Roman" w:eastAsia="Times New Roman" w:hint="default"/>
          <w:spacing w:val="-9"/>
        </w:rPr>
        <w:t>2009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7"/>
        </w:rPr>
        <w:t>月，任联想集团公司战略联盟总监；</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- 2014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6"/>
        </w:rPr>
        <w:t>月，任亚美亚通讯公司业务发展总监；</w:t>
      </w:r>
      <w:r>
        <w:rPr>
          <w:rFonts w:ascii="Times New Roman" w:hAnsi="Times New Roman" w:cs="Times New Roman" w:eastAsia="Times New Roman" w:hint="default"/>
          <w:spacing w:val="-6"/>
        </w:rPr>
        <w:t>2014</w:t>
      </w:r>
    </w:p>
    <w:p>
      <w:pPr>
        <w:pStyle w:val="BodyText"/>
        <w:spacing w:line="386" w:lineRule="auto" w:before="35"/>
        <w:ind w:right="1118"/>
        <w:jc w:val="left"/>
      </w:pP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月至今，任苏州元禾控股股份有限公司直投部总经理；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月至今，任神州数码信息服务股份有 限公司董事。</w:t>
      </w:r>
    </w:p>
    <w:p>
      <w:pPr>
        <w:pStyle w:val="BodyText"/>
        <w:spacing w:line="386" w:lineRule="auto" w:before="103"/>
        <w:ind w:right="1123" w:firstLine="420"/>
        <w:jc w:val="left"/>
      </w:pPr>
      <w:r>
        <w:rPr/>
        <w:t>盛刚，男，</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岁，注册会计师。</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月毕业于中国人民大学会计系国际会计专业，获经济学学 </w:t>
      </w:r>
      <w:r>
        <w:rPr>
          <w:spacing w:val="-4"/>
        </w:rPr>
        <w:t>士学位；</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月取得北京大学光华管理学院在职</w:t>
      </w:r>
      <w:r>
        <w:rPr>
          <w:spacing w:val="-50"/>
        </w:rPr>
        <w:t> </w:t>
      </w:r>
      <w:r>
        <w:rPr>
          <w:rFonts w:ascii="Times New Roman" w:hAnsi="Times New Roman" w:cs="Times New Roman" w:eastAsia="Times New Roman" w:hint="default"/>
        </w:rPr>
        <w:t>MBA</w:t>
      </w:r>
      <w:r>
        <w:rPr>
          <w:rFonts w:ascii="Times New Roman" w:hAnsi="Times New Roman" w:cs="Times New Roman" w:eastAsia="Times New Roman" w:hint="default"/>
          <w:spacing w:val="1"/>
        </w:rPr>
        <w:t> </w:t>
      </w:r>
      <w:r>
        <w:rPr>
          <w:spacing w:val="-5"/>
        </w:rPr>
        <w:t>证书。</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月，任赛富亚洲投资基金高级</w:t>
      </w:r>
      <w:r>
        <w:rPr/>
        <w:t> </w:t>
      </w:r>
      <w:r>
        <w:rPr>
          <w:spacing w:val="-3"/>
        </w:rPr>
        <w:t>经理、副总裁、执行董事，现任赛富亚洲投资基金执行董事；</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 有限公司董事。</w:t>
      </w:r>
    </w:p>
    <w:p>
      <w:pPr>
        <w:pStyle w:val="BodyText"/>
        <w:spacing w:line="386" w:lineRule="auto" w:before="104"/>
        <w:ind w:right="1114" w:firstLine="420"/>
        <w:jc w:val="left"/>
      </w:pPr>
      <w:r>
        <w:rPr/>
        <w:t>罗振邦，男，</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t>岁，注册会计师、中国注册税务师、中国注册资产评估师、会计师。</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 毕业于兰州商学院企业管理专业；</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月，获澳大利亚国立大学企业管理与创新硕士学位；</w:t>
      </w:r>
      <w:r>
        <w:rPr>
          <w:rFonts w:ascii="Times New Roman" w:hAnsi="Times New Roman" w:cs="Times New Roman" w:eastAsia="Times New Roman" w:hint="default"/>
        </w:rPr>
        <w:t>2002 </w:t>
      </w:r>
      <w:r>
        <w:rPr/>
        <w:t>年 获独立董事结业证书。</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月至今，任立信会计师事务所（特殊普通合伙）董事、高级合伙人；</w:t>
      </w:r>
      <w:r>
        <w:rPr>
          <w:rFonts w:ascii="Times New Roman" w:hAnsi="Times New Roman" w:cs="Times New Roman" w:eastAsia="Times New Roman" w:hint="default"/>
        </w:rPr>
        <w:t>2011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月至今，任神州数码信息服务股份有限公司独立董事。</w:t>
      </w:r>
    </w:p>
    <w:p>
      <w:pPr>
        <w:pStyle w:val="BodyText"/>
        <w:spacing w:line="386" w:lineRule="auto" w:before="75"/>
        <w:ind w:right="1122" w:firstLine="420"/>
        <w:jc w:val="left"/>
      </w:pPr>
      <w:r>
        <w:rPr/>
        <w:t>王能光，男，</w:t>
      </w:r>
      <w:r>
        <w:rPr>
          <w:rFonts w:ascii="Times New Roman" w:hAnsi="Times New Roman" w:cs="Times New Roman" w:eastAsia="Times New Roman" w:hint="default"/>
        </w:rPr>
        <w:t>58</w:t>
      </w:r>
      <w:r>
        <w:rPr>
          <w:rFonts w:ascii="Times New Roman" w:hAnsi="Times New Roman" w:cs="Times New Roman" w:eastAsia="Times New Roman" w:hint="default"/>
          <w:spacing w:val="-1"/>
        </w:rPr>
        <w:t> </w:t>
      </w:r>
      <w:r>
        <w:rPr/>
        <w:t>岁，注册会计师、高级会计师。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月毕业于中共中央党校，获经济管理硕士 学位；</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月取得独立董事资格。</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月，任北京联想投资顾问有限公司董事总经 理兼财务总监；</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月，任神州数码信息服务股份有限公司独立董事；</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月至 </w:t>
      </w:r>
      <w:r>
        <w:rPr>
          <w:spacing w:val="-3"/>
        </w:rPr>
        <w:t>今，任北京君联资本管理有限公司董事、董事总经理兼首席财务官（</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月北京君联资本管理有限公 </w:t>
      </w:r>
      <w:r>
        <w:rPr>
          <w:spacing w:val="-6"/>
        </w:rPr>
        <w:t>司改为君联资本管理股份有限公司）；</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月至今，任神州数码信息服务股份有限公司独立董事。</w:t>
      </w:r>
    </w:p>
    <w:p>
      <w:pPr>
        <w:pStyle w:val="BodyText"/>
        <w:spacing w:line="386" w:lineRule="auto" w:before="74"/>
        <w:ind w:right="1132" w:firstLine="420"/>
        <w:jc w:val="both"/>
      </w:pPr>
      <w:r>
        <w:rPr>
          <w:spacing w:val="-4"/>
        </w:rPr>
        <w:t>杨晓樱，女，</w:t>
      </w:r>
      <w:r>
        <w:rPr>
          <w:rFonts w:ascii="Times New Roman" w:hAnsi="Times New Roman" w:cs="Times New Roman" w:eastAsia="Times New Roman" w:hint="default"/>
          <w:spacing w:val="-4"/>
        </w:rPr>
        <w:t>49</w:t>
      </w:r>
      <w:r>
        <w:rPr>
          <w:rFonts w:ascii="Times New Roman" w:hAnsi="Times New Roman" w:cs="Times New Roman" w:eastAsia="Times New Roman" w:hint="default"/>
          <w:spacing w:val="-5"/>
        </w:rPr>
        <w:t> </w:t>
      </w:r>
      <w:r>
        <w:rPr>
          <w:spacing w:val="-3"/>
        </w:rPr>
        <w:t>岁，</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月毕业于中欧国际工商管理学院，获硕士学位，</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月取得独立 董事资格。</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月，任甲骨文</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软件系统有限公司副总裁；</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月至今，任仁 天科技控股有限公司执行董事及</w:t>
      </w:r>
      <w:r>
        <w:rPr>
          <w:spacing w:val="-53"/>
        </w:rPr>
        <w:t> </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月至今任神州数码信息服务股份有限公司独立董事。</w:t>
      </w:r>
    </w:p>
    <w:p>
      <w:pPr>
        <w:pStyle w:val="BodyText"/>
        <w:spacing w:line="386" w:lineRule="auto" w:before="74"/>
        <w:ind w:left="154" w:right="1130" w:firstLine="420"/>
        <w:jc w:val="both"/>
      </w:pPr>
      <w:r>
        <w:rPr/>
        <w:t>吕本富，男，</w:t>
      </w:r>
      <w:r>
        <w:rPr>
          <w:rFonts w:ascii="Times New Roman" w:hAnsi="Times New Roman" w:cs="Times New Roman" w:eastAsia="Times New Roman" w:hint="default"/>
        </w:rPr>
        <w:t>50 </w:t>
      </w:r>
      <w:r>
        <w:rPr/>
        <w:t>岁，教授，博士生导师。</w:t>
      </w:r>
      <w:r>
        <w:rPr>
          <w:rFonts w:ascii="Times New Roman" w:hAnsi="Times New Roman" w:cs="Times New Roman" w:eastAsia="Times New Roman" w:hint="default"/>
        </w:rPr>
        <w:t>1986 </w:t>
      </w:r>
      <w:r>
        <w:rPr/>
        <w:t>年获安徽师范大学化学专业理学学士；</w:t>
      </w:r>
      <w:r>
        <w:rPr>
          <w:rFonts w:ascii="Times New Roman" w:hAnsi="Times New Roman" w:cs="Times New Roman" w:eastAsia="Times New Roman" w:hint="default"/>
        </w:rPr>
        <w:t>1992</w:t>
      </w:r>
      <w:r>
        <w:rPr>
          <w:rFonts w:ascii="Times New Roman" w:hAnsi="Times New Roman" w:cs="Times New Roman" w:eastAsia="Times New Roman" w:hint="default"/>
          <w:spacing w:val="-3"/>
        </w:rPr>
        <w:t> </w:t>
      </w:r>
      <w:r>
        <w:rPr/>
        <w:t>年获北京 </w:t>
      </w:r>
      <w:r>
        <w:rPr>
          <w:spacing w:val="-3"/>
        </w:rPr>
        <w:t>大学信息管理专业理学硕士；</w:t>
      </w:r>
      <w:r>
        <w:rPr>
          <w:rFonts w:ascii="Times New Roman" w:hAnsi="Times New Roman" w:cs="Times New Roman" w:eastAsia="Times New Roman" w:hint="default"/>
          <w:spacing w:val="-3"/>
        </w:rPr>
        <w:t>2000 </w:t>
      </w:r>
      <w:r>
        <w:rPr/>
        <w:t>年获中国社会科学院研究生院数量经济专业应用经济学博士，</w:t>
      </w:r>
      <w:r>
        <w:rPr>
          <w:rFonts w:ascii="Times New Roman" w:hAnsi="Times New Roman" w:cs="Times New Roman" w:eastAsia="Times New Roman" w:hint="default"/>
        </w:rPr>
        <w:t>2014 </w:t>
      </w:r>
      <w:r>
        <w:rPr/>
        <w:t>年</w:t>
      </w:r>
      <w:r>
        <w:rPr>
          <w:spacing w:val="-72"/>
        </w:rPr>
        <w:t> </w:t>
      </w:r>
      <w:r>
        <w:rPr>
          <w:rFonts w:ascii="Times New Roman" w:hAnsi="Times New Roman" w:cs="Times New Roman" w:eastAsia="Times New Roman" w:hint="default"/>
        </w:rPr>
        <w:t>7 </w:t>
      </w:r>
      <w:r>
        <w:rPr/>
        <w:t>月取得独立董事资格。</w:t>
      </w:r>
      <w:r>
        <w:rPr>
          <w:rFonts w:ascii="Times New Roman" w:hAnsi="Times New Roman" w:cs="Times New Roman" w:eastAsia="Times New Roman" w:hint="default"/>
        </w:rPr>
        <w:t>2001</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年，任中国科学院大学管理学院执行院长；</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年至今，任中国科学</w:t>
      </w:r>
    </w:p>
    <w:p>
      <w:pPr>
        <w:spacing w:after="0" w:line="386" w:lineRule="auto"/>
        <w:jc w:val="both"/>
        <w:sectPr>
          <w:pgSz w:w="11910" w:h="16840"/>
          <w:pgMar w:header="0" w:footer="1226" w:top="1100" w:bottom="142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院大学管理学院实验室主任。</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月至今，任神州数码信息服务股份有限公司独立董事。</w:t>
      </w:r>
    </w:p>
    <w:p>
      <w:pPr>
        <w:spacing w:line="240" w:lineRule="auto" w:before="8"/>
        <w:rPr>
          <w:rFonts w:ascii="宋体" w:hAnsi="宋体" w:cs="宋体" w:eastAsia="宋体" w:hint="default"/>
          <w:sz w:val="16"/>
          <w:szCs w:val="16"/>
        </w:rPr>
      </w:pPr>
    </w:p>
    <w:p>
      <w:pPr>
        <w:pStyle w:val="BodyText"/>
        <w:spacing w:line="240" w:lineRule="auto"/>
        <w:ind w:left="573" w:right="1135"/>
        <w:jc w:val="left"/>
      </w:pPr>
      <w:r>
        <w:rPr/>
        <w:t>（二）监事会成员</w:t>
      </w:r>
    </w:p>
    <w:p>
      <w:pPr>
        <w:spacing w:line="240" w:lineRule="auto" w:before="10"/>
        <w:rPr>
          <w:rFonts w:ascii="宋体" w:hAnsi="宋体" w:cs="宋体" w:eastAsia="宋体" w:hint="default"/>
          <w:sz w:val="17"/>
          <w:szCs w:val="17"/>
        </w:rPr>
      </w:pPr>
    </w:p>
    <w:p>
      <w:pPr>
        <w:pStyle w:val="BodyText"/>
        <w:spacing w:line="386" w:lineRule="auto"/>
        <w:ind w:right="1144" w:firstLine="420"/>
        <w:jc w:val="both"/>
      </w:pPr>
      <w:r>
        <w:rPr/>
        <w:t>牛卓，女，</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岁，</w:t>
      </w:r>
      <w:r>
        <w:rPr>
          <w:spacing w:val="-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月毕业于天津大学，获管理学硕士学位。</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 神州数码（中国）有限公司金融服务本部副总经理；</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月，任神州数码（中国）有限 公司金融服务战略本部企划办主任；</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月，任神州数码软件有限公司金融服务战略本部企 划办主任；</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月至今，任神州数码软件有限公司财务部总经理；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月至今，任神州数码信 息服务股份有限公司监事会主席。</w:t>
      </w:r>
    </w:p>
    <w:p>
      <w:pPr>
        <w:pStyle w:val="BodyText"/>
        <w:spacing w:line="386" w:lineRule="auto" w:before="103"/>
        <w:ind w:right="1124" w:firstLine="420"/>
        <w:jc w:val="left"/>
      </w:pPr>
      <w:r>
        <w:rPr/>
        <w:t>孙铁成，男，</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岁，</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月毕业于清华大学，获工商管理硕士学位。</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月毕业于大连理 </w:t>
      </w:r>
      <w:r>
        <w:rPr>
          <w:spacing w:val="-10"/>
        </w:rPr>
        <w:t>工大学，获理学学士学位。</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8"/>
        </w:rPr>
        <w:t>月，任银泰集团公司区域拓展副总经理；</w:t>
      </w:r>
      <w:r>
        <w:rPr>
          <w:rFonts w:ascii="Times New Roman" w:hAnsi="Times New Roman" w:cs="Times New Roman" w:eastAsia="Times New Roman" w:hint="default"/>
          <w:spacing w:val="-8"/>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-2014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月，任深圳爱施德股份有限公司投资管理总监；</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5"/>
        </w:rPr>
        <w:t>月，任神州数码（中国）有限</w:t>
      </w:r>
      <w:r>
        <w:rPr/>
        <w:t> 公司投资部总经理；</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月至今，任神州数码软件有限公司投资部总经理；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月至今，任神 州数码信息服务股份有限公司监事。</w:t>
      </w:r>
    </w:p>
    <w:p>
      <w:pPr>
        <w:pStyle w:val="BodyText"/>
        <w:spacing w:line="386" w:lineRule="auto" w:before="103"/>
        <w:ind w:right="1132" w:firstLine="420"/>
        <w:jc w:val="both"/>
      </w:pPr>
      <w:r>
        <w:rPr/>
        <w:t>许克勤，男，</w:t>
      </w:r>
      <w:r>
        <w:rPr>
          <w:rFonts w:ascii="Times New Roman" w:hAnsi="Times New Roman" w:cs="Times New Roman" w:eastAsia="Times New Roman" w:hint="default"/>
        </w:rPr>
        <w:t>53 </w:t>
      </w:r>
      <w:r>
        <w:rPr/>
        <w:t>岁，</w:t>
      </w:r>
      <w:r>
        <w:rPr>
          <w:rFonts w:ascii="Times New Roman" w:hAnsi="Times New Roman" w:cs="Times New Roman" w:eastAsia="Times New Roman" w:hint="default"/>
        </w:rPr>
        <w:t>1986 </w:t>
      </w:r>
      <w:r>
        <w:rPr/>
        <w:t>年毕业于西安交通大学电子工程系，本科学历，经济师。</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年至今，任 神州数码信息服务股份有限公司企划办副主任；</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w:t>
      </w:r>
      <w:r>
        <w:rPr>
          <w:spacing w:val="-78"/>
        </w:rPr>
        <w:t> </w:t>
      </w: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t>月至今，任神州数码信息服务股份有限公司职工 代表监事。</w:t>
      </w:r>
    </w:p>
    <w:p>
      <w:pPr>
        <w:pStyle w:val="BodyText"/>
        <w:spacing w:line="240" w:lineRule="auto" w:before="106"/>
        <w:ind w:left="574" w:right="1135"/>
        <w:jc w:val="left"/>
      </w:pPr>
      <w:r>
        <w:rPr/>
        <w:t>（三）高级管理人员</w:t>
      </w:r>
    </w:p>
    <w:p>
      <w:pPr>
        <w:spacing w:line="240" w:lineRule="auto" w:before="9"/>
        <w:rPr>
          <w:rFonts w:ascii="宋体" w:hAnsi="宋体" w:cs="宋体" w:eastAsia="宋体" w:hint="default"/>
          <w:sz w:val="17"/>
          <w:szCs w:val="17"/>
        </w:rPr>
      </w:pPr>
    </w:p>
    <w:p>
      <w:pPr>
        <w:pStyle w:val="BodyText"/>
        <w:spacing w:line="386" w:lineRule="auto"/>
        <w:ind w:left="154" w:right="1216" w:firstLine="420"/>
        <w:jc w:val="both"/>
      </w:pPr>
      <w:r>
        <w:rPr/>
        <w:t>何文潮，副总裁，男，</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岁，毕业于厦门大学数学系数学专业，获理学学士学位。</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月至今 任神州数码金信科技股份有限公司总裁；</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月至今任神州数码信息服务股份有限公司副总裁。</w:t>
      </w:r>
    </w:p>
    <w:p>
      <w:pPr>
        <w:pStyle w:val="BodyText"/>
        <w:spacing w:line="386" w:lineRule="auto" w:before="74"/>
        <w:ind w:right="1132" w:firstLine="420"/>
        <w:jc w:val="both"/>
      </w:pPr>
      <w:r>
        <w:rPr>
          <w:spacing w:val="-1"/>
        </w:rPr>
        <w:t>厉军，男，</w:t>
      </w:r>
      <w:r>
        <w:rPr>
          <w:rFonts w:ascii="Times New Roman" w:hAnsi="Times New Roman" w:cs="Times New Roman" w:eastAsia="Times New Roman" w:hint="default"/>
          <w:spacing w:val="-1"/>
        </w:rPr>
        <w:t>52</w:t>
      </w:r>
      <w:r>
        <w:rPr>
          <w:rFonts w:ascii="Times New Roman" w:hAnsi="Times New Roman" w:cs="Times New Roman" w:eastAsia="Times New Roman" w:hint="default"/>
          <w:spacing w:val="6"/>
        </w:rPr>
        <w:t> </w:t>
      </w:r>
      <w:r>
        <w:rPr>
          <w:spacing w:val="-3"/>
        </w:rPr>
        <w:t>岁，工程师。毕业于东北工学院管理工程系（现东北大学管理科学与工程学院），本科</w:t>
      </w:r>
      <w:r>
        <w:rPr/>
        <w:t> </w:t>
      </w:r>
      <w:r>
        <w:rPr>
          <w:spacing w:val="-9"/>
        </w:rPr>
        <w:t>学历。于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月取得董事会秘书资格证明。</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月至今先后任神州数码控股有限公司副总裁兼 软件与服务战略本部总裁、神州数码融信软件有限公司总裁；</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月，任神州数码信息</w:t>
      </w:r>
      <w:r>
        <w:rPr/>
        <w:t> 服务股份有限公司董事；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月至今，任神州数码信息服务股份有限公司副总裁。</w:t>
      </w:r>
    </w:p>
    <w:p>
      <w:pPr>
        <w:pStyle w:val="BodyText"/>
        <w:spacing w:line="386" w:lineRule="auto" w:before="75"/>
        <w:ind w:right="1029" w:firstLine="420"/>
        <w:jc w:val="left"/>
      </w:pPr>
      <w:r>
        <w:rPr/>
        <w:t>辛昕，女，</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岁，</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月毕业于东北大学会计学专业，本科学历。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月取得董事会秘书 资格。</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月，任神州数码控股有限公司金融服务事业部副总经理；</w:t>
      </w:r>
      <w:r>
        <w:rPr>
          <w:rFonts w:ascii="Times New Roman" w:hAnsi="Times New Roman" w:cs="Times New Roman" w:eastAsia="Times New Roman" w:hint="default"/>
        </w:rPr>
        <w:t>2011 </w:t>
      </w:r>
      <w:r>
        <w:rPr/>
        <w:t>年</w:t>
      </w:r>
      <w:r>
        <w:rPr>
          <w:spacing w:val="-54"/>
        </w:rPr>
        <w:t>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月，任神州数码控股有限公司企业发展部副总经理；</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月至今任鼎捷软件股份有限公司董事；</w:t>
      </w:r>
    </w:p>
    <w:p>
      <w:pPr>
        <w:pStyle w:val="BodyText"/>
        <w:spacing w:line="388" w:lineRule="auto" w:before="35"/>
        <w:ind w:right="114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月，任神州数码信息服务股份有限公司董事会秘书，现任神州数码信息服务股份有 限公司财务总监。</w:t>
      </w:r>
    </w:p>
    <w:p>
      <w:pPr>
        <w:pStyle w:val="BodyText"/>
        <w:spacing w:line="240" w:lineRule="auto" w:before="101"/>
        <w:ind w:left="573" w:right="0"/>
        <w:jc w:val="left"/>
      </w:pPr>
      <w:r>
        <w:rPr/>
        <w:t>张丹丹，副总裁，女，</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岁，</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月毕业于中国科技大学，获硕士学位：</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p>
    <w:p>
      <w:pPr>
        <w:pStyle w:val="BodyText"/>
        <w:spacing w:line="240" w:lineRule="auto" w:before="177"/>
        <w:ind w:left="154"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月，任北京中农信达信息技术有限公司董事长；</w:t>
      </w:r>
      <w:r>
        <w:rPr>
          <w:spacing w:val="-1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月，任北京中农信达电子商务股</w:t>
      </w:r>
    </w:p>
    <w:p>
      <w:pPr>
        <w:spacing w:after="0" w:line="240" w:lineRule="auto"/>
        <w:jc w:val="left"/>
        <w:sectPr>
          <w:footerReference w:type="default" r:id="rId48"/>
          <w:pgSz w:w="11910" w:h="16840"/>
          <w:pgMar w:footer="1226" w:header="0" w:top="1100" w:bottom="1420" w:left="980" w:right="0"/>
          <w:pgNumType w:start="78"/>
        </w:sectPr>
      </w:pPr>
    </w:p>
    <w:p>
      <w:pPr>
        <w:spacing w:line="240" w:lineRule="auto" w:before="9"/>
        <w:rPr>
          <w:rFonts w:ascii="宋体" w:hAnsi="宋体" w:cs="宋体" w:eastAsia="宋体" w:hint="default"/>
          <w:sz w:val="26"/>
          <w:szCs w:val="26"/>
        </w:rPr>
      </w:pPr>
    </w:p>
    <w:p>
      <w:pPr>
        <w:pStyle w:val="BodyText"/>
        <w:spacing w:line="417" w:lineRule="auto" w:before="35"/>
        <w:ind w:left="573" w:right="1124" w:hanging="420"/>
        <w:jc w:val="left"/>
      </w:pPr>
      <w:r>
        <w:rPr/>
        <w:t>份有限公司董事、副总经理；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月至今任神州数码信息服务股份有限公司副总裁。 王燕，董事会秘书，女，</w:t>
      </w:r>
      <w:r>
        <w:rPr>
          <w:rFonts w:ascii="Times New Roman" w:hAnsi="Times New Roman" w:cs="Times New Roman" w:eastAsia="Times New Roman" w:hint="default"/>
        </w:rPr>
        <w:t>45</w:t>
      </w:r>
      <w:r>
        <w:rPr>
          <w:rFonts w:ascii="Times New Roman" w:hAnsi="Times New Roman" w:cs="Times New Roman" w:eastAsia="Times New Roman" w:hint="default"/>
          <w:spacing w:val="-5"/>
        </w:rPr>
        <w:t> </w:t>
      </w:r>
      <w:r>
        <w:rPr/>
        <w:t>岁，</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月毕业于中国人民大学，获工商管理硕士学位。于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p>
    <w:p>
      <w:pPr>
        <w:pStyle w:val="BodyText"/>
        <w:spacing w:line="386" w:lineRule="auto" w:before="5"/>
        <w:ind w:right="1119"/>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月取得董事会秘书资格证明。</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月，神州数码控股有限公司香港业务部运作总监、 副总经理；</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月，神州数码控股有限公司企业发展部副总经理；</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3"/>
        </w:rPr>
        <w:t>月，神州数码信息服务股份有限公司证券部副总经理；</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月，任神州数码信息服</w:t>
      </w:r>
      <w:r>
        <w:rPr/>
        <w:t> </w:t>
      </w:r>
      <w:r>
        <w:rPr>
          <w:spacing w:val="-3"/>
        </w:rPr>
        <w:t>务股份有限公司财经办副主任兼证券部总经理，</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月至今任神州数码信息服务股份有限公司董事会 秘书。</w:t>
      </w:r>
    </w:p>
    <w:p>
      <w:pPr>
        <w:pStyle w:val="BodyText"/>
        <w:spacing w:line="240" w:lineRule="auto" w:before="106"/>
        <w:ind w:left="573" w:right="1135"/>
        <w:jc w:val="left"/>
      </w:pPr>
      <w:r>
        <w:rPr/>
        <w:t>在股东单位任职情况</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277"/>
        <w:gridCol w:w="1134"/>
        <w:gridCol w:w="992"/>
        <w:gridCol w:w="1419"/>
        <w:gridCol w:w="1843"/>
        <w:gridCol w:w="1559"/>
        <w:gridCol w:w="1345"/>
      </w:tblGrid>
      <w:tr>
        <w:trPr>
          <w:trHeight w:val="724" w:hRule="exact"/>
        </w:trPr>
        <w:tc>
          <w:tcPr>
            <w:tcW w:w="12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126"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3" w:right="75"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8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1"/>
              <w:ind w:left="127" w:right="2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天津信锐投资合伙企业（有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企划办主任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财务部总经理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投资部总经理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2411"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158"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在其他单位任职情况</w:t>
      </w:r>
    </w:p>
    <w:p>
      <w:pPr>
        <w:spacing w:line="240" w:lineRule="auto" w:before="12"/>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852"/>
        <w:gridCol w:w="3119"/>
        <w:gridCol w:w="1417"/>
        <w:gridCol w:w="1559"/>
        <w:gridCol w:w="1560"/>
        <w:gridCol w:w="1061"/>
      </w:tblGrid>
      <w:tr>
        <w:trPr>
          <w:trHeight w:val="1036" w:hRule="exact"/>
        </w:trPr>
        <w:tc>
          <w:tcPr>
            <w:tcW w:w="85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75" w:right="65"/>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慧聪网有限公司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中国南方航空股份有限公司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非执行独立董事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8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52"/>
        <w:gridCol w:w="1984"/>
        <w:gridCol w:w="1135"/>
        <w:gridCol w:w="1417"/>
        <w:gridCol w:w="1559"/>
        <w:gridCol w:w="1560"/>
        <w:gridCol w:w="1061"/>
      </w:tblGrid>
      <w:tr>
        <w:trPr>
          <w:trHeight w:val="473" w:hRule="exact"/>
        </w:trPr>
        <w:tc>
          <w:tcPr>
            <w:tcW w:w="8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311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及执行董事</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12" w:space="0" w:color="000000"/>
              <w:left w:val="single" w:sz="4" w:space="0" w:color="000000"/>
              <w:bottom w:val="single" w:sz="4" w:space="0" w:color="000000"/>
              <w:right w:val="single" w:sz="4" w:space="0" w:color="000000"/>
            </w:tcBorders>
          </w:tcPr>
          <w:p>
            <w:pPr/>
          </w:p>
        </w:tc>
        <w:tc>
          <w:tcPr>
            <w:tcW w:w="106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苏州元禾控股股份有限公司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直投部总经理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pacing w:val="-5"/>
                <w:sz w:val="18"/>
              </w:rPr>
              <w:t>Yayi </w:t>
            </w:r>
            <w:r>
              <w:rPr>
                <w:rFonts w:ascii="Times New Roman"/>
                <w:sz w:val="18"/>
              </w:rPr>
              <w:t>International</w:t>
            </w:r>
            <w:r>
              <w:rPr>
                <w:rFonts w:ascii="Times New Roman"/>
                <w:spacing w:val="1"/>
                <w:sz w:val="18"/>
              </w:rPr>
              <w:t> </w:t>
            </w:r>
            <w:r>
              <w:rPr>
                <w:rFonts w:ascii="Times New Roman"/>
                <w:sz w:val="18"/>
              </w:rPr>
              <w:t>Inc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BFE</w:t>
            </w:r>
            <w:r>
              <w:rPr>
                <w:rFonts w:ascii="Times New Roman"/>
                <w:spacing w:val="-2"/>
                <w:sz w:val="18"/>
              </w:rPr>
              <w:t> </w:t>
            </w:r>
            <w:r>
              <w:rPr>
                <w:rFonts w:ascii="Times New Roman"/>
                <w:sz w:val="18"/>
              </w:rPr>
              <w:t>Inc.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上海盈灿投资管理咨询有限公司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北青航媒科技传播有限公司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赛富亚洲投资基金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Goldland Digital (China)</w:t>
            </w:r>
            <w:r>
              <w:rPr>
                <w:rFonts w:ascii="Times New Roman"/>
                <w:spacing w:val="-7"/>
                <w:sz w:val="18"/>
              </w:rPr>
              <w:t> </w:t>
            </w:r>
            <w:r>
              <w:rPr>
                <w:rFonts w:ascii="Times New Roman"/>
                <w:sz w:val="18"/>
              </w:rPr>
              <w:t>Limited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盛刚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China Energy Group</w:t>
            </w:r>
            <w:r>
              <w:rPr>
                <w:rFonts w:ascii="Times New Roman"/>
                <w:spacing w:val="-8"/>
                <w:sz w:val="18"/>
              </w:rPr>
              <w:t> </w:t>
            </w:r>
            <w:r>
              <w:rPr>
                <w:rFonts w:ascii="Times New Roman"/>
                <w:sz w:val="18"/>
              </w:rPr>
              <w:t>Limted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8"/>
                <w:sz w:val="18"/>
                <w:szCs w:val="18"/>
              </w:rPr>
              <w:t>、</w:t>
            </w:r>
            <w:r>
              <w:rPr>
                <w:rFonts w:ascii="宋体" w:hAnsi="宋体" w:cs="宋体" w:eastAsia="宋体" w:hint="default"/>
                <w:sz w:val="18"/>
                <w:szCs w:val="18"/>
              </w:rPr>
              <w:t>高级合伙人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中国航天国际控股有限公司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中国城市轨道交通科技控股有限公司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金风科技股份有限公司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国瑞置业有限公司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内核小组成员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北京君联资本管理有限公司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董事、董事总经理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和首席财务官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中国科学院大学管理学院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实验室主任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仁天科技控股有限公司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CEO</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金融服务战略本 部企划办主任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投资部总经理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北京中农信达电子商务股份有限公司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中农信达（北京）投资有限公司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836"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733"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1226" w:top="1100" w:bottom="1420" w:left="98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4"/>
        <w:ind w:right="1135"/>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2"/>
        <w:spacing w:line="240" w:lineRule="auto"/>
        <w:ind w:right="1135"/>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t>董事、监事、高级管理人员报酬的决策程序、确定依据、实际支付情况</w:t>
      </w:r>
    </w:p>
    <w:p>
      <w:pPr>
        <w:spacing w:line="240" w:lineRule="auto" w:before="10"/>
        <w:rPr>
          <w:rFonts w:ascii="宋体" w:hAnsi="宋体" w:cs="宋体" w:eastAsia="宋体" w:hint="default"/>
          <w:sz w:val="17"/>
          <w:szCs w:val="17"/>
        </w:rPr>
      </w:pPr>
    </w:p>
    <w:p>
      <w:pPr>
        <w:pStyle w:val="BodyText"/>
        <w:spacing w:line="393" w:lineRule="auto"/>
        <w:ind w:right="1133" w:firstLine="420"/>
        <w:jc w:val="both"/>
      </w:pPr>
      <w:r>
        <w:rPr>
          <w:rFonts w:ascii="Times New Roman" w:hAnsi="Times New Roman" w:cs="Times New Roman" w:eastAsia="Times New Roman" w:hint="default"/>
        </w:rPr>
        <w:t>1</w:t>
      </w:r>
      <w:r>
        <w:rPr/>
        <w:t>、董事、监事、高级管理人员津贴（薪酬）根据岗位责任，参考公司业绩、行业水平等综合确认： 在公司担任具体管理职务的董事、监事、高级管理人员依据其在公司的任职岗位领取相应薪酬</w:t>
      </w:r>
      <w:r>
        <w:rPr>
          <w:rFonts w:ascii="Times New Roman" w:hAnsi="Times New Roman" w:cs="Times New Roman" w:eastAsia="Times New Roman" w:hint="default"/>
        </w:rPr>
        <w:t>, </w:t>
      </w:r>
      <w:r>
        <w:rPr/>
        <w:t>并经董事 </w:t>
      </w:r>
      <w:r>
        <w:rPr>
          <w:spacing w:val="-1"/>
        </w:rPr>
        <w:t>会薪酬与考核委员会考评；不在公司担任具体管理职务的董事、监事，不在本公司领取薪酬；独立董事依</w:t>
      </w:r>
      <w:r>
        <w:rPr>
          <w:spacing w:val="-86"/>
        </w:rPr>
        <w:t> </w:t>
      </w:r>
      <w:r>
        <w:rPr>
          <w:spacing w:val="-86"/>
        </w:rPr>
      </w:r>
      <w:r>
        <w:rPr/>
        <w:t>据公司董事会或股东大会决议中的相关规定领取独立董事津贴。</w:t>
      </w:r>
    </w:p>
    <w:p>
      <w:pPr>
        <w:pStyle w:val="BodyText"/>
        <w:spacing w:line="386" w:lineRule="auto" w:before="97"/>
        <w:ind w:right="1038" w:firstLine="420"/>
        <w:jc w:val="both"/>
      </w:pPr>
      <w:r>
        <w:rPr>
          <w:rFonts w:ascii="Times New Roman" w:hAnsi="Times New Roman" w:cs="Times New Roman" w:eastAsia="Times New Roman" w:hint="default"/>
          <w:spacing w:val="-1"/>
        </w:rPr>
        <w:t>2</w:t>
      </w:r>
      <w:r>
        <w:rPr>
          <w:spacing w:val="-1"/>
        </w:rPr>
        <w:t>、公司严格按照董事、监事、高级管理人员津贴（薪酬）的决策程序与确定依据支付津贴（薪酬），</w:t>
      </w:r>
      <w:r>
        <w:rPr/>
        <w:t> 实际支付情况详见下表。</w:t>
      </w:r>
    </w:p>
    <w:p>
      <w:pPr>
        <w:pStyle w:val="BodyText"/>
        <w:spacing w:line="240" w:lineRule="auto" w:before="104"/>
        <w:ind w:right="1135"/>
        <w:jc w:val="left"/>
      </w:pPr>
      <w:r>
        <w:rPr/>
        <w:t>公司报告期内董事、监事和高级管理人员报酬情况</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724" w:hRule="exact"/>
        </w:trPr>
        <w:tc>
          <w:tcPr>
            <w:tcW w:w="137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27"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郭为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林杨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周一兵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553.97</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高源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盛刚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9.6</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9"/>
              <w:jc w:val="center"/>
              <w:rPr>
                <w:rFonts w:ascii="宋体" w:hAnsi="宋体" w:cs="宋体" w:eastAsia="宋体" w:hint="default"/>
                <w:sz w:val="18"/>
                <w:szCs w:val="18"/>
              </w:rPr>
            </w:pPr>
            <w:r>
              <w:rPr>
                <w:rFonts w:ascii="宋体" w:hAnsi="宋体" w:cs="宋体" w:eastAsia="宋体" w:hint="default"/>
                <w:sz w:val="18"/>
                <w:szCs w:val="18"/>
              </w:rPr>
              <w:t>杨晓樱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7.2</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吕本富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牛卓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9"/>
              <w:jc w:val="center"/>
              <w:rPr>
                <w:rFonts w:ascii="宋体" w:hAnsi="宋体" w:cs="宋体" w:eastAsia="宋体" w:hint="default"/>
                <w:sz w:val="18"/>
                <w:szCs w:val="18"/>
              </w:rPr>
            </w:pPr>
            <w:r>
              <w:rPr>
                <w:rFonts w:ascii="宋体" w:hAnsi="宋体" w:cs="宋体" w:eastAsia="宋体" w:hint="default"/>
                <w:sz w:val="18"/>
                <w:szCs w:val="18"/>
              </w:rPr>
              <w:t>孙铁成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许克勤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72.28</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9"/>
              <w:jc w:val="center"/>
              <w:rPr>
                <w:rFonts w:ascii="宋体" w:hAnsi="宋体" w:cs="宋体" w:eastAsia="宋体" w:hint="default"/>
                <w:sz w:val="18"/>
                <w:szCs w:val="18"/>
              </w:rPr>
            </w:pPr>
            <w:r>
              <w:rPr>
                <w:rFonts w:ascii="宋体" w:hAnsi="宋体" w:cs="宋体" w:eastAsia="宋体" w:hint="default"/>
                <w:sz w:val="18"/>
                <w:szCs w:val="18"/>
              </w:rPr>
              <w:t>何文潮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80.28</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厉军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101.76</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37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张丹丹</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30.36</w:t>
            </w:r>
          </w:p>
        </w:tc>
        <w:tc>
          <w:tcPr>
            <w:tcW w:w="13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226" w:top="1100" w:bottom="142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73" w:hRule="exact"/>
        </w:trPr>
        <w:tc>
          <w:tcPr>
            <w:tcW w:w="137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辛昕</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106.84</w:t>
            </w:r>
          </w:p>
        </w:tc>
        <w:tc>
          <w:tcPr>
            <w:tcW w:w="136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王燕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59.73</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费建江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缪伟刚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朱海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7.2</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2.4</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郑雪艳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杨九如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8" w:hRule="exact"/>
        </w:trPr>
        <w:tc>
          <w:tcPr>
            <w:tcW w:w="13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1,031.62</w:t>
            </w:r>
          </w:p>
        </w:tc>
        <w:tc>
          <w:tcPr>
            <w:tcW w:w="1366"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2"/>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8"/>
          <w:szCs w:val="8"/>
        </w:rPr>
      </w:pPr>
    </w:p>
    <w:p>
      <w:pPr>
        <w:pStyle w:val="BodyText"/>
        <w:spacing w:line="240" w:lineRule="auto" w:before="35"/>
        <w:ind w:left="154" w:right="1135"/>
        <w:jc w:val="left"/>
      </w:pPr>
      <w:r>
        <w:rPr/>
        <w:t>公司董事、监事、高级管理人员报告期内被授予的股权激励情况</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2"/>
        <w:spacing w:line="240" w:lineRule="auto"/>
        <w:ind w:right="1135"/>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75" w:hRule="exact"/>
        </w:trPr>
        <w:tc>
          <w:tcPr>
            <w:tcW w:w="47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5,033</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5,175</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5,175</w:t>
            </w:r>
          </w:p>
        </w:tc>
      </w:tr>
      <w:tr>
        <w:trPr>
          <w:trHeight w:val="479"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13" w:space="0" w:color="D2D2D2"/>
              <w:bottom w:val="single" w:sz="17" w:space="0" w:color="D2D2D2"/>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28"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69"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3"/>
              <w:ind w:right="8"/>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3"/>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79"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16" w:space="0" w:color="D2D2D2"/>
              <w:left w:val="single" w:sz="13" w:space="0" w:color="D2D2D2"/>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z w:val="18"/>
              </w:rPr>
              <w:t>731</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2"/>
              <w:ind w:right="8"/>
              <w:jc w:val="right"/>
              <w:rPr>
                <w:rFonts w:ascii="Times New Roman" w:hAnsi="Times New Roman" w:cs="Times New Roman" w:eastAsia="Times New Roman" w:hint="default"/>
                <w:sz w:val="18"/>
                <w:szCs w:val="18"/>
              </w:rPr>
            </w:pPr>
            <w:r>
              <w:rPr>
                <w:rFonts w:ascii="Times New Roman"/>
                <w:sz w:val="18"/>
              </w:rPr>
              <w:t>3,933</w:t>
            </w:r>
          </w:p>
        </w:tc>
      </w:tr>
      <w:tr>
        <w:trPr>
          <w:trHeight w:val="463"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96</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z w:val="18"/>
              </w:rPr>
              <w:t>354</w:t>
            </w:r>
          </w:p>
        </w:tc>
      </w:tr>
      <w:tr>
        <w:trPr>
          <w:trHeight w:val="465" w:hRule="exact"/>
        </w:trPr>
        <w:tc>
          <w:tcPr>
            <w:tcW w:w="4786" w:type="dxa"/>
            <w:tcBorders>
              <w:top w:val="single" w:sz="16" w:space="0" w:color="D2D2D2"/>
              <w:left w:val="single" w:sz="12" w:space="0" w:color="000000"/>
              <w:bottom w:val="single" w:sz="12" w:space="0" w:color="D2D2D2"/>
              <w:right w:val="single" w:sz="4" w:space="0" w:color="000000"/>
            </w:tcBorders>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管理类</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61</w:t>
            </w:r>
          </w:p>
        </w:tc>
      </w:tr>
      <w:tr>
        <w:trPr>
          <w:trHeight w:val="479" w:hRule="exact"/>
        </w:trPr>
        <w:tc>
          <w:tcPr>
            <w:tcW w:w="47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13" w:space="0" w:color="D2D2D2"/>
              <w:bottom w:val="single" w:sz="17"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5,175</w:t>
            </w:r>
          </w:p>
        </w:tc>
      </w:tr>
      <w:tr>
        <w:trPr>
          <w:trHeight w:val="443" w:hRule="exact"/>
        </w:trPr>
        <w:tc>
          <w:tcPr>
            <w:tcW w:w="9569" w:type="dxa"/>
            <w:gridSpan w:val="2"/>
            <w:tcBorders>
              <w:top w:val="single" w:sz="4"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0" w:footer="1226" w:top="1100" w:bottom="1420" w:left="980" w:right="0"/>
        </w:sectPr>
      </w:pPr>
    </w:p>
    <w:p>
      <w:pPr>
        <w:spacing w:line="240" w:lineRule="auto" w:before="0"/>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27" w:hRule="exact"/>
        </w:trPr>
        <w:tc>
          <w:tcPr>
            <w:tcW w:w="47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6"/>
              <w:ind w:right="8"/>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6"/>
              <w:ind w:left="10"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64" w:hRule="exact"/>
        </w:trPr>
        <w:tc>
          <w:tcPr>
            <w:tcW w:w="47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65" w:hRule="exact"/>
        </w:trPr>
        <w:tc>
          <w:tcPr>
            <w:tcW w:w="47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3"/>
              <w:ind w:right="11"/>
              <w:jc w:val="right"/>
              <w:rPr>
                <w:rFonts w:ascii="Times New Roman" w:hAnsi="Times New Roman" w:cs="Times New Roman" w:eastAsia="Times New Roman" w:hint="default"/>
                <w:sz w:val="18"/>
                <w:szCs w:val="18"/>
              </w:rPr>
            </w:pPr>
            <w:r>
              <w:rPr>
                <w:rFonts w:ascii="Times New Roman"/>
                <w:sz w:val="18"/>
              </w:rPr>
              <w:t>500</w:t>
            </w:r>
          </w:p>
        </w:tc>
      </w:tr>
      <w:tr>
        <w:trPr>
          <w:trHeight w:val="463" w:hRule="exact"/>
        </w:trPr>
        <w:tc>
          <w:tcPr>
            <w:tcW w:w="47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3"/>
              <w:ind w:right="8"/>
              <w:jc w:val="right"/>
              <w:rPr>
                <w:rFonts w:ascii="Times New Roman" w:hAnsi="Times New Roman" w:cs="Times New Roman" w:eastAsia="Times New Roman" w:hint="default"/>
                <w:sz w:val="18"/>
                <w:szCs w:val="18"/>
              </w:rPr>
            </w:pPr>
            <w:r>
              <w:rPr>
                <w:rFonts w:ascii="Times New Roman"/>
                <w:sz w:val="18"/>
              </w:rPr>
              <w:t>3,716</w:t>
            </w:r>
          </w:p>
        </w:tc>
      </w:tr>
      <w:tr>
        <w:trPr>
          <w:trHeight w:val="464" w:hRule="exact"/>
        </w:trPr>
        <w:tc>
          <w:tcPr>
            <w:tcW w:w="4786" w:type="dxa"/>
            <w:tcBorders>
              <w:top w:val="single" w:sz="4" w:space="0" w:color="000000"/>
              <w:left w:val="single" w:sz="12" w:space="0" w:color="000000"/>
              <w:bottom w:val="single" w:sz="16" w:space="0" w:color="D2D2D2"/>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3"/>
              <w:ind w:right="11"/>
              <w:jc w:val="right"/>
              <w:rPr>
                <w:rFonts w:ascii="Times New Roman" w:hAnsi="Times New Roman" w:cs="Times New Roman" w:eastAsia="Times New Roman" w:hint="default"/>
                <w:sz w:val="18"/>
                <w:szCs w:val="18"/>
              </w:rPr>
            </w:pPr>
            <w:r>
              <w:rPr>
                <w:rFonts w:ascii="Times New Roman"/>
                <w:sz w:val="18"/>
              </w:rPr>
              <w:t>948</w:t>
            </w:r>
          </w:p>
        </w:tc>
      </w:tr>
      <w:tr>
        <w:trPr>
          <w:trHeight w:val="475" w:hRule="exact"/>
        </w:trPr>
        <w:tc>
          <w:tcPr>
            <w:tcW w:w="47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5,175</w:t>
            </w:r>
          </w:p>
        </w:tc>
      </w:tr>
    </w:tbl>
    <w:p>
      <w:pPr>
        <w:spacing w:line="240" w:lineRule="auto" w:before="1"/>
        <w:rPr>
          <w:rFonts w:ascii="宋体" w:hAnsi="宋体" w:cs="宋体" w:eastAsia="宋体" w:hint="default"/>
          <w:b/>
          <w:bCs/>
          <w:sz w:val="19"/>
          <w:szCs w:val="19"/>
        </w:rPr>
      </w:pPr>
    </w:p>
    <w:p>
      <w:pPr>
        <w:pStyle w:val="Heading6"/>
        <w:spacing w:line="240" w:lineRule="auto" w:before="35"/>
        <w:ind w:right="1135"/>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left="154" w:right="0" w:firstLine="420"/>
        <w:jc w:val="left"/>
      </w:pPr>
      <w:r>
        <w:rPr>
          <w:spacing w:val="-1"/>
        </w:rPr>
        <w:t>公司通过对职位进行分析评价，参考公司业绩以及行业水平，制定岗位薪酬地图。员工依据其岗位以</w:t>
      </w:r>
      <w:r>
        <w:rPr/>
        <w:t> 及适岗度，确定工薪。公司依据薪酬管理制度，对员工进行工薪支付。</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依据公司整体战略规划和业务现状，</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年预计进行新员工入职培训</w:t>
      </w:r>
      <w:r>
        <w:rPr>
          <w:spacing w:val="-58"/>
        </w:rPr>
        <w:t> </w:t>
      </w:r>
      <w:r>
        <w:rPr>
          <w:rFonts w:ascii="Times New Roman" w:hAnsi="Times New Roman" w:cs="Times New Roman" w:eastAsia="Times New Roman" w:hint="default"/>
        </w:rPr>
        <w:t>95</w:t>
      </w:r>
      <w:r>
        <w:rPr>
          <w:rFonts w:ascii="Times New Roman" w:hAnsi="Times New Roman" w:cs="Times New Roman" w:eastAsia="Times New Roman" w:hint="default"/>
          <w:spacing w:val="-4"/>
        </w:rPr>
        <w:t> </w:t>
      </w:r>
      <w:r>
        <w:rPr>
          <w:spacing w:val="-7"/>
        </w:rPr>
        <w:t>期，覆盖</w:t>
      </w:r>
      <w:r>
        <w:rPr>
          <w:spacing w:val="-58"/>
        </w:rPr>
        <w:t> </w:t>
      </w:r>
      <w:r>
        <w:rPr>
          <w:rFonts w:ascii="Times New Roman" w:hAnsi="Times New Roman" w:cs="Times New Roman" w:eastAsia="Times New Roman" w:hint="default"/>
        </w:rPr>
        <w:t>1500</w:t>
      </w:r>
      <w:r>
        <w:rPr>
          <w:rFonts w:ascii="Times New Roman" w:hAnsi="Times New Roman" w:cs="Times New Roman" w:eastAsia="Times New Roman" w:hint="default"/>
          <w:spacing w:val="-5"/>
        </w:rPr>
        <w:t> </w:t>
      </w:r>
      <w:r>
        <w:rPr>
          <w:spacing w:val="-5"/>
        </w:rPr>
        <w:t>人次；入模子</w:t>
      </w:r>
    </w:p>
    <w:p>
      <w:pPr>
        <w:pStyle w:val="BodyText"/>
        <w:spacing w:line="240" w:lineRule="auto" w:before="177"/>
        <w:ind w:right="0"/>
        <w:jc w:val="left"/>
      </w:pPr>
      <w:r>
        <w:rPr/>
        <w:t>培训</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期，覆盖</w:t>
      </w:r>
      <w:r>
        <w:rPr>
          <w:spacing w:val="-57"/>
        </w:rPr>
        <w:t> </w:t>
      </w:r>
      <w:r>
        <w:rPr>
          <w:rFonts w:ascii="Times New Roman" w:hAnsi="Times New Roman" w:cs="Times New Roman" w:eastAsia="Times New Roman" w:hint="default"/>
        </w:rPr>
        <w:t>1350</w:t>
      </w:r>
      <w:r>
        <w:rPr>
          <w:rFonts w:ascii="Times New Roman" w:hAnsi="Times New Roman" w:cs="Times New Roman" w:eastAsia="Times New Roman" w:hint="default"/>
          <w:spacing w:val="-4"/>
        </w:rPr>
        <w:t> </w:t>
      </w:r>
      <w:r>
        <w:rPr/>
        <w:t>人次；管理条线针对新任总经理、总监、经理持续提升领导管理能力</w:t>
      </w:r>
      <w:r>
        <w:rPr>
          <w:spacing w:val="-56"/>
        </w:rPr>
        <w:t> </w:t>
      </w:r>
      <w:r>
        <w:rPr>
          <w:rFonts w:ascii="Times New Roman" w:hAnsi="Times New Roman" w:cs="Times New Roman" w:eastAsia="Times New Roman" w:hint="default"/>
        </w:rPr>
        <w:t>240</w:t>
      </w:r>
      <w:r>
        <w:rPr>
          <w:rFonts w:ascii="Times New Roman" w:hAnsi="Times New Roman" w:cs="Times New Roman" w:eastAsia="Times New Roman" w:hint="default"/>
          <w:spacing w:val="-4"/>
        </w:rPr>
        <w:t> </w:t>
      </w:r>
      <w:r>
        <w:rPr>
          <w:spacing w:val="-3"/>
        </w:rPr>
        <w:t>人次；技</w:t>
      </w:r>
      <w:r>
        <w:rPr/>
      </w:r>
    </w:p>
    <w:p>
      <w:pPr>
        <w:pStyle w:val="BodyText"/>
        <w:spacing w:line="240" w:lineRule="auto" w:before="178"/>
        <w:ind w:right="1135"/>
        <w:jc w:val="left"/>
      </w:pPr>
      <w:r>
        <w:rPr/>
        <w:t>术条线针对安全可靠战略开展技术认证和通用讲座，预计覆盖</w:t>
      </w:r>
      <w:r>
        <w:rPr>
          <w:spacing w:val="-53"/>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人次。</w:t>
      </w:r>
    </w:p>
    <w:p>
      <w:pPr>
        <w:spacing w:line="240" w:lineRule="auto" w:before="6"/>
        <w:rPr>
          <w:rFonts w:ascii="宋体" w:hAnsi="宋体" w:cs="宋体" w:eastAsia="宋体" w:hint="default"/>
          <w:sz w:val="30"/>
          <w:szCs w:val="30"/>
        </w:rPr>
      </w:pPr>
    </w:p>
    <w:p>
      <w:pPr>
        <w:pStyle w:val="Heading6"/>
        <w:spacing w:line="240" w:lineRule="auto"/>
        <w:ind w:left="153" w:right="1135"/>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7"/>
        <w:jc w:val="center"/>
        <w:rPr>
          <w:b w:val="0"/>
          <w:bCs w:val="0"/>
        </w:rPr>
      </w:pPr>
      <w:bookmarkStart w:name="第九节公司治理" w:id="133"/>
      <w:bookmarkEnd w:id="133"/>
      <w:r>
        <w:rPr>
          <w:b w:val="0"/>
          <w:bCs w:val="0"/>
        </w:rPr>
      </w:r>
      <w:bookmarkStart w:name="_bookmark8" w:id="134"/>
      <w:bookmarkEnd w:id="134"/>
      <w:r>
        <w:rPr>
          <w:b w:val="0"/>
          <w:bCs w:val="0"/>
        </w:rPr>
      </w:r>
      <w:r>
        <w:rPr/>
        <w:t>第九节公司治理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5"/>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31" w:firstLine="420"/>
        <w:jc w:val="both"/>
      </w:pPr>
      <w:r>
        <w:rPr>
          <w:spacing w:val="-10"/>
        </w:rPr>
        <w:t>公司按照《公司法》、《证券法》、《上市公司治理准则》等相关法律、法规及规范文件要求，立足于全</w:t>
      </w:r>
      <w:r>
        <w:rPr/>
        <w:t> </w:t>
      </w:r>
      <w:r>
        <w:rPr>
          <w:spacing w:val="-1"/>
        </w:rPr>
        <w:t>体股东的利益，不断提高公司经营管理水平、公司诚信度和透明度，不断完善符合现代企业制度要求的法</w:t>
      </w:r>
      <w:r>
        <w:rPr>
          <w:spacing w:val="-83"/>
        </w:rPr>
        <w:t> </w:t>
      </w:r>
      <w:r>
        <w:rPr>
          <w:spacing w:val="-83"/>
        </w:rPr>
      </w:r>
      <w:r>
        <w:rPr>
          <w:spacing w:val="-1"/>
        </w:rPr>
        <w:t>人治理结构，健全公司内部控制制度，构建了与公司发展战略相匹配的内部管控体系，提高了公司规范运</w:t>
      </w:r>
      <w:r>
        <w:rPr>
          <w:spacing w:val="-83"/>
        </w:rPr>
        <w:t> </w:t>
      </w:r>
      <w:r>
        <w:rPr>
          <w:spacing w:val="-83"/>
        </w:rPr>
      </w:r>
      <w:r>
        <w:rPr/>
        <w:t>作水平。</w:t>
      </w:r>
    </w:p>
    <w:p>
      <w:pPr>
        <w:pStyle w:val="BodyText"/>
        <w:spacing w:line="405" w:lineRule="auto" w:before="85"/>
        <w:ind w:right="1131" w:firstLine="420"/>
        <w:jc w:val="both"/>
      </w:pPr>
      <w:r>
        <w:rPr>
          <w:rFonts w:ascii="Times New Roman" w:hAnsi="Times New Roman" w:cs="Times New Roman" w:eastAsia="Times New Roman" w:hint="default"/>
          <w:spacing w:val="-8"/>
        </w:rPr>
        <w:t>1</w:t>
      </w:r>
      <w:r>
        <w:rPr>
          <w:spacing w:val="-8"/>
        </w:rPr>
        <w:t>、报告期内，公司制订了《衍生品投资风险控制及信息披露制度》，并修订了《公司章程》、《股东大</w:t>
      </w:r>
      <w:r>
        <w:rPr/>
        <w:t> </w:t>
      </w:r>
      <w:r>
        <w:rPr>
          <w:spacing w:val="-22"/>
        </w:rPr>
        <w:t>会议事规则》、《董事会议事规则》、《监事会议事规则》、《募集资金管理办法》、《独立董事工作规则》、《对</w:t>
      </w:r>
      <w:r>
        <w:rPr>
          <w:spacing w:val="-64"/>
        </w:rPr>
        <w:t> </w:t>
      </w:r>
      <w:r>
        <w:rPr>
          <w:spacing w:val="-64"/>
        </w:rPr>
      </w:r>
      <w:r>
        <w:rPr>
          <w:spacing w:val="-18"/>
        </w:rPr>
        <w:t>外担保管理制度》、《关联交易管理制度》、《重大信息内部报告制度》、《内幕信息及知情人管理制度》、《外</w:t>
      </w:r>
      <w:r>
        <w:rPr>
          <w:spacing w:val="-74"/>
        </w:rPr>
        <w:t> </w:t>
      </w:r>
      <w:r>
        <w:rPr>
          <w:spacing w:val="-74"/>
        </w:rPr>
      </w:r>
      <w:r>
        <w:rPr>
          <w:spacing w:val="-14"/>
        </w:rPr>
        <w:t>部信息使用人管理制度》、《年报信息披露重大差错责任追究制度》、《投资者关系管理制度》、《董事会审计</w:t>
      </w:r>
      <w:r>
        <w:rPr>
          <w:spacing w:val="-77"/>
        </w:rPr>
        <w:t> </w:t>
      </w:r>
      <w:r>
        <w:rPr>
          <w:spacing w:val="-77"/>
        </w:rPr>
      </w:r>
      <w:r>
        <w:rPr>
          <w:spacing w:val="-14"/>
        </w:rPr>
        <w:t>委员会工作规则》、《董事会提名委员会工作规则》、《董事会薪酬与考核委员会工作规则》、《董事会战略委</w:t>
      </w:r>
      <w:r>
        <w:rPr>
          <w:spacing w:val="-76"/>
        </w:rPr>
        <w:t> </w:t>
      </w:r>
      <w:r>
        <w:rPr>
          <w:spacing w:val="-76"/>
        </w:rPr>
      </w:r>
      <w:r>
        <w:rPr>
          <w:spacing w:val="-14"/>
        </w:rPr>
        <w:t>员会工作规则》、《独立董事年报工作制度》、《董事会审计委员会年报财务报告审议工作规则》、《内部控制</w:t>
      </w:r>
      <w:r>
        <w:rPr>
          <w:spacing w:val="-75"/>
        </w:rPr>
        <w:t> </w:t>
      </w:r>
      <w:r>
        <w:rPr>
          <w:spacing w:val="-75"/>
        </w:rPr>
      </w:r>
      <w:r>
        <w:rPr>
          <w:spacing w:val="-10"/>
        </w:rPr>
        <w:t>制度》、《内部审计制度》、《信息披露事务管理制度》等相关制度。不断完善内部控制体系，进一步了提高</w:t>
      </w:r>
      <w:r>
        <w:rPr>
          <w:spacing w:val="-72"/>
        </w:rPr>
        <w:t> </w:t>
      </w:r>
      <w:r>
        <w:rPr>
          <w:spacing w:val="-72"/>
        </w:rPr>
      </w:r>
      <w:r>
        <w:rPr/>
        <w:t>公司治理水平，促进公司规范运作。</w:t>
      </w:r>
    </w:p>
    <w:p>
      <w:pPr>
        <w:pStyle w:val="BodyText"/>
        <w:spacing w:line="398" w:lineRule="auto" w:before="86"/>
        <w:ind w:right="1129" w:firstLine="420"/>
        <w:jc w:val="left"/>
      </w:pPr>
      <w:r>
        <w:rPr>
          <w:rFonts w:ascii="Times New Roman" w:hAnsi="Times New Roman" w:cs="Times New Roman" w:eastAsia="Times New Roman" w:hint="default"/>
        </w:rPr>
        <w:t>2</w:t>
      </w:r>
      <w:r>
        <w:rPr/>
        <w:t>、报告期内，为完善和健全公司科学、持续、稳定的分红决策和监督机制，积极回报投资者，引导 </w:t>
      </w:r>
      <w:r>
        <w:rPr>
          <w:spacing w:val="-1"/>
        </w:rPr>
        <w:t>投资者树立长期投资和理性投资理念，根据中国证监会《关于进一步落实上市公司现金分红有关事项的通</w:t>
      </w:r>
      <w:r>
        <w:rPr>
          <w:spacing w:val="-81"/>
        </w:rPr>
        <w:t> </w:t>
      </w:r>
      <w:r>
        <w:rPr>
          <w:spacing w:val="-81"/>
        </w:rPr>
      </w:r>
      <w:r>
        <w:rPr>
          <w:spacing w:val="-9"/>
        </w:rPr>
        <w:t>知》（证监发</w:t>
      </w:r>
      <w:r>
        <w:rPr>
          <w:rFonts w:ascii="Times New Roman" w:hAnsi="Times New Roman" w:cs="Times New Roman" w:eastAsia="Times New Roman" w:hint="default"/>
          <w:spacing w:val="-9"/>
        </w:rPr>
        <w:t>[2012]37</w:t>
      </w:r>
      <w:r>
        <w:rPr>
          <w:rFonts w:ascii="Times New Roman" w:hAnsi="Times New Roman" w:cs="Times New Roman" w:eastAsia="Times New Roman" w:hint="default"/>
          <w:spacing w:val="8"/>
        </w:rPr>
        <w:t> </w:t>
      </w:r>
      <w:r>
        <w:rPr>
          <w:spacing w:val="-17"/>
        </w:rPr>
        <w:t>号）、《上市公司监管指引第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1"/>
        </w:rPr>
        <w:t>号</w:t>
      </w:r>
      <w:r>
        <w:rPr>
          <w:rFonts w:ascii="Times New Roman" w:hAnsi="Times New Roman" w:cs="Times New Roman" w:eastAsia="Times New Roman" w:hint="default"/>
          <w:spacing w:val="-1"/>
        </w:rPr>
        <w:t>--</w:t>
      </w:r>
      <w:r>
        <w:rPr>
          <w:spacing w:val="-1"/>
        </w:rPr>
        <w:t>上市公司现金分红》</w:t>
      </w:r>
      <w:r>
        <w:rPr>
          <w:rFonts w:ascii="Times New Roman" w:hAnsi="Times New Roman" w:cs="Times New Roman" w:eastAsia="Times New Roman" w:hint="default"/>
          <w:spacing w:val="-1"/>
        </w:rPr>
        <w:t>(</w:t>
      </w:r>
      <w:r>
        <w:rPr>
          <w:spacing w:val="-1"/>
        </w:rPr>
        <w:t>证监发</w:t>
      </w:r>
      <w:r>
        <w:rPr>
          <w:rFonts w:ascii="Times New Roman" w:hAnsi="Times New Roman" w:cs="Times New Roman" w:eastAsia="Times New Roman" w:hint="default"/>
          <w:spacing w:val="-1"/>
        </w:rPr>
        <w:t>[2013]43</w:t>
      </w:r>
      <w:r>
        <w:rPr>
          <w:rFonts w:ascii="Times New Roman" w:hAnsi="Times New Roman" w:cs="Times New Roman" w:eastAsia="Times New Roman" w:hint="default"/>
          <w:spacing w:val="8"/>
        </w:rPr>
        <w:t> </w:t>
      </w:r>
      <w:r>
        <w:rPr>
          <w:spacing w:val="-1"/>
        </w:rPr>
        <w:t>号</w:t>
      </w:r>
      <w:r>
        <w:rPr>
          <w:rFonts w:ascii="Times New Roman" w:hAnsi="Times New Roman" w:cs="Times New Roman" w:eastAsia="Times New Roman" w:hint="default"/>
          <w:spacing w:val="-1"/>
        </w:rPr>
        <w:t>))</w:t>
      </w:r>
      <w:r>
        <w:rPr>
          <w:spacing w:val="-1"/>
        </w:rPr>
        <w:t>等相关法</w:t>
      </w:r>
      <w:r>
        <w:rPr>
          <w:spacing w:val="-103"/>
        </w:rPr>
        <w:t> </w:t>
      </w:r>
      <w:r>
        <w:rPr>
          <w:spacing w:val="-1"/>
        </w:rPr>
        <w:t>律、法规、规范性文件及交易所规定的要求，以及《公司章程》的相关规定，结合公司实际情况，公司制</w:t>
      </w:r>
      <w:r>
        <w:rPr>
          <w:spacing w:val="-85"/>
        </w:rPr>
        <w:t> </w:t>
      </w:r>
      <w:r>
        <w:rPr>
          <w:spacing w:val="-85"/>
        </w:rPr>
      </w:r>
      <w:r>
        <w:rPr/>
        <w:t>定了《未来三年（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11"/>
        </w:rPr>
        <w:t> </w:t>
      </w:r>
      <w:r>
        <w:rPr>
          <w:spacing w:val="-4"/>
        </w:rPr>
        <w:t>年）股东回报规划》，同时修订了《公司章程》有关分红政策条款。</w:t>
      </w:r>
    </w:p>
    <w:p>
      <w:pPr>
        <w:pStyle w:val="BodyText"/>
        <w:spacing w:line="393" w:lineRule="auto" w:before="62"/>
        <w:ind w:right="1118" w:firstLine="420"/>
        <w:jc w:val="left"/>
      </w:pPr>
      <w:r>
        <w:rPr>
          <w:rFonts w:ascii="Times New Roman" w:hAnsi="Times New Roman" w:cs="Times New Roman" w:eastAsia="Times New Roman" w:hint="default"/>
        </w:rPr>
        <w:t>3</w:t>
      </w:r>
      <w:r>
        <w:rPr/>
        <w:t>、报告期内，公司对新并购的北京中农信达信息技术有限公司的内部控制体系进行了梳理和完善， </w:t>
      </w:r>
      <w:r>
        <w:rPr>
          <w:spacing w:val="-5"/>
        </w:rPr>
        <w:t>并将其纳入本年度的内部控制评价工作范围之中。同时，公司聘请信永中和会计师事务所（特殊普通合伙）</w:t>
      </w:r>
      <w:r>
        <w:rPr>
          <w:spacing w:val="-103"/>
        </w:rPr>
        <w:t> </w:t>
      </w:r>
      <w:r>
        <w:rPr>
          <w:spacing w:val="-103"/>
        </w:rPr>
      </w:r>
      <w:r>
        <w:rPr/>
        <w:t>对公司</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年度内部控制进行独立审计，以检验公司内部控制设计和执行的有效性，并不断优化内部控 制的管理手段，提高公司经营管理水平和风险防范能力，促进公司可持续发展。</w:t>
      </w:r>
    </w:p>
    <w:p>
      <w:pPr>
        <w:pStyle w:val="BodyText"/>
        <w:spacing w:line="400" w:lineRule="auto" w:before="97"/>
        <w:ind w:right="0" w:firstLine="420"/>
        <w:jc w:val="left"/>
      </w:pPr>
      <w:r>
        <w:rPr>
          <w:rFonts w:ascii="Times New Roman" w:hAnsi="Times New Roman" w:cs="Times New Roman" w:eastAsia="Times New Roman" w:hint="default"/>
        </w:rPr>
        <w:t>4</w:t>
      </w:r>
      <w:r>
        <w:rPr/>
        <w:t>、报告期内，公司高度重视投资者关系管理工作。通过电话、电子邮件、实地调研等方式接待来访 </w:t>
      </w:r>
      <w:r>
        <w:rPr>
          <w:spacing w:val="-1"/>
        </w:rPr>
        <w:t>者和机构，认真做好投资者来电的接听、答复以及传真、电子信箱的接收和回复；通过公司网站，使广大</w:t>
      </w:r>
      <w:r>
        <w:rPr>
          <w:spacing w:val="-83"/>
        </w:rPr>
        <w:t> </w:t>
      </w:r>
      <w:r>
        <w:rPr>
          <w:spacing w:val="-83"/>
        </w:rPr>
      </w:r>
      <w:r>
        <w:rPr>
          <w:spacing w:val="-1"/>
        </w:rPr>
        <w:t>投资者了解公司治理情况、信息披露情况和生产经营情况等；积极参与投资者网上交流互动活动，及时回</w:t>
      </w:r>
      <w:r>
        <w:rPr>
          <w:spacing w:val="-83"/>
        </w:rPr>
        <w:t> </w:t>
      </w:r>
      <w:r>
        <w:rPr>
          <w:spacing w:val="-83"/>
        </w:rPr>
      </w:r>
      <w:r>
        <w:rPr/>
        <w:t>复投资者的咨询。</w:t>
      </w:r>
    </w:p>
    <w:p>
      <w:pPr>
        <w:spacing w:after="0" w:line="400" w:lineRule="auto"/>
        <w:jc w:val="left"/>
        <w:sectPr>
          <w:pgSz w:w="11910" w:h="16840"/>
          <w:pgMar w:header="0" w:footer="1226" w:top="1100" w:bottom="1420" w:left="980" w:right="0"/>
        </w:sectPr>
      </w:pPr>
    </w:p>
    <w:p>
      <w:pPr>
        <w:spacing w:line="240" w:lineRule="auto" w:before="8"/>
        <w:rPr>
          <w:rFonts w:ascii="宋体" w:hAnsi="宋体" w:cs="宋体" w:eastAsia="宋体" w:hint="default"/>
          <w:sz w:val="26"/>
          <w:szCs w:val="26"/>
        </w:rPr>
      </w:pPr>
    </w:p>
    <w:p>
      <w:pPr>
        <w:pStyle w:val="BodyText"/>
        <w:spacing w:line="386" w:lineRule="auto" w:before="35"/>
        <w:ind w:right="1123" w:firstLine="420"/>
        <w:jc w:val="left"/>
      </w:pPr>
      <w:r>
        <w:rPr>
          <w:rFonts w:ascii="Times New Roman" w:hAnsi="Times New Roman" w:cs="Times New Roman" w:eastAsia="Times New Roman" w:hint="default"/>
          <w:spacing w:val="-3"/>
        </w:rPr>
        <w:t>5</w:t>
      </w:r>
      <w:r>
        <w:rPr>
          <w:spacing w:val="-3"/>
        </w:rPr>
        <w:t>、截止本报告期末，公司控股股东及其关联方不存在占用上市公司资金的情况；公司不存在违反《关</w:t>
      </w:r>
      <w:r>
        <w:rPr/>
        <w:t> </w:t>
      </w:r>
      <w:r>
        <w:rPr>
          <w:spacing w:val="-3"/>
        </w:rPr>
        <w:t>于规范上市公司与关联方资金往来及上市公司对外担保若干问题的通知》（证监发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32"/>
        </w:rPr>
        <w:t> </w:t>
      </w:r>
      <w:r>
        <w:rPr>
          <w:spacing w:val="-1"/>
        </w:rPr>
        <w:t>号）的情形。</w:t>
      </w:r>
    </w:p>
    <w:p>
      <w:pPr>
        <w:pStyle w:val="BodyText"/>
        <w:spacing w:line="388" w:lineRule="auto" w:before="74"/>
        <w:ind w:right="1198" w:firstLine="420"/>
        <w:jc w:val="left"/>
      </w:pPr>
      <w:r>
        <w:rPr>
          <w:rFonts w:ascii="Times New Roman" w:hAnsi="Times New Roman" w:cs="Times New Roman" w:eastAsia="Times New Roman" w:hint="default"/>
        </w:rPr>
        <w:t>6</w:t>
      </w:r>
      <w:r>
        <w:rPr/>
        <w:t>、报告期内，公司不存在向控股股东或实际控制人提供未公开信息等公司治理非规范情况；公司大 股东或实际控制人也不存在干预上市公司生产、经营、管理等公司治理非规范情况。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right="1135"/>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7"/>
          <w:szCs w:val="17"/>
        </w:rPr>
      </w:pPr>
    </w:p>
    <w:p>
      <w:pPr>
        <w:pStyle w:val="BodyText"/>
        <w:spacing w:line="420" w:lineRule="auto"/>
        <w:ind w:right="2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spacing w:line="240" w:lineRule="auto" w:before="11"/>
        <w:rPr>
          <w:rFonts w:ascii="宋体" w:hAnsi="宋体" w:cs="宋体" w:eastAsia="宋体" w:hint="default"/>
          <w:sz w:val="17"/>
          <w:szCs w:val="17"/>
        </w:rPr>
      </w:pPr>
    </w:p>
    <w:p>
      <w:pPr>
        <w:pStyle w:val="Heading2"/>
        <w:spacing w:line="240" w:lineRule="auto"/>
        <w:ind w:right="1135"/>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0" w:firstLine="420"/>
        <w:jc w:val="left"/>
      </w:pPr>
      <w:r>
        <w:rPr>
          <w:spacing w:val="-1"/>
        </w:rPr>
        <w:t>本公司法人治理结构比较健全，公司与控股股东在业务、人员、资产、机构和财务上完全独立，具有</w:t>
      </w:r>
      <w:r>
        <w:rPr/>
        <w:t> 较为独立完整的业务及自主经营能力。具体情况如下：</w:t>
      </w:r>
    </w:p>
    <w:p>
      <w:pPr>
        <w:pStyle w:val="BodyText"/>
        <w:spacing w:line="386" w:lineRule="auto" w:before="82"/>
        <w:ind w:left="154" w:right="1197" w:firstLine="420"/>
        <w:jc w:val="left"/>
      </w:pPr>
      <w:r>
        <w:rPr>
          <w:rFonts w:ascii="Times New Roman" w:hAnsi="Times New Roman" w:cs="Times New Roman" w:eastAsia="Times New Roman" w:hint="default"/>
        </w:rPr>
        <w:t>1</w:t>
      </w:r>
      <w:r>
        <w:rPr/>
        <w:t>、业务方面：公司拥有自身独立的业务和自主经营权，与控股股东不存在同业竞争或者潜在的同业 竞争；</w:t>
      </w:r>
    </w:p>
    <w:p>
      <w:pPr>
        <w:pStyle w:val="BodyText"/>
        <w:spacing w:line="400" w:lineRule="auto" w:before="104"/>
        <w:ind w:left="154" w:right="1117" w:firstLine="420"/>
        <w:jc w:val="left"/>
      </w:pPr>
      <w:r>
        <w:rPr>
          <w:rFonts w:ascii="Times New Roman" w:hAnsi="Times New Roman" w:cs="Times New Roman" w:eastAsia="Times New Roman" w:hint="default"/>
        </w:rPr>
        <w:t>2</w:t>
      </w:r>
      <w:r>
        <w:rPr/>
        <w:t>、人员方面：公司人员独立于控股股东，具有独立的劳动人事管理部门，制定独立的劳动、人事及 </w:t>
      </w:r>
      <w:r>
        <w:rPr>
          <w:spacing w:val="-1"/>
        </w:rPr>
        <w:t>薪酬管理制度。公司总裁、副总裁、财务负责人、董事会秘书等高级管理人员未在控股股东单位担任除董</w:t>
      </w:r>
      <w:r>
        <w:rPr>
          <w:spacing w:val="-86"/>
        </w:rPr>
        <w:t> </w:t>
      </w:r>
      <w:r>
        <w:rPr>
          <w:spacing w:val="-86"/>
        </w:rPr>
      </w:r>
      <w:r>
        <w:rPr>
          <w:spacing w:val="-5"/>
        </w:rPr>
        <w:t>事外的其他职务，没有在控股股东单位领取报酬。公司的董事、监事及高级管理人员均通过合法程序选聘，</w:t>
      </w:r>
      <w:r>
        <w:rPr>
          <w:spacing w:val="-101"/>
        </w:rPr>
        <w:t> </w:t>
      </w:r>
      <w:r>
        <w:rPr>
          <w:spacing w:val="-101"/>
        </w:rPr>
      </w:r>
      <w:r>
        <w:rPr/>
        <w:t>无控股股东干预公司董事会和股东大会已做出的人事任免决定的情况；</w:t>
      </w:r>
    </w:p>
    <w:p>
      <w:pPr>
        <w:pStyle w:val="BodyText"/>
        <w:spacing w:line="398" w:lineRule="auto" w:before="92"/>
        <w:ind w:right="0" w:firstLine="420"/>
        <w:jc w:val="left"/>
      </w:pPr>
      <w:r>
        <w:rPr>
          <w:rFonts w:ascii="Times New Roman" w:hAnsi="Times New Roman" w:cs="Times New Roman" w:eastAsia="Times New Roman" w:hint="default"/>
        </w:rPr>
        <w:t>3</w:t>
      </w:r>
      <w:r>
        <w:rPr/>
        <w:t>、资产方面：公司主要资产产权清晰，拥有完整的与生产经营有关的生产系统、辅助生产系统和配 </w:t>
      </w:r>
      <w:r>
        <w:rPr>
          <w:spacing w:val="-1"/>
        </w:rPr>
        <w:t>套设施；对与生产经营相关的厂房、土地、设备以及商标、非专利技术等资产均合法拥有所有权。公司不</w:t>
      </w:r>
      <w:r>
        <w:rPr>
          <w:spacing w:val="-83"/>
        </w:rPr>
        <w:t> </w:t>
      </w:r>
      <w:r>
        <w:rPr>
          <w:spacing w:val="-83"/>
        </w:rPr>
      </w:r>
      <w:r>
        <w:rPr/>
        <w:t>存在控股股东占用公司资金的情形，也未向控股股东提供任何担保；</w:t>
      </w:r>
    </w:p>
    <w:p>
      <w:pPr>
        <w:pStyle w:val="BodyText"/>
        <w:spacing w:line="398" w:lineRule="auto" w:before="93"/>
        <w:ind w:right="0" w:firstLine="420"/>
        <w:jc w:val="left"/>
      </w:pPr>
      <w:r>
        <w:rPr>
          <w:rFonts w:ascii="Times New Roman" w:hAnsi="Times New Roman" w:cs="Times New Roman" w:eastAsia="Times New Roman" w:hint="default"/>
        </w:rPr>
        <w:t>4</w:t>
      </w:r>
      <w:r>
        <w:rPr/>
        <w:t>、机构方面：公司设立了完全独立于控股股东的组织机构，公司董事会、监事会及其他内部机构独 </w:t>
      </w:r>
      <w:r>
        <w:rPr>
          <w:spacing w:val="-1"/>
        </w:rPr>
        <w:t>立运作，不存在与控股股东职能部门之间的从属关系。公司具有独立的办公机构，所有职能部门均独立行</w:t>
      </w:r>
      <w:r>
        <w:rPr>
          <w:spacing w:val="-83"/>
        </w:rPr>
        <w:t> </w:t>
      </w:r>
      <w:r>
        <w:rPr>
          <w:spacing w:val="-83"/>
        </w:rPr>
      </w:r>
      <w:r>
        <w:rPr/>
        <w:t>使职权，独立开展经营活动，不存在混合经营、合署办公情形；</w:t>
      </w:r>
    </w:p>
    <w:p>
      <w:pPr>
        <w:pStyle w:val="BodyText"/>
        <w:spacing w:line="398" w:lineRule="auto" w:before="93"/>
        <w:ind w:left="154" w:right="1116" w:firstLine="420"/>
        <w:jc w:val="left"/>
      </w:pPr>
      <w:r>
        <w:rPr>
          <w:rFonts w:ascii="Times New Roman" w:hAnsi="Times New Roman" w:cs="Times New Roman" w:eastAsia="Times New Roman" w:hint="default"/>
        </w:rPr>
        <w:t>5</w:t>
      </w:r>
      <w:r>
        <w:rPr/>
        <w:t>、财务方面：公司设有独立的财务管理部门和财务人员，建立了独立的会计核算体系和财务管理制 </w:t>
      </w:r>
      <w:r>
        <w:rPr>
          <w:spacing w:val="-1"/>
        </w:rPr>
        <w:t>度，独立进行财务决策；独立在银行开户，没有与控股股东共用一个银行账户；独立进行税务登记，独立</w:t>
      </w:r>
      <w:r>
        <w:rPr>
          <w:spacing w:val="-83"/>
        </w:rPr>
        <w:t> </w:t>
      </w:r>
      <w:r>
        <w:rPr>
          <w:spacing w:val="-83"/>
        </w:rPr>
      </w:r>
      <w:r>
        <w:rPr/>
        <w:t>依法纳税。</w:t>
      </w:r>
    </w:p>
    <w:p>
      <w:pPr>
        <w:spacing w:after="0" w:line="398" w:lineRule="auto"/>
        <w:jc w:val="left"/>
        <w:sectPr>
          <w:pgSz w:w="11910" w:h="16840"/>
          <w:pgMar w:header="0" w:footer="1226" w:top="1100" w:bottom="142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135"/>
        <w:jc w:val="left"/>
        <w:rPr>
          <w:b w:val="0"/>
          <w:bCs w:val="0"/>
        </w:rPr>
      </w:pPr>
      <w:bookmarkStart w:name="三、同业竞争情况" w:id="137"/>
      <w:bookmarkEnd w:id="137"/>
      <w:r>
        <w:rPr>
          <w:b w:val="0"/>
          <w:bCs w:val="0"/>
        </w:rPr>
      </w:r>
      <w:r>
        <w:rPr/>
        <w:t>三、同业竞争情况</w:t>
      </w:r>
      <w:r>
        <w:rPr>
          <w:b w:val="0"/>
          <w:bCs w:val="0"/>
        </w:rPr>
      </w:r>
    </w:p>
    <w:p>
      <w:pPr>
        <w:spacing w:line="240" w:lineRule="auto" w:before="9"/>
        <w:rPr>
          <w:rFonts w:ascii="宋体" w:hAnsi="宋体" w:cs="宋体" w:eastAsia="宋体" w:hint="default"/>
          <w:b/>
          <w:bCs/>
          <w:sz w:val="24"/>
          <w:szCs w:val="24"/>
        </w:rPr>
      </w:pPr>
    </w:p>
    <w:p>
      <w:pPr>
        <w:spacing w:line="484" w:lineRule="auto" w:before="0"/>
        <w:ind w:left="153" w:right="40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四、报告期内召开的年度股东大会和临时股东大会的有关情况" w:id="138"/>
      <w:bookmarkEnd w:id="138"/>
      <w:r>
        <w:rPr>
          <w:rFonts w:ascii="宋体" w:hAnsi="宋体" w:cs="宋体" w:eastAsia="宋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9"/>
      <w:bookmarkEnd w:id="139"/>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1597"/>
        <w:gridCol w:w="1240"/>
        <w:gridCol w:w="851"/>
        <w:gridCol w:w="1701"/>
        <w:gridCol w:w="1702"/>
        <w:gridCol w:w="2477"/>
      </w:tblGrid>
      <w:tr>
        <w:trPr>
          <w:trHeight w:val="724" w:hRule="exact"/>
        </w:trPr>
        <w:tc>
          <w:tcPr>
            <w:tcW w:w="15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7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51"/>
              <w:ind w:left="1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51"/>
              <w:ind w:left="1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51"/>
              <w:ind w:left="1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597"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51"/>
              <w:ind w:left="1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 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24" w:hRule="exact"/>
        </w:trPr>
        <w:tc>
          <w:tcPr>
            <w:tcW w:w="1597" w:type="dxa"/>
            <w:tcBorders>
              <w:top w:val="single" w:sz="4" w:space="0" w:color="000000"/>
              <w:left w:val="single" w:sz="12" w:space="0" w:color="000000"/>
              <w:bottom w:val="single" w:sz="12" w:space="0" w:color="000000"/>
              <w:right w:val="single" w:sz="4" w:space="0" w:color="000000"/>
            </w:tcBorders>
          </w:tcPr>
          <w:p>
            <w:pPr>
              <w:pStyle w:val="TableParagraph"/>
              <w:spacing w:line="300" w:lineRule="auto" w:before="51"/>
              <w:ind w:left="1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 时股东大会</w:t>
            </w:r>
          </w:p>
        </w:tc>
        <w:tc>
          <w:tcPr>
            <w:tcW w:w="12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0.05%</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6"/>
          <w:szCs w:val="16"/>
        </w:rPr>
      </w:pPr>
    </w:p>
    <w:p>
      <w:pPr>
        <w:pStyle w:val="Heading6"/>
        <w:spacing w:line="240" w:lineRule="auto" w:before="35"/>
        <w:ind w:right="1135"/>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19"/>
          <w:szCs w:val="19"/>
        </w:rPr>
      </w:pPr>
    </w:p>
    <w:p>
      <w:pPr>
        <w:spacing w:line="427" w:lineRule="auto" w:before="0"/>
        <w:ind w:left="154" w:right="61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五、报告期内独立董事履行职责的情况" w:id="141"/>
      <w:bookmarkEnd w:id="141"/>
      <w:r>
        <w:rPr>
          <w:rFonts w:ascii="宋体" w:hAnsi="宋体" w:cs="宋体" w:eastAsia="宋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42"/>
      <w:bookmarkEnd w:id="142"/>
      <w:r>
        <w:rPr>
          <w:rFonts w:ascii="宋体" w:hAnsi="宋体" w:cs="宋体" w:eastAsia="宋体" w:hint="default"/>
          <w:b/>
          <w:bCs/>
          <w:spacing w:val="73"/>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625"/>
        <w:gridCol w:w="1325"/>
        <w:gridCol w:w="1324"/>
        <w:gridCol w:w="1324"/>
        <w:gridCol w:w="1325"/>
        <w:gridCol w:w="1324"/>
        <w:gridCol w:w="1323"/>
      </w:tblGrid>
      <w:tr>
        <w:trPr>
          <w:trHeight w:val="473" w:hRule="exact"/>
        </w:trPr>
        <w:tc>
          <w:tcPr>
            <w:tcW w:w="9569" w:type="dxa"/>
            <w:gridSpan w:val="7"/>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54" w:hRule="exact"/>
        </w:trPr>
        <w:tc>
          <w:tcPr>
            <w:tcW w:w="162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96" w:right="205" w:hanging="90"/>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71"/>
              <w:ind w:left="116" w:right="14"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64"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罗振邦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王能光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朱海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杨晓樱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3"/>
              <w:ind w:right="8"/>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6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吕本富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949"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13"/>
        <w:rPr>
          <w:rFonts w:ascii="宋体" w:hAnsi="宋体" w:cs="宋体" w:eastAsia="宋体" w:hint="default"/>
          <w:b/>
          <w:bCs/>
          <w:sz w:val="21"/>
          <w:szCs w:val="21"/>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pacing w:val="-3"/>
          <w:sz w:val="18"/>
          <w:szCs w:val="18"/>
        </w:rPr>
        <w:t>注：独立董事贺志强先生、罗振邦先生于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日上任，独立董事王能光先生于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日上任；独立</w:t>
      </w:r>
    </w:p>
    <w:p>
      <w:pPr>
        <w:spacing w:before="6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董事朱海先生、杨晓樱女士与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日上任，独立董事贺志强先生于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日离任，独立董事朱海先生于</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日离任。公司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年度共召开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次股东大会，其中：独立董事罗振邦先生列席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次，独立董事王能光先生列</w:t>
      </w:r>
    </w:p>
    <w:p>
      <w:pPr>
        <w:spacing w:before="64"/>
        <w:ind w:left="153" w:right="1135" w:firstLine="0"/>
        <w:jc w:val="left"/>
        <w:rPr>
          <w:rFonts w:ascii="宋体" w:hAnsi="宋体" w:cs="宋体" w:eastAsia="宋体" w:hint="default"/>
          <w:sz w:val="18"/>
          <w:szCs w:val="18"/>
        </w:rPr>
      </w:pPr>
      <w:r>
        <w:rPr>
          <w:rFonts w:ascii="宋体" w:hAnsi="宋体" w:cs="宋体" w:eastAsia="宋体" w:hint="default"/>
          <w:sz w:val="18"/>
          <w:szCs w:val="18"/>
        </w:rPr>
        <w:t>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BodyText"/>
        <w:spacing w:line="240" w:lineRule="auto" w:before="77"/>
        <w:ind w:right="1135"/>
        <w:jc w:val="left"/>
      </w:pPr>
      <w:r>
        <w:rPr/>
        <w:t>连续两次未亲自出席董事会的说明：无</w:t>
      </w:r>
    </w:p>
    <w:p>
      <w:pPr>
        <w:spacing w:line="692" w:lineRule="exact" w:before="29"/>
        <w:ind w:left="154" w:right="6641" w:firstLine="0"/>
        <w:jc w:val="left"/>
        <w:rPr>
          <w:rFonts w:ascii="宋体" w:hAnsi="宋体" w:cs="宋体" w:eastAsia="宋体" w:hint="default"/>
          <w:sz w:val="21"/>
          <w:szCs w:val="21"/>
        </w:rPr>
      </w:pPr>
      <w:bookmarkStart w:name="2、独立董事对公司有关事项提出异议的情况"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独立董事对公司有关事项是否提出异议</w:t>
      </w:r>
    </w:p>
    <w:p>
      <w:pPr>
        <w:pStyle w:val="BodyText"/>
        <w:spacing w:line="420" w:lineRule="auto" w:before="125"/>
        <w:ind w:left="154" w:right="63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240" w:lineRule="auto" w:before="8"/>
        <w:rPr>
          <w:rFonts w:ascii="宋体" w:hAnsi="宋体" w:cs="宋体" w:eastAsia="宋体" w:hint="default"/>
          <w:sz w:val="19"/>
          <w:szCs w:val="19"/>
        </w:rPr>
      </w:pPr>
    </w:p>
    <w:p>
      <w:pPr>
        <w:pStyle w:val="Heading6"/>
        <w:spacing w:line="240" w:lineRule="auto"/>
        <w:ind w:right="1135"/>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154" w:right="1135"/>
        <w:jc w:val="left"/>
      </w:pPr>
      <w:r>
        <w:rPr/>
        <w:t>独立董事对公司有关建议是否被采纳</w:t>
      </w:r>
    </w:p>
    <w:p>
      <w:pPr>
        <w:spacing w:line="240" w:lineRule="auto" w:before="10"/>
        <w:rPr>
          <w:rFonts w:ascii="宋体" w:hAnsi="宋体" w:cs="宋体" w:eastAsia="宋体" w:hint="default"/>
          <w:sz w:val="17"/>
          <w:szCs w:val="17"/>
        </w:rPr>
      </w:pPr>
    </w:p>
    <w:p>
      <w:pPr>
        <w:pStyle w:val="BodyText"/>
        <w:spacing w:line="420" w:lineRule="auto"/>
        <w:ind w:right="6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BodyText"/>
        <w:spacing w:line="408" w:lineRule="auto" w:before="74"/>
        <w:ind w:left="154" w:right="1117" w:firstLine="420"/>
        <w:jc w:val="left"/>
      </w:pPr>
      <w:r>
        <w:rPr>
          <w:spacing w:val="-8"/>
        </w:rPr>
        <w:t>报告期内，公司独立董事勤勉尽责，严格按照中国证监会的相关法规、《公司章程》、《董事会议事规</w:t>
      </w:r>
      <w:r>
        <w:rPr/>
        <w:t> </w:t>
      </w:r>
      <w:r>
        <w:rPr>
          <w:spacing w:val="-5"/>
        </w:rPr>
        <w:t>则》及《独立董事工作规则》等开展工作，积极参加报告期内的历次会议，关注公司运作，独立履行职责，</w:t>
      </w:r>
      <w:r>
        <w:rPr/>
        <w:t> </w:t>
      </w:r>
      <w:r>
        <w:rPr>
          <w:spacing w:val="-1"/>
        </w:rPr>
        <w:t>对公司的内部控制建设、管理体系建设和重大决策提出了专业性建议，对公司财务及经营活动进行了有效</w:t>
      </w:r>
      <w:r>
        <w:rPr>
          <w:spacing w:val="-81"/>
        </w:rPr>
        <w:t> </w:t>
      </w:r>
      <w:r>
        <w:rPr>
          <w:spacing w:val="-81"/>
        </w:rPr>
      </w:r>
      <w:r>
        <w:rPr>
          <w:spacing w:val="-1"/>
        </w:rPr>
        <w:t>监督，提高了公司决策的科学性，为完善公司监督机制，维护公司和全体股东的合法权益发挥了应有的作</w:t>
      </w:r>
      <w:r>
        <w:rPr>
          <w:spacing w:val="-83"/>
        </w:rPr>
        <w:t> </w:t>
      </w:r>
      <w:r>
        <w:rPr>
          <w:spacing w:val="-83"/>
        </w:rPr>
      </w:r>
      <w:r>
        <w:rPr/>
        <w:t>用。</w:t>
      </w:r>
    </w:p>
    <w:p>
      <w:pPr>
        <w:spacing w:line="240" w:lineRule="auto" w:before="8"/>
        <w:rPr>
          <w:rFonts w:ascii="宋体" w:hAnsi="宋体" w:cs="宋体" w:eastAsia="宋体" w:hint="default"/>
          <w:sz w:val="18"/>
          <w:szCs w:val="18"/>
        </w:rPr>
      </w:pPr>
    </w:p>
    <w:p>
      <w:pPr>
        <w:pStyle w:val="Heading2"/>
        <w:spacing w:line="240" w:lineRule="auto"/>
        <w:ind w:left="154" w:right="1135"/>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73" w:right="1135"/>
        <w:jc w:val="left"/>
      </w:pPr>
      <w:r>
        <w:rPr/>
        <w:t>（一）审计委员会履职情况</w:t>
      </w:r>
    </w:p>
    <w:p>
      <w:pPr>
        <w:spacing w:line="240" w:lineRule="auto" w:before="10"/>
        <w:rPr>
          <w:rFonts w:ascii="宋体" w:hAnsi="宋体" w:cs="宋体" w:eastAsia="宋体" w:hint="default"/>
          <w:sz w:val="17"/>
          <w:szCs w:val="17"/>
        </w:rPr>
      </w:pPr>
    </w:p>
    <w:p>
      <w:pPr>
        <w:pStyle w:val="BodyText"/>
        <w:spacing w:line="240" w:lineRule="auto"/>
        <w:ind w:left="573" w:right="1135"/>
        <w:jc w:val="left"/>
      </w:pPr>
      <w:r>
        <w:rPr>
          <w:rFonts w:ascii="Times New Roman" w:hAnsi="Times New Roman" w:cs="Times New Roman" w:eastAsia="Times New Roman" w:hint="default"/>
        </w:rPr>
        <w:t>1</w:t>
      </w:r>
      <w:r>
        <w:rPr/>
        <w:t>、报告期内审计委员会共召开</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次会议，主要工作情况如下：</w:t>
      </w:r>
    </w:p>
    <w:p>
      <w:pPr>
        <w:spacing w:line="240" w:lineRule="auto" w:before="8"/>
        <w:rPr>
          <w:rFonts w:ascii="宋体" w:hAnsi="宋体" w:cs="宋体" w:eastAsia="宋体" w:hint="default"/>
          <w:sz w:val="16"/>
          <w:szCs w:val="16"/>
        </w:rPr>
      </w:pPr>
    </w:p>
    <w:p>
      <w:pPr>
        <w:pStyle w:val="BodyText"/>
        <w:spacing w:line="386" w:lineRule="auto"/>
        <w:ind w:right="1132"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日，审计委员会召开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年第一次会议，听取了公司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年度生产经营情况和 </w:t>
      </w:r>
      <w:r>
        <w:rPr>
          <w:spacing w:val="-2"/>
        </w:rPr>
        <w:t>重大事项进展情况的全面汇报，审议通过了《</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2"/>
        </w:rPr>
        <w:t> </w:t>
      </w:r>
      <w:r>
        <w:rPr>
          <w:spacing w:val="-2"/>
        </w:rPr>
        <w:t>年度财务报表》和《关于审计委员会与年审会计师协商</w:t>
      </w:r>
      <w:r>
        <w:rPr>
          <w:spacing w:val="-102"/>
        </w:rPr>
        <w:t> </w:t>
      </w:r>
      <w:r>
        <w:rPr>
          <w:spacing w:val="-102"/>
        </w:rPr>
      </w:r>
      <w:r>
        <w:rPr/>
        <w:t>确定</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spacing w:val="-8"/>
        </w:rPr>
        <w:t>年年报审计工作安排的议案》。</w:t>
      </w:r>
    </w:p>
    <w:p>
      <w:pPr>
        <w:pStyle w:val="BodyText"/>
        <w:spacing w:line="240" w:lineRule="auto" w:before="74"/>
        <w:ind w:left="574" w:right="113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日，审计委员会召开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年第二次会议，审议通过了《关于聘请</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年度内部</w:t>
      </w:r>
    </w:p>
    <w:p>
      <w:pPr>
        <w:pStyle w:val="BodyText"/>
        <w:spacing w:line="386" w:lineRule="auto" w:before="177"/>
        <w:ind w:right="0"/>
        <w:jc w:val="left"/>
      </w:pPr>
      <w:r>
        <w:rPr>
          <w:spacing w:val="-14"/>
        </w:rPr>
        <w:t>控制审计机构的议案》、《关于预计</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spacing w:val="-8"/>
        </w:rPr>
        <w:t>年度日常关联交易额度的议案》、《关于公司及下属子公司使用自</w:t>
      </w:r>
      <w:r>
        <w:rPr>
          <w:spacing w:val="-90"/>
        </w:rPr>
        <w:t> </w:t>
      </w:r>
      <w:r>
        <w:rPr>
          <w:spacing w:val="-90"/>
        </w:rPr>
      </w:r>
      <w:r>
        <w:rPr>
          <w:spacing w:val="-1"/>
        </w:rPr>
        <w:t>有资金购买理财产品的议案》和《关于以募集资金置换已预先投入募集配套资金使用项目的自筹资金的议</w:t>
      </w:r>
    </w:p>
    <w:p>
      <w:pPr>
        <w:spacing w:after="0" w:line="386" w:lineRule="auto"/>
        <w:jc w:val="left"/>
        <w:sectPr>
          <w:pgSz w:w="11910" w:h="16840"/>
          <w:pgMar w:header="0" w:footer="1226" w:top="1100" w:bottom="1420" w:left="980" w:right="0"/>
        </w:sectPr>
      </w:pPr>
    </w:p>
    <w:p>
      <w:pPr>
        <w:spacing w:line="240" w:lineRule="auto" w:before="9"/>
        <w:rPr>
          <w:rFonts w:ascii="宋体" w:hAnsi="宋体" w:cs="宋体" w:eastAsia="宋体" w:hint="default"/>
          <w:sz w:val="26"/>
          <w:szCs w:val="26"/>
        </w:rPr>
      </w:pPr>
    </w:p>
    <w:p>
      <w:pPr>
        <w:pStyle w:val="BodyText"/>
        <w:spacing w:line="240" w:lineRule="auto" w:before="35"/>
        <w:ind w:right="1135"/>
        <w:jc w:val="left"/>
      </w:pPr>
      <w:r>
        <w:rPr/>
        <w:t>案</w:t>
      </w:r>
      <w:r>
        <w:rPr>
          <w:spacing w:val="-105"/>
        </w:rPr>
        <w:t>》</w:t>
      </w:r>
      <w:r>
        <w:rPr/>
        <w:t>。</w:t>
      </w:r>
    </w:p>
    <w:p>
      <w:pPr>
        <w:spacing w:line="240" w:lineRule="auto" w:before="9"/>
        <w:rPr>
          <w:rFonts w:ascii="宋体" w:hAnsi="宋体" w:cs="宋体" w:eastAsia="宋体" w:hint="default"/>
          <w:sz w:val="17"/>
          <w:szCs w:val="17"/>
        </w:rPr>
      </w:pPr>
    </w:p>
    <w:p>
      <w:pPr>
        <w:pStyle w:val="BodyText"/>
        <w:spacing w:line="386" w:lineRule="auto"/>
        <w:ind w:right="1123" w:firstLine="420"/>
        <w:jc w:val="left"/>
      </w:pPr>
      <w:r>
        <w:rPr/>
        <w:t>（</w:t>
      </w:r>
      <w:r>
        <w:rPr>
          <w:rFonts w:ascii="Times New Roman" w:hAnsi="Times New Roman" w:cs="Times New Roman" w:eastAsia="Times New Roman" w:hint="default"/>
        </w:rPr>
        <w:t>3</w:t>
      </w:r>
      <w:r>
        <w:rPr>
          <w:spacing w:val="-26"/>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spacing w:val="-2"/>
        </w:rPr>
        <w:t>日</w:t>
      </w:r>
      <w:r>
        <w:rPr>
          <w:spacing w:val="-26"/>
        </w:rPr>
        <w:t>，</w:t>
      </w:r>
      <w:r>
        <w:rPr/>
        <w:t>审计委员会召开</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年第三次会议</w:t>
      </w:r>
      <w:r>
        <w:rPr>
          <w:spacing w:val="-26"/>
        </w:rPr>
        <w:t>，</w:t>
      </w:r>
      <w:r>
        <w:rPr/>
        <w:t>审议通过</w:t>
      </w:r>
      <w:r>
        <w:rPr>
          <w:spacing w:val="-26"/>
        </w:rPr>
        <w:t>了</w:t>
      </w:r>
      <w:r>
        <w:rPr/>
        <w:t>《</w:t>
      </w:r>
      <w:r>
        <w:rPr>
          <w:rFonts w:ascii="Times New Roman" w:hAnsi="Times New Roman" w:cs="Times New Roman" w:eastAsia="Times New Roman" w:hint="default"/>
        </w:rPr>
        <w:t>2014 </w:t>
      </w:r>
      <w:r>
        <w:rPr/>
        <w:t>年度财务报告</w:t>
      </w:r>
      <w:r>
        <w:rPr>
          <w:spacing w:val="-130"/>
        </w:rPr>
        <w:t>》</w:t>
      </w:r>
      <w:r>
        <w:rPr/>
        <w:t>（初</w:t>
      </w:r>
      <w:r>
        <w:rPr/>
        <w:t> 稿）和《</w:t>
      </w:r>
      <w:r>
        <w:rPr>
          <w:rFonts w:ascii="Times New Roman" w:hAnsi="Times New Roman" w:cs="Times New Roman" w:eastAsia="Times New Roman" w:hint="default"/>
        </w:rPr>
        <w:t>2014 </w:t>
      </w:r>
      <w:r>
        <w:rPr/>
        <w:t>年度内部</w:t>
      </w:r>
      <w:r>
        <w:rPr>
          <w:spacing w:val="-2"/>
        </w:rPr>
        <w:t>审</w:t>
      </w:r>
      <w:r>
        <w:rPr/>
        <w:t>计工作报告</w:t>
      </w:r>
      <w:r>
        <w:rPr>
          <w:spacing w:val="-106"/>
        </w:rPr>
        <w:t>》</w:t>
      </w:r>
      <w:r>
        <w:rPr/>
        <w:t>。</w:t>
      </w:r>
    </w:p>
    <w:p>
      <w:pPr>
        <w:pStyle w:val="BodyText"/>
        <w:spacing w:line="386" w:lineRule="auto" w:before="75"/>
        <w:ind w:right="1123" w:firstLine="420"/>
        <w:jc w:val="left"/>
      </w:pPr>
      <w:r>
        <w:rPr/>
        <w:t>（</w:t>
      </w:r>
      <w:r>
        <w:rPr>
          <w:rFonts w:ascii="Times New Roman" w:hAnsi="Times New Roman" w:cs="Times New Roman" w:eastAsia="Times New Roman" w:hint="default"/>
        </w:rPr>
        <w:t>4</w:t>
      </w:r>
      <w:r>
        <w:rPr>
          <w:spacing w:val="-26"/>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 </w:t>
      </w:r>
      <w:r>
        <w:rPr>
          <w:spacing w:val="-2"/>
        </w:rPr>
        <w:t>日</w:t>
      </w:r>
      <w:r>
        <w:rPr>
          <w:spacing w:val="-26"/>
        </w:rPr>
        <w:t>，</w:t>
      </w:r>
      <w:r>
        <w:rPr/>
        <w:t>审计委员会召开</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年第四次会议</w:t>
      </w:r>
      <w:r>
        <w:rPr>
          <w:spacing w:val="-26"/>
        </w:rPr>
        <w:t>，</w:t>
      </w:r>
      <w:r>
        <w:rPr/>
        <w:t>审议通过</w:t>
      </w:r>
      <w:r>
        <w:rPr>
          <w:spacing w:val="-26"/>
        </w:rPr>
        <w:t>了</w:t>
      </w:r>
      <w:r>
        <w:rPr/>
        <w:t>《</w:t>
      </w:r>
      <w:r>
        <w:rPr>
          <w:rFonts w:ascii="Times New Roman" w:hAnsi="Times New Roman" w:cs="Times New Roman" w:eastAsia="Times New Roman" w:hint="default"/>
        </w:rPr>
        <w:t>2014 </w:t>
      </w:r>
      <w:r>
        <w:rPr/>
        <w:t>年度财务报告</w:t>
      </w:r>
      <w:r>
        <w:rPr>
          <w:spacing w:val="-130"/>
        </w:rPr>
        <w:t>》</w:t>
      </w:r>
      <w:r>
        <w:rPr/>
        <w:t>（定</w:t>
      </w:r>
      <w:r>
        <w:rPr/>
        <w:t> 稿</w:t>
      </w:r>
      <w:r>
        <w:rPr>
          <w:spacing w:val="-105"/>
        </w:rPr>
        <w:t>）、</w:t>
      </w:r>
      <w:r>
        <w:rPr/>
        <w:t>《董</w:t>
      </w:r>
      <w:r>
        <w:rPr>
          <w:spacing w:val="-2"/>
        </w:rPr>
        <w:t>事</w:t>
      </w:r>
      <w:r>
        <w:rPr/>
        <w:t>会审计委员会履职情况报告暨关于会计师事务所</w:t>
      </w:r>
      <w:r>
        <w:rPr>
          <w:spacing w:val="-52"/>
        </w:rPr>
        <w:t> </w:t>
      </w:r>
      <w:r>
        <w:rPr>
          <w:rFonts w:ascii="Times New Roman" w:hAnsi="Times New Roman" w:cs="Times New Roman" w:eastAsia="Times New Roman" w:hint="default"/>
        </w:rPr>
        <w:t>2014 </w:t>
      </w:r>
      <w:r>
        <w:rPr/>
        <w:t>年</w:t>
      </w:r>
      <w:r>
        <w:rPr>
          <w:spacing w:val="-2"/>
        </w:rPr>
        <w:t>度</w:t>
      </w:r>
      <w:r>
        <w:rPr/>
        <w:t>审计工作的总结报告</w:t>
      </w:r>
      <w:r>
        <w:rPr>
          <w:spacing w:val="-105"/>
        </w:rPr>
        <w:t>》</w:t>
      </w:r>
      <w:r>
        <w:rPr>
          <w:spacing w:val="-106"/>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 内部控制自我评价报告</w:t>
      </w:r>
      <w:r>
        <w:rPr>
          <w:spacing w:val="-106"/>
        </w:rPr>
        <w:t>》</w:t>
      </w:r>
      <w:r>
        <w:rPr>
          <w:spacing w:val="-105"/>
        </w:rPr>
        <w:t>、</w:t>
      </w:r>
      <w:r>
        <w:rPr/>
        <w:t>《关于续</w:t>
      </w:r>
      <w:r>
        <w:rPr>
          <w:spacing w:val="-2"/>
        </w:rPr>
        <w:t>聘</w:t>
      </w:r>
      <w:r>
        <w:rPr/>
        <w:t>公司</w:t>
      </w:r>
      <w:r>
        <w:rPr>
          <w:spacing w:val="-52"/>
        </w:rPr>
        <w:t> </w:t>
      </w:r>
      <w:r>
        <w:rPr>
          <w:rFonts w:ascii="Times New Roman" w:hAnsi="Times New Roman" w:cs="Times New Roman" w:eastAsia="Times New Roman" w:hint="default"/>
        </w:rPr>
        <w:t>2015 </w:t>
      </w:r>
      <w:r>
        <w:rPr>
          <w:spacing w:val="-2"/>
        </w:rPr>
        <w:t>年</w:t>
      </w:r>
      <w:r>
        <w:rPr/>
        <w:t>度审计机构的议案》和《关于开展衍生品投资业务的议</w:t>
      </w:r>
      <w:r>
        <w:rPr/>
        <w:t> 案</w:t>
      </w:r>
      <w:r>
        <w:rPr>
          <w:spacing w:val="-105"/>
        </w:rPr>
        <w:t>》</w:t>
      </w:r>
      <w:r>
        <w:rPr/>
        <w:t>。</w:t>
      </w:r>
    </w:p>
    <w:p>
      <w:pPr>
        <w:pStyle w:val="BodyText"/>
        <w:spacing w:line="386" w:lineRule="auto" w:before="103"/>
        <w:ind w:right="1014" w:firstLine="42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日，审计委员会召开</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年第五次会议，审议通过了《</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年第一季度报告》</w:t>
      </w:r>
      <w:r>
        <w:rPr>
          <w:spacing w:val="2"/>
        </w:rPr>
        <w:t> </w:t>
      </w:r>
      <w:r>
        <w:rPr/>
        <w:t>和《</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7"/>
        </w:rPr>
        <w:t>年度第一季度内部审计工作报告》。</w:t>
      </w:r>
    </w:p>
    <w:p>
      <w:pPr>
        <w:pStyle w:val="BodyText"/>
        <w:spacing w:line="386" w:lineRule="auto" w:before="74"/>
        <w:ind w:right="1132" w:firstLine="42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日，审计委员会召开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年第六次会议，审议通过了《关于</w:t>
      </w:r>
      <w:r>
        <w:rPr>
          <w:rFonts w:ascii="Times New Roman" w:hAnsi="Times New Roman" w:cs="Times New Roman" w:eastAsia="Times New Roman" w:hint="default"/>
        </w:rPr>
        <w:t>&lt;2015 </w:t>
      </w:r>
      <w:r>
        <w:rPr/>
        <w:t>年半年度报 告</w:t>
      </w:r>
      <w:r>
        <w:rPr>
          <w:rFonts w:ascii="Times New Roman" w:hAnsi="Times New Roman" w:cs="Times New Roman" w:eastAsia="Times New Roman" w:hint="default"/>
        </w:rPr>
        <w:t>&gt;</w:t>
      </w:r>
      <w:r>
        <w:rPr/>
        <w:t>及</w:t>
      </w:r>
      <w:r>
        <w:rPr>
          <w:rFonts w:ascii="Times New Roman" w:hAnsi="Times New Roman" w:cs="Times New Roman" w:eastAsia="Times New Roman" w:hint="default"/>
        </w:rPr>
        <w:t>&lt;2015</w:t>
      </w:r>
      <w:r>
        <w:rPr>
          <w:rFonts w:ascii="Times New Roman" w:hAnsi="Times New Roman" w:cs="Times New Roman" w:eastAsia="Times New Roman" w:hint="default"/>
          <w:spacing w:val="1"/>
        </w:rPr>
        <w:t> </w:t>
      </w:r>
      <w:r>
        <w:rPr>
          <w:spacing w:val="-7"/>
        </w:rPr>
        <w:t>年半年度报告摘要</w:t>
      </w:r>
      <w:r>
        <w:rPr>
          <w:rFonts w:ascii="Times New Roman" w:hAnsi="Times New Roman" w:cs="Times New Roman" w:eastAsia="Times New Roman" w:hint="default"/>
          <w:spacing w:val="-7"/>
        </w:rPr>
        <w:t>&gt;</w:t>
      </w:r>
      <w:r>
        <w:rPr>
          <w:spacing w:val="-7"/>
        </w:rPr>
        <w:t>的议案》、《关于</w:t>
      </w:r>
      <w:r>
        <w:rPr>
          <w:rFonts w:ascii="Times New Roman" w:hAnsi="Times New Roman" w:cs="Times New Roman" w:eastAsia="Times New Roman" w:hint="default"/>
          <w:spacing w:val="-7"/>
        </w:rPr>
        <w:t>&lt;</w:t>
      </w:r>
      <w:r>
        <w:rPr>
          <w:spacing w:val="-7"/>
        </w:rPr>
        <w:t>神州数码信息服务股份有限公司关于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1"/>
        </w:rPr>
        <w:t>年半年度募集</w:t>
      </w:r>
      <w:r>
        <w:rPr/>
        <w:t> </w:t>
      </w:r>
      <w:r>
        <w:rPr>
          <w:spacing w:val="-1"/>
        </w:rPr>
        <w:t>资金存放与使用情况专项说明</w:t>
      </w:r>
      <w:r>
        <w:rPr>
          <w:rFonts w:ascii="Times New Roman" w:hAnsi="Times New Roman" w:cs="Times New Roman" w:eastAsia="Times New Roman" w:hint="default"/>
          <w:spacing w:val="-1"/>
        </w:rPr>
        <w:t>&gt;</w:t>
      </w:r>
      <w:r>
        <w:rPr>
          <w:spacing w:val="-1"/>
        </w:rPr>
        <w:t>的议案》和《关于</w:t>
      </w:r>
      <w:r>
        <w:rPr>
          <w:rFonts w:ascii="Times New Roman" w:hAnsi="Times New Roman" w:cs="Times New Roman" w:eastAsia="Times New Roman" w:hint="default"/>
          <w:spacing w:val="-1"/>
        </w:rPr>
        <w:t>&lt;2015</w:t>
      </w:r>
      <w:r>
        <w:rPr>
          <w:rFonts w:ascii="Times New Roman" w:hAnsi="Times New Roman" w:cs="Times New Roman" w:eastAsia="Times New Roman" w:hint="default"/>
          <w:spacing w:val="32"/>
        </w:rPr>
        <w:t> </w:t>
      </w:r>
      <w:r>
        <w:rPr>
          <w:spacing w:val="-6"/>
        </w:rPr>
        <w:t>年上半年度内部审计工作报告</w:t>
      </w:r>
      <w:r>
        <w:rPr>
          <w:rFonts w:ascii="Times New Roman" w:hAnsi="Times New Roman" w:cs="Times New Roman" w:eastAsia="Times New Roman" w:hint="default"/>
          <w:spacing w:val="-6"/>
        </w:rPr>
        <w:t>&gt;</w:t>
      </w:r>
      <w:r>
        <w:rPr>
          <w:spacing w:val="-6"/>
        </w:rPr>
        <w:t>的议案》。</w:t>
      </w:r>
    </w:p>
    <w:p>
      <w:pPr>
        <w:pStyle w:val="BodyText"/>
        <w:spacing w:line="386" w:lineRule="auto" w:before="75"/>
        <w:ind w:right="1129" w:firstLine="42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日，审计委员会召开</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年第七次会议，审议通过了《关于</w:t>
      </w:r>
      <w:r>
        <w:rPr>
          <w:rFonts w:ascii="Times New Roman" w:hAnsi="Times New Roman" w:cs="Times New Roman" w:eastAsia="Times New Roman" w:hint="default"/>
        </w:rPr>
        <w:t>&lt;2015</w:t>
      </w:r>
      <w:r>
        <w:rPr>
          <w:rFonts w:ascii="Times New Roman" w:hAnsi="Times New Roman" w:cs="Times New Roman" w:eastAsia="Times New Roman" w:hint="default"/>
          <w:spacing w:val="-5"/>
        </w:rPr>
        <w:t> </w:t>
      </w:r>
      <w:r>
        <w:rPr/>
        <w:t>年第三季度 报告</w:t>
      </w:r>
      <w:r>
        <w:rPr>
          <w:rFonts w:ascii="Times New Roman" w:hAnsi="Times New Roman" w:cs="Times New Roman" w:eastAsia="Times New Roman" w:hint="default"/>
        </w:rPr>
        <w:t>&gt;</w:t>
      </w:r>
      <w:r>
        <w:rPr/>
        <w:t>的议案》和《关于</w:t>
      </w:r>
      <w:r>
        <w:rPr>
          <w:rFonts w:ascii="Times New Roman" w:hAnsi="Times New Roman" w:cs="Times New Roman" w:eastAsia="Times New Roman" w:hint="default"/>
        </w:rPr>
        <w:t>&lt;2015</w:t>
      </w:r>
      <w:r>
        <w:rPr>
          <w:rFonts w:ascii="Times New Roman" w:hAnsi="Times New Roman" w:cs="Times New Roman" w:eastAsia="Times New Roman" w:hint="default"/>
          <w:spacing w:val="8"/>
        </w:rPr>
        <w:t> </w:t>
      </w:r>
      <w:r>
        <w:rPr>
          <w:spacing w:val="-6"/>
        </w:rPr>
        <w:t>年第三季度内部审计工作报告</w:t>
      </w:r>
      <w:r>
        <w:rPr>
          <w:rFonts w:ascii="Times New Roman" w:hAnsi="Times New Roman" w:cs="Times New Roman" w:eastAsia="Times New Roman" w:hint="default"/>
          <w:spacing w:val="-6"/>
        </w:rPr>
        <w:t>&gt;</w:t>
      </w:r>
      <w:r>
        <w:rPr>
          <w:spacing w:val="-6"/>
        </w:rPr>
        <w:t>的议案》。</w:t>
      </w:r>
    </w:p>
    <w:p>
      <w:pPr>
        <w:pStyle w:val="BodyText"/>
        <w:spacing w:line="386" w:lineRule="auto" w:before="74"/>
        <w:ind w:right="1125" w:firstLine="420"/>
        <w:jc w:val="left"/>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spacing w:val="-3"/>
        </w:rPr>
        <w:t>日，审计委员会召开</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年第八次会议，审议通过了《关于核销部分应收账款 </w:t>
      </w:r>
      <w:r>
        <w:rPr>
          <w:spacing w:val="-3"/>
        </w:rPr>
        <w:t>和其他应收款的议案》和《关于公司及下属子公司使用自有资金购买理财产品的议案》。</w:t>
      </w:r>
    </w:p>
    <w:p>
      <w:pPr>
        <w:pStyle w:val="BodyText"/>
        <w:spacing w:line="240" w:lineRule="auto" w:before="104"/>
        <w:ind w:left="573" w:right="1135"/>
        <w:jc w:val="left"/>
      </w:pPr>
      <w:r>
        <w:rPr>
          <w:rFonts w:ascii="Times New Roman" w:hAnsi="Times New Roman" w:cs="Times New Roman" w:eastAsia="Times New Roman" w:hint="default"/>
        </w:rPr>
        <w:t>2</w:t>
      </w:r>
      <w:r>
        <w:rPr/>
        <w:t>、审计委员会在公司</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年度财务报告编制过程中，主要履行了以下工作职责：</w:t>
      </w:r>
    </w:p>
    <w:p>
      <w:pPr>
        <w:spacing w:line="240" w:lineRule="auto" w:before="9"/>
        <w:rPr>
          <w:rFonts w:ascii="宋体" w:hAnsi="宋体" w:cs="宋体" w:eastAsia="宋体" w:hint="default"/>
          <w:sz w:val="16"/>
          <w:szCs w:val="16"/>
        </w:rPr>
      </w:pPr>
    </w:p>
    <w:p>
      <w:pPr>
        <w:pStyle w:val="BodyText"/>
        <w:spacing w:line="417" w:lineRule="auto"/>
        <w:ind w:left="574" w:right="0"/>
        <w:jc w:val="left"/>
      </w:pPr>
      <w:r>
        <w:rPr/>
        <w:t>（</w:t>
      </w:r>
      <w:r>
        <w:rPr>
          <w:rFonts w:ascii="Times New Roman" w:hAnsi="Times New Roman" w:cs="Times New Roman" w:eastAsia="Times New Roman" w:hint="default"/>
        </w:rPr>
        <w:t>1</w:t>
      </w:r>
      <w:r>
        <w:rPr/>
        <w:t>）与负责公司的年审注册会计师协商确定了</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年度财务报告审计工作的时间安排； </w:t>
      </w:r>
      <w:r>
        <w:rPr>
          <w:spacing w:val="-1"/>
        </w:rPr>
        <w:t>会计师进场前，审计委员会提前对年审进行全面部署，与会计师事务所年审注册会计师沟通确定了公</w:t>
      </w:r>
    </w:p>
    <w:p>
      <w:pPr>
        <w:pStyle w:val="BodyText"/>
        <w:spacing w:line="240" w:lineRule="auto" w:before="39"/>
        <w:ind w:left="154" w:right="1135"/>
        <w:jc w:val="left"/>
      </w:pPr>
      <w:r>
        <w:rPr/>
        <w:t>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年度审计工作的时间安排等事宜。</w:t>
      </w:r>
    </w:p>
    <w:p>
      <w:pPr>
        <w:spacing w:line="240" w:lineRule="auto" w:before="6"/>
        <w:rPr>
          <w:rFonts w:ascii="宋体" w:hAnsi="宋体" w:cs="宋体" w:eastAsia="宋体" w:hint="default"/>
          <w:sz w:val="16"/>
          <w:szCs w:val="16"/>
        </w:rPr>
      </w:pPr>
    </w:p>
    <w:p>
      <w:pPr>
        <w:pStyle w:val="BodyText"/>
        <w:spacing w:line="240" w:lineRule="auto"/>
        <w:ind w:left="574" w:right="0"/>
        <w:jc w:val="left"/>
      </w:pPr>
      <w:r>
        <w:rPr/>
        <w:t>（</w:t>
      </w:r>
      <w:r>
        <w:rPr>
          <w:rFonts w:ascii="Times New Roman" w:hAnsi="Times New Roman" w:cs="Times New Roman" w:eastAsia="Times New Roman" w:hint="default"/>
        </w:rPr>
        <w:t>2</w:t>
      </w:r>
      <w:r>
        <w:rPr/>
        <w:t>）在年审注册会计师进场前，认真审阅了公司初步编制的</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年度财务会计报表，并形成书面审</w:t>
      </w:r>
    </w:p>
    <w:p>
      <w:pPr>
        <w:pStyle w:val="BodyText"/>
        <w:spacing w:line="240" w:lineRule="auto" w:before="177"/>
        <w:ind w:left="154" w:right="0"/>
        <w:jc w:val="left"/>
      </w:pPr>
      <w:r>
        <w:rPr/>
        <w:t>阅意见</w:t>
      </w:r>
      <w:r>
        <w:rPr>
          <w:spacing w:val="-7"/>
        </w:rPr>
        <w:t>；</w:t>
      </w:r>
      <w:r>
        <w:rPr/>
        <w:t>在年审注册会计师进场前</w:t>
      </w:r>
      <w:r>
        <w:rPr>
          <w:spacing w:val="-7"/>
        </w:rPr>
        <w:t>，</w:t>
      </w:r>
      <w:r>
        <w:rPr/>
        <w:t>审计委员会审阅了公司财务部编制的</w:t>
      </w:r>
      <w:r>
        <w:rPr>
          <w:spacing w:val="-52"/>
        </w:rPr>
        <w:t> </w:t>
      </w:r>
      <w:r>
        <w:rPr>
          <w:rFonts w:ascii="Times New Roman" w:hAnsi="Times New Roman" w:cs="Times New Roman" w:eastAsia="Times New Roman" w:hint="default"/>
        </w:rPr>
        <w:t>2015 </w:t>
      </w:r>
      <w:r>
        <w:rPr>
          <w:spacing w:val="-2"/>
        </w:rPr>
        <w:t>年</w:t>
      </w:r>
      <w:r>
        <w:rPr/>
        <w:t>度财务报</w:t>
      </w:r>
      <w:r>
        <w:rPr>
          <w:spacing w:val="-7"/>
        </w:rPr>
        <w:t>告</w:t>
      </w:r>
      <w:r>
        <w:rPr/>
        <w:t>（初稿</w:t>
      </w:r>
      <w:r>
        <w:rPr>
          <w:spacing w:val="-105"/>
        </w:rPr>
        <w:t>）</w:t>
      </w:r>
      <w:r>
        <w:rPr>
          <w:spacing w:val="-5"/>
        </w:rPr>
        <w:t>，</w:t>
      </w:r>
      <w:r>
        <w:rPr/>
        <w:t>对</w:t>
      </w:r>
    </w:p>
    <w:p>
      <w:pPr>
        <w:pStyle w:val="BodyText"/>
        <w:spacing w:line="240" w:lineRule="auto" w:before="177"/>
        <w:ind w:left="154" w:right="1135"/>
        <w:jc w:val="left"/>
      </w:pPr>
      <w:r>
        <w:rPr/>
        <w:t>公司编制的未经审计的财务会计报表了发表首次书面意见。审计委员会认为，公司编制的</w:t>
      </w:r>
      <w:r>
        <w:rPr>
          <w:spacing w:val="-51"/>
        </w:rPr>
        <w:t> </w:t>
      </w:r>
      <w:r>
        <w:rPr>
          <w:rFonts w:ascii="Times New Roman" w:hAnsi="Times New Roman" w:cs="Times New Roman" w:eastAsia="Times New Roman" w:hint="default"/>
        </w:rPr>
        <w:t>2015 </w:t>
      </w:r>
      <w:r>
        <w:rPr/>
        <w:t>年度财务</w:t>
      </w:r>
    </w:p>
    <w:p>
      <w:pPr>
        <w:pStyle w:val="BodyText"/>
        <w:spacing w:line="240" w:lineRule="auto" w:before="177"/>
        <w:ind w:left="154" w:right="1135"/>
        <w:jc w:val="left"/>
      </w:pPr>
      <w:r>
        <w:rPr/>
        <w:t>报告（初稿）有关数据基本反映了公司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年度的资产负债情况和经营业绩，财务会计报表信息客观、</w:t>
      </w:r>
    </w:p>
    <w:p>
      <w:pPr>
        <w:pStyle w:val="BodyText"/>
        <w:spacing w:line="240" w:lineRule="auto" w:before="178"/>
        <w:ind w:left="154" w:right="1135"/>
        <w:jc w:val="left"/>
      </w:pPr>
      <w:r>
        <w:rPr/>
        <w:t>全面、真实，同意以此财务会计报表为基础开展</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年度的财务审计工作。</w:t>
      </w:r>
    </w:p>
    <w:p>
      <w:pPr>
        <w:spacing w:line="240" w:lineRule="auto" w:before="8"/>
        <w:rPr>
          <w:rFonts w:ascii="宋体" w:hAnsi="宋体" w:cs="宋体" w:eastAsia="宋体" w:hint="default"/>
          <w:sz w:val="16"/>
          <w:szCs w:val="16"/>
        </w:rPr>
      </w:pPr>
    </w:p>
    <w:p>
      <w:pPr>
        <w:pStyle w:val="BodyText"/>
        <w:spacing w:line="388" w:lineRule="auto"/>
        <w:ind w:left="154" w:right="1197" w:firstLine="420"/>
        <w:jc w:val="left"/>
      </w:pPr>
      <w:r>
        <w:rPr/>
        <w:t>（</w:t>
      </w:r>
      <w:r>
        <w:rPr>
          <w:rFonts w:ascii="Times New Roman" w:hAnsi="Times New Roman" w:cs="Times New Roman" w:eastAsia="Times New Roman" w:hint="default"/>
        </w:rPr>
        <w:t>3</w:t>
      </w:r>
      <w:r>
        <w:rPr/>
        <w:t>）年审注册会计师进场后，加强与年审注册会计师的沟通，在年审注册会计师出具初步审计意见 后再一次审阅公司财务报表，并形成书面意见；</w:t>
      </w:r>
    </w:p>
    <w:p>
      <w:pPr>
        <w:pStyle w:val="BodyText"/>
        <w:spacing w:line="240" w:lineRule="auto" w:before="101"/>
        <w:ind w:left="574" w:right="0"/>
        <w:jc w:val="left"/>
      </w:pPr>
      <w:r>
        <w:rPr/>
        <w:t>在年审注册会计师完成现场审计，并出具初步审计意见后，审计委员会再次审阅了财务会计报告并发</w:t>
      </w:r>
    </w:p>
    <w:p>
      <w:pPr>
        <w:spacing w:after="0" w:line="240" w:lineRule="auto"/>
        <w:jc w:val="left"/>
        <w:sectPr>
          <w:pgSz w:w="11910" w:h="16840"/>
          <w:pgMar w:header="0" w:footer="1226" w:top="1100" w:bottom="1420" w:left="980" w:right="0"/>
        </w:sectPr>
      </w:pPr>
    </w:p>
    <w:p>
      <w:pPr>
        <w:spacing w:line="240" w:lineRule="auto" w:before="8"/>
        <w:rPr>
          <w:rFonts w:ascii="宋体" w:hAnsi="宋体" w:cs="宋体" w:eastAsia="宋体" w:hint="default"/>
          <w:sz w:val="26"/>
          <w:szCs w:val="26"/>
        </w:rPr>
      </w:pPr>
    </w:p>
    <w:p>
      <w:pPr>
        <w:pStyle w:val="BodyText"/>
        <w:spacing w:line="398" w:lineRule="auto" w:before="35"/>
        <w:ind w:right="1214"/>
        <w:jc w:val="both"/>
      </w:pPr>
      <w:r>
        <w:rPr/>
        <w:t>表第二次书面意见。审计委员会认为，初步审计的</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年度财务报告已经按照新企业会计准则及公司有 </w:t>
      </w:r>
      <w:r>
        <w:rPr>
          <w:spacing w:val="-3"/>
        </w:rPr>
        <w:t>关财务制度进行编制，财务报告的编制基础、依据、原则和方法符合相关法律、法规和《公司章程》，所</w:t>
      </w:r>
      <w:r>
        <w:rPr>
          <w:spacing w:val="-72"/>
        </w:rPr>
        <w:t> </w:t>
      </w:r>
      <w:r>
        <w:rPr>
          <w:spacing w:val="-72"/>
        </w:rPr>
      </w:r>
      <w:r>
        <w:rPr/>
        <w:t>包含的信息在重大方面公允地反映了公司截至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8"/>
        </w:rPr>
        <w:t> </w:t>
      </w:r>
      <w:r>
        <w:rPr/>
        <w:t>日的财务状况以和经营成果及现金流</w:t>
      </w:r>
    </w:p>
    <w:p>
      <w:pPr>
        <w:pStyle w:val="BodyText"/>
        <w:spacing w:line="240" w:lineRule="auto" w:before="24"/>
        <w:ind w:right="0"/>
        <w:jc w:val="both"/>
      </w:pPr>
      <w:r>
        <w:rPr/>
        <w:t>量，并同意以此数据为基础编制</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年年度报告及摘要，并提交公司董事会进行审议。同时，要求会计</w:t>
      </w:r>
    </w:p>
    <w:p>
      <w:pPr>
        <w:pStyle w:val="BodyText"/>
        <w:spacing w:line="240" w:lineRule="auto" w:before="178"/>
        <w:ind w:right="0"/>
        <w:jc w:val="both"/>
      </w:pPr>
      <w:r>
        <w:rPr/>
        <w:t>师事务所按照计划尽快完成审计工作，以保证公司如期披露 </w:t>
      </w:r>
      <w:r>
        <w:rPr>
          <w:rFonts w:ascii="Times New Roman" w:hAnsi="Times New Roman" w:cs="Times New Roman" w:eastAsia="Times New Roman" w:hint="default"/>
        </w:rPr>
        <w:t>2015</w:t>
      </w:r>
      <w:r>
        <w:rPr>
          <w:rFonts w:ascii="Times New Roman" w:hAnsi="Times New Roman" w:cs="Times New Roman" w:eastAsia="Times New Roman" w:hint="default"/>
          <w:spacing w:val="51"/>
        </w:rPr>
        <w:t> </w:t>
      </w:r>
      <w:r>
        <w:rPr/>
        <w:t>年年度报告及摘要。</w:t>
      </w:r>
    </w:p>
    <w:p>
      <w:pPr>
        <w:spacing w:line="240" w:lineRule="auto" w:before="6"/>
        <w:rPr>
          <w:rFonts w:ascii="宋体" w:hAnsi="宋体" w:cs="宋体" w:eastAsia="宋体" w:hint="default"/>
          <w:sz w:val="16"/>
          <w:szCs w:val="16"/>
        </w:rPr>
      </w:pPr>
    </w:p>
    <w:p>
      <w:pPr>
        <w:pStyle w:val="BodyText"/>
        <w:spacing w:line="398" w:lineRule="auto"/>
        <w:ind w:right="1127" w:firstLine="4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）在审计过程中注重与年审注册会计师的沟通，积极督促会计师事务所在约定时限内提交审计报 </w:t>
      </w:r>
      <w:r>
        <w:rPr>
          <w:spacing w:val="-1"/>
        </w:rPr>
        <w:t>告；在审计团队进场以后，审计委员会始终保持与财务部门负责人、内控内审部负责人、主要项目负责人</w:t>
      </w:r>
      <w:r>
        <w:rPr>
          <w:spacing w:val="-86"/>
        </w:rPr>
        <w:t> </w:t>
      </w:r>
      <w:r>
        <w:rPr>
          <w:spacing w:val="-86"/>
        </w:rPr>
      </w:r>
      <w:r>
        <w:rPr/>
        <w:t>员的沟通，密切关注审计工作进展情况。在审计过程中，审计委员会分别于</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p>
    <w:p>
      <w:pPr>
        <w:pStyle w:val="BodyText"/>
        <w:spacing w:line="386" w:lineRule="auto" w:before="24"/>
        <w:ind w:right="1214"/>
        <w:jc w:val="both"/>
      </w:pPr>
      <w:r>
        <w:rPr/>
        <w:t>月</w:t>
      </w:r>
      <w:r>
        <w:rPr>
          <w:spacing w:val="-52"/>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 </w:t>
      </w:r>
      <w:r>
        <w:rPr>
          <w:spacing w:val="-3"/>
        </w:rPr>
        <w:t>日先后二次发出《督促函》，要求会计师事务所按照审计时间完成审计工作，确保公司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年度报 告及相关文件按时披露。</w:t>
      </w:r>
    </w:p>
    <w:p>
      <w:pPr>
        <w:pStyle w:val="BodyText"/>
        <w:spacing w:line="240" w:lineRule="auto" w:before="104"/>
        <w:ind w:left="573" w:right="0"/>
        <w:jc w:val="left"/>
      </w:pPr>
      <w:r>
        <w:rPr/>
        <w:t>（</w:t>
      </w:r>
      <w:r>
        <w:rPr>
          <w:rFonts w:ascii="Times New Roman" w:hAnsi="Times New Roman" w:cs="Times New Roman" w:eastAsia="Times New Roman" w:hint="default"/>
        </w:rPr>
        <w:t>5</w:t>
      </w:r>
      <w:r>
        <w:rPr/>
        <w:t>）年审注册会计师出具审计报告后，审计委员会召开会议对公司</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年度财务报告、董事会审计</w:t>
      </w:r>
    </w:p>
    <w:p>
      <w:pPr>
        <w:pStyle w:val="BodyText"/>
        <w:spacing w:line="386" w:lineRule="auto" w:before="177"/>
        <w:ind w:right="1132"/>
        <w:jc w:val="both"/>
      </w:pPr>
      <w:r>
        <w:rPr/>
        <w:t>委员会履职情况报告暨关于会计师事务所</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年度审计工作的总结报告，以及聘请公司</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年度审计机 构等事项进行了审议，形成决议后提交董事会进行审核。</w:t>
      </w:r>
    </w:p>
    <w:p>
      <w:pPr>
        <w:pStyle w:val="BodyText"/>
        <w:spacing w:line="240" w:lineRule="auto" w:before="104"/>
        <w:ind w:left="573" w:right="1135"/>
        <w:jc w:val="left"/>
      </w:pPr>
      <w:r>
        <w:rPr>
          <w:rFonts w:ascii="Times New Roman" w:hAnsi="Times New Roman" w:cs="Times New Roman" w:eastAsia="Times New Roman" w:hint="default"/>
        </w:rPr>
        <w:t>3</w:t>
      </w:r>
      <w:r>
        <w:rPr/>
        <w:t>、审计委员会关于年审注册会计师从事</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年度审计工作的总结报告</w:t>
      </w:r>
    </w:p>
    <w:p>
      <w:pPr>
        <w:spacing w:line="240" w:lineRule="auto" w:before="7"/>
        <w:rPr>
          <w:rFonts w:ascii="宋体" w:hAnsi="宋体" w:cs="宋体" w:eastAsia="宋体" w:hint="default"/>
          <w:sz w:val="16"/>
          <w:szCs w:val="16"/>
        </w:rPr>
      </w:pPr>
    </w:p>
    <w:p>
      <w:pPr>
        <w:pStyle w:val="BodyText"/>
        <w:spacing w:line="393" w:lineRule="auto"/>
        <w:ind w:right="1128" w:firstLine="420"/>
        <w:jc w:val="left"/>
      </w:pPr>
      <w:r>
        <w:rPr/>
        <w:t>审计委员会对</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年度会计师事务所的审计工作进行了总结报告，认为年审注册会计师已按照中国 </w:t>
      </w:r>
      <w:r>
        <w:rPr>
          <w:spacing w:val="-1"/>
        </w:rPr>
        <w:t>注册会计师审计准则的规定执行了审计工作，审计时间充分，审计人员配置合理、执业能力胜任，出具的</w:t>
      </w:r>
      <w:r>
        <w:rPr>
          <w:spacing w:val="-86"/>
        </w:rPr>
        <w:t> </w:t>
      </w:r>
      <w:r>
        <w:rPr>
          <w:spacing w:val="-86"/>
        </w:rPr>
      </w:r>
      <w:r>
        <w:rPr/>
        <w:t>审计报告从重大方面公允地反映了公司</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日的财务状况以及</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年度的经营成果和现金流 量，出具的审计结论符合公司的实际情况。</w:t>
      </w:r>
    </w:p>
    <w:p>
      <w:pPr>
        <w:pStyle w:val="BodyText"/>
        <w:spacing w:line="240" w:lineRule="auto" w:before="99"/>
        <w:ind w:left="573" w:right="1135"/>
        <w:jc w:val="left"/>
      </w:pPr>
      <w:r>
        <w:rPr/>
        <w:t>（二）提名委员会履职情况</w:t>
      </w:r>
    </w:p>
    <w:p>
      <w:pPr>
        <w:spacing w:line="240" w:lineRule="auto" w:before="10"/>
        <w:rPr>
          <w:rFonts w:ascii="宋体" w:hAnsi="宋体" w:cs="宋体" w:eastAsia="宋体" w:hint="default"/>
          <w:sz w:val="17"/>
          <w:szCs w:val="17"/>
        </w:rPr>
      </w:pPr>
    </w:p>
    <w:p>
      <w:pPr>
        <w:pStyle w:val="BodyText"/>
        <w:spacing w:line="240" w:lineRule="auto"/>
        <w:ind w:left="573" w:right="1135"/>
        <w:jc w:val="left"/>
      </w:pPr>
      <w:r>
        <w:rPr/>
        <w:t>报告期内，提名委员会共召开</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次会议，主要工作情况如下：</w:t>
      </w:r>
    </w:p>
    <w:p>
      <w:pPr>
        <w:spacing w:line="240" w:lineRule="auto" w:before="6"/>
        <w:rPr>
          <w:rFonts w:ascii="宋体" w:hAnsi="宋体" w:cs="宋体" w:eastAsia="宋体" w:hint="default"/>
          <w:sz w:val="16"/>
          <w:szCs w:val="16"/>
        </w:rPr>
      </w:pPr>
    </w:p>
    <w:p>
      <w:pPr>
        <w:pStyle w:val="BodyText"/>
        <w:spacing w:line="386" w:lineRule="auto"/>
        <w:ind w:left="154" w:right="1154"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日，提名委员会召开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年第一次会议，审议通过了《关于提名朱海先生、杨晓 </w:t>
      </w:r>
      <w:r>
        <w:rPr>
          <w:spacing w:val="-3"/>
        </w:rPr>
        <w:t>樱女士为公司第六届董事会独立董事候选人的议案》和《关于提名张丹丹女士为公司副总裁的议案》。</w:t>
      </w:r>
    </w:p>
    <w:p>
      <w:pPr>
        <w:pStyle w:val="BodyText"/>
        <w:spacing w:line="386" w:lineRule="auto" w:before="104"/>
        <w:ind w:left="154" w:right="1154"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日，提名委员会召开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年第二次会议，审议通过了《关于提名高源先生为公司 </w:t>
      </w:r>
      <w:r>
        <w:rPr>
          <w:spacing w:val="-3"/>
        </w:rPr>
        <w:t>第六届董事会董事候选人的议案》和《关于提名王燕女士为公司董事会秘书的议案》。</w:t>
      </w:r>
    </w:p>
    <w:p>
      <w:pPr>
        <w:pStyle w:val="BodyText"/>
        <w:spacing w:line="386" w:lineRule="auto" w:before="103"/>
        <w:ind w:left="154" w:right="1127" w:firstLine="42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spacing w:val="-3"/>
        </w:rPr>
        <w:t>日，提名委员会召开</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年第三次会议，审议通过了《关于提名第七届董事会候 </w:t>
      </w:r>
      <w:r>
        <w:rPr>
          <w:spacing w:val="-16"/>
        </w:rPr>
        <w:t>选人的议案》。</w:t>
      </w:r>
    </w:p>
    <w:p>
      <w:pPr>
        <w:pStyle w:val="BodyText"/>
        <w:spacing w:line="240" w:lineRule="auto" w:before="105"/>
        <w:ind w:left="574" w:right="1135"/>
        <w:jc w:val="left"/>
      </w:pPr>
      <w:r>
        <w:rPr/>
        <w:t>（三）战略委员会履职情况</w:t>
      </w:r>
    </w:p>
    <w:p>
      <w:pPr>
        <w:spacing w:line="240" w:lineRule="auto" w:before="12"/>
        <w:rPr>
          <w:rFonts w:ascii="宋体" w:hAnsi="宋体" w:cs="宋体" w:eastAsia="宋体" w:hint="default"/>
          <w:sz w:val="17"/>
          <w:szCs w:val="17"/>
        </w:rPr>
      </w:pPr>
    </w:p>
    <w:p>
      <w:pPr>
        <w:pStyle w:val="BodyText"/>
        <w:spacing w:line="240" w:lineRule="auto"/>
        <w:ind w:left="574" w:right="1135"/>
        <w:jc w:val="left"/>
      </w:pPr>
      <w:r>
        <w:rPr/>
        <w:t>报告期内，战略委员会共召开</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次会议，主要情况如下：</w:t>
      </w:r>
    </w:p>
    <w:p>
      <w:pPr>
        <w:spacing w:after="0" w:line="240" w:lineRule="auto"/>
        <w:jc w:val="left"/>
        <w:sectPr>
          <w:pgSz w:w="11910" w:h="16840"/>
          <w:pgMar w:header="0" w:footer="1226" w:top="1100" w:bottom="1420" w:left="980" w:right="0"/>
        </w:sectPr>
      </w:pPr>
    </w:p>
    <w:p>
      <w:pPr>
        <w:spacing w:line="240" w:lineRule="auto" w:before="8"/>
        <w:rPr>
          <w:rFonts w:ascii="宋体" w:hAnsi="宋体" w:cs="宋体" w:eastAsia="宋体" w:hint="default"/>
          <w:sz w:val="26"/>
          <w:szCs w:val="26"/>
        </w:rPr>
      </w:pPr>
    </w:p>
    <w:p>
      <w:pPr>
        <w:pStyle w:val="BodyText"/>
        <w:spacing w:line="386" w:lineRule="auto" w:before="35"/>
        <w:ind w:right="1216"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日，战略委员会召开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年度第一次会议，审议通过了《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年度发展战略和实施 </w:t>
      </w:r>
      <w:r>
        <w:rPr>
          <w:spacing w:val="-27"/>
        </w:rPr>
        <w:t>计划》。</w:t>
      </w:r>
    </w:p>
    <w:p>
      <w:pPr>
        <w:pStyle w:val="BodyText"/>
        <w:spacing w:line="444" w:lineRule="auto" w:before="104"/>
        <w:ind w:left="573" w:right="4034"/>
        <w:jc w:val="left"/>
      </w:pPr>
      <w:r>
        <w:rPr/>
        <w:t>（四）薪酬与考核委员会履职情况 报告期内，薪酬与考核委员会共召开</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次会议，主要工作情况如下：</w:t>
      </w:r>
    </w:p>
    <w:p>
      <w:pPr>
        <w:pStyle w:val="BodyText"/>
        <w:spacing w:line="240" w:lineRule="auto" w:before="18"/>
        <w:ind w:left="573" w:right="113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日，薪酬与考核委员会召开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年第一次会议，审议通过了《关于公司董事、监</w:t>
      </w:r>
    </w:p>
    <w:p>
      <w:pPr>
        <w:pStyle w:val="BodyText"/>
        <w:spacing w:line="386" w:lineRule="auto" w:before="177"/>
        <w:ind w:left="154" w:right="1206"/>
        <w:jc w:val="left"/>
      </w:pPr>
      <w:r>
        <w:rPr/>
        <w:t>事及高管人员</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spacing w:val="-5"/>
        </w:rPr>
        <w:t>年度薪酬情况的议案》，对董事、监事及高管人员</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spacing w:val="-1"/>
        </w:rPr>
        <w:t>年度薪酬进行了审核，并发表</w:t>
      </w:r>
      <w:r>
        <w:rPr/>
        <w:t> 了如下审核意见：</w:t>
      </w:r>
    </w:p>
    <w:p>
      <w:pPr>
        <w:pStyle w:val="BodyText"/>
        <w:spacing w:line="398" w:lineRule="auto" w:before="103"/>
        <w:ind w:left="154" w:right="1133"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年度，公司董事、监事及高管人员能够恪尽职守，忠实勤勉履行职责，公司董事、监事、 </w:t>
      </w:r>
      <w:r>
        <w:rPr>
          <w:spacing w:val="-1"/>
        </w:rPr>
        <w:t>高级管理人员津贴（薪酬）的水平、考核及发放情况符合公司薪酬管理制度，薪酬的决策程序符合相关法</w:t>
      </w:r>
      <w:r>
        <w:rPr>
          <w:spacing w:val="-86"/>
        </w:rPr>
        <w:t> </w:t>
      </w:r>
      <w:r>
        <w:rPr>
          <w:spacing w:val="-86"/>
        </w:rPr>
      </w:r>
      <w:r>
        <w:rPr/>
        <w:t>律、法规等有关规定。</w:t>
      </w:r>
    </w:p>
    <w:p>
      <w:pPr>
        <w:pStyle w:val="BodyText"/>
        <w:spacing w:line="240" w:lineRule="auto" w:before="95"/>
        <w:ind w:left="574" w:right="1135"/>
        <w:jc w:val="left"/>
      </w:pPr>
      <w:r>
        <w:rPr/>
        <w:t>（</w:t>
      </w:r>
      <w:r>
        <w:rPr>
          <w:rFonts w:ascii="Times New Roman" w:hAnsi="Times New Roman" w:cs="Times New Roman" w:eastAsia="Times New Roman" w:hint="default"/>
        </w:rPr>
        <w:t>2</w:t>
      </w:r>
      <w:r>
        <w:rPr/>
        <w:t>）公司没有实施股权激励。</w:t>
      </w:r>
    </w:p>
    <w:p>
      <w:pPr>
        <w:spacing w:line="240" w:lineRule="auto" w:before="6"/>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日，薪酬与考核委员会召开</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年第二次会议，审议通过了《关于发放公司总裁</w:t>
      </w:r>
    </w:p>
    <w:p>
      <w:pPr>
        <w:pStyle w:val="BodyText"/>
        <w:spacing w:line="240" w:lineRule="auto" w:before="178"/>
        <w:ind w:left="154" w:right="1135"/>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w:t>
      </w:r>
      <w:r>
        <w:rPr>
          <w:spacing w:val="-2"/>
        </w:rPr>
        <w:t>浮</w:t>
      </w:r>
      <w:r>
        <w:rPr/>
        <w:t>动年薪与超额奖金的议案</w:t>
      </w:r>
      <w:r>
        <w:rPr>
          <w:spacing w:val="-105"/>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2"/>
        <w:ind w:left="154" w:right="1135"/>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420" w:lineRule="auto"/>
        <w:ind w:left="154" w:right="6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监事会对报告期内的监督事项无异议。</w:t>
      </w:r>
    </w:p>
    <w:p>
      <w:pPr>
        <w:spacing w:line="240" w:lineRule="auto" w:before="11"/>
        <w:rPr>
          <w:rFonts w:ascii="宋体" w:hAnsi="宋体" w:cs="宋体" w:eastAsia="宋体" w:hint="default"/>
          <w:sz w:val="17"/>
          <w:szCs w:val="17"/>
        </w:rPr>
      </w:pPr>
    </w:p>
    <w:p>
      <w:pPr>
        <w:pStyle w:val="Heading2"/>
        <w:spacing w:line="240" w:lineRule="auto"/>
        <w:ind w:left="154" w:right="1135"/>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1133" w:firstLine="420"/>
        <w:jc w:val="both"/>
      </w:pPr>
      <w:r>
        <w:rPr>
          <w:spacing w:val="-6"/>
        </w:rPr>
        <w:t>报告期内，公司高级管理人员严格按照《公司法》、《公司章程》及有关法律法规认真履行职责，积极</w:t>
      </w:r>
      <w:r>
        <w:rPr/>
        <w:t> 落实公司股东大会和董事会各项决议。公司高级管理人员依据其在公司的任职岗位领取相应薪酬</w:t>
      </w:r>
      <w:r>
        <w:rPr>
          <w:rFonts w:ascii="Times New Roman" w:hAnsi="Times New Roman" w:cs="Times New Roman" w:eastAsia="Times New Roman" w:hint="default"/>
        </w:rPr>
        <w:t>, </w:t>
      </w:r>
      <w:r>
        <w:rPr/>
        <w:t>并经董 事会薪酬与考核委员会考评。报告期内，公司未实施股权激励计划。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2"/>
        <w:spacing w:line="240" w:lineRule="auto"/>
        <w:ind w:right="1135"/>
        <w:jc w:val="left"/>
        <w:rPr>
          <w:b w:val="0"/>
          <w:bCs w:val="0"/>
        </w:rPr>
      </w:pPr>
      <w:bookmarkStart w:name="九、内部控制情况" w:id="148"/>
      <w:bookmarkEnd w:id="148"/>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0" w:footer="1226" w:top="1100" w:bottom="1420" w:left="980" w:right="0"/>
        </w:sectPr>
      </w:pPr>
    </w:p>
    <w:p>
      <w:pPr>
        <w:spacing w:line="240" w:lineRule="auto" w:before="9"/>
        <w:rPr>
          <w:rFonts w:ascii="宋体" w:hAnsi="宋体" w:cs="宋体" w:eastAsia="宋体" w:hint="default"/>
          <w:sz w:val="20"/>
          <w:szCs w:val="20"/>
        </w:rPr>
      </w:pPr>
      <w:r>
        <w:rPr/>
        <w:pict>
          <v:group style="position:absolute;margin-left:319.239990pt;margin-top:395.599976pt;width:215.2pt;height:39.050pt;mso-position-horizontal-relative:page;mso-position-vertical-relative:page;z-index:-1051072" coordorigin="6385,7912" coordsize="4304,781">
            <v:shape style="position:absolute;left:6385;top:7912;width:4304;height:781" coordorigin="6385,7912" coordsize="4304,781" path="m6385,8692l10688,8692,10688,7912,6385,7912,6385,8692xe" filled="true" fillcolor="#ffffff" stroked="false">
              <v:path arrowok="t"/>
              <v:fill type="solid"/>
            </v:shape>
            <w10:wrap type="none"/>
          </v:group>
        </w:pict>
      </w:r>
      <w:r>
        <w:rPr/>
        <w:pict>
          <v:group style="position:absolute;margin-left:119.480003pt;margin-top:477.099976pt;width:171.4pt;height:279.650pt;mso-position-horizontal-relative:page;mso-position-vertical-relative:page;z-index:-1051048" coordorigin="2390,9542" coordsize="3428,5593">
            <v:group style="position:absolute;left:2399;top:9552;width:1139;height:2" coordorigin="2399,9552" coordsize="1139,2">
              <v:shape style="position:absolute;left:2399;top:9552;width:1139;height:2" coordorigin="2399,9552" coordsize="1139,0" path="m2399,9552l3538,9552e" filled="false" stroked="true" strokeweight=".48pt" strokecolor="#000000">
                <v:path arrowok="t"/>
              </v:shape>
            </v:group>
            <v:group style="position:absolute;left:3548;top:9552;width:2260;height:2" coordorigin="3548,9552" coordsize="2260,2">
              <v:shape style="position:absolute;left:3548;top:9552;width:2260;height:2" coordorigin="3548,9552" coordsize="2260,0" path="m3548,9552l5808,9552e" filled="false" stroked="true" strokeweight=".48pt" strokecolor="#000000">
                <v:path arrowok="t"/>
              </v:shape>
            </v:group>
            <v:group style="position:absolute;left:2399;top:10236;width:1139;height:2" coordorigin="2399,10236" coordsize="1139,2">
              <v:shape style="position:absolute;left:2399;top:10236;width:1139;height:2" coordorigin="2399,10236" coordsize="1139,0" path="m2399,10236l3538,10236e" filled="false" stroked="true" strokeweight=".48pt" strokecolor="#000000">
                <v:path arrowok="t"/>
              </v:shape>
            </v:group>
            <v:group style="position:absolute;left:3548;top:10236;width:2260;height:2" coordorigin="3548,10236" coordsize="2260,2">
              <v:shape style="position:absolute;left:3548;top:10236;width:2260;height:2" coordorigin="3548,10236" coordsize="2260,0" path="m3548,10236l5808,10236e" filled="false" stroked="true" strokeweight=".48pt" strokecolor="#000000">
                <v:path arrowok="t"/>
              </v:shape>
            </v:group>
            <v:group style="position:absolute;left:2399;top:11005;width:1139;height:2" coordorigin="2399,11005" coordsize="1139,2">
              <v:shape style="position:absolute;left:2399;top:11005;width:1139;height:2" coordorigin="2399,11005" coordsize="1139,0" path="m2399,11005l3538,11005e" filled="false" stroked="true" strokeweight=".48pt" strokecolor="#000000">
                <v:path arrowok="t"/>
              </v:shape>
            </v:group>
            <v:group style="position:absolute;left:3548;top:11005;width:2260;height:2" coordorigin="3548,11005" coordsize="2260,2">
              <v:shape style="position:absolute;left:3548;top:11005;width:2260;height:2" coordorigin="3548,11005" coordsize="2260,0" path="m3548,11005l5808,11005e" filled="false" stroked="true" strokeweight=".48pt" strokecolor="#000000">
                <v:path arrowok="t"/>
              </v:shape>
            </v:group>
            <v:group style="position:absolute;left:2399;top:11838;width:1139;height:2" coordorigin="2399,11838" coordsize="1139,2">
              <v:shape style="position:absolute;left:2399;top:11838;width:1139;height:2" coordorigin="2399,11838" coordsize="1139,0" path="m2399,11838l3538,11838e" filled="false" stroked="true" strokeweight=".48pt" strokecolor="#000000">
                <v:path arrowok="t"/>
              </v:shape>
            </v:group>
            <v:group style="position:absolute;left:3548;top:11838;width:2260;height:2" coordorigin="3548,11838" coordsize="2260,2">
              <v:shape style="position:absolute;left:3548;top:11838;width:2260;height:2" coordorigin="3548,11838" coordsize="2260,0" path="m3548,11838l5808,11838e" filled="false" stroked="true" strokeweight=".48pt" strokecolor="#000000">
                <v:path arrowok="t"/>
              </v:shape>
            </v:group>
            <v:group style="position:absolute;left:2399;top:12402;width:1139;height:2" coordorigin="2399,12402" coordsize="1139,2">
              <v:shape style="position:absolute;left:2399;top:12402;width:1139;height:2" coordorigin="2399,12402" coordsize="1139,0" path="m2399,12402l3538,12402e" filled="false" stroked="true" strokeweight=".48pt" strokecolor="#000000">
                <v:path arrowok="t"/>
              </v:shape>
            </v:group>
            <v:group style="position:absolute;left:3548;top:12402;width:2260;height:2" coordorigin="3548,12402" coordsize="2260,2">
              <v:shape style="position:absolute;left:3548;top:12402;width:2260;height:2" coordorigin="3548,12402" coordsize="2260,0" path="m3548,12402l5808,12402e" filled="false" stroked="true" strokeweight=".48pt" strokecolor="#000000">
                <v:path arrowok="t"/>
              </v:shape>
            </v:group>
            <v:group style="position:absolute;left:2399;top:13531;width:1139;height:2" coordorigin="2399,13531" coordsize="1139,2">
              <v:shape style="position:absolute;left:2399;top:13531;width:1139;height:2" coordorigin="2399,13531" coordsize="1139,0" path="m2399,13531l3538,13531e" filled="false" stroked="true" strokeweight=".48pt" strokecolor="#000000">
                <v:path arrowok="t"/>
              </v:shape>
            </v:group>
            <v:group style="position:absolute;left:3548;top:13531;width:2260;height:2" coordorigin="3548,13531" coordsize="2260,2">
              <v:shape style="position:absolute;left:3548;top:13531;width:2260;height:2" coordorigin="3548,13531" coordsize="2260,0" path="m3548,13531l5808,13531e" filled="false" stroked="true" strokeweight=".48pt" strokecolor="#000000">
                <v:path arrowok="t"/>
              </v:shape>
            </v:group>
            <v:group style="position:absolute;left:2399;top:14540;width:1139;height:2" coordorigin="2399,14540" coordsize="1139,2">
              <v:shape style="position:absolute;left:2399;top:14540;width:1139;height:2" coordorigin="2399,14540" coordsize="1139,0" path="m2399,14540l3538,14540e" filled="false" stroked="true" strokeweight=".48pt" strokecolor="#000000">
                <v:path arrowok="t"/>
              </v:shape>
            </v:group>
            <v:group style="position:absolute;left:3548;top:14540;width:2260;height:2" coordorigin="3548,14540" coordsize="2260,2">
              <v:shape style="position:absolute;left:3548;top:14540;width:2260;height:2" coordorigin="3548,14540" coordsize="2260,0" path="m3548,14540l5808,14540e" filled="false" stroked="true" strokeweight=".48pt" strokecolor="#000000">
                <v:path arrowok="t"/>
              </v:shape>
            </v:group>
            <v:group style="position:absolute;left:2394;top:9547;width:2;height:5583" coordorigin="2394,9547" coordsize="2,5583">
              <v:shape style="position:absolute;left:2394;top:9547;width:2;height:5583" coordorigin="2394,9547" coordsize="0,5583" path="m2394,9547l2394,15130e" filled="false" stroked="true" strokeweight=".48pt" strokecolor="#000000">
                <v:path arrowok="t"/>
              </v:shape>
            </v:group>
            <v:group style="position:absolute;left:2399;top:15125;width:1139;height:2" coordorigin="2399,15125" coordsize="1139,2">
              <v:shape style="position:absolute;left:2399;top:15125;width:1139;height:2" coordorigin="2399,15125" coordsize="1139,0" path="m2399,15125l3538,15125e" filled="false" stroked="true" strokeweight=".48pt" strokecolor="#000000">
                <v:path arrowok="t"/>
              </v:shape>
            </v:group>
            <v:group style="position:absolute;left:3543;top:9547;width:2;height:5583" coordorigin="3543,9547" coordsize="2,5583">
              <v:shape style="position:absolute;left:3543;top:9547;width:2;height:5583" coordorigin="3543,9547" coordsize="0,5583" path="m3543,9547l3543,15130e" filled="false" stroked="true" strokeweight=".48pt" strokecolor="#000000">
                <v:path arrowok="t"/>
              </v:shape>
            </v:group>
            <v:group style="position:absolute;left:3548;top:15125;width:2260;height:2" coordorigin="3548,15125" coordsize="2260,2">
              <v:shape style="position:absolute;left:3548;top:15125;width:2260;height:2" coordorigin="3548,15125" coordsize="2260,0" path="m3548,15125l5808,15125e" filled="false" stroked="true" strokeweight=".48pt" strokecolor="#000000">
                <v:path arrowok="t"/>
              </v:shape>
            </v:group>
            <v:group style="position:absolute;left:5812;top:9547;width:2;height:5583" coordorigin="5812,9547" coordsize="2,5583">
              <v:shape style="position:absolute;left:5812;top:9547;width:2;height:5583" coordorigin="5812,9547" coordsize="0,5583" path="m5812,9547l5812,15130e" filled="false" stroked="true" strokeweight=".48pt" strokecolor="#000000">
                <v:path arrowok="t"/>
              </v:shape>
            </v:group>
            <w10:wrap type="none"/>
          </v:group>
        </w:pict>
      </w:r>
      <w:r>
        <w:rPr/>
        <w:pict>
          <v:shape style="position:absolute;margin-left:119.720001pt;margin-top:477.579987pt;width:170.9pt;height:278.7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8"/>
                    <w:gridCol w:w="2270"/>
                  </w:tblGrid>
                  <w:tr>
                    <w:trPr>
                      <w:trHeight w:val="684"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769"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833"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564"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1129"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1010"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584" w:hRule="exact"/>
                    </w:trPr>
                    <w:tc>
                      <w:tcPr>
                        <w:tcW w:w="1148"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pStyle w:val="Heading6"/>
        <w:spacing w:line="240" w:lineRule="auto" w:before="35"/>
        <w:ind w:left="153" w:right="1135"/>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135"/>
        <w:gridCol w:w="3402"/>
        <w:gridCol w:w="709"/>
        <w:gridCol w:w="991"/>
        <w:gridCol w:w="1844"/>
        <w:gridCol w:w="1487"/>
      </w:tblGrid>
      <w:tr>
        <w:trPr>
          <w:trHeight w:val="473" w:hRule="exact"/>
        </w:trPr>
        <w:tc>
          <w:tcPr>
            <w:tcW w:w="5247" w:type="dxa"/>
            <w:gridSpan w:val="3"/>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22"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5" w:hRule="exact"/>
        </w:trPr>
        <w:tc>
          <w:tcPr>
            <w:tcW w:w="453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031" w:type="dxa"/>
            <w:gridSpan w:val="4"/>
            <w:tcBorders>
              <w:top w:val="single" w:sz="12" w:space="0" w:color="D2D2D2"/>
              <w:left w:val="single" w:sz="4" w:space="0" w:color="000000"/>
              <w:bottom w:val="single" w:sz="4" w:space="0" w:color="000000"/>
              <w:right w:val="single" w:sz="12"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29"/>
                <w:sz w:val="18"/>
                <w:szCs w:val="18"/>
              </w:rPr>
              <w:t>网</w:t>
            </w: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内部控制自我评价报告</w:t>
            </w:r>
          </w:p>
        </w:tc>
      </w:tr>
      <w:tr>
        <w:trPr>
          <w:trHeight w:val="464" w:hRule="exact"/>
        </w:trPr>
        <w:tc>
          <w:tcPr>
            <w:tcW w:w="524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22"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90.00%</w:t>
            </w:r>
          </w:p>
        </w:tc>
      </w:tr>
      <w:tr>
        <w:trPr>
          <w:trHeight w:val="479" w:hRule="exact"/>
        </w:trPr>
        <w:tc>
          <w:tcPr>
            <w:tcW w:w="5247"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22" w:type="dxa"/>
            <w:gridSpan w:val="3"/>
            <w:tcBorders>
              <w:top w:val="single" w:sz="4" w:space="0" w:color="000000"/>
              <w:left w:val="single" w:sz="4" w:space="0" w:color="000000"/>
              <w:bottom w:val="single" w:sz="17"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90.00%</w:t>
            </w:r>
          </w:p>
        </w:tc>
      </w:tr>
      <w:tr>
        <w:trPr>
          <w:trHeight w:val="448" w:hRule="exact"/>
        </w:trPr>
        <w:tc>
          <w:tcPr>
            <w:tcW w:w="9569"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49" w:hRule="exact"/>
        </w:trPr>
        <w:tc>
          <w:tcPr>
            <w:tcW w:w="11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381"/>
              <w:jc w:val="right"/>
              <w:rPr>
                <w:rFonts w:ascii="宋体" w:hAnsi="宋体" w:cs="宋体" w:eastAsia="宋体" w:hint="default"/>
                <w:sz w:val="18"/>
                <w:szCs w:val="18"/>
              </w:rPr>
            </w:pPr>
            <w:r>
              <w:rPr>
                <w:rFonts w:ascii="宋体" w:hAnsi="宋体" w:cs="宋体" w:eastAsia="宋体" w:hint="default"/>
                <w:sz w:val="18"/>
                <w:szCs w:val="18"/>
              </w:rPr>
              <w:t>类别</w:t>
            </w:r>
          </w:p>
        </w:tc>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322" w:type="dxa"/>
            <w:gridSpan w:val="3"/>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3" w:hRule="exact"/>
        </w:trPr>
        <w:tc>
          <w:tcPr>
            <w:tcW w:w="1135" w:type="dxa"/>
            <w:tcBorders>
              <w:top w:val="single" w:sz="4" w:space="0" w:color="000000"/>
              <w:left w:val="single" w:sz="12" w:space="0" w:color="000000"/>
              <w:bottom w:val="nil" w:sz="6" w:space="0" w:color="auto"/>
              <w:right w:val="single" w:sz="4" w:space="0" w:color="000000"/>
            </w:tcBorders>
            <w:shd w:val="clear" w:color="auto" w:fill="D2D2D2"/>
          </w:tcPr>
          <w:p>
            <w:pPr/>
          </w:p>
        </w:tc>
        <w:tc>
          <w:tcPr>
            <w:tcW w:w="4112" w:type="dxa"/>
            <w:gridSpan w:val="2"/>
            <w:tcBorders>
              <w:top w:val="single" w:sz="16" w:space="0" w:color="D2D2D2"/>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公司确定的财务报告内部控制缺陷评价的定性标准</w:t>
            </w:r>
          </w:p>
        </w:tc>
        <w:tc>
          <w:tcPr>
            <w:tcW w:w="4322" w:type="dxa"/>
            <w:gridSpan w:val="3"/>
            <w:tcBorders>
              <w:top w:val="single" w:sz="16" w:space="0" w:color="D2D2D2"/>
              <w:left w:val="single" w:sz="4" w:space="0" w:color="000000"/>
              <w:bottom w:val="nil" w:sz="6" w:space="0" w:color="auto"/>
              <w:right w:val="single" w:sz="12" w:space="0" w:color="000000"/>
            </w:tcBorders>
          </w:tcPr>
          <w:p>
            <w:pPr/>
          </w:p>
        </w:tc>
      </w:tr>
      <w:tr>
        <w:trPr>
          <w:trHeight w:val="316"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w:t>
            </w:r>
            <w:r>
              <w:rPr>
                <w:rFonts w:ascii="宋体" w:hAnsi="宋体" w:cs="宋体" w:eastAsia="宋体" w:hint="default"/>
                <w:spacing w:val="-49"/>
                <w:sz w:val="18"/>
                <w:szCs w:val="18"/>
              </w:rPr>
              <w:t>：</w:t>
            </w:r>
            <w:r>
              <w:rPr>
                <w:rFonts w:ascii="宋体" w:hAnsi="宋体" w:cs="宋体" w:eastAsia="宋体" w:hint="default"/>
                <w:sz w:val="18"/>
                <w:szCs w:val="18"/>
              </w:rPr>
              <w:t>出现以下或类似情形的</w:t>
            </w:r>
            <w:r>
              <w:rPr>
                <w:rFonts w:ascii="宋体" w:hAnsi="宋体" w:cs="宋体" w:eastAsia="宋体" w:hint="default"/>
                <w:spacing w:val="-49"/>
                <w:sz w:val="18"/>
                <w:szCs w:val="18"/>
              </w:rPr>
              <w:t>，</w:t>
            </w:r>
            <w:r>
              <w:rPr>
                <w:rFonts w:ascii="宋体" w:hAnsi="宋体" w:cs="宋体" w:eastAsia="宋体" w:hint="default"/>
                <w:sz w:val="18"/>
                <w:szCs w:val="18"/>
              </w:rPr>
              <w:t>认定为重大缺陷</w:t>
            </w:r>
            <w:r>
              <w:rPr>
                <w:rFonts w:ascii="宋体" w:hAnsi="宋体" w:cs="宋体" w:eastAsia="宋体" w:hint="default"/>
                <w:spacing w:val="-13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4322" w:type="dxa"/>
            <w:gridSpan w:val="3"/>
            <w:tcBorders>
              <w:top w:val="nil" w:sz="6" w:space="0" w:color="auto"/>
              <w:left w:val="single" w:sz="4" w:space="0" w:color="000000"/>
              <w:bottom w:val="nil" w:sz="6" w:space="0" w:color="auto"/>
              <w:right w:val="single" w:sz="12" w:space="0" w:color="000000"/>
            </w:tcBorders>
          </w:tcPr>
          <w:p>
            <w:pPr/>
          </w:p>
        </w:tc>
      </w:tr>
      <w:tr>
        <w:trPr>
          <w:trHeight w:val="2496"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right="381"/>
              <w:jc w:val="right"/>
              <w:rPr>
                <w:rFonts w:ascii="宋体" w:hAnsi="宋体" w:cs="宋体" w:eastAsia="宋体" w:hint="default"/>
                <w:sz w:val="18"/>
                <w:szCs w:val="18"/>
              </w:rPr>
            </w:pPr>
            <w:r>
              <w:rPr>
                <w:rFonts w:ascii="宋体" w:hAnsi="宋体" w:cs="宋体" w:eastAsia="宋体" w:hint="default"/>
                <w:sz w:val="18"/>
                <w:szCs w:val="18"/>
              </w:rPr>
              <w:t>定性标准</w:t>
            </w:r>
          </w:p>
        </w:tc>
        <w:tc>
          <w:tcPr>
            <w:tcW w:w="4112" w:type="dxa"/>
            <w:gridSpan w:val="2"/>
            <w:tcBorders>
              <w:top w:val="nil" w:sz="6" w:space="0" w:color="auto"/>
              <w:left w:val="single" w:sz="4" w:space="0" w:color="000000"/>
              <w:bottom w:val="nil" w:sz="6" w:space="0" w:color="auto"/>
              <w:right w:val="single" w:sz="4" w:space="0" w:color="000000"/>
            </w:tcBorders>
          </w:tcPr>
          <w:p>
            <w:pPr>
              <w:pStyle w:val="TableParagraph"/>
              <w:spacing w:line="304" w:lineRule="auto" w:before="5"/>
              <w:ind w:left="22" w:right="20"/>
              <w:jc w:val="left"/>
              <w:rPr>
                <w:rFonts w:ascii="宋体" w:hAnsi="宋体" w:cs="宋体" w:eastAsia="宋体" w:hint="default"/>
                <w:sz w:val="18"/>
                <w:szCs w:val="18"/>
              </w:rPr>
            </w:pPr>
            <w:r>
              <w:rPr>
                <w:rFonts w:ascii="宋体" w:hAnsi="宋体" w:cs="宋体" w:eastAsia="宋体" w:hint="default"/>
                <w:spacing w:val="-7"/>
                <w:sz w:val="18"/>
                <w:szCs w:val="18"/>
              </w:rPr>
              <w:t>与财务报告相关控制环境无效；（</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董事、监事和高</w:t>
            </w:r>
            <w:r>
              <w:rPr>
                <w:rFonts w:ascii="宋体" w:hAnsi="宋体" w:cs="宋体" w:eastAsia="宋体" w:hint="default"/>
                <w:sz w:val="18"/>
                <w:szCs w:val="18"/>
              </w:rPr>
              <w:t> </w:t>
            </w:r>
            <w:r>
              <w:rPr>
                <w:rFonts w:ascii="宋体" w:hAnsi="宋体" w:cs="宋体" w:eastAsia="宋体" w:hint="default"/>
                <w:spacing w:val="-8"/>
                <w:sz w:val="18"/>
                <w:szCs w:val="18"/>
              </w:rPr>
              <w:t>级管理人员与财务报告相关舞弊行为；（</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外部审计</w:t>
            </w:r>
            <w:r>
              <w:rPr>
                <w:rFonts w:ascii="宋体" w:hAnsi="宋体" w:cs="宋体" w:eastAsia="宋体" w:hint="default"/>
                <w:spacing w:val="-88"/>
                <w:sz w:val="18"/>
                <w:szCs w:val="18"/>
              </w:rPr>
              <w:t> </w:t>
            </w:r>
            <w:r>
              <w:rPr>
                <w:rFonts w:ascii="宋体" w:hAnsi="宋体" w:cs="宋体" w:eastAsia="宋体" w:hint="default"/>
                <w:spacing w:val="-4"/>
                <w:sz w:val="18"/>
                <w:szCs w:val="18"/>
              </w:rPr>
              <w:t>发现当期财务报告存在重大错报，公司在运行过程中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未能发现该错报；（</w:t>
            </w:r>
            <w:r>
              <w:rPr>
                <w:rFonts w:ascii="Times New Roman" w:hAnsi="Times New Roman" w:cs="Times New Roman" w:eastAsia="Times New Roman" w:hint="default"/>
                <w:spacing w:val="-11"/>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重述以前公布的财务报告，以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更正由于舞弊或错误导致的重大错误；（</w:t>
            </w:r>
            <w:r>
              <w:rPr>
                <w:rFonts w:ascii="Times New Roman" w:hAnsi="Times New Roman" w:cs="Times New Roman" w:eastAsia="Times New Roman" w:hint="default"/>
                <w:spacing w:val="-8"/>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已经发现</w:t>
            </w:r>
            <w:r>
              <w:rPr>
                <w:rFonts w:ascii="宋体" w:hAnsi="宋体" w:cs="宋体" w:eastAsia="宋体" w:hint="default"/>
                <w:spacing w:val="-88"/>
                <w:sz w:val="18"/>
                <w:szCs w:val="18"/>
              </w:rPr>
              <w:t> </w:t>
            </w:r>
            <w:r>
              <w:rPr>
                <w:rFonts w:ascii="宋体" w:hAnsi="宋体" w:cs="宋体" w:eastAsia="宋体" w:hint="default"/>
                <w:sz w:val="18"/>
                <w:szCs w:val="18"/>
              </w:rPr>
              <w:t>并报告给管理层的重大缺陷在合理的时间内未予改 </w:t>
            </w:r>
            <w:r>
              <w:rPr>
                <w:rFonts w:ascii="宋体" w:hAnsi="宋体" w:cs="宋体" w:eastAsia="宋体" w:hint="default"/>
                <w:spacing w:val="-21"/>
                <w:sz w:val="18"/>
                <w:szCs w:val="18"/>
              </w:rPr>
              <w:t>正；（</w:t>
            </w:r>
            <w:r>
              <w:rPr>
                <w:rFonts w:ascii="Times New Roman" w:hAnsi="Times New Roman" w:cs="Times New Roman" w:eastAsia="Times New Roman" w:hint="default"/>
                <w:spacing w:val="-21"/>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公司风险评估职能无效；（</w:t>
            </w:r>
            <w:r>
              <w:rPr>
                <w:rFonts w:ascii="Times New Roman" w:hAnsi="Times New Roman" w:cs="Times New Roman" w:eastAsia="Times New Roman" w:hint="default"/>
                <w:spacing w:val="-8"/>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公司审计委员 </w:t>
            </w:r>
            <w:r>
              <w:rPr>
                <w:rFonts w:ascii="宋体" w:hAnsi="宋体" w:cs="宋体" w:eastAsia="宋体" w:hint="default"/>
                <w:spacing w:val="-8"/>
                <w:sz w:val="18"/>
                <w:szCs w:val="18"/>
              </w:rPr>
              <w:t>会和审计部门对内部控制的监督无效；（</w:t>
            </w:r>
            <w:r>
              <w:rPr>
                <w:rFonts w:ascii="Times New Roman" w:hAnsi="Times New Roman" w:cs="Times New Roman" w:eastAsia="Times New Roman" w:hint="default"/>
                <w:spacing w:val="-8"/>
                <w:sz w:val="18"/>
                <w:szCs w:val="18"/>
              </w:rPr>
              <w:t>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其他对财</w:t>
            </w:r>
          </w:p>
        </w:tc>
        <w:tc>
          <w:tcPr>
            <w:tcW w:w="4322" w:type="dxa"/>
            <w:gridSpan w:val="3"/>
            <w:tcBorders>
              <w:top w:val="nil" w:sz="6" w:space="0" w:color="auto"/>
              <w:left w:val="single" w:sz="4" w:space="0" w:color="000000"/>
              <w:bottom w:val="nil" w:sz="6" w:space="0" w:color="auto"/>
              <w:right w:val="single" w:sz="12"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02" w:lineRule="auto"/>
              <w:ind w:left="22" w:right="8"/>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公司确定的非财务报告内部控制缺陷评价的定性标准 </w:t>
            </w:r>
            <w:r>
              <w:rPr>
                <w:rFonts w:ascii="宋体" w:hAnsi="宋体" w:cs="宋体" w:eastAsia="宋体" w:hint="default"/>
                <w:spacing w:val="-12"/>
                <w:sz w:val="18"/>
                <w:szCs w:val="18"/>
              </w:rPr>
              <w:t>如下：出现以下或类似情形的，认定为重大缺陷：（</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违 </w:t>
            </w:r>
            <w:r>
              <w:rPr>
                <w:rFonts w:ascii="宋体" w:hAnsi="宋体" w:cs="宋体" w:eastAsia="宋体" w:hint="default"/>
                <w:spacing w:val="-7"/>
                <w:sz w:val="18"/>
                <w:szCs w:val="18"/>
              </w:rPr>
              <w:t>犯国家法律、法规或规范性文件；（</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重大决策程序不</w:t>
            </w:r>
            <w:r>
              <w:rPr>
                <w:rFonts w:ascii="宋体" w:hAnsi="宋体" w:cs="宋体" w:eastAsia="宋体" w:hint="default"/>
                <w:spacing w:val="-88"/>
                <w:sz w:val="18"/>
                <w:szCs w:val="18"/>
              </w:rPr>
              <w:t> </w:t>
            </w:r>
            <w:r>
              <w:rPr>
                <w:rFonts w:ascii="宋体" w:hAnsi="宋体" w:cs="宋体" w:eastAsia="宋体" w:hint="default"/>
                <w:spacing w:val="-15"/>
                <w:sz w:val="18"/>
                <w:szCs w:val="18"/>
              </w:rPr>
              <w:t>科学；（</w:t>
            </w:r>
            <w:r>
              <w:rPr>
                <w:rFonts w:ascii="Times New Roman" w:hAnsi="Times New Roman" w:cs="Times New Roman" w:eastAsia="Times New Roman" w:hint="default"/>
                <w:spacing w:val="-15"/>
                <w:sz w:val="18"/>
                <w:szCs w:val="18"/>
              </w:rPr>
              <w:t>3)</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制度缺失可能导致系统性失效；（</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重大或 </w:t>
            </w:r>
            <w:r>
              <w:rPr>
                <w:rFonts w:ascii="宋体" w:hAnsi="宋体" w:cs="宋体" w:eastAsia="宋体" w:hint="default"/>
                <w:spacing w:val="-9"/>
                <w:sz w:val="18"/>
                <w:szCs w:val="18"/>
              </w:rPr>
              <w:t>重要缺陷不能得到整改；（</w:t>
            </w:r>
            <w:r>
              <w:rPr>
                <w:rFonts w:ascii="Times New Roman" w:hAnsi="Times New Roman" w:cs="Times New Roman" w:eastAsia="Times New Roman" w:hint="default"/>
                <w:spacing w:val="-9"/>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公司声誉造成难以弥补的</w:t>
            </w:r>
            <w:r>
              <w:rPr>
                <w:rFonts w:ascii="宋体" w:hAnsi="宋体" w:cs="宋体" w:eastAsia="宋体" w:hint="default"/>
                <w:spacing w:val="-88"/>
                <w:sz w:val="18"/>
                <w:szCs w:val="18"/>
              </w:rPr>
              <w:t> </w:t>
            </w:r>
            <w:r>
              <w:rPr>
                <w:rFonts w:ascii="宋体" w:hAnsi="宋体" w:cs="宋体" w:eastAsia="宋体" w:hint="default"/>
                <w:spacing w:val="-18"/>
                <w:sz w:val="18"/>
                <w:szCs w:val="18"/>
              </w:rPr>
              <w:t>损害；（</w:t>
            </w:r>
            <w:r>
              <w:rPr>
                <w:rFonts w:ascii="Times New Roman" w:hAnsi="Times New Roman" w:cs="Times New Roman" w:eastAsia="Times New Roman" w:hint="default"/>
                <w:spacing w:val="-18"/>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其他可能对公司造成重大影响的情形。其他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情形按影响程度分别确定为重要缺陷或一般缺陷。</w:t>
            </w:r>
          </w:p>
        </w:tc>
      </w:tr>
      <w:tr>
        <w:trPr>
          <w:trHeight w:val="308"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务报告使用者作出正确判断产生重大影响的缺陷</w:t>
            </w:r>
            <w:r>
              <w:rPr>
                <w:rFonts w:ascii="宋体" w:hAnsi="宋体" w:cs="宋体" w:eastAsia="宋体" w:hint="default"/>
                <w:spacing w:val="-86"/>
                <w:sz w:val="18"/>
                <w:szCs w:val="18"/>
              </w:rPr>
              <w:t>。</w:t>
            </w:r>
            <w:r>
              <w:rPr>
                <w:rFonts w:ascii="宋体" w:hAnsi="宋体" w:cs="宋体" w:eastAsia="宋体" w:hint="default"/>
                <w:sz w:val="18"/>
                <w:szCs w:val="18"/>
              </w:rPr>
              <w:t>其</w:t>
            </w:r>
          </w:p>
        </w:tc>
        <w:tc>
          <w:tcPr>
            <w:tcW w:w="4322" w:type="dxa"/>
            <w:gridSpan w:val="3"/>
            <w:tcBorders>
              <w:top w:val="nil" w:sz="6" w:space="0" w:color="auto"/>
              <w:left w:val="single" w:sz="4" w:space="0" w:color="000000"/>
              <w:bottom w:val="nil" w:sz="6" w:space="0" w:color="auto"/>
              <w:right w:val="single" w:sz="12" w:space="0" w:color="000000"/>
            </w:tcBorders>
          </w:tcPr>
          <w:p>
            <w:pPr/>
          </w:p>
        </w:tc>
      </w:tr>
      <w:tr>
        <w:trPr>
          <w:trHeight w:val="357" w:hRule="exact"/>
        </w:trPr>
        <w:tc>
          <w:tcPr>
            <w:tcW w:w="1135" w:type="dxa"/>
            <w:tcBorders>
              <w:top w:val="nil" w:sz="6" w:space="0" w:color="auto"/>
              <w:left w:val="single" w:sz="12" w:space="0" w:color="000000"/>
              <w:bottom w:val="single" w:sz="4" w:space="0" w:color="000000"/>
              <w:right w:val="single" w:sz="4" w:space="0" w:color="000000"/>
            </w:tcBorders>
            <w:shd w:val="clear" w:color="auto" w:fill="D2D2D2"/>
          </w:tcPr>
          <w:p>
            <w:pPr/>
          </w:p>
        </w:tc>
        <w:tc>
          <w:tcPr>
            <w:tcW w:w="4112"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他情形按影响程度分别确定为重要缺陷或一般缺陷</w:t>
            </w:r>
          </w:p>
        </w:tc>
        <w:tc>
          <w:tcPr>
            <w:tcW w:w="4322" w:type="dxa"/>
            <w:gridSpan w:val="3"/>
            <w:tcBorders>
              <w:top w:val="nil" w:sz="6" w:space="0" w:color="auto"/>
              <w:left w:val="single" w:sz="4" w:space="0" w:color="000000"/>
              <w:bottom w:val="single" w:sz="4" w:space="0" w:color="000000"/>
              <w:right w:val="single" w:sz="12" w:space="0" w:color="000000"/>
            </w:tcBorders>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1135" w:type="dxa"/>
            <w:vMerge w:val="restart"/>
            <w:tcBorders>
              <w:top w:val="single" w:sz="4" w:space="0" w:color="000000"/>
              <w:left w:val="single" w:sz="12" w:space="0" w:color="000000"/>
              <w:right w:val="single" w:sz="4" w:space="0" w:color="000000"/>
            </w:tcBorders>
            <w:shd w:val="clear" w:color="auto" w:fill="D2D2D2"/>
          </w:tcPr>
          <w:p>
            <w:pPr/>
          </w:p>
        </w:tc>
        <w:tc>
          <w:tcPr>
            <w:tcW w:w="4112"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公司确定的财务报告内部控制缺陷评价的定量标准 如下：</w:t>
            </w:r>
          </w:p>
        </w:tc>
        <w:tc>
          <w:tcPr>
            <w:tcW w:w="4322" w:type="dxa"/>
            <w:gridSpan w:val="3"/>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公司确定的非财务报告内部控制缺陷评价的定量标准 如下：</w:t>
            </w:r>
          </w:p>
        </w:tc>
      </w:tr>
      <w:tr>
        <w:trPr>
          <w:trHeight w:val="223" w:hRule="exact"/>
        </w:trPr>
        <w:tc>
          <w:tcPr>
            <w:tcW w:w="1135" w:type="dxa"/>
            <w:vMerge/>
            <w:tcBorders>
              <w:left w:val="single" w:sz="12" w:space="0" w:color="000000"/>
              <w:bottom w:val="nil" w:sz="6" w:space="0" w:color="auto"/>
              <w:right w:val="single" w:sz="4" w:space="0" w:color="000000"/>
            </w:tcBorders>
            <w:shd w:val="clear" w:color="auto" w:fill="D2D2D2"/>
          </w:tcPr>
          <w:p>
            <w:pPr/>
          </w:p>
        </w:tc>
        <w:tc>
          <w:tcPr>
            <w:tcW w:w="4112" w:type="dxa"/>
            <w:gridSpan w:val="2"/>
            <w:vMerge/>
            <w:tcBorders>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缺陷认定</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直接财产损失金额</w:t>
            </w:r>
          </w:p>
        </w:tc>
        <w:tc>
          <w:tcPr>
            <w:tcW w:w="1487" w:type="dxa"/>
            <w:vMerge w:val="restart"/>
            <w:tcBorders>
              <w:top w:val="single" w:sz="4" w:space="0" w:color="000000"/>
              <w:left w:val="single" w:sz="4" w:space="0" w:color="000000"/>
              <w:right w:val="single" w:sz="3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重大负面影响</w:t>
            </w:r>
          </w:p>
        </w:tc>
      </w:tr>
      <w:tr>
        <w:trPr>
          <w:trHeight w:val="678"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tabs>
                <w:tab w:pos="2043" w:val="left" w:leader="none"/>
              </w:tabs>
              <w:spacing w:line="240" w:lineRule="auto" w:before="137"/>
              <w:ind w:left="334" w:right="0"/>
              <w:jc w:val="left"/>
              <w:rPr>
                <w:rFonts w:ascii="宋体" w:hAnsi="宋体" w:cs="宋体" w:eastAsia="宋体" w:hint="default"/>
                <w:sz w:val="18"/>
                <w:szCs w:val="18"/>
              </w:rPr>
            </w:pPr>
            <w:r>
              <w:rPr>
                <w:rFonts w:ascii="宋体" w:hAnsi="宋体" w:cs="宋体" w:eastAsia="宋体" w:hint="default"/>
                <w:sz w:val="18"/>
                <w:szCs w:val="18"/>
              </w:rPr>
              <w:t>缺陷类别</w:t>
              <w:tab/>
              <w:t>重大缺陷</w:t>
            </w:r>
          </w:p>
        </w:tc>
        <w:tc>
          <w:tcPr>
            <w:tcW w:w="991" w:type="dxa"/>
            <w:vMerge/>
            <w:tcBorders>
              <w:left w:val="single" w:sz="17"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487" w:type="dxa"/>
            <w:vMerge/>
            <w:tcBorders>
              <w:left w:val="single" w:sz="4" w:space="0" w:color="000000"/>
              <w:bottom w:val="single" w:sz="4" w:space="0" w:color="000000"/>
              <w:right w:val="single" w:sz="36" w:space="0" w:color="000000"/>
            </w:tcBorders>
          </w:tcPr>
          <w:p>
            <w:pPr/>
          </w:p>
        </w:tc>
      </w:tr>
      <w:tr>
        <w:trPr>
          <w:trHeight w:val="426"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208" w:lineRule="exact" w:before="5"/>
              <w:ind w:left="1377" w:right="0"/>
              <w:jc w:val="left"/>
              <w:rPr>
                <w:rFonts w:ascii="宋体" w:hAnsi="宋体" w:cs="宋体" w:eastAsia="宋体" w:hint="default"/>
                <w:sz w:val="18"/>
                <w:szCs w:val="18"/>
              </w:rPr>
            </w:pPr>
            <w:r>
              <w:rPr>
                <w:rFonts w:ascii="宋体" w:hAnsi="宋体" w:cs="宋体" w:eastAsia="宋体" w:hint="default"/>
                <w:sz w:val="18"/>
                <w:szCs w:val="18"/>
              </w:rPr>
              <w:t>错报≥营业收入总额的</w:t>
            </w:r>
          </w:p>
          <w:p>
            <w:pPr>
              <w:pStyle w:val="TableParagraph"/>
              <w:spacing w:line="208" w:lineRule="exact"/>
              <w:ind w:left="3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17"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直接财产损失金额≥</w:t>
            </w:r>
          </w:p>
        </w:tc>
        <w:tc>
          <w:tcPr>
            <w:tcW w:w="1487" w:type="dxa"/>
            <w:tcBorders>
              <w:top w:val="single" w:sz="4" w:space="0" w:color="000000"/>
              <w:left w:val="single" w:sz="4" w:space="0" w:color="000000"/>
              <w:bottom w:val="nil" w:sz="6" w:space="0" w:color="auto"/>
              <w:right w:val="single" w:sz="36"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对公司造成较</w:t>
            </w:r>
          </w:p>
        </w:tc>
      </w:tr>
      <w:tr>
        <w:trPr>
          <w:trHeight w:val="253"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189" w:lineRule="exact"/>
              <w:ind w:right="953"/>
              <w:jc w:val="center"/>
              <w:rPr>
                <w:rFonts w:ascii="Times New Roman" w:hAnsi="Times New Roman" w:cs="Times New Roman" w:eastAsia="Times New Roman" w:hint="default"/>
                <w:sz w:val="18"/>
                <w:szCs w:val="18"/>
              </w:rPr>
            </w:pPr>
            <w:r>
              <w:rPr>
                <w:rFonts w:ascii="Times New Roman"/>
                <w:sz w:val="18"/>
              </w:rPr>
              <w:t>0.5%</w:t>
            </w:r>
          </w:p>
        </w:tc>
        <w:tc>
          <w:tcPr>
            <w:tcW w:w="991" w:type="dxa"/>
            <w:tcBorders>
              <w:top w:val="nil" w:sz="6" w:space="0" w:color="auto"/>
              <w:left w:val="single" w:sz="17"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营业收入总额的</w:t>
            </w:r>
          </w:p>
        </w:tc>
        <w:tc>
          <w:tcPr>
            <w:tcW w:w="1487" w:type="dxa"/>
            <w:tcBorders>
              <w:top w:val="nil" w:sz="6" w:space="0" w:color="auto"/>
              <w:left w:val="single" w:sz="4" w:space="0" w:color="000000"/>
              <w:bottom w:val="nil" w:sz="6" w:space="0" w:color="auto"/>
              <w:right w:val="single" w:sz="3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大负面影响并</w:t>
            </w:r>
          </w:p>
        </w:tc>
      </w:tr>
      <w:tr>
        <w:trPr>
          <w:trHeight w:val="180"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
        </w:tc>
        <w:tc>
          <w:tcPr>
            <w:tcW w:w="991" w:type="dxa"/>
            <w:tcBorders>
              <w:top w:val="nil" w:sz="6" w:space="0" w:color="auto"/>
              <w:left w:val="single" w:sz="17" w:space="0" w:color="000000"/>
              <w:bottom w:val="nil" w:sz="6" w:space="0" w:color="auto"/>
              <w:right w:val="single" w:sz="4" w:space="0" w:color="000000"/>
            </w:tcBorders>
          </w:tcPr>
          <w:p>
            <w:pPr>
              <w:pStyle w:val="TableParagraph"/>
              <w:spacing w:line="180" w:lineRule="exact"/>
              <w:ind w:right="113"/>
              <w:jc w:val="right"/>
              <w:rPr>
                <w:rFonts w:ascii="宋体" w:hAnsi="宋体" w:cs="宋体" w:eastAsia="宋体" w:hint="default"/>
                <w:sz w:val="18"/>
                <w:szCs w:val="18"/>
              </w:rPr>
            </w:pPr>
            <w:r>
              <w:rPr>
                <w:rFonts w:ascii="宋体" w:hAnsi="宋体" w:cs="宋体" w:eastAsia="宋体" w:hint="default"/>
                <w:sz w:val="18"/>
                <w:szCs w:val="18"/>
              </w:rPr>
              <w:t>重大缺陷</w:t>
            </w:r>
          </w:p>
        </w:tc>
        <w:tc>
          <w:tcPr>
            <w:tcW w:w="1844" w:type="dxa"/>
            <w:tcBorders>
              <w:top w:val="nil" w:sz="6" w:space="0" w:color="auto"/>
              <w:left w:val="single" w:sz="4" w:space="0" w:color="000000"/>
              <w:bottom w:val="nil" w:sz="6" w:space="0" w:color="auto"/>
              <w:right w:val="single" w:sz="4" w:space="0" w:color="000000"/>
            </w:tcBorders>
          </w:tcPr>
          <w:p>
            <w:pPr/>
          </w:p>
        </w:tc>
        <w:tc>
          <w:tcPr>
            <w:tcW w:w="1487" w:type="dxa"/>
            <w:tcBorders>
              <w:top w:val="nil" w:sz="6" w:space="0" w:color="auto"/>
              <w:left w:val="single" w:sz="4" w:space="0" w:color="000000"/>
              <w:bottom w:val="nil" w:sz="6" w:space="0" w:color="auto"/>
              <w:right w:val="single" w:sz="36" w:space="0" w:color="000000"/>
            </w:tcBorders>
          </w:tcPr>
          <w:p>
            <w:pPr/>
          </w:p>
        </w:tc>
      </w:tr>
      <w:tr>
        <w:trPr>
          <w:trHeight w:val="631"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tabs>
                <w:tab w:pos="1377" w:val="left" w:leader="none"/>
              </w:tabs>
              <w:spacing w:line="240" w:lineRule="auto" w:before="128"/>
              <w:ind w:left="3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w:t>
              <w:tab/>
              <w:t>错报≥资产总额的 </w:t>
            </w:r>
            <w:r>
              <w:rPr>
                <w:rFonts w:ascii="Times New Roman" w:hAnsi="Times New Roman" w:cs="Times New Roman" w:eastAsia="Times New Roman" w:hint="default"/>
                <w:sz w:val="18"/>
                <w:szCs w:val="18"/>
              </w:rPr>
              <w:t>0.5%</w:t>
            </w:r>
          </w:p>
        </w:tc>
        <w:tc>
          <w:tcPr>
            <w:tcW w:w="991" w:type="dxa"/>
            <w:tcBorders>
              <w:top w:val="nil" w:sz="6" w:space="0" w:color="auto"/>
              <w:left w:val="single" w:sz="17"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与资产总额的</w:t>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孰低者</w:t>
            </w:r>
          </w:p>
        </w:tc>
        <w:tc>
          <w:tcPr>
            <w:tcW w:w="1487" w:type="dxa"/>
            <w:tcBorders>
              <w:top w:val="nil" w:sz="6" w:space="0" w:color="auto"/>
              <w:left w:val="single" w:sz="4" w:space="0" w:color="000000"/>
              <w:bottom w:val="single" w:sz="4" w:space="0" w:color="000000"/>
              <w:right w:val="single" w:sz="36" w:space="0" w:color="000000"/>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以公告形式对</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外披露</w:t>
            </w:r>
          </w:p>
        </w:tc>
      </w:tr>
      <w:tr>
        <w:trPr>
          <w:trHeight w:val="464"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38"/>
              <w:ind w:right="381"/>
              <w:jc w:val="right"/>
              <w:rPr>
                <w:rFonts w:ascii="宋体" w:hAnsi="宋体" w:cs="宋体" w:eastAsia="宋体" w:hint="default"/>
                <w:sz w:val="18"/>
                <w:szCs w:val="18"/>
              </w:rPr>
            </w:pPr>
            <w:r>
              <w:rPr>
                <w:rFonts w:ascii="宋体" w:hAnsi="宋体" w:cs="宋体" w:eastAsia="宋体" w:hint="default"/>
                <w:sz w:val="18"/>
                <w:szCs w:val="18"/>
              </w:rPr>
              <w:t>定量标准</w:t>
            </w: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tabs>
                <w:tab w:pos="2043" w:val="left" w:leader="none"/>
              </w:tabs>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缺陷类别</w:t>
              <w:tab/>
              <w:t>重要缺陷</w:t>
            </w:r>
          </w:p>
        </w:tc>
        <w:tc>
          <w:tcPr>
            <w:tcW w:w="991" w:type="dxa"/>
            <w:tcBorders>
              <w:top w:val="single" w:sz="4" w:space="0" w:color="000000"/>
              <w:left w:val="single" w:sz="17" w:space="0" w:color="000000"/>
              <w:bottom w:val="nil" w:sz="6" w:space="0" w:color="auto"/>
              <w:right w:val="single" w:sz="4" w:space="0" w:color="000000"/>
            </w:tcBorders>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营业收入总额的</w:t>
            </w:r>
          </w:p>
        </w:tc>
        <w:tc>
          <w:tcPr>
            <w:tcW w:w="1487" w:type="dxa"/>
            <w:tcBorders>
              <w:top w:val="single" w:sz="4" w:space="0" w:color="000000"/>
              <w:left w:val="single" w:sz="4" w:space="0" w:color="000000"/>
              <w:bottom w:val="nil" w:sz="6" w:space="0" w:color="auto"/>
              <w:right w:val="single" w:sz="36" w:space="0" w:color="000000"/>
            </w:tcBorders>
          </w:tcPr>
          <w:p>
            <w:pPr/>
          </w:p>
        </w:tc>
      </w:tr>
      <w:tr>
        <w:trPr>
          <w:trHeight w:val="1474"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tabs>
                <w:tab w:pos="1377" w:val="left" w:leader="none"/>
              </w:tabs>
              <w:spacing w:line="345" w:lineRule="auto"/>
              <w:ind w:left="334" w:right="800" w:firstLine="1042"/>
              <w:jc w:val="left"/>
              <w:rPr>
                <w:rFonts w:ascii="宋体" w:hAnsi="宋体" w:cs="宋体" w:eastAsia="宋体" w:hint="default"/>
                <w:sz w:val="18"/>
                <w:szCs w:val="18"/>
              </w:rPr>
            </w:pP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0.2%</w:t>
            </w:r>
            <w:r>
              <w:rPr>
                <w:rFonts w:ascii="宋体" w:hAnsi="宋体" w:cs="宋体" w:eastAsia="宋体" w:hint="default"/>
                <w:sz w:val="18"/>
                <w:szCs w:val="18"/>
              </w:rPr>
              <w:t>≤ 营业收入</w:t>
              <w:tab/>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65"/>
              <w:ind w:right="953"/>
              <w:jc w:val="center"/>
              <w:rPr>
                <w:rFonts w:ascii="Times New Roman" w:hAnsi="Times New Roman" w:cs="Times New Roman" w:eastAsia="Times New Roman" w:hint="default"/>
                <w:sz w:val="18"/>
                <w:szCs w:val="18"/>
              </w:rPr>
            </w:pPr>
            <w:r>
              <w:rPr>
                <w:rFonts w:ascii="Times New Roman"/>
                <w:sz w:val="18"/>
              </w:rPr>
              <w:t>0.5%</w:t>
            </w:r>
          </w:p>
        </w:tc>
        <w:tc>
          <w:tcPr>
            <w:tcW w:w="991" w:type="dxa"/>
            <w:tcBorders>
              <w:top w:val="nil" w:sz="6" w:space="0" w:color="auto"/>
              <w:left w:val="single" w:sz="17"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重要缺陷</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与资产总额的</w:t>
            </w:r>
          </w:p>
          <w:p>
            <w:pPr>
              <w:pStyle w:val="TableParagraph"/>
              <w:spacing w:line="345" w:lineRule="auto" w:before="111"/>
              <w:ind w:left="103" w:right="186"/>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孰低者≤直接 财产损失金额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 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与</w:t>
            </w:r>
          </w:p>
        </w:tc>
        <w:tc>
          <w:tcPr>
            <w:tcW w:w="1487" w:type="dxa"/>
            <w:tcBorders>
              <w:top w:val="nil" w:sz="6" w:space="0" w:color="auto"/>
              <w:left w:val="single" w:sz="4" w:space="0" w:color="000000"/>
              <w:bottom w:val="nil" w:sz="6" w:space="0" w:color="auto"/>
              <w:right w:val="single" w:sz="36" w:space="0" w:color="000000"/>
            </w:tcBorders>
          </w:tcPr>
          <w:p>
            <w:pPr>
              <w:pStyle w:val="TableParagraph"/>
              <w:spacing w:line="360" w:lineRule="atLeast" w:before="34"/>
              <w:ind w:left="103" w:right="254"/>
              <w:jc w:val="both"/>
              <w:rPr>
                <w:rFonts w:ascii="宋体" w:hAnsi="宋体" w:cs="宋体" w:eastAsia="宋体" w:hint="default"/>
                <w:sz w:val="18"/>
                <w:szCs w:val="18"/>
              </w:rPr>
            </w:pPr>
            <w:r>
              <w:rPr>
                <w:rFonts w:ascii="宋体" w:hAnsi="宋体" w:cs="宋体" w:eastAsia="宋体" w:hint="default"/>
                <w:sz w:val="18"/>
                <w:szCs w:val="18"/>
              </w:rPr>
              <w:t>或受到国家政 府部门处罚但 未对公司造成 负面影响</w:t>
            </w:r>
          </w:p>
        </w:tc>
      </w:tr>
      <w:tr>
        <w:trPr>
          <w:trHeight w:val="233"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242" w:lineRule="exact"/>
              <w:ind w:left="13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p>
        </w:tc>
        <w:tc>
          <w:tcPr>
            <w:tcW w:w="991" w:type="dxa"/>
            <w:tcBorders>
              <w:top w:val="nil" w:sz="6" w:space="0" w:color="auto"/>
              <w:left w:val="single" w:sz="17"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孰</w:t>
            </w:r>
          </w:p>
        </w:tc>
        <w:tc>
          <w:tcPr>
            <w:tcW w:w="1487" w:type="dxa"/>
            <w:tcBorders>
              <w:top w:val="nil" w:sz="6" w:space="0" w:color="auto"/>
              <w:left w:val="single" w:sz="4" w:space="0" w:color="000000"/>
              <w:bottom w:val="nil" w:sz="6" w:space="0" w:color="auto"/>
              <w:right w:val="single" w:sz="36" w:space="0" w:color="000000"/>
            </w:tcBorders>
          </w:tcPr>
          <w:p>
            <w:pPr/>
          </w:p>
        </w:tc>
      </w:tr>
      <w:tr>
        <w:trPr>
          <w:trHeight w:val="400"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148" w:lineRule="exact"/>
              <w:ind w:left="334" w:right="0"/>
              <w:jc w:val="left"/>
              <w:rPr>
                <w:rFonts w:ascii="宋体" w:hAnsi="宋体" w:cs="宋体" w:eastAsia="宋体" w:hint="default"/>
                <w:sz w:val="18"/>
                <w:szCs w:val="18"/>
              </w:rPr>
            </w:pPr>
            <w:r>
              <w:rPr>
                <w:rFonts w:ascii="宋体" w:hAnsi="宋体" w:cs="宋体" w:eastAsia="宋体" w:hint="default"/>
                <w:sz w:val="18"/>
                <w:szCs w:val="18"/>
              </w:rPr>
              <w:t>资产总额</w:t>
            </w:r>
          </w:p>
          <w:p>
            <w:pPr>
              <w:pStyle w:val="TableParagraph"/>
              <w:spacing w:line="221" w:lineRule="exact"/>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991" w:type="dxa"/>
            <w:tcBorders>
              <w:top w:val="nil" w:sz="6" w:space="0" w:color="auto"/>
              <w:left w:val="single" w:sz="17"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低者</w:t>
            </w:r>
          </w:p>
        </w:tc>
        <w:tc>
          <w:tcPr>
            <w:tcW w:w="1487" w:type="dxa"/>
            <w:tcBorders>
              <w:top w:val="nil" w:sz="6" w:space="0" w:color="auto"/>
              <w:left w:val="single" w:sz="4" w:space="0" w:color="000000"/>
              <w:bottom w:val="single" w:sz="4" w:space="0" w:color="000000"/>
              <w:right w:val="single" w:sz="36" w:space="0" w:color="000000"/>
            </w:tcBorders>
          </w:tcPr>
          <w:p>
            <w:pPr/>
          </w:p>
        </w:tc>
      </w:tr>
      <w:tr>
        <w:trPr>
          <w:trHeight w:val="579" w:hRule="exact"/>
        </w:trPr>
        <w:tc>
          <w:tcPr>
            <w:tcW w:w="1135" w:type="dxa"/>
            <w:tcBorders>
              <w:top w:val="nil" w:sz="6" w:space="0" w:color="auto"/>
              <w:left w:val="single" w:sz="12" w:space="0" w:color="000000"/>
              <w:bottom w:val="nil" w:sz="6" w:space="0" w:color="auto"/>
              <w:right w:val="single" w:sz="4" w:space="0" w:color="000000"/>
            </w:tcBorders>
            <w:shd w:val="clear" w:color="auto" w:fill="D2D2D2"/>
          </w:tcPr>
          <w:p>
            <w:pPr/>
          </w:p>
        </w:tc>
        <w:tc>
          <w:tcPr>
            <w:tcW w:w="4112" w:type="dxa"/>
            <w:gridSpan w:val="2"/>
            <w:tcBorders>
              <w:top w:val="nil" w:sz="6" w:space="0" w:color="auto"/>
              <w:left w:val="single" w:sz="4" w:space="0" w:color="000000"/>
              <w:bottom w:val="nil" w:sz="6" w:space="0" w:color="auto"/>
              <w:right w:val="single" w:sz="17"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tabs>
                <w:tab w:pos="2043" w:val="left" w:leader="none"/>
              </w:tabs>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缺陷类别</w:t>
              <w:tab/>
              <w:t>一般缺陷</w:t>
            </w:r>
          </w:p>
        </w:tc>
        <w:tc>
          <w:tcPr>
            <w:tcW w:w="991" w:type="dxa"/>
            <w:tcBorders>
              <w:top w:val="single" w:sz="4" w:space="0" w:color="000000"/>
              <w:left w:val="single" w:sz="17"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一般缺陷</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w:t>
            </w:r>
          </w:p>
        </w:tc>
        <w:tc>
          <w:tcPr>
            <w:tcW w:w="1487" w:type="dxa"/>
            <w:tcBorders>
              <w:top w:val="single" w:sz="4" w:space="0" w:color="000000"/>
              <w:left w:val="single" w:sz="4" w:space="0" w:color="000000"/>
              <w:bottom w:val="nil" w:sz="6" w:space="0" w:color="auto"/>
              <w:right w:val="single" w:sz="3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受到省级</w:t>
            </w:r>
            <w:r>
              <w:rPr>
                <w:rFonts w:ascii="Times New Roman" w:hAnsi="Times New Roman" w:cs="Times New Roman" w:eastAsia="Times New Roman" w:hint="default"/>
                <w:sz w:val="18"/>
                <w:szCs w:val="18"/>
              </w:rPr>
              <w:t>(</w:t>
            </w:r>
            <w:r>
              <w:rPr>
                <w:rFonts w:ascii="宋体" w:hAnsi="宋体" w:cs="宋体" w:eastAsia="宋体" w:hint="default"/>
                <w:sz w:val="18"/>
                <w:szCs w:val="18"/>
              </w:rPr>
              <w:t>含省</w:t>
            </w:r>
          </w:p>
        </w:tc>
      </w:tr>
      <w:tr>
        <w:trPr>
          <w:trHeight w:val="333" w:hRule="exact"/>
        </w:trPr>
        <w:tc>
          <w:tcPr>
            <w:tcW w:w="1135" w:type="dxa"/>
            <w:tcBorders>
              <w:top w:val="nil" w:sz="6" w:space="0" w:color="auto"/>
              <w:left w:val="single" w:sz="12" w:space="0" w:color="000000"/>
              <w:bottom w:val="single" w:sz="12" w:space="0" w:color="000000"/>
              <w:right w:val="single" w:sz="4" w:space="0" w:color="000000"/>
            </w:tcBorders>
            <w:shd w:val="clear" w:color="auto" w:fill="D2D2D2"/>
          </w:tcPr>
          <w:p>
            <w:pPr/>
          </w:p>
        </w:tc>
        <w:tc>
          <w:tcPr>
            <w:tcW w:w="4112" w:type="dxa"/>
            <w:gridSpan w:val="2"/>
            <w:tcBorders>
              <w:top w:val="nil" w:sz="6" w:space="0" w:color="auto"/>
              <w:left w:val="single" w:sz="4" w:space="0" w:color="000000"/>
              <w:bottom w:val="single" w:sz="12" w:space="0" w:color="000000"/>
              <w:right w:val="single" w:sz="17" w:space="0" w:color="000000"/>
            </w:tcBorders>
          </w:tcPr>
          <w:p>
            <w:pPr/>
          </w:p>
        </w:tc>
        <w:tc>
          <w:tcPr>
            <w:tcW w:w="991" w:type="dxa"/>
            <w:tcBorders>
              <w:top w:val="nil" w:sz="6" w:space="0" w:color="auto"/>
              <w:left w:val="single" w:sz="17" w:space="0" w:color="000000"/>
              <w:bottom w:val="single" w:sz="12" w:space="0" w:color="000000"/>
              <w:right w:val="single" w:sz="4" w:space="0" w:color="000000"/>
            </w:tcBorders>
          </w:tcPr>
          <w:p>
            <w:pP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营业收入总额的</w:t>
            </w:r>
          </w:p>
        </w:tc>
        <w:tc>
          <w:tcPr>
            <w:tcW w:w="1487" w:type="dxa"/>
            <w:tcBorders>
              <w:top w:val="nil" w:sz="6" w:space="0" w:color="auto"/>
              <w:left w:val="single" w:sz="4" w:space="0" w:color="000000"/>
              <w:bottom w:val="single" w:sz="12" w:space="0" w:color="000000"/>
              <w:right w:val="single" w:sz="36"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级</w:t>
            </w:r>
            <w:r>
              <w:rPr>
                <w:rFonts w:ascii="Times New Roman" w:hAnsi="Times New Roman" w:cs="Times New Roman" w:eastAsia="Times New Roman" w:hint="default"/>
                <w:sz w:val="18"/>
                <w:szCs w:val="18"/>
              </w:rPr>
              <w:t>)</w:t>
            </w:r>
            <w:r>
              <w:rPr>
                <w:rFonts w:ascii="宋体" w:hAnsi="宋体" w:cs="宋体" w:eastAsia="宋体" w:hint="default"/>
                <w:sz w:val="18"/>
                <w:szCs w:val="18"/>
              </w:rPr>
              <w:t>以下政府部</w:t>
            </w:r>
          </w:p>
        </w:tc>
      </w:tr>
    </w:tbl>
    <w:p>
      <w:pPr>
        <w:spacing w:after="0" w:line="200" w:lineRule="exact"/>
        <w:jc w:val="left"/>
        <w:rPr>
          <w:rFonts w:ascii="宋体" w:hAnsi="宋体" w:cs="宋体" w:eastAsia="宋体" w:hint="default"/>
          <w:sz w:val="18"/>
          <w:szCs w:val="18"/>
        </w:rPr>
        <w:sectPr>
          <w:pgSz w:w="11910" w:h="16840"/>
          <w:pgMar w:header="0" w:footer="1226" w:top="1100" w:bottom="1420" w:left="980" w:right="0"/>
        </w:sectPr>
      </w:pPr>
    </w:p>
    <w:p>
      <w:pPr>
        <w:spacing w:line="240" w:lineRule="auto" w:before="11"/>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135"/>
        <w:gridCol w:w="126"/>
        <w:gridCol w:w="1148"/>
        <w:gridCol w:w="994"/>
        <w:gridCol w:w="1276"/>
        <w:gridCol w:w="584"/>
        <w:gridCol w:w="975"/>
        <w:gridCol w:w="1844"/>
        <w:gridCol w:w="1487"/>
      </w:tblGrid>
      <w:tr>
        <w:trPr>
          <w:trHeight w:val="863" w:hRule="exact"/>
        </w:trPr>
        <w:tc>
          <w:tcPr>
            <w:tcW w:w="1135" w:type="dxa"/>
            <w:vMerge w:val="restart"/>
            <w:tcBorders>
              <w:top w:val="single" w:sz="12" w:space="0" w:color="000000"/>
              <w:left w:val="single" w:sz="12" w:space="0" w:color="000000"/>
              <w:right w:val="single" w:sz="4" w:space="0" w:color="000000"/>
            </w:tcBorders>
            <w:shd w:val="clear" w:color="auto" w:fill="D2D2D2"/>
          </w:tcPr>
          <w:p>
            <w:pPr/>
          </w:p>
        </w:tc>
        <w:tc>
          <w:tcPr>
            <w:tcW w:w="126" w:type="dxa"/>
            <w:vMerge w:val="restart"/>
            <w:tcBorders>
              <w:top w:val="single" w:sz="12" w:space="0" w:color="000000"/>
              <w:left w:val="single" w:sz="4" w:space="0" w:color="000000"/>
              <w:right w:val="single" w:sz="4" w:space="0" w:color="000000"/>
            </w:tcBorders>
          </w:tcPr>
          <w:p>
            <w:pP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sz w:val="18"/>
              </w:rPr>
              <w:t>0.2%</w:t>
            </w:r>
          </w:p>
        </w:tc>
        <w:tc>
          <w:tcPr>
            <w:tcW w:w="584" w:type="dxa"/>
            <w:vMerge w:val="restart"/>
            <w:tcBorders>
              <w:top w:val="single" w:sz="12" w:space="0" w:color="000000"/>
              <w:left w:val="single" w:sz="4" w:space="0" w:color="000000"/>
              <w:right w:val="single" w:sz="4" w:space="0" w:color="000000"/>
            </w:tcBorders>
          </w:tcPr>
          <w:p>
            <w:pPr/>
          </w:p>
        </w:tc>
        <w:tc>
          <w:tcPr>
            <w:tcW w:w="975" w:type="dxa"/>
            <w:vMerge w:val="restart"/>
            <w:tcBorders>
              <w:top w:val="single" w:sz="12" w:space="0" w:color="000000"/>
              <w:left w:val="single" w:sz="17" w:space="0" w:color="000000"/>
              <w:right w:val="single" w:sz="4" w:space="0" w:color="000000"/>
            </w:tcBorders>
          </w:tcPr>
          <w:p>
            <w:pPr/>
          </w:p>
        </w:tc>
        <w:tc>
          <w:tcPr>
            <w:tcW w:w="1844" w:type="dxa"/>
            <w:vMerge w:val="restart"/>
            <w:tcBorders>
              <w:top w:val="single" w:sz="12" w:space="0" w:color="000000"/>
              <w:left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与资产总额的</w:t>
            </w: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的孰低者</w:t>
            </w:r>
          </w:p>
        </w:tc>
        <w:tc>
          <w:tcPr>
            <w:tcW w:w="1487" w:type="dxa"/>
            <w:vMerge w:val="restart"/>
            <w:tcBorders>
              <w:top w:val="single" w:sz="12" w:space="0" w:color="000000"/>
              <w:left w:val="single" w:sz="4" w:space="0" w:color="000000"/>
              <w:right w:val="single" w:sz="36" w:space="0" w:color="000000"/>
            </w:tcBorders>
          </w:tcPr>
          <w:p>
            <w:pPr>
              <w:pStyle w:val="TableParagraph"/>
              <w:spacing w:line="367" w:lineRule="auto" w:before="82"/>
              <w:ind w:left="103" w:right="254"/>
              <w:jc w:val="both"/>
              <w:rPr>
                <w:rFonts w:ascii="宋体" w:hAnsi="宋体" w:cs="宋体" w:eastAsia="宋体" w:hint="default"/>
                <w:sz w:val="18"/>
                <w:szCs w:val="18"/>
              </w:rPr>
            </w:pPr>
            <w:r>
              <w:rPr>
                <w:rFonts w:ascii="宋体" w:hAnsi="宋体" w:cs="宋体" w:eastAsia="宋体" w:hint="default"/>
                <w:sz w:val="18"/>
                <w:szCs w:val="18"/>
              </w:rPr>
              <w:t>门处罚但对未 对公司造成负 面影响</w:t>
            </w:r>
          </w:p>
        </w:tc>
      </w:tr>
      <w:tr>
        <w:trPr>
          <w:trHeight w:val="282" w:hRule="exact"/>
        </w:trPr>
        <w:tc>
          <w:tcPr>
            <w:tcW w:w="1135" w:type="dxa"/>
            <w:vMerge/>
            <w:tcBorders>
              <w:left w:val="single" w:sz="12" w:space="0" w:color="000000"/>
              <w:right w:val="single" w:sz="4" w:space="0" w:color="000000"/>
            </w:tcBorders>
            <w:shd w:val="clear" w:color="auto" w:fill="D2D2D2"/>
          </w:tcPr>
          <w:p>
            <w:pPr/>
          </w:p>
        </w:tc>
        <w:tc>
          <w:tcPr>
            <w:tcW w:w="126"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270"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584" w:type="dxa"/>
            <w:vMerge/>
            <w:tcBorders>
              <w:left w:val="single" w:sz="4" w:space="0" w:color="000000"/>
              <w:right w:val="single" w:sz="4" w:space="0" w:color="000000"/>
            </w:tcBorders>
          </w:tcPr>
          <w:p>
            <w:pPr/>
          </w:p>
        </w:tc>
        <w:tc>
          <w:tcPr>
            <w:tcW w:w="975" w:type="dxa"/>
            <w:vMerge/>
            <w:tcBorders>
              <w:left w:val="single" w:sz="17"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487" w:type="dxa"/>
            <w:vMerge/>
            <w:tcBorders>
              <w:left w:val="single" w:sz="4" w:space="0" w:color="000000"/>
              <w:bottom w:val="single" w:sz="4" w:space="0" w:color="000000"/>
              <w:right w:val="single" w:sz="36" w:space="0" w:color="000000"/>
            </w:tcBorders>
          </w:tcPr>
          <w:p>
            <w:pPr/>
          </w:p>
        </w:tc>
      </w:tr>
      <w:tr>
        <w:trPr>
          <w:trHeight w:val="441" w:hRule="exact"/>
        </w:trPr>
        <w:tc>
          <w:tcPr>
            <w:tcW w:w="1135" w:type="dxa"/>
            <w:vMerge/>
            <w:tcBorders>
              <w:left w:val="single" w:sz="12" w:space="0" w:color="000000"/>
              <w:bottom w:val="single" w:sz="4" w:space="0" w:color="000000"/>
              <w:right w:val="single" w:sz="4" w:space="0" w:color="000000"/>
            </w:tcBorders>
            <w:shd w:val="clear" w:color="auto" w:fill="D2D2D2"/>
          </w:tcPr>
          <w:p>
            <w:pPr/>
          </w:p>
        </w:tc>
        <w:tc>
          <w:tcPr>
            <w:tcW w:w="126" w:type="dxa"/>
            <w:vMerge/>
            <w:tcBorders>
              <w:left w:val="single" w:sz="4" w:space="0" w:color="000000"/>
              <w:bottom w:val="single" w:sz="16" w:space="0" w:color="D2D2D2"/>
              <w:right w:val="single" w:sz="4" w:space="0" w:color="000000"/>
            </w:tcBorders>
          </w:tcPr>
          <w:p>
            <w:pPr/>
          </w:p>
        </w:tc>
        <w:tc>
          <w:tcPr>
            <w:tcW w:w="1148" w:type="dxa"/>
            <w:vMerge/>
            <w:tcBorders>
              <w:left w:val="single" w:sz="4" w:space="0" w:color="000000"/>
              <w:bottom w:val="single" w:sz="12" w:space="0" w:color="D2D2D2"/>
              <w:right w:val="single" w:sz="4" w:space="0" w:color="000000"/>
            </w:tcBorders>
          </w:tcPr>
          <w:p>
            <w:pPr/>
          </w:p>
        </w:tc>
        <w:tc>
          <w:tcPr>
            <w:tcW w:w="2270" w:type="dxa"/>
            <w:gridSpan w:val="2"/>
            <w:vMerge/>
            <w:tcBorders>
              <w:left w:val="single" w:sz="4" w:space="0" w:color="000000"/>
              <w:bottom w:val="single" w:sz="8" w:space="0" w:color="D2D2D2"/>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4306" w:type="dxa"/>
            <w:gridSpan w:val="3"/>
            <w:tcBorders>
              <w:top w:val="single" w:sz="4" w:space="0" w:color="000000"/>
              <w:left w:val="single" w:sz="4" w:space="0" w:color="000000"/>
              <w:bottom w:val="single" w:sz="4" w:space="0" w:color="000000"/>
              <w:right w:val="single" w:sz="12" w:space="0" w:color="000000"/>
            </w:tcBorders>
          </w:tcPr>
          <w:p>
            <w:pPr/>
          </w:p>
        </w:tc>
      </w:tr>
      <w:tr>
        <w:trPr>
          <w:trHeight w:val="469" w:hRule="exact"/>
        </w:trPr>
        <w:tc>
          <w:tcPr>
            <w:tcW w:w="340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7"/>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166"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40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166"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3403"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166"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3403"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166"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5"/>
        <w:jc w:val="left"/>
        <w:rPr>
          <w:b w:val="0"/>
          <w:bCs w:val="0"/>
        </w:rPr>
      </w:pPr>
      <w:bookmarkStart w:name="十、内部控制审计报告" w:id="151"/>
      <w:bookmarkEnd w:id="151"/>
      <w:r>
        <w:rPr>
          <w:b w:val="0"/>
          <w:bCs w:val="0"/>
        </w:rPr>
      </w:r>
      <w:r>
        <w:rPr/>
        <w:t>十、内部控制审计报告</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663"/>
        <w:gridCol w:w="6906"/>
      </w:tblGrid>
      <w:tr>
        <w:trPr>
          <w:trHeight w:val="459" w:hRule="exact"/>
        </w:trPr>
        <w:tc>
          <w:tcPr>
            <w:tcW w:w="9569"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54" w:hRule="exact"/>
        </w:trPr>
        <w:tc>
          <w:tcPr>
            <w:tcW w:w="9569" w:type="dxa"/>
            <w:gridSpan w:val="2"/>
            <w:tcBorders>
              <w:top w:val="single" w:sz="16" w:space="0" w:color="D2D2D2"/>
              <w:left w:val="single" w:sz="12" w:space="0" w:color="000000"/>
              <w:bottom w:val="single" w:sz="4" w:space="0" w:color="000000"/>
              <w:right w:val="single" w:sz="12" w:space="0" w:color="000000"/>
            </w:tcBorders>
          </w:tcPr>
          <w:p>
            <w:pPr>
              <w:pStyle w:val="TableParagraph"/>
              <w:spacing w:line="316" w:lineRule="auto" w:before="51"/>
              <w:ind w:left="13" w:right="73"/>
              <w:jc w:val="left"/>
              <w:rPr>
                <w:rFonts w:ascii="宋体" w:hAnsi="宋体" w:cs="宋体" w:eastAsia="宋体" w:hint="default"/>
                <w:sz w:val="18"/>
                <w:szCs w:val="18"/>
              </w:rPr>
            </w:pPr>
            <w:r>
              <w:rPr>
                <w:rFonts w:ascii="宋体" w:hAnsi="宋体" w:cs="宋体" w:eastAsia="宋体" w:hint="default"/>
                <w:spacing w:val="-2"/>
                <w:sz w:val="18"/>
                <w:szCs w:val="18"/>
              </w:rPr>
              <w:t>按照《企业内部控制审计指引》及中国注册会计师执业准则的相关要求，信永中和会计师事务所（特殊普通合伙）（以下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日的财务报告内部控制的有效性进行了审计，出具了信永中和</w:t>
            </w:r>
          </w:p>
          <w:p>
            <w:pPr>
              <w:pStyle w:val="TableParagraph"/>
              <w:spacing w:line="248" w:lineRule="exact"/>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ZH/2016BJA10123</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2"/>
                <w:w w:val="99"/>
                <w:sz w:val="18"/>
                <w:szCs w:val="18"/>
              </w:rPr>
              <w:t>号</w:t>
            </w:r>
            <w:r>
              <w:rPr>
                <w:rFonts w:ascii="宋体" w:hAnsi="宋体" w:cs="宋体" w:eastAsia="宋体" w:hint="default"/>
                <w:w w:val="99"/>
                <w:sz w:val="18"/>
                <w:szCs w:val="18"/>
              </w:rPr>
              <w:t>《内部控制审计报告</w:t>
            </w:r>
            <w:r>
              <w:rPr>
                <w:rFonts w:ascii="宋体" w:hAnsi="宋体" w:cs="宋体" w:eastAsia="宋体" w:hint="default"/>
                <w:spacing w:val="-90"/>
                <w:w w:val="99"/>
                <w:sz w:val="18"/>
                <w:szCs w:val="18"/>
              </w:rPr>
              <w:t>》</w:t>
            </w:r>
            <w:r>
              <w:rPr>
                <w:rFonts w:ascii="宋体" w:hAnsi="宋体" w:cs="宋体" w:eastAsia="宋体" w:hint="default"/>
                <w:spacing w:val="-22"/>
                <w:w w:val="99"/>
                <w:sz w:val="18"/>
                <w:szCs w:val="18"/>
              </w:rPr>
              <w:t>，</w:t>
            </w:r>
            <w:r>
              <w:rPr>
                <w:rFonts w:ascii="宋体" w:hAnsi="宋体" w:cs="宋体" w:eastAsia="宋体" w:hint="default"/>
                <w:w w:val="99"/>
                <w:sz w:val="18"/>
                <w:szCs w:val="18"/>
              </w:rPr>
              <w:t>并发表如下意见</w:t>
            </w:r>
            <w:r>
              <w:rPr>
                <w:rFonts w:ascii="宋体" w:hAnsi="宋体" w:cs="宋体" w:eastAsia="宋体" w:hint="default"/>
                <w:spacing w:val="-22"/>
                <w:w w:val="99"/>
                <w:sz w:val="18"/>
                <w:szCs w:val="18"/>
              </w:rPr>
              <w:t>：</w:t>
            </w:r>
            <w:r>
              <w:rPr>
                <w:rFonts w:ascii="宋体" w:hAnsi="宋体" w:cs="宋体" w:eastAsia="宋体" w:hint="default"/>
                <w:w w:val="99"/>
                <w:sz w:val="18"/>
                <w:szCs w:val="18"/>
              </w:rPr>
              <w:t>信永中和认为</w:t>
            </w:r>
            <w:r>
              <w:rPr>
                <w:rFonts w:ascii="宋体" w:hAnsi="宋体" w:cs="宋体" w:eastAsia="宋体" w:hint="default"/>
                <w:spacing w:val="-22"/>
                <w:w w:val="99"/>
                <w:sz w:val="18"/>
                <w:szCs w:val="18"/>
              </w:rPr>
              <w:t>，</w:t>
            </w:r>
            <w:r>
              <w:rPr>
                <w:rFonts w:ascii="宋体" w:hAnsi="宋体" w:cs="宋体" w:eastAsia="宋体" w:hint="default"/>
                <w:w w:val="99"/>
                <w:sz w:val="18"/>
                <w:szCs w:val="18"/>
              </w:rPr>
              <w:t>神州数码信息服务股份有限公司于</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2015</w:t>
            </w:r>
            <w:r>
              <w:rPr>
                <w:rFonts w:ascii="Times New Roman" w:hAnsi="Times New Roman" w:cs="Times New Roman" w:eastAsia="Times New Roman" w:hint="default"/>
                <w:sz w:val="18"/>
                <w:szCs w:val="18"/>
              </w:rPr>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64"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64"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z w:val="18"/>
                <w:szCs w:val="18"/>
              </w:rPr>
              <w:t>：内</w:t>
            </w:r>
            <w:r>
              <w:rPr>
                <w:rFonts w:ascii="宋体" w:hAnsi="宋体" w:cs="宋体" w:eastAsia="宋体" w:hint="default"/>
                <w:spacing w:val="-2"/>
                <w:sz w:val="18"/>
                <w:szCs w:val="18"/>
              </w:rPr>
              <w:t>部</w:t>
            </w:r>
            <w:r>
              <w:rPr>
                <w:rFonts w:ascii="宋体" w:hAnsi="宋体" w:cs="宋体" w:eastAsia="宋体" w:hint="default"/>
                <w:sz w:val="18"/>
                <w:szCs w:val="18"/>
              </w:rPr>
              <w:t>控制审计报告</w:t>
            </w:r>
          </w:p>
        </w:tc>
      </w:tr>
      <w:tr>
        <w:trPr>
          <w:trHeight w:val="463"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75" w:hRule="exact"/>
        </w:trPr>
        <w:tc>
          <w:tcPr>
            <w:tcW w:w="26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26"/>
        <w:ind w:left="154" w:right="1135"/>
        <w:jc w:val="left"/>
      </w:pPr>
      <w:r>
        <w:rPr/>
        <w:t>会计师事务所是否出具非标准意见的内部控制审计报告</w:t>
      </w:r>
    </w:p>
    <w:p>
      <w:pPr>
        <w:pStyle w:val="BodyText"/>
        <w:spacing w:line="290" w:lineRule="auto" w:before="78"/>
        <w:ind w:left="154" w:right="3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会计师事务所出具的内部控制审计报告与董事会的自我评价报告意见是否一致</w:t>
      </w:r>
    </w:p>
    <w:p>
      <w:pPr>
        <w:pStyle w:val="BodyText"/>
        <w:spacing w:line="240" w:lineRule="auto" w:before="32"/>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7"/>
        <w:jc w:val="center"/>
        <w:rPr>
          <w:b w:val="0"/>
          <w:bCs w:val="0"/>
        </w:rPr>
      </w:pPr>
      <w:bookmarkStart w:name="第十节财务报告" w:id="152"/>
      <w:bookmarkEnd w:id="152"/>
      <w:r>
        <w:rPr>
          <w:b w:val="0"/>
          <w:bCs w:val="0"/>
        </w:rPr>
      </w:r>
      <w:bookmarkStart w:name="_bookmark9" w:id="153"/>
      <w:bookmarkEnd w:id="153"/>
      <w:r>
        <w:rPr>
          <w:b w:val="0"/>
          <w:bCs w:val="0"/>
        </w:rPr>
      </w:r>
      <w:r>
        <w:rPr/>
        <w:t>第十节财务报告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5"/>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5"/>
        <w:gridCol w:w="4784"/>
      </w:tblGrid>
      <w:tr>
        <w:trPr>
          <w:trHeight w:val="475" w:hRule="exact"/>
        </w:trPr>
        <w:tc>
          <w:tcPr>
            <w:tcW w:w="47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63"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XYZH/2016BJA10122</w:t>
            </w:r>
          </w:p>
        </w:tc>
      </w:tr>
      <w:tr>
        <w:trPr>
          <w:trHeight w:val="473" w:hRule="exact"/>
        </w:trPr>
        <w:tc>
          <w:tcPr>
            <w:tcW w:w="47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唐炫、晁小燕</w:t>
            </w:r>
          </w:p>
        </w:tc>
      </w:tr>
    </w:tbl>
    <w:p>
      <w:pPr>
        <w:spacing w:line="240" w:lineRule="auto" w:before="3"/>
        <w:rPr>
          <w:rFonts w:ascii="宋体" w:hAnsi="宋体" w:cs="宋体" w:eastAsia="宋体" w:hint="default"/>
          <w:b/>
          <w:bCs/>
          <w:sz w:val="26"/>
          <w:szCs w:val="26"/>
        </w:rPr>
      </w:pPr>
    </w:p>
    <w:p>
      <w:pPr>
        <w:pStyle w:val="BodyText"/>
        <w:spacing w:line="240" w:lineRule="auto" w:before="35"/>
        <w:ind w:left="4344" w:right="1135"/>
        <w:jc w:val="left"/>
      </w:pPr>
      <w:r>
        <w:rPr/>
        <w:t>审计报告正文</w:t>
      </w:r>
    </w:p>
    <w:p>
      <w:pPr>
        <w:spacing w:line="240" w:lineRule="auto" w:before="0"/>
        <w:rPr>
          <w:rFonts w:ascii="宋体" w:hAnsi="宋体" w:cs="宋体" w:eastAsia="宋体" w:hint="default"/>
          <w:sz w:val="20"/>
          <w:szCs w:val="20"/>
        </w:rPr>
      </w:pPr>
    </w:p>
    <w:p>
      <w:pPr>
        <w:spacing w:line="357" w:lineRule="auto" w:before="159"/>
        <w:ind w:left="595" w:right="1115" w:hanging="442"/>
        <w:jc w:val="left"/>
        <w:rPr>
          <w:rFonts w:ascii="宋体" w:hAnsi="宋体" w:cs="宋体" w:eastAsia="宋体" w:hint="default"/>
          <w:sz w:val="22"/>
          <w:szCs w:val="22"/>
        </w:rPr>
      </w:pPr>
      <w:r>
        <w:rPr>
          <w:rFonts w:ascii="宋体" w:hAnsi="宋体" w:cs="宋体" w:eastAsia="宋体" w:hint="default"/>
          <w:b/>
          <w:bCs/>
          <w:sz w:val="22"/>
          <w:szCs w:val="22"/>
        </w:rPr>
        <w:t>神州数码信息服务股份有限公司全体股东：</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我们审计了后附的神州数码信息服务股份有限公司（以下简称神州信息）财务报表，包括</w:t>
      </w:r>
      <w:r>
        <w:rPr>
          <w:rFonts w:ascii="Times New Roman" w:hAnsi="Times New Roman" w:cs="Times New Roman" w:eastAsia="Times New Roman" w:hint="default"/>
          <w:spacing w:val="-1"/>
          <w:sz w:val="22"/>
          <w:szCs w:val="22"/>
        </w:rPr>
        <w:t>2015</w:t>
      </w:r>
      <w:r>
        <w:rPr>
          <w:rFonts w:ascii="宋体" w:hAnsi="宋体" w:cs="宋体" w:eastAsia="宋体" w:hint="default"/>
          <w:spacing w:val="-1"/>
          <w:sz w:val="22"/>
          <w:szCs w:val="22"/>
        </w:rPr>
        <w:t>年</w:t>
      </w:r>
    </w:p>
    <w:p>
      <w:pPr>
        <w:pStyle w:val="Heading5"/>
        <w:spacing w:line="369" w:lineRule="auto" w:before="44"/>
        <w:ind w:left="153"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2015</w:t>
      </w:r>
      <w:r>
        <w:rPr/>
        <w:t>年度的合并及母公司利润表、合并及母公司现金流量表、</w:t>
      </w:r>
      <w:r>
        <w:rPr>
          <w:spacing w:val="-73"/>
        </w:rPr>
        <w:t> </w:t>
      </w:r>
      <w:r>
        <w:rPr>
          <w:spacing w:val="-73"/>
        </w:rPr>
      </w:r>
      <w:r>
        <w:rPr/>
        <w:t>合并及母公司股东权益变动表以及财务报表附注。</w:t>
      </w:r>
    </w:p>
    <w:p>
      <w:pPr>
        <w:spacing w:line="240" w:lineRule="auto" w:before="13"/>
        <w:rPr>
          <w:rFonts w:ascii="宋体" w:hAnsi="宋体" w:cs="宋体" w:eastAsia="宋体" w:hint="default"/>
          <w:sz w:val="16"/>
          <w:szCs w:val="16"/>
        </w:rPr>
      </w:pPr>
    </w:p>
    <w:p>
      <w:pPr>
        <w:spacing w:line="357" w:lineRule="auto" w:before="0"/>
        <w:ind w:left="595" w:right="1135" w:hanging="111"/>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编制和公允列报财务报表是神州信息管理层的责任，这种责任包括：（</w:t>
      </w:r>
      <w:r>
        <w:rPr>
          <w:rFonts w:ascii="宋体" w:hAnsi="宋体" w:cs="宋体" w:eastAsia="宋体" w:hint="default"/>
          <w:sz w:val="22"/>
          <w:szCs w:val="22"/>
        </w:rPr>
        <w:t>1</w:t>
      </w:r>
      <w:r>
        <w:rPr>
          <w:rFonts w:ascii="宋体" w:hAnsi="宋体" w:cs="宋体" w:eastAsia="宋体" w:hint="default"/>
          <w:sz w:val="22"/>
          <w:szCs w:val="22"/>
        </w:rPr>
        <w:t>）按照企业会计准则的</w:t>
      </w:r>
    </w:p>
    <w:p>
      <w:pPr>
        <w:pStyle w:val="Heading5"/>
        <w:spacing w:line="391" w:lineRule="auto" w:before="72"/>
        <w:ind w:left="153" w:right="1135"/>
        <w:jc w:val="left"/>
      </w:pPr>
      <w:r>
        <w:rPr/>
        <w:t>规定编制财务报表，并使其实现公允反映；（</w:t>
      </w:r>
      <w:r>
        <w:rPr>
          <w:rFonts w:ascii="宋体" w:hAnsi="宋体" w:cs="宋体" w:eastAsia="宋体" w:hint="default"/>
        </w:rPr>
        <w:t>2</w:t>
      </w:r>
      <w:r>
        <w:rPr/>
        <w:t>）设计、执行和维护必要的内部控制，以使财务报表</w:t>
      </w:r>
      <w:r>
        <w:rPr>
          <w:spacing w:val="-70"/>
        </w:rPr>
        <w:t> </w:t>
      </w:r>
      <w:r>
        <w:rPr>
          <w:spacing w:val="-70"/>
        </w:rPr>
      </w:r>
      <w:r>
        <w:rPr/>
        <w:t>不存在由于舞弊或错误导致的重大错报。</w:t>
      </w:r>
    </w:p>
    <w:p>
      <w:pPr>
        <w:spacing w:line="240" w:lineRule="auto" w:before="7"/>
        <w:rPr>
          <w:rFonts w:ascii="宋体" w:hAnsi="宋体" w:cs="宋体" w:eastAsia="宋体" w:hint="default"/>
          <w:sz w:val="15"/>
          <w:szCs w:val="15"/>
        </w:rPr>
      </w:pPr>
    </w:p>
    <w:p>
      <w:pPr>
        <w:spacing w:line="357" w:lineRule="auto" w:before="0"/>
        <w:ind w:left="595" w:right="1135" w:hanging="111"/>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我们的责任是在执行审计工作的基础上对财务报表发表审计意见。我们按照中国注册会计师审计</w:t>
      </w:r>
    </w:p>
    <w:p>
      <w:pPr>
        <w:pStyle w:val="Heading5"/>
        <w:spacing w:line="391" w:lineRule="auto" w:before="72"/>
        <w:ind w:left="153" w:right="1117"/>
        <w:jc w:val="left"/>
      </w:pPr>
      <w:r>
        <w:rPr>
          <w:spacing w:val="-1"/>
        </w:rPr>
        <w:t>准则的规定执行了审计工作。中国注册会计师审计准则要求我们遵守职业道德守则，计划和执行审计</w:t>
      </w:r>
      <w:r>
        <w:rPr>
          <w:w w:val="99"/>
        </w:rPr>
        <w:t> </w:t>
      </w:r>
      <w:r>
        <w:rPr/>
        <w:t>工作以对财务报表是否不存在重大错报获取合理保证。</w:t>
      </w:r>
    </w:p>
    <w:p>
      <w:pPr>
        <w:pStyle w:val="Heading5"/>
        <w:spacing w:line="391" w:lineRule="auto" w:before="80"/>
        <w:ind w:left="153" w:right="1036" w:firstLine="441"/>
        <w:jc w:val="both"/>
      </w:pPr>
      <w:r>
        <w:rPr/>
        <w:t>审计工作涉及实施审计程序，以获取有关财务报表金额和披露的审计证据。选择的审计程序取决</w:t>
      </w:r>
      <w:r>
        <w:rPr>
          <w:w w:val="99"/>
        </w:rPr>
        <w:t> </w:t>
      </w:r>
      <w:r>
        <w:rPr/>
        <w:t>于注册会计师的判断，包括对由于舞弊或错误导致的财务报表重大错报风险的评估。在进行风险评估</w:t>
      </w:r>
      <w:r>
        <w:rPr>
          <w:w w:val="99"/>
        </w:rPr>
        <w:t> </w:t>
      </w:r>
      <w:r>
        <w:rPr/>
        <w:t>时，注册会计师考虑与财务报表编制和公允列报相关的内部控制，以设计恰当的审计程序。审计工作</w:t>
      </w:r>
      <w:r>
        <w:rPr>
          <w:w w:val="99"/>
        </w:rPr>
        <w:t> </w:t>
      </w:r>
      <w:r>
        <w:rPr/>
        <w:t>还包括评价管理层选用会计政策的恰当性和作出会计估计的合理性，以及评价财务报表的总体列报。</w:t>
      </w:r>
    </w:p>
    <w:p>
      <w:pPr>
        <w:pStyle w:val="Heading5"/>
        <w:spacing w:line="240" w:lineRule="auto" w:before="81"/>
        <w:ind w:left="595" w:right="1135"/>
        <w:jc w:val="left"/>
      </w:pPr>
      <w:r>
        <w:rPr/>
        <w:t>我们相信，我们获取的审计证据是充分、适当的，为发表审计意见提供了基础。</w:t>
      </w:r>
    </w:p>
    <w:p>
      <w:pPr>
        <w:spacing w:after="0" w:line="240" w:lineRule="auto"/>
        <w:jc w:val="left"/>
        <w:sectPr>
          <w:pgSz w:w="11910" w:h="16840"/>
          <w:pgMar w:header="0" w:footer="1226" w:top="1100" w:bottom="1420" w:left="980" w:right="0"/>
        </w:sectPr>
      </w:pPr>
    </w:p>
    <w:p>
      <w:pPr>
        <w:spacing w:line="240" w:lineRule="auto" w:before="4"/>
        <w:rPr>
          <w:rFonts w:ascii="宋体" w:hAnsi="宋体" w:cs="宋体" w:eastAsia="宋体" w:hint="default"/>
          <w:sz w:val="20"/>
          <w:szCs w:val="20"/>
        </w:rPr>
      </w:pPr>
    </w:p>
    <w:p>
      <w:pPr>
        <w:spacing w:before="31"/>
        <w:ind w:left="153" w:right="1135" w:firstLine="0"/>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15"/>
          <w:szCs w:val="15"/>
        </w:rPr>
      </w:pPr>
    </w:p>
    <w:p>
      <w:pPr>
        <w:pStyle w:val="Heading5"/>
        <w:spacing w:line="391" w:lineRule="auto"/>
        <w:ind w:left="153" w:right="1135" w:firstLine="328"/>
        <w:jc w:val="left"/>
      </w:pPr>
      <w:r>
        <w:rPr/>
        <w:t>我们认为，神州信息财务报表在所有重大方面按照企业会计准则的规定编制，公允反映了神州信</w:t>
      </w:r>
      <w:r>
        <w:rPr>
          <w:w w:val="99"/>
        </w:rPr>
        <w:t> </w:t>
      </w:r>
      <w:r>
        <w:rPr/>
        <w:t>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4424"/>
        <w:gridCol w:w="2888"/>
      </w:tblGrid>
      <w:tr>
        <w:trPr>
          <w:trHeight w:val="677"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20" w:lineRule="exact"/>
              <w:ind w:right="63"/>
              <w:jc w:val="center"/>
              <w:rPr>
                <w:rFonts w:ascii="宋体" w:hAnsi="宋体" w:cs="宋体" w:eastAsia="宋体" w:hint="default"/>
                <w:sz w:val="22"/>
                <w:szCs w:val="22"/>
              </w:rPr>
            </w:pPr>
            <w:r>
              <w:rPr>
                <w:rFonts w:ascii="宋体" w:hAnsi="宋体" w:cs="宋体" w:eastAsia="宋体" w:hint="default"/>
                <w:sz w:val="22"/>
                <w:szCs w:val="22"/>
              </w:rPr>
              <w:t>信永中和会计师事务所（特殊普通合伙）</w:t>
            </w:r>
          </w:p>
        </w:tc>
        <w:tc>
          <w:tcPr>
            <w:tcW w:w="2888" w:type="dxa"/>
            <w:tcBorders>
              <w:top w:val="nil" w:sz="6" w:space="0" w:color="auto"/>
              <w:left w:val="nil" w:sz="6" w:space="0" w:color="auto"/>
              <w:bottom w:val="nil" w:sz="6" w:space="0" w:color="auto"/>
              <w:right w:val="nil" w:sz="6" w:space="0" w:color="auto"/>
            </w:tcBorders>
          </w:tcPr>
          <w:p>
            <w:pPr>
              <w:pStyle w:val="TableParagraph"/>
              <w:spacing w:line="220" w:lineRule="exact"/>
              <w:ind w:left="265" w:right="0"/>
              <w:jc w:val="left"/>
              <w:rPr>
                <w:rFonts w:ascii="宋体" w:hAnsi="宋体" w:cs="宋体" w:eastAsia="宋体" w:hint="default"/>
                <w:sz w:val="22"/>
                <w:szCs w:val="22"/>
              </w:rPr>
            </w:pPr>
            <w:r>
              <w:rPr>
                <w:rFonts w:ascii="宋体" w:hAnsi="宋体" w:cs="宋体" w:eastAsia="宋体" w:hint="default"/>
                <w:sz w:val="22"/>
                <w:szCs w:val="22"/>
              </w:rPr>
              <w:t>中国注册会计师：唐炫</w:t>
            </w:r>
          </w:p>
        </w:tc>
      </w:tr>
      <w:tr>
        <w:trPr>
          <w:trHeight w:val="1136" w:hRule="exact"/>
        </w:trPr>
        <w:tc>
          <w:tcPr>
            <w:tcW w:w="4424"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65" w:right="0"/>
              <w:jc w:val="left"/>
              <w:rPr>
                <w:rFonts w:ascii="宋体" w:hAnsi="宋体" w:cs="宋体" w:eastAsia="宋体" w:hint="default"/>
                <w:sz w:val="22"/>
                <w:szCs w:val="22"/>
              </w:rPr>
            </w:pPr>
            <w:r>
              <w:rPr>
                <w:rFonts w:ascii="宋体" w:hAnsi="宋体" w:cs="宋体" w:eastAsia="宋体" w:hint="default"/>
                <w:sz w:val="22"/>
                <w:szCs w:val="22"/>
              </w:rPr>
              <w:t>中国注册会计师：晁小燕</w:t>
            </w:r>
          </w:p>
        </w:tc>
      </w:tr>
      <w:tr>
        <w:trPr>
          <w:trHeight w:val="69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tabs>
                <w:tab w:pos="839" w:val="left" w:leader="none"/>
              </w:tabs>
              <w:spacing w:line="240" w:lineRule="auto"/>
              <w:ind w:right="61"/>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65"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一六年三月二十九日</w:t>
            </w:r>
          </w:p>
        </w:tc>
      </w:tr>
    </w:tbl>
    <w:p>
      <w:pPr>
        <w:spacing w:after="0" w:line="240" w:lineRule="auto"/>
        <w:jc w:val="left"/>
        <w:rPr>
          <w:rFonts w:ascii="宋体" w:hAnsi="宋体" w:cs="宋体" w:eastAsia="宋体" w:hint="default"/>
          <w:sz w:val="22"/>
          <w:szCs w:val="22"/>
        </w:rPr>
        <w:sectPr>
          <w:pgSz w:w="11910" w:h="16840"/>
          <w:pgMar w:header="0" w:footer="1226" w:top="1100" w:bottom="142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511" w:lineRule="auto" w:before="26"/>
        <w:ind w:left="153" w:right="7393" w:firstLine="0"/>
        <w:jc w:val="left"/>
        <w:rPr>
          <w:rFonts w:ascii="宋体" w:hAnsi="宋体" w:cs="宋体" w:eastAsia="宋体" w:hint="default"/>
          <w:sz w:val="21"/>
          <w:szCs w:val="21"/>
        </w:rPr>
      </w:pPr>
      <w:bookmarkStart w:name="二、财务报表" w:id="155"/>
      <w:bookmarkEnd w:id="155"/>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bookmarkStart w:name="1、合并资产负债表" w:id="156"/>
      <w:bookmarkEnd w:id="156"/>
      <w:r>
        <w:rPr>
          <w:rFonts w:ascii="宋体" w:hAnsi="宋体" w:cs="宋体" w:eastAsia="宋体" w:hint="default"/>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7"/>
          <w:szCs w:val="7"/>
        </w:rPr>
      </w:pPr>
    </w:p>
    <w:p>
      <w:pPr>
        <w:spacing w:after="0" w:line="240" w:lineRule="auto"/>
        <w:rPr>
          <w:rFonts w:ascii="宋体" w:hAnsi="宋体" w:cs="宋体" w:eastAsia="宋体" w:hint="default"/>
          <w:sz w:val="7"/>
          <w:szCs w:val="7"/>
        </w:rPr>
        <w:sectPr>
          <w:pgSz w:w="11910" w:h="16840"/>
          <w:pgMar w:header="0" w:footer="1226" w:top="1100" w:bottom="1420" w:left="980" w:right="0"/>
        </w:sectPr>
      </w:pPr>
    </w:p>
    <w:p>
      <w:pPr>
        <w:pStyle w:val="BodyText"/>
        <w:spacing w:line="240" w:lineRule="auto" w:before="35"/>
        <w:ind w:right="0"/>
        <w:jc w:val="left"/>
      </w:pPr>
      <w:r>
        <w:rPr/>
        <w:t>编制单位：神州数码信息服务股份有限公司</w:t>
      </w:r>
    </w:p>
    <w:p>
      <w:pPr>
        <w:pStyle w:val="BodyText"/>
        <w:spacing w:line="240" w:lineRule="auto" w:before="154"/>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5"/>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420" w:left="980" w:right="0"/>
          <w:cols w:num="2" w:equalWidth="0">
            <w:col w:w="5841" w:space="3079"/>
            <w:col w:w="2010"/>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73"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5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48"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1,895,818,945.81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pacing w:val="-1"/>
                <w:sz w:val="18"/>
              </w:rPr>
              <w:t>1,702,372,776.91</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63,745,711.55</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36,681,950.40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2,406,062,170.90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2,239,454,591.82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60,458,453.24</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49,872,301.22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143,437.50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280,844,806.52</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79,033,420.28</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1,178,187,959.27</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611,859,478.55</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19,984,212.55</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5,905,102,259.84</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pacing w:val="-1"/>
                <w:sz w:val="18"/>
              </w:rPr>
              <w:t>4,919,417,956.68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4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42"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86"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12"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9"/>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86" w:type="dxa"/>
            <w:tcBorders>
              <w:top w:val="single" w:sz="16" w:space="0" w:color="D2D2D2"/>
              <w:left w:val="single" w:sz="13" w:space="0" w:color="D2D2D2"/>
              <w:bottom w:val="single" w:sz="4" w:space="0" w:color="000000"/>
              <w:right w:val="single" w:sz="4" w:space="0" w:color="000000"/>
            </w:tcBorders>
          </w:tcPr>
          <w:p>
            <w:pPr/>
          </w:p>
        </w:tc>
        <w:tc>
          <w:tcPr>
            <w:tcW w:w="2586" w:type="dxa"/>
            <w:tcBorders>
              <w:top w:val="single" w:sz="16" w:space="0" w:color="D2D2D2"/>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32,919,444.45</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25,020,000.00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360,848,877.15</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358,455,474.77</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144,076,729.19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167,643,540.38</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255,404.17</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27,791,792.93</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35,598,787.56</w:t>
            </w: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21,176,651.37</w:t>
            </w: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839,684,120.57</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839,684,120.57</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3,244,239.54</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4,488,051.98</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36,816,815.69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52,800,048.30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1,466,558,670.89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1,483,945,427.73</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86"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7,371,660,930.73</w:t>
            </w:r>
          </w:p>
        </w:tc>
        <w:tc>
          <w:tcPr>
            <w:tcW w:w="2586"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6,403,363,384.41</w:t>
            </w:r>
          </w:p>
        </w:tc>
      </w:tr>
      <w:tr>
        <w:trPr>
          <w:trHeight w:val="448"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7"/>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8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1,006,474,344.74</w:t>
            </w:r>
          </w:p>
        </w:tc>
        <w:tc>
          <w:tcPr>
            <w:tcW w:w="258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1"/>
              <w:ind w:right="10"/>
              <w:jc w:val="right"/>
              <w:rPr>
                <w:rFonts w:ascii="Times New Roman" w:hAnsi="Times New Roman" w:cs="Times New Roman" w:eastAsia="Times New Roman" w:hint="default"/>
                <w:sz w:val="18"/>
                <w:szCs w:val="18"/>
              </w:rPr>
            </w:pPr>
            <w:r>
              <w:rPr>
                <w:rFonts w:ascii="Times New Roman"/>
                <w:spacing w:val="-1"/>
                <w:sz w:val="18"/>
              </w:rPr>
              <w:t>762,692,505.11</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331,942,881.63</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209,703,988.93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73"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1,401,889,357.80</w:t>
            </w:r>
          </w:p>
        </w:tc>
        <w:tc>
          <w:tcPr>
            <w:tcW w:w="25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1,158,422,995.29</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661,637,769.34</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570,297,210.22</w:t>
            </w: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250,821,455.89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270,666,340.16</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88,941,112.36</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152,768,859.54</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744,169.91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373,960.52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24,802,855.89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42,630,353.77</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251,613,000.00</w:t>
            </w: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50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8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4,018,866,947.56</w:t>
            </w:r>
          </w:p>
        </w:tc>
        <w:tc>
          <w:tcPr>
            <w:tcW w:w="2586"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3,167,556,213.54</w:t>
            </w:r>
          </w:p>
        </w:tc>
      </w:tr>
      <w:tr>
        <w:trPr>
          <w:trHeight w:val="41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86" w:type="dxa"/>
            <w:tcBorders>
              <w:top w:val="single" w:sz="16" w:space="0" w:color="D2D2D2"/>
              <w:left w:val="single" w:sz="4" w:space="0" w:color="000000"/>
              <w:bottom w:val="single" w:sz="4" w:space="0" w:color="000000"/>
              <w:right w:val="single" w:sz="4" w:space="0" w:color="000000"/>
            </w:tcBorders>
          </w:tcPr>
          <w:p>
            <w:pPr/>
          </w:p>
        </w:tc>
        <w:tc>
          <w:tcPr>
            <w:tcW w:w="258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3,760,000.00</w:t>
            </w: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46,703,958.72</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32,006,084.72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1,821,250.00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2,286,250.00</w:t>
            </w: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86" w:type="dxa"/>
            <w:tcBorders>
              <w:top w:val="single" w:sz="4" w:space="0" w:color="000000"/>
              <w:left w:val="single" w:sz="4" w:space="0" w:color="000000"/>
              <w:bottom w:val="single" w:sz="12" w:space="0" w:color="000000"/>
              <w:right w:val="single" w:sz="4" w:space="0" w:color="000000"/>
            </w:tcBorders>
          </w:tcPr>
          <w:p>
            <w:pPr/>
          </w:p>
        </w:tc>
        <w:tc>
          <w:tcPr>
            <w:tcW w:w="258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0"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73"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52,285,208.72</w:t>
            </w:r>
          </w:p>
        </w:tc>
        <w:tc>
          <w:tcPr>
            <w:tcW w:w="25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274,292,334.72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4,071,152,156.28</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pacing w:val="-1"/>
                <w:sz w:val="18"/>
              </w:rPr>
              <w:t>3,441,848,548.26</w:t>
            </w:r>
          </w:p>
        </w:tc>
      </w:tr>
      <w:tr>
        <w:trPr>
          <w:trHeight w:val="449"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8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917,811,916.00</w:t>
            </w:r>
          </w:p>
        </w:tc>
        <w:tc>
          <w:tcPr>
            <w:tcW w:w="258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458,905,958.00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1,117,366,947.99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1,576,328,742.78</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66,292,066.58</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69,885,193.50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20,396,756.11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10,062,793.78</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1,127,451,316.70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814,699,309.20</w:t>
            </w: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3,249,319,003.38</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2,929,881,997.26</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51,189,771.07</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31,632,838.89</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3,300,508,774.45</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2,961,514,836.15</w:t>
            </w: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7,371,660,930.73</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6,403,363,384.41</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5"/>
        <w:ind w:left="154" w:right="1135"/>
        <w:jc w:val="left"/>
      </w:pPr>
      <w:r>
        <w:rPr/>
        <w:t>法定代表人：郭为主管会计工作负责人：辛昕会计机构负责人：任军</w:t>
      </w:r>
    </w:p>
    <w:p>
      <w:pPr>
        <w:spacing w:line="240" w:lineRule="auto" w:before="9"/>
        <w:rPr>
          <w:rFonts w:ascii="宋体" w:hAnsi="宋体" w:cs="宋体" w:eastAsia="宋体" w:hint="default"/>
          <w:sz w:val="25"/>
          <w:szCs w:val="25"/>
        </w:rPr>
      </w:pPr>
    </w:p>
    <w:p>
      <w:pPr>
        <w:pStyle w:val="Heading6"/>
        <w:spacing w:line="240" w:lineRule="auto"/>
        <w:ind w:left="153" w:right="1135"/>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385"/>
        <w:gridCol w:w="2598"/>
        <w:gridCol w:w="2586"/>
      </w:tblGrid>
      <w:tr>
        <w:trPr>
          <w:trHeight w:val="459" w:hRule="exact"/>
        </w:trPr>
        <w:tc>
          <w:tcPr>
            <w:tcW w:w="43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8" w:hRule="exact"/>
        </w:trPr>
        <w:tc>
          <w:tcPr>
            <w:tcW w:w="4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8"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483,800,105.43</w:t>
            </w:r>
          </w:p>
        </w:tc>
        <w:tc>
          <w:tcPr>
            <w:tcW w:w="258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355,878,845.85</w:t>
            </w:r>
          </w:p>
        </w:tc>
      </w:tr>
      <w:tr>
        <w:trPr>
          <w:trHeight w:val="463" w:hRule="exact"/>
        </w:trPr>
        <w:tc>
          <w:tcPr>
            <w:tcW w:w="4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8" w:type="dxa"/>
            <w:tcBorders>
              <w:top w:val="single" w:sz="4" w:space="0" w:color="000000"/>
              <w:left w:val="single" w:sz="13" w:space="0" w:color="D2D2D2"/>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16,317,767.68</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7,151,978.01</w:t>
            </w:r>
          </w:p>
        </w:tc>
      </w:tr>
      <w:tr>
        <w:trPr>
          <w:trHeight w:val="473" w:hRule="exact"/>
        </w:trPr>
        <w:tc>
          <w:tcPr>
            <w:tcW w:w="43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100,450,863.58</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39,730,415.28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73"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6,367,531.59</w:t>
            </w:r>
          </w:p>
        </w:tc>
        <w:tc>
          <w:tcPr>
            <w:tcW w:w="25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24,142,748.13</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157,516,512.00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796,135.39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137,603,380.25</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68,905,256.64</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23,538,391.49</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5,350,316.69</w:t>
            </w: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681,987,977.00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745,562,271.01</w:t>
            </w:r>
          </w:p>
        </w:tc>
      </w:tr>
      <w:tr>
        <w:trPr>
          <w:trHeight w:val="448"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32,899,444.45</w:t>
            </w:r>
          </w:p>
        </w:tc>
        <w:tc>
          <w:tcPr>
            <w:tcW w:w="2586"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1,547,460,333.91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1,533,135,617.91</w:t>
            </w: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336,565.31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399,501.87</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800,696.00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1,023,426.00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624,615.23</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652,858.35</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1,582,121,654.90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1,560,211,404.13</w:t>
            </w: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2,264,109,631.90</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2,305,773,675.14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26" w:top="1100" w:bottom="14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42"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86"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12"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9"/>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86"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586" w:type="dxa"/>
            <w:tcBorders>
              <w:top w:val="single" w:sz="16" w:space="0" w:color="D2D2D2"/>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19,173,078.70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22,335,686.00</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73,991,177.29</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193,412,691.93</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66,723,749.43</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51,838,290.14</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11,440,498.38</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13,368,030.83</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5,856,166.56</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3,122,755.45</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6,646.00</w:t>
            </w: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2,533,798.90</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18,116,969.93</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86"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184,725,115.26</w:t>
            </w:r>
          </w:p>
        </w:tc>
        <w:tc>
          <w:tcPr>
            <w:tcW w:w="2586"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302,194,424.28</w:t>
            </w:r>
          </w:p>
        </w:tc>
      </w:tr>
      <w:tr>
        <w:trPr>
          <w:trHeight w:val="449"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86" w:type="dxa"/>
            <w:tcBorders>
              <w:top w:val="single" w:sz="16" w:space="0" w:color="D2D2D2"/>
              <w:left w:val="single" w:sz="4" w:space="0" w:color="000000"/>
              <w:bottom w:val="single" w:sz="4" w:space="0" w:color="000000"/>
              <w:right w:val="single" w:sz="4" w:space="0" w:color="000000"/>
            </w:tcBorders>
          </w:tcPr>
          <w:p>
            <w:pPr/>
          </w:p>
        </w:tc>
        <w:tc>
          <w:tcPr>
            <w:tcW w:w="2586" w:type="dxa"/>
            <w:tcBorders>
              <w:top w:val="single" w:sz="16" w:space="0" w:color="D2D2D2"/>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86" w:type="dxa"/>
            <w:tcBorders>
              <w:top w:val="single" w:sz="4" w:space="0" w:color="000000"/>
              <w:left w:val="single" w:sz="4" w:space="0" w:color="000000"/>
              <w:bottom w:val="single" w:sz="12" w:space="0" w:color="000000"/>
              <w:right w:val="single" w:sz="4" w:space="0" w:color="000000"/>
            </w:tcBorders>
          </w:tcPr>
          <w:p>
            <w:pPr/>
          </w:p>
        </w:tc>
        <w:tc>
          <w:tcPr>
            <w:tcW w:w="2586"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49"/>
          <w:pgSz w:w="11910" w:h="16840"/>
          <w:pgMar w:footer="1266" w:header="0"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397"/>
        <w:gridCol w:w="2586"/>
        <w:gridCol w:w="2586"/>
      </w:tblGrid>
      <w:tr>
        <w:trPr>
          <w:trHeight w:val="474"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86" w:type="dxa"/>
            <w:tcBorders>
              <w:top w:val="single" w:sz="12" w:space="0" w:color="000000"/>
              <w:left w:val="single" w:sz="13" w:space="0" w:color="D2D2D2"/>
              <w:bottom w:val="single" w:sz="17"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184,725,115.26</w:t>
            </w:r>
          </w:p>
        </w:tc>
        <w:tc>
          <w:tcPr>
            <w:tcW w:w="2586" w:type="dxa"/>
            <w:tcBorders>
              <w:top w:val="single" w:sz="12" w:space="0" w:color="000000"/>
              <w:left w:val="single" w:sz="4" w:space="0" w:color="000000"/>
              <w:bottom w:val="single" w:sz="17"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302,194,424.28</w:t>
            </w:r>
          </w:p>
        </w:tc>
      </w:tr>
      <w:tr>
        <w:trPr>
          <w:trHeight w:val="448"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8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917,811,916.00</w:t>
            </w:r>
          </w:p>
        </w:tc>
        <w:tc>
          <w:tcPr>
            <w:tcW w:w="2586"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458,905,958.00</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09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1,006,044,042.32</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1,464,950,000.32</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8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20,396,756.11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10,062,793.78</w:t>
            </w:r>
          </w:p>
        </w:tc>
      </w:tr>
      <w:tr>
        <w:trPr>
          <w:trHeight w:val="464"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135,131,802.21</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69,660,498.76</w:t>
            </w:r>
          </w:p>
        </w:tc>
      </w:tr>
      <w:tr>
        <w:trPr>
          <w:trHeight w:val="46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2,079,384,516.64</w:t>
            </w:r>
          </w:p>
        </w:tc>
        <w:tc>
          <w:tcPr>
            <w:tcW w:w="2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2,003,579,250.86</w:t>
            </w:r>
          </w:p>
        </w:tc>
      </w:tr>
      <w:tr>
        <w:trPr>
          <w:trHeight w:val="475"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2,264,109,631.90</w:t>
            </w:r>
          </w:p>
        </w:tc>
        <w:tc>
          <w:tcPr>
            <w:tcW w:w="2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2,305,773,675.14</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1135"/>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945"/>
        <w:gridCol w:w="2313"/>
        <w:gridCol w:w="2303"/>
      </w:tblGrid>
      <w:tr>
        <w:trPr>
          <w:trHeight w:val="568" w:hRule="exact"/>
        </w:trPr>
        <w:tc>
          <w:tcPr>
            <w:tcW w:w="494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3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9"/>
              <w:ind w:left="6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6,712,855,773.20</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6,559,007,918.00</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6,712,855,773.20</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6,559,007,918.00</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6,317,014,109.56</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6,286,876,287.85</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5,326,163,296.70</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5,357,409,536.95</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68" w:hRule="exact"/>
        </w:trPr>
        <w:tc>
          <w:tcPr>
            <w:tcW w:w="494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13" w:type="dxa"/>
            <w:tcBorders>
              <w:top w:val="single" w:sz="4" w:space="0" w:color="000000"/>
              <w:left w:val="single" w:sz="13" w:space="0" w:color="D2D2D2"/>
              <w:bottom w:val="single" w:sz="12" w:space="0" w:color="000000"/>
              <w:right w:val="single" w:sz="4" w:space="0" w:color="000000"/>
            </w:tcBorders>
          </w:tcPr>
          <w:p>
            <w:pPr/>
          </w:p>
        </w:tc>
        <w:tc>
          <w:tcPr>
            <w:tcW w:w="2303"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50"/>
          <w:pgSz w:w="11910" w:h="16840"/>
          <w:pgMar w:footer="1266" w:header="0" w:top="1100" w:bottom="1460" w:left="98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963"/>
        <w:gridCol w:w="2302"/>
        <w:gridCol w:w="2303"/>
      </w:tblGrid>
      <w:tr>
        <w:trPr>
          <w:trHeight w:val="568"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02" w:type="dxa"/>
            <w:tcBorders>
              <w:top w:val="single" w:sz="12" w:space="0" w:color="000000"/>
              <w:left w:val="single" w:sz="4" w:space="0" w:color="000000"/>
              <w:bottom w:val="single" w:sz="4" w:space="0" w:color="000000"/>
              <w:right w:val="single" w:sz="4" w:space="0" w:color="000000"/>
            </w:tcBorders>
          </w:tcPr>
          <w:p>
            <w:pPr/>
          </w:p>
        </w:tc>
        <w:tc>
          <w:tcPr>
            <w:tcW w:w="2303" w:type="dxa"/>
            <w:tcBorders>
              <w:top w:val="single" w:sz="12"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19,160,146.34</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24,244,336.41</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442,341,950.97</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420,076,869.46</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510,833,097.00</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462,027,735.48</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43,564,246.63</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18,359,409.25</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-25,048,628.08</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4,758,400.30</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right="988"/>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25,740,459.71</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35,761,040.55</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right="969"/>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3,972,957.51</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31,439,150.46</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73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421,582,123.35</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307,892,670.70</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44,272,568.16</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24,829,428.65</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47,275.66</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43,953.26</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7,798,456.34</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1,771,593.97</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7,475,563.62</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500,174.67</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458,056,235.17</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330,950,505.38</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86,068,975.68</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43,825,868.69</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371,987,259.49</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287,124,636.69</w:t>
            </w:r>
          </w:p>
        </w:tc>
      </w:tr>
      <w:tr>
        <w:trPr>
          <w:trHeight w:val="55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350,620,327.31</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279,531,140.01</w:t>
            </w:r>
          </w:p>
        </w:tc>
      </w:tr>
      <w:tr>
        <w:trPr>
          <w:trHeight w:val="568"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21,366,932.18</w:t>
            </w:r>
          </w:p>
        </w:tc>
        <w:tc>
          <w:tcPr>
            <w:tcW w:w="230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7,593,496.68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945"/>
        <w:gridCol w:w="2313"/>
        <w:gridCol w:w="2303"/>
      </w:tblGrid>
      <w:tr>
        <w:trPr>
          <w:trHeight w:val="568" w:hRule="exact"/>
        </w:trPr>
        <w:tc>
          <w:tcPr>
            <w:tcW w:w="494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13"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-3,593,126.92</w:t>
            </w:r>
          </w:p>
        </w:tc>
        <w:tc>
          <w:tcPr>
            <w:tcW w:w="230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25,853,993.12</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186"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-3,593,126.92</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25,853,993.12</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451" w:lineRule="auto" w:before="129"/>
              <w:ind w:left="6" w:right="15" w:firstLine="9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权益法下在被投资单位不能重分类进损益的其他</w:t>
            </w:r>
            <w:r>
              <w:rPr>
                <w:rFonts w:ascii="宋体" w:hAnsi="宋体" w:cs="宋体" w:eastAsia="宋体" w:hint="default"/>
                <w:sz w:val="18"/>
                <w:szCs w:val="18"/>
              </w:rPr>
              <w:t> 综合收益中享有的份额</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-3,593,126.92</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25,853,993.12</w:t>
            </w:r>
          </w:p>
        </w:tc>
      </w:tr>
      <w:tr>
        <w:trPr>
          <w:trHeight w:val="1026"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451" w:lineRule="auto" w:before="129"/>
              <w:ind w:left="6" w:right="15" w:firstLine="9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权益法下在被投资单位以后将重分类进损益的其</w:t>
            </w:r>
            <w:r>
              <w:rPr>
                <w:rFonts w:ascii="宋体" w:hAnsi="宋体" w:cs="宋体" w:eastAsia="宋体" w:hint="default"/>
                <w:sz w:val="18"/>
                <w:szCs w:val="18"/>
              </w:rPr>
              <w:t> 他综合收益中享有的份额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139,213.31</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-3,351,419.48</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37,213,262.49</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-3,732,340.23</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-8,007,849.89</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186"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13" w:type="dxa"/>
            <w:tcBorders>
              <w:top w:val="single" w:sz="4" w:space="0" w:color="000000"/>
              <w:left w:val="single" w:sz="13" w:space="0" w:color="D2D2D2"/>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368,394,132.57</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312,978,629.81</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347,027,200.39</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305,385,133.13</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21,366,932.18</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7,593,496.68</w:t>
            </w: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558" w:hRule="exact"/>
        </w:trPr>
        <w:tc>
          <w:tcPr>
            <w:tcW w:w="49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0.3820</w:t>
            </w:r>
          </w:p>
        </w:tc>
        <w:tc>
          <w:tcPr>
            <w:tcW w:w="23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0.3241</w:t>
            </w:r>
          </w:p>
        </w:tc>
      </w:tr>
      <w:tr>
        <w:trPr>
          <w:trHeight w:val="568" w:hRule="exact"/>
        </w:trPr>
        <w:tc>
          <w:tcPr>
            <w:tcW w:w="494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9"/>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3"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0.3820</w:t>
            </w:r>
          </w:p>
        </w:tc>
        <w:tc>
          <w:tcPr>
            <w:tcW w:w="230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0.3241</w:t>
            </w:r>
          </w:p>
        </w:tc>
      </w:tr>
    </w:tbl>
    <w:p>
      <w:pPr>
        <w:spacing w:line="240" w:lineRule="auto" w:before="11"/>
        <w:rPr>
          <w:rFonts w:ascii="Times New Roman" w:hAnsi="Times New Roman" w:cs="Times New Roman" w:eastAsia="Times New Roman" w:hint="default"/>
          <w:sz w:val="5"/>
          <w:szCs w:val="5"/>
        </w:rPr>
      </w:pPr>
    </w:p>
    <w:p>
      <w:pPr>
        <w:pStyle w:val="BodyText"/>
        <w:spacing w:line="386" w:lineRule="auto" w:before="35"/>
        <w:ind w:right="1114"/>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1"/>
        </w:rPr>
        <w:t> </w:t>
      </w:r>
      <w:r>
        <w:rPr/>
        <w:t>元，上期被合并方实现的净利 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8"/>
        <w:rPr>
          <w:rFonts w:ascii="宋体" w:hAnsi="宋体" w:cs="宋体" w:eastAsia="宋体" w:hint="default"/>
          <w:sz w:val="19"/>
          <w:szCs w:val="19"/>
        </w:rPr>
      </w:pPr>
    </w:p>
    <w:p>
      <w:pPr>
        <w:pStyle w:val="BodyText"/>
        <w:spacing w:line="240" w:lineRule="auto"/>
        <w:ind w:left="154" w:right="1135"/>
        <w:jc w:val="left"/>
      </w:pPr>
      <w:r>
        <w:rPr/>
        <w:t>法定代表人：郭为主管会计工作负责人：辛昕会计机构负责人：任军</w:t>
      </w:r>
    </w:p>
    <w:p>
      <w:pPr>
        <w:spacing w:after="0" w:line="240" w:lineRule="auto"/>
        <w:jc w:val="left"/>
        <w:sectPr>
          <w:pgSz w:w="11910" w:h="16840"/>
          <w:pgMar w:header="0" w:footer="1266" w:top="1100" w:bottom="1460" w:left="980" w:right="0"/>
        </w:sectPr>
      </w:pPr>
    </w:p>
    <w:p>
      <w:pPr>
        <w:spacing w:line="240" w:lineRule="auto" w:before="9"/>
        <w:rPr>
          <w:rFonts w:ascii="宋体" w:hAnsi="宋体" w:cs="宋体" w:eastAsia="宋体" w:hint="default"/>
          <w:sz w:val="20"/>
          <w:szCs w:val="20"/>
        </w:rPr>
      </w:pPr>
    </w:p>
    <w:p>
      <w:pPr>
        <w:pStyle w:val="Heading6"/>
        <w:spacing w:line="240" w:lineRule="auto" w:before="35"/>
        <w:ind w:right="1135"/>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1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6"/>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6"/>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0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573,798,227.08</w:t>
            </w:r>
          </w:p>
        </w:tc>
        <w:tc>
          <w:tcPr>
            <w:tcW w:w="2302"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507,794,720.55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525,712,673.83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450,203,131.40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1,326,105.25</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1,803,252.97</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2,255,724.28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2,507,377.67</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47,583,200.87</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57,433,582.63</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-8,530,502.40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-6,714,134.95</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152,660.75</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2,406,401.55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87,185,053.63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358,472,457.21</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-1,854,756.00</w:t>
            </w: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92,483,418.13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358,627,566.49</w:t>
            </w: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10,884,468.39</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31,400.00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20.14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5,002.94</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103,367,866.38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358,653,963.55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28,243.12</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w w:val="95"/>
                <w:sz w:val="18"/>
              </w:rPr>
              <w:t>-567,746.61</w:t>
            </w:r>
            <w:r>
              <w:rPr>
                <w:rFonts w:ascii="Times New Roman"/>
                <w:sz w:val="18"/>
              </w:rPr>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103,339,623.26</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359,221,710.16</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7" w:firstLine="9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权益法下在被投资单位不能重分类进损益的其他</w:t>
            </w:r>
            <w:r>
              <w:rPr>
                <w:rFonts w:ascii="宋体" w:hAnsi="宋体" w:cs="宋体" w:eastAsia="宋体" w:hint="default"/>
                <w:sz w:val="18"/>
                <w:szCs w:val="18"/>
              </w:rPr>
              <w:t> 综合收益中享有的份额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3"/>
              <w:ind w:left="13" w:right="27" w:firstLine="9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权益法下在被投资单位以后将重分类进损益的其</w:t>
            </w:r>
            <w:r>
              <w:rPr>
                <w:rFonts w:ascii="宋体" w:hAnsi="宋体" w:cs="宋体" w:eastAsia="宋体" w:hint="default"/>
                <w:sz w:val="18"/>
                <w:szCs w:val="18"/>
              </w:rPr>
              <w:t> 他综合收益中享有的份额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03" w:type="dxa"/>
            <w:tcBorders>
              <w:top w:val="single" w:sz="4" w:space="0" w:color="000000"/>
              <w:left w:val="single" w:sz="4" w:space="0" w:color="000000"/>
              <w:bottom w:val="single" w:sz="12" w:space="0" w:color="000000"/>
              <w:right w:val="single" w:sz="4" w:space="0" w:color="000000"/>
            </w:tcBorders>
          </w:tcPr>
          <w:p>
            <w:pPr/>
          </w:p>
        </w:tc>
        <w:tc>
          <w:tcPr>
            <w:tcW w:w="230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0" w:footer="1266" w:top="1100" w:bottom="1460" w:left="980" w:right="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7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03" w:type="dxa"/>
            <w:tcBorders>
              <w:top w:val="single" w:sz="12" w:space="0" w:color="000000"/>
              <w:left w:val="single" w:sz="4" w:space="0" w:color="000000"/>
              <w:bottom w:val="single" w:sz="4" w:space="0" w:color="000000"/>
              <w:right w:val="single" w:sz="4" w:space="0" w:color="000000"/>
            </w:tcBorders>
          </w:tcPr>
          <w:p>
            <w:pPr/>
          </w:p>
        </w:tc>
        <w:tc>
          <w:tcPr>
            <w:tcW w:w="2302"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500"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0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1145" w:right="0"/>
              <w:jc w:val="left"/>
              <w:rPr>
                <w:rFonts w:ascii="Times New Roman" w:hAnsi="Times New Roman" w:cs="Times New Roman" w:eastAsia="Times New Roman" w:hint="default"/>
                <w:sz w:val="18"/>
                <w:szCs w:val="18"/>
              </w:rPr>
            </w:pPr>
            <w:r>
              <w:rPr>
                <w:rFonts w:ascii="Times New Roman"/>
                <w:sz w:val="18"/>
              </w:rPr>
              <w:t>103,339,623.26</w:t>
            </w:r>
          </w:p>
        </w:tc>
        <w:tc>
          <w:tcPr>
            <w:tcW w:w="2302"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left="1146" w:right="0"/>
              <w:jc w:val="left"/>
              <w:rPr>
                <w:rFonts w:ascii="Times New Roman" w:hAnsi="Times New Roman" w:cs="Times New Roman" w:eastAsia="Times New Roman" w:hint="default"/>
                <w:sz w:val="18"/>
                <w:szCs w:val="18"/>
              </w:rPr>
            </w:pPr>
            <w:r>
              <w:rPr>
                <w:rFonts w:ascii="Times New Roman"/>
                <w:sz w:val="18"/>
              </w:rPr>
              <w:t>359,221,710.16</w:t>
            </w:r>
          </w:p>
        </w:tc>
      </w:tr>
      <w:tr>
        <w:trPr>
          <w:trHeight w:val="41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03" w:type="dxa"/>
            <w:tcBorders>
              <w:top w:val="single" w:sz="12" w:space="0" w:color="D2D2D2"/>
              <w:left w:val="single" w:sz="4" w:space="0" w:color="000000"/>
              <w:bottom w:val="single" w:sz="4" w:space="0" w:color="000000"/>
              <w:right w:val="single" w:sz="4" w:space="0" w:color="000000"/>
            </w:tcBorders>
          </w:tcPr>
          <w:p>
            <w:pPr/>
          </w:p>
        </w:tc>
        <w:tc>
          <w:tcPr>
            <w:tcW w:w="2302" w:type="dxa"/>
            <w:tcBorders>
              <w:top w:val="single" w:sz="12" w:space="0" w:color="D2D2D2"/>
              <w:left w:val="single" w:sz="4" w:space="0" w:color="000000"/>
              <w:bottom w:val="single" w:sz="4" w:space="0" w:color="000000"/>
              <w:right w:val="single" w:sz="12" w:space="0" w:color="000000"/>
            </w:tcBorders>
          </w:tcPr>
          <w:p>
            <w:pP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03" w:type="dxa"/>
            <w:tcBorders>
              <w:top w:val="single" w:sz="4" w:space="0" w:color="000000"/>
              <w:left w:val="single" w:sz="4" w:space="0" w:color="000000"/>
              <w:bottom w:val="single" w:sz="12" w:space="0" w:color="000000"/>
              <w:right w:val="single" w:sz="4" w:space="0" w:color="000000"/>
            </w:tcBorders>
          </w:tcPr>
          <w:p>
            <w:pPr/>
          </w:p>
        </w:tc>
        <w:tc>
          <w:tcPr>
            <w:tcW w:w="2302"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75"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4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pacing w:val="-1"/>
                <w:sz w:val="18"/>
              </w:rPr>
              <w:t>7,587,847,318.64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11"/>
              <w:jc w:val="right"/>
              <w:rPr>
                <w:rFonts w:ascii="Times New Roman" w:hAnsi="Times New Roman" w:cs="Times New Roman" w:eastAsia="Times New Roman" w:hint="default"/>
                <w:sz w:val="18"/>
                <w:szCs w:val="18"/>
              </w:rPr>
            </w:pPr>
            <w:r>
              <w:rPr>
                <w:rFonts w:ascii="Times New Roman"/>
                <w:spacing w:val="-1"/>
                <w:sz w:val="18"/>
              </w:rPr>
              <w:t>8,272,697,537.42</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86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right="186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27" w:firstLine="36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6,080,407.73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4,056,612.79</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78,536,277.04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62,394,277.14</w:t>
            </w: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7,672,464,003.41</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pacing w:val="-1"/>
                <w:sz w:val="18"/>
              </w:rPr>
              <w:t>8,339,148,427.35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5,954,906,473.79</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6,345,300,233.61</w:t>
            </w:r>
          </w:p>
        </w:tc>
      </w:tr>
      <w:tr>
        <w:trPr>
          <w:trHeight w:val="473"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03" w:type="dxa"/>
            <w:tcBorders>
              <w:top w:val="single" w:sz="4" w:space="0" w:color="000000"/>
              <w:left w:val="single" w:sz="4" w:space="0" w:color="000000"/>
              <w:bottom w:val="single" w:sz="12" w:space="0" w:color="000000"/>
              <w:right w:val="single" w:sz="4" w:space="0" w:color="000000"/>
            </w:tcBorders>
          </w:tcPr>
          <w:p>
            <w:pPr/>
          </w:p>
        </w:tc>
        <w:tc>
          <w:tcPr>
            <w:tcW w:w="230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0" w:footer="1266"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7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03" w:type="dxa"/>
            <w:tcBorders>
              <w:top w:val="single" w:sz="12" w:space="0" w:color="000000"/>
              <w:left w:val="single" w:sz="4" w:space="0" w:color="000000"/>
              <w:bottom w:val="single" w:sz="4" w:space="0" w:color="000000"/>
              <w:right w:val="single" w:sz="4" w:space="0" w:color="000000"/>
            </w:tcBorders>
          </w:tcPr>
          <w:p>
            <w:pPr/>
          </w:p>
        </w:tc>
        <w:tc>
          <w:tcPr>
            <w:tcW w:w="2302"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873,705,621.44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775,104,772.15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340,929,862.80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337,028,898.67</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424,535,406.60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378,580,980.27</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7,594,077,364.63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7,836,014,884.70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78,386,638.78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503,133,542.65</w:t>
            </w:r>
          </w:p>
        </w:tc>
      </w:tr>
      <w:tr>
        <w:trPr>
          <w:trHeight w:val="44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0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21,868,566.84</w:t>
            </w:r>
          </w:p>
        </w:tc>
        <w:tc>
          <w:tcPr>
            <w:tcW w:w="2302"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75,074,442.59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31,526,018.72</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26,066,423.68</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1,048,004.64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723,703.62</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1,410,000,000.00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2,595,000,000.00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1,464,442,590.20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2,696,864,569.89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52,243,739.54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36,516,311.83</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231,292,319.53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166,232,917.55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1,217,420,000.20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2,797,367,593.51</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1,500,956,059.27</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3,025,116,822.89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03"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-36,513,469.07</w:t>
            </w:r>
          </w:p>
        </w:tc>
        <w:tc>
          <w:tcPr>
            <w:tcW w:w="2302"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-328,252,253.00</w:t>
            </w:r>
          </w:p>
        </w:tc>
      </w:tr>
      <w:tr>
        <w:trPr>
          <w:trHeight w:val="44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03"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2302"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228,766,661.00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1,649,037,873.79</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2,152,507,566.77</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03" w:type="dxa"/>
            <w:tcBorders>
              <w:top w:val="single" w:sz="4" w:space="0" w:color="000000"/>
              <w:left w:val="single" w:sz="13" w:space="0" w:color="D2D2D2"/>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03" w:type="dxa"/>
            <w:tcBorders>
              <w:top w:val="single" w:sz="4" w:space="0" w:color="000000"/>
              <w:left w:val="single" w:sz="13" w:space="0" w:color="D2D2D2"/>
              <w:bottom w:val="single" w:sz="12" w:space="0" w:color="000000"/>
              <w:right w:val="single" w:sz="4" w:space="0" w:color="000000"/>
            </w:tcBorders>
          </w:tcPr>
          <w:p>
            <w:pPr/>
          </w:p>
        </w:tc>
        <w:tc>
          <w:tcPr>
            <w:tcW w:w="2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22,457,000.00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7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1,653,437,873.79</w:t>
            </w:r>
          </w:p>
        </w:tc>
        <w:tc>
          <w:tcPr>
            <w:tcW w:w="23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2,403,731,227.77</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1,439,641,390.10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1"/>
              <w:jc w:val="right"/>
              <w:rPr>
                <w:rFonts w:ascii="Times New Roman" w:hAnsi="Times New Roman" w:cs="Times New Roman" w:eastAsia="Times New Roman" w:hint="default"/>
                <w:sz w:val="18"/>
                <w:szCs w:val="18"/>
              </w:rPr>
            </w:pPr>
            <w:r>
              <w:rPr>
                <w:rFonts w:ascii="Times New Roman"/>
                <w:spacing w:val="-1"/>
                <w:sz w:val="18"/>
              </w:rPr>
              <w:t>2,380,666,522.77</w:t>
            </w: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58,869,649.67</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31,919,347.37</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19,545,293.82</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2,577,405.53</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1,518,056,333.59</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2,415,163,275.67</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135,381,540.20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-11,432,047.90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1,887,876.02</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4,929,868.80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179,142,585.93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168,379,110.55</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1,700,793,859.88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1,532,414,749.33</w:t>
            </w: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1,879,936,445.81</w:t>
            </w:r>
          </w:p>
        </w:tc>
        <w:tc>
          <w:tcPr>
            <w:tcW w:w="2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1,700,793,859.88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1135"/>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90"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48"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622,318,264.11</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9"/>
              <w:jc w:val="right"/>
              <w:rPr>
                <w:rFonts w:ascii="Times New Roman" w:hAnsi="Times New Roman" w:cs="Times New Roman" w:eastAsia="Times New Roman" w:hint="default"/>
                <w:sz w:val="18"/>
                <w:szCs w:val="18"/>
              </w:rPr>
            </w:pPr>
            <w:r>
              <w:rPr>
                <w:rFonts w:ascii="Times New Roman"/>
                <w:spacing w:val="-1"/>
                <w:sz w:val="18"/>
              </w:rPr>
              <w:t>742,154,719.29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1,117,490,784.84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7,029,191.34</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1,739,809,048.95</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749,183,910.63</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768,803,823.17</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642,009,742.03</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29,410,957.15</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31,788,274.72</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20,177,197.49</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16,729,479.16</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985,345,300.13</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60,040,448.48</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1,803,737,277.94</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750,567,944.39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03" w:type="dxa"/>
            <w:tcBorders>
              <w:top w:val="single" w:sz="4" w:space="0" w:color="000000"/>
              <w:left w:val="single" w:sz="13" w:space="0" w:color="D2D2D2"/>
              <w:bottom w:val="single" w:sz="12" w:space="0" w:color="D2D2D2"/>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-63,928,228.99</w:t>
            </w:r>
          </w:p>
        </w:tc>
        <w:tc>
          <w:tcPr>
            <w:tcW w:w="2302" w:type="dxa"/>
            <w:tcBorders>
              <w:top w:val="single" w:sz="4" w:space="0" w:color="000000"/>
              <w:left w:val="single" w:sz="4" w:space="0" w:color="000000"/>
              <w:bottom w:val="single" w:sz="12" w:space="0" w:color="D2D2D2"/>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-1,384,033.76</w:t>
            </w:r>
          </w:p>
        </w:tc>
      </w:tr>
      <w:tr>
        <w:trPr>
          <w:trHeight w:val="44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7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03"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17,100,555.55</w:t>
            </w:r>
          </w:p>
        </w:tc>
        <w:tc>
          <w:tcPr>
            <w:tcW w:w="2302" w:type="dxa"/>
            <w:tcBorders>
              <w:top w:val="single" w:sz="16" w:space="0" w:color="D2D2D2"/>
              <w:left w:val="single" w:sz="4" w:space="0" w:color="000000"/>
              <w:bottom w:val="single" w:sz="4" w:space="0" w:color="000000"/>
              <w:right w:val="single" w:sz="12" w:space="0" w:color="000000"/>
            </w:tcBorders>
          </w:tcPr>
          <w:p>
            <w:pPr/>
          </w:p>
        </w:tc>
      </w:tr>
      <w:tr>
        <w:trPr>
          <w:trHeight w:val="475"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03"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246,556,321.63</w:t>
            </w:r>
          </w:p>
        </w:tc>
        <w:tc>
          <w:tcPr>
            <w:tcW w:w="2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200,955,945.21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4963"/>
        <w:gridCol w:w="2303"/>
        <w:gridCol w:w="2302"/>
      </w:tblGrid>
      <w:tr>
        <w:trPr>
          <w:trHeight w:val="473" w:hRule="exact"/>
        </w:trPr>
        <w:tc>
          <w:tcPr>
            <w:tcW w:w="49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03" w:type="dxa"/>
            <w:tcBorders>
              <w:top w:val="single" w:sz="12" w:space="0" w:color="000000"/>
              <w:left w:val="single" w:sz="4" w:space="0" w:color="000000"/>
              <w:bottom w:val="single" w:sz="4" w:space="0" w:color="000000"/>
              <w:right w:val="single" w:sz="4" w:space="0" w:color="000000"/>
            </w:tcBorders>
          </w:tcPr>
          <w:p>
            <w:pPr/>
          </w:p>
        </w:tc>
        <w:tc>
          <w:tcPr>
            <w:tcW w:w="2302"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37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263,656,877.18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265,955,945.21</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373,600.00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1,393,679.42</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41,179,472.00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213,000,000.00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6,900,000.00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67,367,593.51</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48,453,072.00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306,761,272.93</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0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215,203,805.18</w:t>
            </w:r>
          </w:p>
        </w:tc>
        <w:tc>
          <w:tcPr>
            <w:tcW w:w="2302" w:type="dxa"/>
            <w:tcBorders>
              <w:top w:val="single" w:sz="4" w:space="0" w:color="000000"/>
              <w:left w:val="single" w:sz="4" w:space="0" w:color="000000"/>
              <w:bottom w:val="single" w:sz="16" w:space="0" w:color="D2D2D2"/>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-40,805,327.72</w:t>
            </w:r>
          </w:p>
        </w:tc>
      </w:tr>
      <w:tr>
        <w:trPr>
          <w:trHeight w:val="449"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2"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80"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03" w:type="dxa"/>
            <w:tcBorders>
              <w:top w:val="single" w:sz="16" w:space="0" w:color="D2D2D2"/>
              <w:left w:val="single" w:sz="13" w:space="0" w:color="D2D2D2"/>
              <w:bottom w:val="single" w:sz="4" w:space="0" w:color="000000"/>
              <w:right w:val="single" w:sz="4" w:space="0" w:color="000000"/>
            </w:tcBorders>
          </w:tcPr>
          <w:p>
            <w:pPr/>
          </w:p>
        </w:tc>
        <w:tc>
          <w:tcPr>
            <w:tcW w:w="2302"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226,666,661.00</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226,666,661.00</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0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27,534,357.48</w:t>
            </w:r>
          </w:p>
        </w:tc>
        <w:tc>
          <w:tcPr>
            <w:tcW w:w="230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749,512.18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2,554,716.98</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28,283,869.66</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2,554,716.98</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-23,283,869.66</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2"/>
                <w:sz w:val="18"/>
              </w:rPr>
              <w:t>224,111,944.02</w:t>
            </w:r>
          </w:p>
        </w:tc>
      </w:tr>
      <w:tr>
        <w:trPr>
          <w:trHeight w:val="463"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w w:val="95"/>
                <w:sz w:val="18"/>
              </w:rPr>
              <w:t>-70,446.95</w:t>
            </w:r>
            <w:r>
              <w:rPr>
                <w:rFonts w:ascii="Times New Roman"/>
                <w:sz w:val="18"/>
              </w:rPr>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-271.69</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127,921,259.58</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181,922,310.85</w:t>
            </w:r>
          </w:p>
        </w:tc>
      </w:tr>
      <w:tr>
        <w:trPr>
          <w:trHeight w:val="464" w:hRule="exact"/>
        </w:trPr>
        <w:tc>
          <w:tcPr>
            <w:tcW w:w="49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355,878,845.85</w:t>
            </w:r>
          </w:p>
        </w:tc>
        <w:tc>
          <w:tcPr>
            <w:tcW w:w="23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173,956,535.00</w:t>
            </w:r>
          </w:p>
        </w:tc>
      </w:tr>
      <w:tr>
        <w:trPr>
          <w:trHeight w:val="473" w:hRule="exact"/>
        </w:trPr>
        <w:tc>
          <w:tcPr>
            <w:tcW w:w="49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483,800,105.43</w:t>
            </w:r>
          </w:p>
        </w:tc>
        <w:tc>
          <w:tcPr>
            <w:tcW w:w="23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355,878,845.85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00" w:bottom="14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6"/>
        <w:spacing w:line="240" w:lineRule="auto" w:before="20"/>
        <w:ind w:left="140"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40" w:right="0"/>
        <w:jc w:val="left"/>
      </w:pPr>
      <w:r>
        <w:rPr/>
        <w:t>本期金额</w:t>
      </w:r>
    </w:p>
    <w:p>
      <w:pPr>
        <w:spacing w:line="240" w:lineRule="auto" w:before="5"/>
        <w:rPr>
          <w:rFonts w:ascii="宋体" w:hAnsi="宋体" w:cs="宋体" w:eastAsia="宋体" w:hint="default"/>
          <w:sz w:val="10"/>
          <w:szCs w:val="10"/>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2017"/>
        <w:gridCol w:w="1246"/>
        <w:gridCol w:w="476"/>
        <w:gridCol w:w="462"/>
        <w:gridCol w:w="434"/>
        <w:gridCol w:w="1320"/>
        <w:gridCol w:w="566"/>
        <w:gridCol w:w="1134"/>
        <w:gridCol w:w="568"/>
        <w:gridCol w:w="1134"/>
        <w:gridCol w:w="806"/>
        <w:gridCol w:w="1319"/>
        <w:gridCol w:w="1134"/>
        <w:gridCol w:w="1382"/>
      </w:tblGrid>
      <w:tr>
        <w:trPr>
          <w:trHeight w:val="475" w:hRule="exact"/>
        </w:trPr>
        <w:tc>
          <w:tcPr>
            <w:tcW w:w="201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2" w:type="dxa"/>
            <w:gridSpan w:val="1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63" w:hRule="exact"/>
        </w:trPr>
        <w:tc>
          <w:tcPr>
            <w:tcW w:w="2017" w:type="dxa"/>
            <w:vMerge/>
            <w:tcBorders>
              <w:left w:val="single" w:sz="12" w:space="0" w:color="000000"/>
              <w:right w:val="single" w:sz="4" w:space="0" w:color="000000"/>
            </w:tcBorders>
            <w:shd w:val="clear" w:color="auto" w:fill="D2D2D2"/>
          </w:tcPr>
          <w:p>
            <w:pPr/>
          </w:p>
        </w:tc>
        <w:tc>
          <w:tcPr>
            <w:tcW w:w="94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8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64" w:hRule="exact"/>
        </w:trPr>
        <w:tc>
          <w:tcPr>
            <w:tcW w:w="2017" w:type="dxa"/>
            <w:vMerge/>
            <w:tcBorders>
              <w:left w:val="single" w:sz="12" w:space="0" w:color="000000"/>
              <w:right w:val="single" w:sz="4" w:space="0" w:color="000000"/>
            </w:tcBorders>
            <w:shd w:val="clear" w:color="auto" w:fill="D2D2D2"/>
          </w:tcPr>
          <w:p>
            <w:pPr/>
          </w:p>
        </w:tc>
        <w:tc>
          <w:tcPr>
            <w:tcW w:w="12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71" w:right="111"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382" w:type="dxa"/>
            <w:vMerge/>
            <w:tcBorders>
              <w:left w:val="single" w:sz="4" w:space="0" w:color="000000"/>
              <w:right w:val="single" w:sz="12" w:space="0" w:color="000000"/>
            </w:tcBorders>
            <w:shd w:val="clear" w:color="auto" w:fill="D2D2D2"/>
          </w:tcPr>
          <w:p>
            <w:pPr/>
          </w:p>
        </w:tc>
      </w:tr>
      <w:tr>
        <w:trPr>
          <w:trHeight w:val="714" w:hRule="exact"/>
        </w:trPr>
        <w:tc>
          <w:tcPr>
            <w:tcW w:w="2017" w:type="dxa"/>
            <w:vMerge/>
            <w:tcBorders>
              <w:left w:val="single" w:sz="12" w:space="0" w:color="000000"/>
              <w:bottom w:val="single" w:sz="4" w:space="0" w:color="000000"/>
              <w:right w:val="single" w:sz="4" w:space="0" w:color="000000"/>
            </w:tcBorders>
            <w:shd w:val="clear" w:color="auto" w:fill="D2D2D2"/>
          </w:tcPr>
          <w:p>
            <w:pPr/>
          </w:p>
        </w:tc>
        <w:tc>
          <w:tcPr>
            <w:tcW w:w="1246" w:type="dxa"/>
            <w:vMerge/>
            <w:tcBorders>
              <w:left w:val="single" w:sz="4" w:space="0" w:color="000000"/>
              <w:bottom w:val="single" w:sz="4" w:space="0" w:color="000000"/>
              <w:right w:val="single" w:sz="4" w:space="0" w:color="000000"/>
            </w:tcBorders>
            <w:shd w:val="clear" w:color="auto" w:fill="D2D2D2"/>
          </w:tcPr>
          <w:p>
            <w:pP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5" w:right="4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12" w:space="0" w:color="000000"/>
            </w:tcBorders>
            <w:shd w:val="clear" w:color="auto" w:fill="D2D2D2"/>
          </w:tcPr>
          <w:p>
            <w:pPr/>
          </w:p>
        </w:tc>
      </w:tr>
      <w:tr>
        <w:trPr>
          <w:trHeight w:val="465"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4" w:right="0"/>
              <w:jc w:val="center"/>
              <w:rPr>
                <w:rFonts w:ascii="Times New Roman" w:hAnsi="Times New Roman" w:cs="Times New Roman" w:eastAsia="Times New Roman" w:hint="default"/>
                <w:sz w:val="18"/>
                <w:szCs w:val="18"/>
              </w:rPr>
            </w:pPr>
            <w:r>
              <w:rPr>
                <w:rFonts w:ascii="Times New Roman"/>
                <w:sz w:val="18"/>
              </w:rPr>
              <w:t>458,905,958.00</w:t>
            </w: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1,576,328,742.78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69,885,193.50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10,062,793.78</w:t>
            </w: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814,699,309.20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31,632,838.89</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2,961,514,836.15</w:t>
            </w:r>
          </w:p>
        </w:tc>
      </w:tr>
      <w:tr>
        <w:trPr>
          <w:trHeight w:val="463"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8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8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805" w:right="0"/>
              <w:jc w:val="left"/>
              <w:rPr>
                <w:rFonts w:ascii="宋体" w:hAnsi="宋体" w:cs="宋体" w:eastAsia="宋体" w:hint="default"/>
                <w:sz w:val="18"/>
                <w:szCs w:val="18"/>
              </w:rPr>
            </w:pPr>
            <w:r>
              <w:rPr>
                <w:rFonts w:ascii="宋体" w:hAnsi="宋体" w:cs="宋体" w:eastAsia="宋体" w:hint="default"/>
                <w:spacing w:val="14"/>
                <w:sz w:val="18"/>
                <w:szCs w:val="18"/>
              </w:rPr>
              <w:t>同一控制下企</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168"/>
              <w:jc w:val="center"/>
              <w:rPr>
                <w:rFonts w:ascii="宋体" w:hAnsi="宋体" w:cs="宋体" w:eastAsia="宋体" w:hint="default"/>
                <w:sz w:val="18"/>
                <w:szCs w:val="18"/>
              </w:rPr>
            </w:pPr>
            <w:r>
              <w:rPr>
                <w:rFonts w:ascii="宋体" w:hAnsi="宋体" w:cs="宋体" w:eastAsia="宋体" w:hint="default"/>
                <w:sz w:val="18"/>
                <w:szCs w:val="18"/>
              </w:rPr>
              <w:t>其他</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4" w:right="0"/>
              <w:jc w:val="center"/>
              <w:rPr>
                <w:rFonts w:ascii="Times New Roman" w:hAnsi="Times New Roman" w:cs="Times New Roman" w:eastAsia="Times New Roman" w:hint="default"/>
                <w:sz w:val="18"/>
                <w:szCs w:val="18"/>
              </w:rPr>
            </w:pPr>
            <w:r>
              <w:rPr>
                <w:rFonts w:ascii="Times New Roman"/>
                <w:sz w:val="18"/>
              </w:rPr>
              <w:t>458,905,958.00</w:t>
            </w: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1,576,328,742.78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69,885,193.50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10,062,793.78</w:t>
            </w: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814,699,309.20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31,632,838.89</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2,961,514,836.15</w:t>
            </w:r>
          </w:p>
        </w:tc>
      </w:tr>
      <w:tr>
        <w:trPr>
          <w:trHeight w:val="71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8"/>
                <w:sz w:val="18"/>
                <w:szCs w:val="18"/>
              </w:rPr>
              <w:t>三、</w:t>
            </w:r>
            <w:r>
              <w:rPr>
                <w:rFonts w:ascii="宋体" w:hAnsi="宋体" w:cs="宋体" w:eastAsia="宋体" w:hint="default"/>
                <w:spacing w:val="-67"/>
                <w:sz w:val="18"/>
                <w:szCs w:val="18"/>
              </w:rPr>
              <w:t> </w:t>
            </w:r>
            <w:r>
              <w:rPr>
                <w:rFonts w:ascii="宋体" w:hAnsi="宋体" w:cs="宋体" w:eastAsia="宋体" w:hint="default"/>
                <w:spacing w:val="14"/>
                <w:sz w:val="18"/>
                <w:szCs w:val="18"/>
              </w:rPr>
              <w:t>本期增减变动金额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458,905,958.00</w:t>
            </w: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-458,961,794.79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-3,593,126.92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312,752,007.50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19,556,932.18</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338,993,938.30</w:t>
            </w:r>
          </w:p>
        </w:tc>
      </w:tr>
      <w:tr>
        <w:trPr>
          <w:trHeight w:val="46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6" w:right="0"/>
              <w:jc w:val="left"/>
              <w:rPr>
                <w:rFonts w:ascii="Times New Roman" w:hAnsi="Times New Roman" w:cs="Times New Roman" w:eastAsia="Times New Roman" w:hint="default"/>
                <w:sz w:val="18"/>
                <w:szCs w:val="18"/>
              </w:rPr>
            </w:pPr>
            <w:r>
              <w:rPr>
                <w:rFonts w:ascii="Times New Roman"/>
                <w:sz w:val="18"/>
              </w:rPr>
              <w:t>-3,593,126.92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350,620,327.31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21,366,932.18</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368,394,132.57</w:t>
            </w:r>
          </w:p>
        </w:tc>
      </w:tr>
      <w:tr>
        <w:trPr>
          <w:trHeight w:val="714" w:hRule="exact"/>
        </w:trPr>
        <w:tc>
          <w:tcPr>
            <w:tcW w:w="20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22"/>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z w:val="18"/>
                <w:szCs w:val="18"/>
              </w:rPr>
              <w:t> 资本</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75" w:hRule="exact"/>
        </w:trPr>
        <w:tc>
          <w:tcPr>
            <w:tcW w:w="201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46" w:type="dxa"/>
            <w:tcBorders>
              <w:top w:val="single" w:sz="4" w:space="0" w:color="000000"/>
              <w:left w:val="single" w:sz="4" w:space="0" w:color="000000"/>
              <w:bottom w:val="single" w:sz="12" w:space="0" w:color="000000"/>
              <w:right w:val="single" w:sz="4" w:space="0" w:color="000000"/>
            </w:tcBorders>
          </w:tcPr>
          <w:p>
            <w:pPr/>
          </w:p>
        </w:tc>
        <w:tc>
          <w:tcPr>
            <w:tcW w:w="476" w:type="dxa"/>
            <w:tcBorders>
              <w:top w:val="single" w:sz="4" w:space="0" w:color="000000"/>
              <w:left w:val="single" w:sz="4" w:space="0" w:color="000000"/>
              <w:bottom w:val="single" w:sz="12" w:space="0" w:color="000000"/>
              <w:right w:val="single" w:sz="4" w:space="0" w:color="000000"/>
            </w:tcBorders>
          </w:tcPr>
          <w:p>
            <w:pPr/>
          </w:p>
        </w:tc>
        <w:tc>
          <w:tcPr>
            <w:tcW w:w="462" w:type="dxa"/>
            <w:tcBorders>
              <w:top w:val="single" w:sz="4" w:space="0" w:color="000000"/>
              <w:left w:val="single" w:sz="4" w:space="0" w:color="000000"/>
              <w:bottom w:val="single" w:sz="12" w:space="0" w:color="000000"/>
              <w:right w:val="single" w:sz="4" w:space="0" w:color="000000"/>
            </w:tcBorders>
          </w:tcPr>
          <w:p>
            <w:pPr/>
          </w:p>
        </w:tc>
        <w:tc>
          <w:tcPr>
            <w:tcW w:w="434"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single" w:sz="4" w:space="0" w:color="000000"/>
            </w:tcBorders>
          </w:tcPr>
          <w:p>
            <w:pP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806" w:type="dxa"/>
            <w:tcBorders>
              <w:top w:val="single" w:sz="4" w:space="0" w:color="000000"/>
              <w:left w:val="single" w:sz="4" w:space="0" w:color="000000"/>
              <w:bottom w:val="single" w:sz="12" w:space="0" w:color="000000"/>
              <w:right w:val="single" w:sz="4" w:space="0" w:color="000000"/>
            </w:tcBorders>
          </w:tcPr>
          <w:p>
            <w:pPr/>
          </w:p>
        </w:tc>
        <w:tc>
          <w:tcPr>
            <w:tcW w:w="1319"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3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4,400,000.00</w:t>
            </w:r>
          </w:p>
        </w:tc>
      </w:tr>
    </w:tbl>
    <w:p>
      <w:pPr>
        <w:spacing w:after="0" w:line="240" w:lineRule="auto"/>
        <w:jc w:val="right"/>
        <w:rPr>
          <w:rFonts w:ascii="Times New Roman" w:hAnsi="Times New Roman" w:cs="Times New Roman" w:eastAsia="Times New Roman" w:hint="default"/>
          <w:sz w:val="18"/>
          <w:szCs w:val="18"/>
        </w:rPr>
        <w:sectPr>
          <w:headerReference w:type="default" r:id="rId51"/>
          <w:footerReference w:type="default" r:id="rId52"/>
          <w:pgSz w:w="16840" w:h="11910" w:orient="landscape"/>
          <w:pgMar w:header="908" w:footer="1266" w:top="1100" w:bottom="1460" w:left="1300" w:right="0"/>
          <w:pgNumType w:start="109"/>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16"/>
        <w:gridCol w:w="1246"/>
        <w:gridCol w:w="476"/>
        <w:gridCol w:w="462"/>
        <w:gridCol w:w="434"/>
        <w:gridCol w:w="1320"/>
        <w:gridCol w:w="566"/>
        <w:gridCol w:w="1134"/>
        <w:gridCol w:w="568"/>
        <w:gridCol w:w="1134"/>
        <w:gridCol w:w="806"/>
        <w:gridCol w:w="1319"/>
        <w:gridCol w:w="1134"/>
        <w:gridCol w:w="1382"/>
      </w:tblGrid>
      <w:tr>
        <w:trPr>
          <w:trHeight w:val="723" w:hRule="exact"/>
        </w:trPr>
        <w:tc>
          <w:tcPr>
            <w:tcW w:w="20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z w:val="18"/>
                <w:szCs w:val="18"/>
              </w:rPr>
              <w:t> 投入资本</w:t>
            </w:r>
          </w:p>
        </w:tc>
        <w:tc>
          <w:tcPr>
            <w:tcW w:w="1246" w:type="dxa"/>
            <w:tcBorders>
              <w:top w:val="single" w:sz="12" w:space="0" w:color="000000"/>
              <w:left w:val="single" w:sz="4" w:space="0" w:color="000000"/>
              <w:bottom w:val="single" w:sz="4" w:space="0" w:color="000000"/>
              <w:right w:val="single" w:sz="4" w:space="0" w:color="000000"/>
            </w:tcBorders>
          </w:tcPr>
          <w:p>
            <w:pPr/>
          </w:p>
        </w:tc>
        <w:tc>
          <w:tcPr>
            <w:tcW w:w="476" w:type="dxa"/>
            <w:tcBorders>
              <w:top w:val="single" w:sz="12" w:space="0" w:color="000000"/>
              <w:left w:val="single" w:sz="4" w:space="0" w:color="000000"/>
              <w:bottom w:val="single" w:sz="4" w:space="0" w:color="000000"/>
              <w:right w:val="single" w:sz="4" w:space="0" w:color="000000"/>
            </w:tcBorders>
          </w:tcPr>
          <w:p>
            <w:pPr/>
          </w:p>
        </w:tc>
        <w:tc>
          <w:tcPr>
            <w:tcW w:w="462" w:type="dxa"/>
            <w:tcBorders>
              <w:top w:val="single" w:sz="12" w:space="0" w:color="000000"/>
              <w:left w:val="single" w:sz="4" w:space="0" w:color="000000"/>
              <w:bottom w:val="single" w:sz="4" w:space="0" w:color="000000"/>
              <w:right w:val="single" w:sz="4" w:space="0" w:color="000000"/>
            </w:tcBorders>
          </w:tcPr>
          <w:p>
            <w:pPr/>
          </w:p>
        </w:tc>
        <w:tc>
          <w:tcPr>
            <w:tcW w:w="434" w:type="dxa"/>
            <w:tcBorders>
              <w:top w:val="single" w:sz="12" w:space="0" w:color="000000"/>
              <w:left w:val="single" w:sz="4" w:space="0" w:color="000000"/>
              <w:bottom w:val="single" w:sz="4" w:space="0" w:color="000000"/>
              <w:right w:val="single" w:sz="4" w:space="0" w:color="000000"/>
            </w:tcBorders>
          </w:tcPr>
          <w:p>
            <w:pPr/>
          </w:p>
        </w:tc>
        <w:tc>
          <w:tcPr>
            <w:tcW w:w="1320" w:type="dxa"/>
            <w:tcBorders>
              <w:top w:val="single" w:sz="12" w:space="0" w:color="000000"/>
              <w:left w:val="single" w:sz="4" w:space="0" w:color="000000"/>
              <w:bottom w:val="single" w:sz="4" w:space="0" w:color="000000"/>
              <w:right w:val="single" w:sz="4" w:space="0" w:color="000000"/>
            </w:tcBorders>
          </w:tcPr>
          <w:p>
            <w:pPr/>
          </w:p>
        </w:tc>
        <w:tc>
          <w:tcPr>
            <w:tcW w:w="56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4" w:space="0" w:color="000000"/>
            </w:tcBorders>
          </w:tcPr>
          <w:p>
            <w:pPr/>
          </w:p>
        </w:tc>
        <w:tc>
          <w:tcPr>
            <w:tcW w:w="1319"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382"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r>
              <w:rPr>
                <w:rFonts w:ascii="宋体" w:hAnsi="宋体" w:cs="宋体" w:eastAsia="宋体" w:hint="default"/>
                <w:sz w:val="18"/>
                <w:szCs w:val="18"/>
              </w:rPr>
              <w:t> 权益的金额</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-37,868,319.81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4" w:right="0"/>
              <w:jc w:val="center"/>
              <w:rPr>
                <w:rFonts w:ascii="Times New Roman" w:hAnsi="Times New Roman" w:cs="Times New Roman" w:eastAsia="Times New Roman" w:hint="default"/>
                <w:sz w:val="18"/>
                <w:szCs w:val="18"/>
              </w:rPr>
            </w:pPr>
            <w:r>
              <w:rPr>
                <w:rFonts w:ascii="Times New Roman"/>
                <w:sz w:val="18"/>
              </w:rPr>
              <w:t>-6,210,000.00</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-33,744,357.48</w:t>
            </w:r>
          </w:p>
        </w:tc>
      </w:tr>
      <w:tr>
        <w:trPr>
          <w:trHeight w:val="463"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w:t>
            </w:r>
            <w:r>
              <w:rPr>
                <w:rFonts w:ascii="宋体" w:hAnsi="宋体" w:cs="宋体" w:eastAsia="宋体" w:hint="default"/>
                <w:sz w:val="18"/>
                <w:szCs w:val="18"/>
              </w:rPr>
              <w:t> 的分配</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-27,534,357.48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-6,210,000.00</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-33,744,357.48</w:t>
            </w: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2"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z w:val="18"/>
                <w:szCs w:val="18"/>
              </w:rPr>
              <w:t> 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458,905,958.00</w:t>
            </w: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-458,905,958.00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2"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458,905,958.00</w:t>
            </w: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-458,905,958.00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2"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0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4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46" w:type="dxa"/>
            <w:tcBorders>
              <w:top w:val="single" w:sz="4" w:space="0" w:color="000000"/>
              <w:left w:val="single" w:sz="4" w:space="0" w:color="000000"/>
              <w:bottom w:val="single" w:sz="12" w:space="0" w:color="000000"/>
              <w:right w:val="single" w:sz="4" w:space="0" w:color="000000"/>
            </w:tcBorders>
          </w:tcPr>
          <w:p>
            <w:pPr/>
          </w:p>
        </w:tc>
        <w:tc>
          <w:tcPr>
            <w:tcW w:w="476" w:type="dxa"/>
            <w:tcBorders>
              <w:top w:val="single" w:sz="4" w:space="0" w:color="000000"/>
              <w:left w:val="single" w:sz="4" w:space="0" w:color="000000"/>
              <w:bottom w:val="single" w:sz="12" w:space="0" w:color="000000"/>
              <w:right w:val="single" w:sz="4" w:space="0" w:color="000000"/>
            </w:tcBorders>
          </w:tcPr>
          <w:p>
            <w:pPr/>
          </w:p>
        </w:tc>
        <w:tc>
          <w:tcPr>
            <w:tcW w:w="462" w:type="dxa"/>
            <w:tcBorders>
              <w:top w:val="single" w:sz="4" w:space="0" w:color="000000"/>
              <w:left w:val="single" w:sz="4" w:space="0" w:color="000000"/>
              <w:bottom w:val="single" w:sz="12" w:space="0" w:color="000000"/>
              <w:right w:val="single" w:sz="4" w:space="0" w:color="000000"/>
            </w:tcBorders>
          </w:tcPr>
          <w:p>
            <w:pPr/>
          </w:p>
        </w:tc>
        <w:tc>
          <w:tcPr>
            <w:tcW w:w="434"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single" w:sz="4" w:space="0" w:color="000000"/>
            </w:tcBorders>
          </w:tcPr>
          <w:p>
            <w:pP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806" w:type="dxa"/>
            <w:tcBorders>
              <w:top w:val="single" w:sz="4" w:space="0" w:color="000000"/>
              <w:left w:val="single" w:sz="4" w:space="0" w:color="000000"/>
              <w:bottom w:val="single" w:sz="12" w:space="0" w:color="000000"/>
              <w:right w:val="single" w:sz="4" w:space="0" w:color="000000"/>
            </w:tcBorders>
          </w:tcPr>
          <w:p>
            <w:pPr/>
          </w:p>
        </w:tc>
        <w:tc>
          <w:tcPr>
            <w:tcW w:w="1319"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6840" w:h="11910" w:orient="landscape"/>
          <w:pgMar w:header="908" w:footer="1266" w:top="1100" w:bottom="1460" w:left="1300" w:right="0"/>
        </w:sectPr>
      </w:pPr>
    </w:p>
    <w:p>
      <w:pPr>
        <w:spacing w:line="240" w:lineRule="auto" w:before="0"/>
        <w:rPr>
          <w:rFonts w:ascii="Times New Roman" w:hAnsi="Times New Roman" w:cs="Times New Roman" w:eastAsia="Times New Roman"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017"/>
        <w:gridCol w:w="1246"/>
        <w:gridCol w:w="476"/>
        <w:gridCol w:w="462"/>
        <w:gridCol w:w="434"/>
        <w:gridCol w:w="1320"/>
        <w:gridCol w:w="566"/>
        <w:gridCol w:w="1134"/>
        <w:gridCol w:w="568"/>
        <w:gridCol w:w="1134"/>
        <w:gridCol w:w="806"/>
        <w:gridCol w:w="1319"/>
        <w:gridCol w:w="1134"/>
        <w:gridCol w:w="1382"/>
      </w:tblGrid>
      <w:tr>
        <w:trPr>
          <w:trHeight w:val="474" w:hRule="exact"/>
        </w:trPr>
        <w:tc>
          <w:tcPr>
            <w:tcW w:w="201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46" w:type="dxa"/>
            <w:tcBorders>
              <w:top w:val="single" w:sz="12" w:space="0" w:color="000000"/>
              <w:left w:val="single" w:sz="4" w:space="0" w:color="000000"/>
              <w:bottom w:val="single" w:sz="4" w:space="0" w:color="000000"/>
              <w:right w:val="single" w:sz="4" w:space="0" w:color="000000"/>
            </w:tcBorders>
          </w:tcPr>
          <w:p>
            <w:pPr/>
          </w:p>
        </w:tc>
        <w:tc>
          <w:tcPr>
            <w:tcW w:w="476" w:type="dxa"/>
            <w:tcBorders>
              <w:top w:val="single" w:sz="12" w:space="0" w:color="000000"/>
              <w:left w:val="single" w:sz="4" w:space="0" w:color="000000"/>
              <w:bottom w:val="single" w:sz="4" w:space="0" w:color="000000"/>
              <w:right w:val="single" w:sz="4" w:space="0" w:color="000000"/>
            </w:tcBorders>
          </w:tcPr>
          <w:p>
            <w:pPr/>
          </w:p>
        </w:tc>
        <w:tc>
          <w:tcPr>
            <w:tcW w:w="462" w:type="dxa"/>
            <w:tcBorders>
              <w:top w:val="single" w:sz="12" w:space="0" w:color="000000"/>
              <w:left w:val="single" w:sz="4" w:space="0" w:color="000000"/>
              <w:bottom w:val="single" w:sz="4" w:space="0" w:color="000000"/>
              <w:right w:val="single" w:sz="4" w:space="0" w:color="000000"/>
            </w:tcBorders>
          </w:tcPr>
          <w:p>
            <w:pPr/>
          </w:p>
        </w:tc>
        <w:tc>
          <w:tcPr>
            <w:tcW w:w="434" w:type="dxa"/>
            <w:tcBorders>
              <w:top w:val="single" w:sz="12" w:space="0" w:color="000000"/>
              <w:left w:val="single" w:sz="4" w:space="0" w:color="000000"/>
              <w:bottom w:val="single" w:sz="4" w:space="0" w:color="000000"/>
              <w:right w:val="single" w:sz="4" w:space="0" w:color="000000"/>
            </w:tcBorders>
          </w:tcPr>
          <w:p>
            <w:pPr/>
          </w:p>
        </w:tc>
        <w:tc>
          <w:tcPr>
            <w:tcW w:w="13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w w:val="95"/>
                <w:sz w:val="18"/>
              </w:rPr>
              <w:t>-55,836.79</w:t>
            </w:r>
            <w:r>
              <w:rPr>
                <w:rFonts w:ascii="Times New Roman"/>
                <w:sz w:val="18"/>
              </w:rPr>
            </w:r>
          </w:p>
        </w:tc>
        <w:tc>
          <w:tcPr>
            <w:tcW w:w="56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806" w:type="dxa"/>
            <w:tcBorders>
              <w:top w:val="single" w:sz="12" w:space="0" w:color="000000"/>
              <w:left w:val="single" w:sz="4" w:space="0" w:color="000000"/>
              <w:bottom w:val="single" w:sz="4" w:space="0" w:color="000000"/>
              <w:right w:val="single" w:sz="4" w:space="0" w:color="000000"/>
            </w:tcBorders>
          </w:tcPr>
          <w:p>
            <w:pPr/>
          </w:p>
        </w:tc>
        <w:tc>
          <w:tcPr>
            <w:tcW w:w="1319"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3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1"/>
              <w:ind w:right="9"/>
              <w:jc w:val="right"/>
              <w:rPr>
                <w:rFonts w:ascii="Times New Roman" w:hAnsi="Times New Roman" w:cs="Times New Roman" w:eastAsia="Times New Roman" w:hint="default"/>
                <w:sz w:val="18"/>
                <w:szCs w:val="18"/>
              </w:rPr>
            </w:pPr>
            <w:r>
              <w:rPr>
                <w:rFonts w:ascii="Times New Roman"/>
                <w:w w:val="95"/>
                <w:sz w:val="18"/>
              </w:rPr>
              <w:t>-55,836.79</w:t>
            </w:r>
            <w:r>
              <w:rPr>
                <w:rFonts w:ascii="Times New Roman"/>
                <w:sz w:val="18"/>
              </w:rPr>
            </w:r>
          </w:p>
        </w:tc>
      </w:tr>
      <w:tr>
        <w:trPr>
          <w:trHeight w:val="475" w:hRule="exact"/>
        </w:trPr>
        <w:tc>
          <w:tcPr>
            <w:tcW w:w="201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93" w:right="0"/>
              <w:jc w:val="left"/>
              <w:rPr>
                <w:rFonts w:ascii="Times New Roman" w:hAnsi="Times New Roman" w:cs="Times New Roman" w:eastAsia="Times New Roman" w:hint="default"/>
                <w:sz w:val="18"/>
                <w:szCs w:val="18"/>
              </w:rPr>
            </w:pPr>
            <w:r>
              <w:rPr>
                <w:rFonts w:ascii="Times New Roman"/>
                <w:sz w:val="18"/>
              </w:rPr>
              <w:t>917,811,916.00</w:t>
            </w:r>
          </w:p>
        </w:tc>
        <w:tc>
          <w:tcPr>
            <w:tcW w:w="476" w:type="dxa"/>
            <w:tcBorders>
              <w:top w:val="single" w:sz="4" w:space="0" w:color="000000"/>
              <w:left w:val="single" w:sz="4" w:space="0" w:color="000000"/>
              <w:bottom w:val="single" w:sz="12" w:space="0" w:color="000000"/>
              <w:right w:val="single" w:sz="4" w:space="0" w:color="000000"/>
            </w:tcBorders>
          </w:tcPr>
          <w:p>
            <w:pPr/>
          </w:p>
        </w:tc>
        <w:tc>
          <w:tcPr>
            <w:tcW w:w="462" w:type="dxa"/>
            <w:tcBorders>
              <w:top w:val="single" w:sz="4" w:space="0" w:color="000000"/>
              <w:left w:val="single" w:sz="4" w:space="0" w:color="000000"/>
              <w:bottom w:val="single" w:sz="12" w:space="0" w:color="000000"/>
              <w:right w:val="single" w:sz="4" w:space="0" w:color="000000"/>
            </w:tcBorders>
          </w:tcPr>
          <w:p>
            <w:pPr/>
          </w:p>
        </w:tc>
        <w:tc>
          <w:tcPr>
            <w:tcW w:w="434"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1,117,366,947.99</w:t>
            </w: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66,292,066.58</w:t>
            </w: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71" w:right="0"/>
              <w:jc w:val="left"/>
              <w:rPr>
                <w:rFonts w:ascii="Times New Roman" w:hAnsi="Times New Roman" w:cs="Times New Roman" w:eastAsia="Times New Roman" w:hint="default"/>
                <w:sz w:val="18"/>
                <w:szCs w:val="18"/>
              </w:rPr>
            </w:pPr>
            <w:r>
              <w:rPr>
                <w:rFonts w:ascii="Times New Roman"/>
                <w:sz w:val="18"/>
              </w:rPr>
              <w:t>20,396,756.11</w:t>
            </w:r>
          </w:p>
        </w:tc>
        <w:tc>
          <w:tcPr>
            <w:tcW w:w="806" w:type="dxa"/>
            <w:tcBorders>
              <w:top w:val="single" w:sz="4" w:space="0" w:color="000000"/>
              <w:left w:val="single" w:sz="4" w:space="0" w:color="000000"/>
              <w:bottom w:val="single" w:sz="12" w:space="0" w:color="000000"/>
              <w:right w:val="single" w:sz="4" w:space="0" w:color="000000"/>
            </w:tcBorders>
          </w:tcPr>
          <w:p>
            <w:pP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5" w:right="0"/>
              <w:jc w:val="left"/>
              <w:rPr>
                <w:rFonts w:ascii="Times New Roman" w:hAnsi="Times New Roman" w:cs="Times New Roman" w:eastAsia="Times New Roman" w:hint="default"/>
                <w:sz w:val="18"/>
                <w:szCs w:val="18"/>
              </w:rPr>
            </w:pPr>
            <w:r>
              <w:rPr>
                <w:rFonts w:ascii="Times New Roman"/>
                <w:sz w:val="18"/>
              </w:rPr>
              <w:t>1,127,451,316.70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67" w:right="0"/>
              <w:jc w:val="left"/>
              <w:rPr>
                <w:rFonts w:ascii="Times New Roman" w:hAnsi="Times New Roman" w:cs="Times New Roman" w:eastAsia="Times New Roman" w:hint="default"/>
                <w:sz w:val="18"/>
                <w:szCs w:val="18"/>
              </w:rPr>
            </w:pPr>
            <w:r>
              <w:rPr>
                <w:rFonts w:ascii="Times New Roman"/>
                <w:sz w:val="18"/>
              </w:rPr>
              <w:t>51,189,771.07</w:t>
            </w:r>
          </w:p>
        </w:tc>
        <w:tc>
          <w:tcPr>
            <w:tcW w:w="13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3,300,508,774.45</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5"/>
        <w:ind w:left="140" w:right="0"/>
        <w:jc w:val="left"/>
      </w:pPr>
      <w:r>
        <w:rPr/>
        <w:t>上期金额</w:t>
      </w:r>
    </w:p>
    <w:p>
      <w:pPr>
        <w:spacing w:line="240" w:lineRule="auto" w:before="4"/>
        <w:rPr>
          <w:rFonts w:ascii="宋体" w:hAnsi="宋体" w:cs="宋体" w:eastAsia="宋体" w:hint="default"/>
          <w:sz w:val="16"/>
          <w:szCs w:val="16"/>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单元：元</w:t>
      </w:r>
    </w:p>
    <w:p>
      <w:pPr>
        <w:spacing w:line="240" w:lineRule="auto" w:before="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1844"/>
        <w:gridCol w:w="1418"/>
        <w:gridCol w:w="425"/>
        <w:gridCol w:w="425"/>
        <w:gridCol w:w="425"/>
        <w:gridCol w:w="1418"/>
        <w:gridCol w:w="566"/>
        <w:gridCol w:w="1134"/>
        <w:gridCol w:w="568"/>
        <w:gridCol w:w="1134"/>
        <w:gridCol w:w="709"/>
        <w:gridCol w:w="1416"/>
        <w:gridCol w:w="1134"/>
        <w:gridCol w:w="1418"/>
      </w:tblGrid>
      <w:tr>
        <w:trPr>
          <w:trHeight w:val="458" w:hRule="exact"/>
        </w:trPr>
        <w:tc>
          <w:tcPr>
            <w:tcW w:w="1844" w:type="dxa"/>
            <w:vMerge w:val="restart"/>
            <w:tcBorders>
              <w:top w:val="single" w:sz="12" w:space="0" w:color="000000"/>
              <w:left w:val="single" w:sz="12" w:space="0" w:color="000000"/>
              <w:right w:val="single" w:sz="4" w:space="0" w:color="000000"/>
            </w:tcBorders>
            <w:shd w:val="clear" w:color="auto" w:fill="D2D2D2"/>
          </w:tcPr>
          <w:p>
            <w:pPr/>
          </w:p>
        </w:tc>
        <w:tc>
          <w:tcPr>
            <w:tcW w:w="12191" w:type="dxa"/>
            <w:gridSpan w:val="1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49" w:hRule="exact"/>
        </w:trPr>
        <w:tc>
          <w:tcPr>
            <w:tcW w:w="1844" w:type="dxa"/>
            <w:vMerge/>
            <w:tcBorders>
              <w:left w:val="single" w:sz="12" w:space="0" w:color="000000"/>
              <w:bottom w:val="nil" w:sz="6" w:space="0" w:color="auto"/>
              <w:right w:val="single" w:sz="4" w:space="0" w:color="000000"/>
            </w:tcBorders>
            <w:shd w:val="clear" w:color="auto" w:fill="D2D2D2"/>
          </w:tcPr>
          <w:p>
            <w:pPr/>
          </w:p>
        </w:tc>
        <w:tc>
          <w:tcPr>
            <w:tcW w:w="963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12" w:space="0" w:color="000000"/>
            </w:tcBorders>
            <w:shd w:val="clear" w:color="auto" w:fill="D2D2D2"/>
          </w:tcPr>
          <w:p>
            <w:pPr/>
          </w:p>
        </w:tc>
      </w:tr>
      <w:tr>
        <w:trPr>
          <w:trHeight w:val="214" w:hRule="exact"/>
        </w:trPr>
        <w:tc>
          <w:tcPr>
            <w:tcW w:w="1844" w:type="dxa"/>
            <w:vMerge w:val="restart"/>
            <w:tcBorders>
              <w:top w:val="nil" w:sz="6" w:space="0" w:color="auto"/>
              <w:left w:val="single" w:sz="12" w:space="0" w:color="000000"/>
              <w:right w:val="single" w:sz="4" w:space="0" w:color="000000"/>
            </w:tcBorders>
            <w:shd w:val="clear" w:color="auto" w:fill="D2D2D2"/>
          </w:tcPr>
          <w:p>
            <w:pPr>
              <w:pStyle w:val="TableParagraph"/>
              <w:spacing w:line="232"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2"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8" w:type="dxa"/>
            <w:vMerge/>
            <w:tcBorders>
              <w:left w:val="single" w:sz="4" w:space="0" w:color="000000"/>
              <w:bottom w:val="nil" w:sz="6" w:space="0" w:color="auto"/>
              <w:right w:val="single" w:sz="12" w:space="0" w:color="000000"/>
            </w:tcBorders>
            <w:shd w:val="clear" w:color="auto" w:fill="D2D2D2"/>
          </w:tcPr>
          <w:p>
            <w:pPr/>
          </w:p>
        </w:tc>
      </w:tr>
      <w:tr>
        <w:trPr>
          <w:trHeight w:val="194" w:hRule="exact"/>
        </w:trPr>
        <w:tc>
          <w:tcPr>
            <w:tcW w:w="1844" w:type="dxa"/>
            <w:vMerge/>
            <w:tcBorders>
              <w:left w:val="single" w:sz="12"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471" w:right="111"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13"/>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7" w:hRule="exact"/>
        </w:trPr>
        <w:tc>
          <w:tcPr>
            <w:tcW w:w="1844" w:type="dxa"/>
            <w:vMerge w:val="restart"/>
            <w:tcBorders>
              <w:top w:val="nil" w:sz="6" w:space="0" w:color="auto"/>
              <w:left w:val="single" w:sz="12"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5"/>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5"/>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12" w:space="0" w:color="000000"/>
            </w:tcBorders>
            <w:shd w:val="clear" w:color="auto" w:fill="D2D2D2"/>
          </w:tcPr>
          <w:p>
            <w:pPr/>
          </w:p>
        </w:tc>
      </w:tr>
      <w:tr>
        <w:trPr>
          <w:trHeight w:val="175" w:hRule="exact"/>
        </w:trPr>
        <w:tc>
          <w:tcPr>
            <w:tcW w:w="1844" w:type="dxa"/>
            <w:vMerge/>
            <w:tcBorders>
              <w:left w:val="single" w:sz="12"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single" w:sz="13" w:space="0" w:color="FFFFFF"/>
              <w:right w:val="single" w:sz="4" w:space="0" w:color="000000"/>
            </w:tcBorders>
            <w:shd w:val="clear" w:color="auto" w:fill="D2D2D2"/>
          </w:tcPr>
          <w:p>
            <w:pPr/>
          </w:p>
        </w:tc>
        <w:tc>
          <w:tcPr>
            <w:tcW w:w="1134" w:type="dxa"/>
            <w:vMerge/>
            <w:tcBorders>
              <w:left w:val="single" w:sz="4" w:space="0" w:color="000000"/>
              <w:bottom w:val="single" w:sz="13" w:space="0" w:color="FFFFFF"/>
              <w:right w:val="single" w:sz="4" w:space="0" w:color="000000"/>
            </w:tcBorders>
            <w:shd w:val="clear" w:color="auto" w:fill="D2D2D2"/>
          </w:tcPr>
          <w:p>
            <w:pPr/>
          </w:p>
        </w:tc>
        <w:tc>
          <w:tcPr>
            <w:tcW w:w="1418" w:type="dxa"/>
            <w:vMerge w:val="restart"/>
            <w:tcBorders>
              <w:top w:val="nil" w:sz="6" w:space="0" w:color="auto"/>
              <w:left w:val="single" w:sz="4" w:space="0" w:color="000000"/>
              <w:right w:val="single" w:sz="12" w:space="0" w:color="000000"/>
            </w:tcBorders>
            <w:shd w:val="clear" w:color="auto" w:fill="D2D2D2"/>
          </w:tcPr>
          <w:p>
            <w:pPr/>
          </w:p>
        </w:tc>
      </w:tr>
      <w:tr>
        <w:trPr>
          <w:trHeight w:val="161" w:hRule="exact"/>
        </w:trPr>
        <w:tc>
          <w:tcPr>
            <w:tcW w:w="1844" w:type="dxa"/>
            <w:vMerge/>
            <w:tcBorders>
              <w:left w:val="single" w:sz="12"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single" w:sz="13" w:space="0" w:color="FFFFFF"/>
              <w:left w:val="single" w:sz="4" w:space="0" w:color="000000"/>
              <w:right w:val="single" w:sz="4" w:space="0" w:color="000000"/>
            </w:tcBorders>
            <w:shd w:val="clear" w:color="auto" w:fill="D2D2D2"/>
          </w:tcPr>
          <w:p>
            <w:pPr/>
          </w:p>
        </w:tc>
        <w:tc>
          <w:tcPr>
            <w:tcW w:w="1134" w:type="dxa"/>
            <w:vMerge w:val="restart"/>
            <w:tcBorders>
              <w:top w:val="single" w:sz="13" w:space="0" w:color="FFFFFF"/>
              <w:left w:val="single" w:sz="4" w:space="0" w:color="000000"/>
              <w:right w:val="single" w:sz="4" w:space="0" w:color="000000"/>
            </w:tcBorders>
            <w:shd w:val="clear" w:color="auto" w:fill="D2D2D2"/>
          </w:tcPr>
          <w:p>
            <w:pPr/>
          </w:p>
        </w:tc>
        <w:tc>
          <w:tcPr>
            <w:tcW w:w="1418" w:type="dxa"/>
            <w:vMerge/>
            <w:tcBorders>
              <w:left w:val="single" w:sz="4" w:space="0" w:color="000000"/>
              <w:right w:val="single" w:sz="12" w:space="0" w:color="000000"/>
            </w:tcBorders>
            <w:shd w:val="clear" w:color="auto" w:fill="D2D2D2"/>
          </w:tcPr>
          <w:p>
            <w:pPr/>
          </w:p>
        </w:tc>
      </w:tr>
      <w:tr>
        <w:trPr>
          <w:trHeight w:val="199" w:hRule="exact"/>
        </w:trPr>
        <w:tc>
          <w:tcPr>
            <w:tcW w:w="1844" w:type="dxa"/>
            <w:vMerge/>
            <w:tcBorders>
              <w:left w:val="single" w:sz="12"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12" w:space="0" w:color="000000"/>
            </w:tcBorders>
            <w:shd w:val="clear" w:color="auto" w:fill="D2D2D2"/>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431,214,014.00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881,287,279.65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44,031,200.38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2,322,738.36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542,908,224.61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21,939,342.21</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1,923,702,799.21</w:t>
            </w: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pacing w:val="16"/>
                <w:sz w:val="18"/>
                <w:szCs w:val="18"/>
              </w:rPr>
              <w:t>前期差错更</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pacing w:val="16"/>
                <w:sz w:val="18"/>
                <w:szCs w:val="18"/>
              </w:rPr>
              <w:t>同一控制下</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431,214,014.00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881,287,279.65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44,031,200.38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2,322,738.36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542,908,224.61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21,939,342.21</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1"/>
              <w:jc w:val="right"/>
              <w:rPr>
                <w:rFonts w:ascii="Times New Roman" w:hAnsi="Times New Roman" w:cs="Times New Roman" w:eastAsia="Times New Roman" w:hint="default"/>
                <w:sz w:val="18"/>
                <w:szCs w:val="18"/>
              </w:rPr>
            </w:pPr>
            <w:r>
              <w:rPr>
                <w:rFonts w:ascii="Times New Roman"/>
                <w:spacing w:val="-1"/>
                <w:sz w:val="18"/>
              </w:rPr>
              <w:t>1,923,702,799.21</w:t>
            </w: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27,691,944.00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695,041,463.13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25,853,993.12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271,791,084.59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9,693,496.68</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1,037,812,036.94</w:t>
            </w: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25,853,993.12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279,531,140.01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7,593,496.68</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312,978,629.81</w:t>
            </w:r>
          </w:p>
        </w:tc>
      </w:tr>
      <w:tr>
        <w:trPr>
          <w:trHeight w:val="475" w:hRule="exact"/>
        </w:trPr>
        <w:tc>
          <w:tcPr>
            <w:tcW w:w="18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3"/>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27,691,944.00</w:t>
            </w: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695,041,463.13</w:t>
            </w: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pacing w:val="-1"/>
                <w:sz w:val="18"/>
              </w:rPr>
              <w:t>724,833,407.13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1266" w:top="1100" w:bottom="146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71.220001pt;margin-top:60.000008pt;width:704.05pt;height:448.75pt;mso-position-horizontal-relative:page;mso-position-vertical-relative:page;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418"/>
                    <w:gridCol w:w="425"/>
                    <w:gridCol w:w="425"/>
                    <w:gridCol w:w="425"/>
                    <w:gridCol w:w="1418"/>
                    <w:gridCol w:w="566"/>
                    <w:gridCol w:w="1134"/>
                    <w:gridCol w:w="568"/>
                    <w:gridCol w:w="1134"/>
                    <w:gridCol w:w="709"/>
                    <w:gridCol w:w="1416"/>
                    <w:gridCol w:w="1134"/>
                    <w:gridCol w:w="1418"/>
                  </w:tblGrid>
                  <w:tr>
                    <w:trPr>
                      <w:trHeight w:val="474" w:hRule="exact"/>
                    </w:trPr>
                    <w:tc>
                      <w:tcPr>
                        <w:tcW w:w="18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56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Times New Roman" w:hAnsi="Times New Roman" w:cs="Times New Roman" w:eastAsia="Times New Roman" w:hint="default"/>
                            <w:sz w:val="18"/>
                            <w:szCs w:val="18"/>
                          </w:rPr>
                        </w:pPr>
                        <w:r>
                          <w:rPr>
                            <w:rFonts w:ascii="Times New Roman"/>
                            <w:sz w:val="18"/>
                          </w:rPr>
                          <w:t>27,691,944.00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695,041,364.70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7" w:right="0"/>
                          <w:jc w:val="left"/>
                          <w:rPr>
                            <w:rFonts w:ascii="Times New Roman" w:hAnsi="Times New Roman" w:cs="Times New Roman" w:eastAsia="Times New Roman" w:hint="default"/>
                            <w:sz w:val="18"/>
                            <w:szCs w:val="18"/>
                          </w:rPr>
                        </w:pPr>
                        <w:r>
                          <w:rPr>
                            <w:rFonts w:ascii="Times New Roman"/>
                            <w:sz w:val="18"/>
                          </w:rPr>
                          <w:t>2,100,000.00</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724,833,308.70</w:t>
                        </w: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98.43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98.43</w:t>
                        </w: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2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8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12"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spacing w:line="558" w:lineRule="exact"/>
        <w:ind w:left="19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70.4pt;height:27.95pt;mso-position-horizontal-relative:char;mso-position-vertical-relative:line" coordorigin="0,0" coordsize="1408,559">
            <v:group style="position:absolute;left:0;top:0;width:1408;height:156" coordorigin="0,0" coordsize="1408,156">
              <v:shape style="position:absolute;left:0;top:0;width:1408;height:156" coordorigin="0,0" coordsize="1408,156" path="m0,156l1408,156,1408,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62;height:392" coordorigin="23,156" coordsize="1362,392">
              <v:shape style="position:absolute;left:23;top:156;width:1362;height:392" coordorigin="23,156" coordsize="1362,392" path="m23,547l1385,547,1385,156,23,156,23,547xe" filled="true" fillcolor="#ffffff" stroked="false">
                <v:path arrowok="t"/>
                <v:fill type="solid"/>
              </v:shape>
            </v:group>
          </v:group>
        </w:pict>
      </w:r>
      <w:r>
        <w:rPr>
          <w:rFonts w:ascii="Times New Roman" w:hAnsi="Times New Roman" w:cs="Times New Roman" w:eastAsia="Times New Roman" w:hint="default"/>
          <w:position w:val="-10"/>
          <w:sz w:val="20"/>
          <w:szCs w:val="20"/>
        </w:rPr>
      </w:r>
    </w:p>
    <w:p>
      <w:pPr>
        <w:spacing w:after="0" w:line="558" w:lineRule="exact"/>
        <w:rPr>
          <w:rFonts w:ascii="Times New Roman" w:hAnsi="Times New Roman" w:cs="Times New Roman" w:eastAsia="Times New Roman" w:hint="default"/>
          <w:sz w:val="20"/>
          <w:szCs w:val="20"/>
        </w:rPr>
        <w:sectPr>
          <w:pgSz w:w="16840" w:h="11910" w:orient="landscape"/>
          <w:pgMar w:header="908" w:footer="1266" w:top="1220" w:bottom="1460" w:left="1300" w:right="0"/>
        </w:sectPr>
      </w:pPr>
    </w:p>
    <w:p>
      <w:pPr>
        <w:spacing w:line="240" w:lineRule="auto" w:before="0"/>
        <w:rPr>
          <w:rFonts w:ascii="Times New Roman" w:hAnsi="Times New Roman" w:cs="Times New Roman" w:eastAsia="Times New Roman"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844"/>
        <w:gridCol w:w="1418"/>
        <w:gridCol w:w="425"/>
        <w:gridCol w:w="425"/>
        <w:gridCol w:w="425"/>
        <w:gridCol w:w="1418"/>
        <w:gridCol w:w="566"/>
        <w:gridCol w:w="1134"/>
        <w:gridCol w:w="568"/>
        <w:gridCol w:w="1134"/>
        <w:gridCol w:w="709"/>
        <w:gridCol w:w="1416"/>
        <w:gridCol w:w="1134"/>
        <w:gridCol w:w="1418"/>
      </w:tblGrid>
      <w:tr>
        <w:trPr>
          <w:trHeight w:val="474" w:hRule="exact"/>
        </w:trPr>
        <w:tc>
          <w:tcPr>
            <w:tcW w:w="18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56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8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8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60" w:right="0"/>
              <w:jc w:val="left"/>
              <w:rPr>
                <w:rFonts w:ascii="Times New Roman" w:hAnsi="Times New Roman" w:cs="Times New Roman" w:eastAsia="Times New Roman" w:hint="default"/>
                <w:sz w:val="18"/>
                <w:szCs w:val="18"/>
              </w:rPr>
            </w:pPr>
            <w:r>
              <w:rPr>
                <w:rFonts w:ascii="Times New Roman"/>
                <w:sz w:val="18"/>
              </w:rPr>
              <w:t>458,905,958.00</w:t>
            </w: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24" w:right="0"/>
              <w:jc w:val="left"/>
              <w:rPr>
                <w:rFonts w:ascii="Times New Roman" w:hAnsi="Times New Roman" w:cs="Times New Roman" w:eastAsia="Times New Roman" w:hint="default"/>
                <w:sz w:val="18"/>
                <w:szCs w:val="18"/>
              </w:rPr>
            </w:pPr>
            <w:r>
              <w:rPr>
                <w:rFonts w:ascii="Times New Roman"/>
                <w:sz w:val="18"/>
              </w:rPr>
              <w:t>1,576,328,742.78</w:t>
            </w:r>
          </w:p>
        </w:tc>
        <w:tc>
          <w:tcPr>
            <w:tcW w:w="56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69,885,193.50</w:t>
            </w:r>
          </w:p>
        </w:tc>
        <w:tc>
          <w:tcPr>
            <w:tcW w:w="56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65" w:right="0"/>
              <w:jc w:val="left"/>
              <w:rPr>
                <w:rFonts w:ascii="Times New Roman" w:hAnsi="Times New Roman" w:cs="Times New Roman" w:eastAsia="Times New Roman" w:hint="default"/>
                <w:sz w:val="18"/>
                <w:szCs w:val="18"/>
              </w:rPr>
            </w:pPr>
            <w:r>
              <w:rPr>
                <w:rFonts w:ascii="Times New Roman"/>
                <w:sz w:val="18"/>
              </w:rPr>
              <w:t>10,062,793.78</w:t>
            </w:r>
          </w:p>
        </w:tc>
        <w:tc>
          <w:tcPr>
            <w:tcW w:w="709"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59" w:right="0"/>
              <w:jc w:val="left"/>
              <w:rPr>
                <w:rFonts w:ascii="Times New Roman" w:hAnsi="Times New Roman" w:cs="Times New Roman" w:eastAsia="Times New Roman" w:hint="default"/>
                <w:sz w:val="18"/>
                <w:szCs w:val="18"/>
              </w:rPr>
            </w:pPr>
            <w:r>
              <w:rPr>
                <w:rFonts w:ascii="Times New Roman"/>
                <w:sz w:val="18"/>
              </w:rPr>
              <w:t>814,699,309.20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67" w:right="0"/>
              <w:jc w:val="left"/>
              <w:rPr>
                <w:rFonts w:ascii="Times New Roman" w:hAnsi="Times New Roman" w:cs="Times New Roman" w:eastAsia="Times New Roman" w:hint="default"/>
                <w:sz w:val="18"/>
                <w:szCs w:val="18"/>
              </w:rPr>
            </w:pPr>
            <w:r>
              <w:rPr>
                <w:rFonts w:ascii="Times New Roman"/>
                <w:sz w:val="18"/>
              </w:rPr>
              <w:t>31,632,838.89</w:t>
            </w: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125" w:right="0"/>
              <w:jc w:val="left"/>
              <w:rPr>
                <w:rFonts w:ascii="Times New Roman" w:hAnsi="Times New Roman" w:cs="Times New Roman" w:eastAsia="Times New Roman" w:hint="default"/>
                <w:sz w:val="18"/>
                <w:szCs w:val="18"/>
              </w:rPr>
            </w:pPr>
            <w:r>
              <w:rPr>
                <w:rFonts w:ascii="Times New Roman"/>
                <w:sz w:val="18"/>
              </w:rPr>
              <w:t>2,961,514,836.15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908" w:footer="1266" w:top="1100" w:bottom="1460" w:left="1300" w:right="0"/>
        </w:sectPr>
      </w:pPr>
    </w:p>
    <w:p>
      <w:pPr>
        <w:spacing w:line="240" w:lineRule="auto" w:before="4"/>
        <w:rPr>
          <w:rFonts w:ascii="Times New Roman" w:hAnsi="Times New Roman" w:cs="Times New Roman" w:eastAsia="Times New Roman" w:hint="default"/>
          <w:sz w:val="26"/>
          <w:szCs w:val="26"/>
        </w:rPr>
      </w:pPr>
    </w:p>
    <w:p>
      <w:pPr>
        <w:pStyle w:val="Heading6"/>
        <w:spacing w:line="240" w:lineRule="auto" w:before="35"/>
        <w:ind w:left="140"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6840" w:h="11910" w:orient="landscape"/>
          <w:pgMar w:header="908" w:footer="1266" w:top="1100" w:bottom="1460" w:left="1300" w:right="0"/>
        </w:sectPr>
      </w:pPr>
    </w:p>
    <w:p>
      <w:pPr>
        <w:pStyle w:val="BodyText"/>
        <w:spacing w:line="240" w:lineRule="auto" w:before="35"/>
        <w:ind w:left="140"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420" w:left="1300" w:right="0"/>
          <w:cols w:num="2" w:equalWidth="0">
            <w:col w:w="981" w:space="12162"/>
            <w:col w:w="2397"/>
          </w:cols>
        </w:sectPr>
      </w:pPr>
    </w:p>
    <w:p>
      <w:pPr>
        <w:spacing w:line="240" w:lineRule="auto" w:before="3"/>
        <w:rPr>
          <w:rFonts w:ascii="宋体" w:hAnsi="宋体" w:cs="宋体" w:eastAsia="宋体" w:hint="default"/>
          <w:sz w:val="9"/>
          <w:szCs w:val="9"/>
        </w:rPr>
      </w:pPr>
    </w:p>
    <w:tbl>
      <w:tblPr>
        <w:tblW w:w="0" w:type="auto"/>
        <w:jc w:val="left"/>
        <w:tblInd w:w="124" w:type="dxa"/>
        <w:tblLayout w:type="fixed"/>
        <w:tblCellMar>
          <w:top w:w="0" w:type="dxa"/>
          <w:left w:w="0" w:type="dxa"/>
          <w:bottom w:w="0" w:type="dxa"/>
          <w:right w:w="0" w:type="dxa"/>
        </w:tblCellMar>
        <w:tblLook w:val="01E0"/>
      </w:tblPr>
      <w:tblGrid>
        <w:gridCol w:w="2297"/>
        <w:gridCol w:w="1276"/>
        <w:gridCol w:w="709"/>
        <w:gridCol w:w="709"/>
        <w:gridCol w:w="568"/>
        <w:gridCol w:w="1416"/>
        <w:gridCol w:w="1134"/>
        <w:gridCol w:w="1277"/>
        <w:gridCol w:w="850"/>
        <w:gridCol w:w="1134"/>
        <w:gridCol w:w="1276"/>
        <w:gridCol w:w="1325"/>
      </w:tblGrid>
      <w:tr>
        <w:trPr>
          <w:trHeight w:val="443" w:hRule="exact"/>
        </w:trPr>
        <w:tc>
          <w:tcPr>
            <w:tcW w:w="2297"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1674" w:type="dxa"/>
            <w:gridSpan w:val="11"/>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84" w:hRule="exact"/>
        </w:trPr>
        <w:tc>
          <w:tcPr>
            <w:tcW w:w="2297"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102"/>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7"/>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67" w:hRule="exact"/>
        </w:trPr>
        <w:tc>
          <w:tcPr>
            <w:tcW w:w="2297" w:type="dxa"/>
            <w:vMerge/>
            <w:tcBorders>
              <w:left w:val="single" w:sz="12"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86"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5"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4" w:hRule="exact"/>
        </w:trPr>
        <w:tc>
          <w:tcPr>
            <w:tcW w:w="2297" w:type="dxa"/>
            <w:vMerge w:val="restart"/>
            <w:tcBorders>
              <w:top w:val="nil" w:sz="6" w:space="0" w:color="auto"/>
              <w:left w:val="single" w:sz="12"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0"/>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0"/>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325" w:type="dxa"/>
            <w:vMerge/>
            <w:tcBorders>
              <w:left w:val="single" w:sz="4" w:space="0" w:color="000000"/>
              <w:bottom w:val="nil" w:sz="6" w:space="0" w:color="auto"/>
              <w:right w:val="single" w:sz="12" w:space="0" w:color="000000"/>
            </w:tcBorders>
            <w:shd w:val="clear" w:color="auto" w:fill="D2D2D2"/>
          </w:tcPr>
          <w:p>
            <w:pPr/>
          </w:p>
        </w:tc>
      </w:tr>
      <w:tr>
        <w:trPr>
          <w:trHeight w:val="269" w:hRule="exact"/>
        </w:trPr>
        <w:tc>
          <w:tcPr>
            <w:tcW w:w="2297" w:type="dxa"/>
            <w:vMerge/>
            <w:tcBorders>
              <w:left w:val="single" w:sz="12"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left="84" w:right="0"/>
              <w:jc w:val="center"/>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12" w:space="0" w:color="D2D2D2"/>
              <w:left w:val="single" w:sz="4" w:space="0" w:color="000000"/>
              <w:bottom w:val="single" w:sz="4" w:space="0" w:color="000000"/>
              <w:right w:val="single" w:sz="4" w:space="0" w:color="000000"/>
            </w:tcBorders>
          </w:tcPr>
          <w:p>
            <w:pPr/>
          </w:p>
        </w:tc>
        <w:tc>
          <w:tcPr>
            <w:tcW w:w="709" w:type="dxa"/>
            <w:tcBorders>
              <w:top w:val="single" w:sz="12" w:space="0" w:color="D2D2D2"/>
              <w:left w:val="single" w:sz="4" w:space="0" w:color="000000"/>
              <w:bottom w:val="single" w:sz="4" w:space="0" w:color="000000"/>
              <w:right w:val="single" w:sz="4" w:space="0" w:color="000000"/>
            </w:tcBorders>
          </w:tcPr>
          <w:p>
            <w:pPr/>
          </w:p>
        </w:tc>
        <w:tc>
          <w:tcPr>
            <w:tcW w:w="568" w:type="dxa"/>
            <w:tcBorders>
              <w:top w:val="single" w:sz="12" w:space="0" w:color="D2D2D2"/>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1,464,950,000.32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10,062,793.78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69,660,498.76</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2,003,579,250.86</w:t>
            </w:r>
          </w:p>
        </w:tc>
      </w:tr>
      <w:tr>
        <w:trPr>
          <w:trHeight w:val="465"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right="46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46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6" w:right="0"/>
              <w:jc w:val="center"/>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1,464,950,000.32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10,062,793.78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69,660,498.76</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2,003,579,250.86</w:t>
            </w: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5"/>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 </w:t>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-458,905,958.00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65,471,303.45</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75,805,265.78</w:t>
            </w: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103,339,623.26</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10"/>
              <w:jc w:val="right"/>
              <w:rPr>
                <w:rFonts w:ascii="Times New Roman" w:hAnsi="Times New Roman" w:cs="Times New Roman" w:eastAsia="Times New Roman" w:hint="default"/>
                <w:sz w:val="18"/>
                <w:szCs w:val="18"/>
              </w:rPr>
            </w:pPr>
            <w:r>
              <w:rPr>
                <w:rFonts w:ascii="Times New Roman"/>
                <w:spacing w:val="-1"/>
                <w:sz w:val="18"/>
              </w:rPr>
              <w:t>103,339,623.26</w:t>
            </w: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5"/>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（二）所有者投入和减少资 </w:t>
            </w:r>
            <w:r>
              <w:rPr>
                <w:rFonts w:ascii="宋体" w:hAnsi="宋体" w:cs="宋体" w:eastAsia="宋体" w:hint="default"/>
                <w:sz w:val="18"/>
                <w:szCs w:val="18"/>
              </w:rPr>
              <w:t>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 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724" w:hRule="exact"/>
        </w:trPr>
        <w:tc>
          <w:tcPr>
            <w:tcW w:w="22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00" w:lineRule="auto" w:before="52"/>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 的金额</w:t>
            </w:r>
          </w:p>
        </w:tc>
        <w:tc>
          <w:tcPr>
            <w:tcW w:w="1276"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325"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6840" w:h="11910" w:orient="landscape"/>
          <w:pgMar w:top="1060" w:bottom="1420" w:left="1300" w:right="0"/>
        </w:sectPr>
      </w:pPr>
    </w:p>
    <w:p>
      <w:pPr>
        <w:spacing w:line="240" w:lineRule="auto" w:before="5"/>
        <w:rPr>
          <w:rFonts w:ascii="Times New Roman" w:hAnsi="Times New Roman" w:cs="Times New Roman" w:eastAsia="Times New Roman" w:hint="default"/>
          <w:sz w:val="17"/>
          <w:szCs w:val="17"/>
        </w:rPr>
      </w:pPr>
      <w:r>
        <w:rPr/>
        <w:pict>
          <v:shape style="position:absolute;margin-left:71.220001pt;margin-top:59.940006pt;width:700.8pt;height:388.1pt;mso-position-horizontal-relative:page;mso-position-vertical-relative:page;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7"/>
                    <w:gridCol w:w="1276"/>
                    <w:gridCol w:w="709"/>
                    <w:gridCol w:w="709"/>
                    <w:gridCol w:w="568"/>
                    <w:gridCol w:w="1416"/>
                    <w:gridCol w:w="1134"/>
                    <w:gridCol w:w="1277"/>
                    <w:gridCol w:w="850"/>
                    <w:gridCol w:w="1134"/>
                    <w:gridCol w:w="1276"/>
                    <w:gridCol w:w="1325"/>
                  </w:tblGrid>
                  <w:tr>
                    <w:trPr>
                      <w:trHeight w:val="474" w:hRule="exact"/>
                    </w:trPr>
                    <w:tc>
                      <w:tcPr>
                        <w:tcW w:w="22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850"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276" w:type="dxa"/>
                        <w:tcBorders>
                          <w:top w:val="single" w:sz="12" w:space="0" w:color="000000"/>
                          <w:left w:val="single" w:sz="4" w:space="0" w:color="000000"/>
                          <w:bottom w:val="single" w:sz="4" w:space="0" w:color="000000"/>
                          <w:right w:val="single" w:sz="4" w:space="0" w:color="000000"/>
                        </w:tcBorders>
                      </w:tcPr>
                      <w:p>
                        <w:pPr/>
                      </w:p>
                    </w:tc>
                    <w:tc>
                      <w:tcPr>
                        <w:tcW w:w="1325"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-37,868,319.81</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pacing w:val="-1"/>
                            <w:sz w:val="18"/>
                          </w:rPr>
                          <w:t>-27,534,357.48</w:t>
                        </w: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10,333,962.33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-10,333,962.33</w:t>
                        </w: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 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-27,534,357.48</w:t>
                        </w:r>
                      </w:p>
                    </w:tc>
                    <w:tc>
                      <w:tcPr>
                        <w:tcW w:w="13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-27,534,357.48</w:t>
                        </w: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6" w:right="0"/>
                          <w:jc w:val="center"/>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-458,905,958.00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-458,905,958.00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22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2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02" w:right="0"/>
                          <w:jc w:val="center"/>
                          <w:rPr>
                            <w:rFonts w:ascii="Times New Roman" w:hAnsi="Times New Roman" w:cs="Times New Roman" w:eastAsia="Times New Roman" w:hint="default"/>
                            <w:sz w:val="18"/>
                            <w:szCs w:val="18"/>
                          </w:rPr>
                        </w:pPr>
                        <w:r>
                          <w:rPr>
                            <w:rFonts w:ascii="Times New Roman"/>
                            <w:sz w:val="18"/>
                          </w:rPr>
                          <w:t>917,811,916.00</w:t>
                        </w:r>
                      </w:p>
                    </w:tc>
                    <w:tc>
                      <w:tcPr>
                        <w:tcW w:w="709"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1,006,044,042.32</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20,396,756.11</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135,131,802.21</w:t>
                        </w:r>
                      </w:p>
                    </w:tc>
                    <w:tc>
                      <w:tcPr>
                        <w:tcW w:w="13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2,079,384,516.64</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908" w:footer="1266" w:top="1260" w:bottom="1460" w:left="1300" w:right="0"/>
        </w:sectPr>
      </w:pPr>
    </w:p>
    <w:p>
      <w:pPr>
        <w:spacing w:line="240" w:lineRule="auto" w:before="6"/>
        <w:rPr>
          <w:rFonts w:ascii="Times New Roman" w:hAnsi="Times New Roman" w:cs="Times New Roman" w:eastAsia="Times New Roman" w:hint="default"/>
          <w:sz w:val="10"/>
          <w:szCs w:val="10"/>
        </w:rPr>
      </w:pPr>
    </w:p>
    <w:p>
      <w:pPr>
        <w:pStyle w:val="BodyText"/>
        <w:spacing w:line="240" w:lineRule="auto" w:before="35"/>
        <w:ind w:left="140" w:right="0"/>
        <w:jc w:val="left"/>
      </w:pPr>
      <w:r>
        <w:rPr/>
        <w:t>上期金额</w:t>
      </w:r>
    </w:p>
    <w:p>
      <w:pPr>
        <w:spacing w:line="240" w:lineRule="auto" w:before="5"/>
        <w:rPr>
          <w:rFonts w:ascii="宋体" w:hAnsi="宋体" w:cs="宋体" w:eastAsia="宋体" w:hint="default"/>
          <w:sz w:val="10"/>
          <w:szCs w:val="10"/>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2269"/>
        <w:gridCol w:w="1276"/>
        <w:gridCol w:w="709"/>
        <w:gridCol w:w="709"/>
        <w:gridCol w:w="568"/>
        <w:gridCol w:w="1416"/>
        <w:gridCol w:w="1134"/>
        <w:gridCol w:w="1277"/>
        <w:gridCol w:w="850"/>
        <w:gridCol w:w="1134"/>
        <w:gridCol w:w="1276"/>
        <w:gridCol w:w="1418"/>
      </w:tblGrid>
      <w:tr>
        <w:trPr>
          <w:trHeight w:val="475" w:hRule="exact"/>
        </w:trPr>
        <w:tc>
          <w:tcPr>
            <w:tcW w:w="226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6" w:type="dxa"/>
            <w:gridSpan w:val="11"/>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63" w:hRule="exact"/>
        </w:trPr>
        <w:tc>
          <w:tcPr>
            <w:tcW w:w="2269" w:type="dxa"/>
            <w:vMerge/>
            <w:tcBorders>
              <w:left w:val="single" w:sz="12"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64" w:hRule="exact"/>
        </w:trPr>
        <w:tc>
          <w:tcPr>
            <w:tcW w:w="2269" w:type="dxa"/>
            <w:vMerge/>
            <w:tcBorders>
              <w:left w:val="single" w:sz="12"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8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12" w:space="0" w:color="000000"/>
            </w:tcBorders>
            <w:shd w:val="clear" w:color="auto" w:fill="D2D2D2"/>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431,214,014.00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769,908,537.20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2,322,738.36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 w:right="0"/>
              <w:jc w:val="center"/>
              <w:rPr>
                <w:rFonts w:ascii="Times New Roman" w:hAnsi="Times New Roman" w:cs="Times New Roman" w:eastAsia="Times New Roman" w:hint="default"/>
                <w:sz w:val="18"/>
                <w:szCs w:val="18"/>
              </w:rPr>
            </w:pPr>
            <w:r>
              <w:rPr>
                <w:rFonts w:ascii="Times New Roman"/>
                <w:sz w:val="18"/>
              </w:rPr>
              <w:t>-281,821,155.98</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921,624,133.58</w:t>
            </w: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4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43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431,214,014.00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769,908,537.20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2,322,738.36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 w:right="0"/>
              <w:jc w:val="center"/>
              <w:rPr>
                <w:rFonts w:ascii="Times New Roman" w:hAnsi="Times New Roman" w:cs="Times New Roman" w:eastAsia="Times New Roman" w:hint="default"/>
                <w:sz w:val="18"/>
                <w:szCs w:val="18"/>
              </w:rPr>
            </w:pPr>
            <w:r>
              <w:rPr>
                <w:rFonts w:ascii="Times New Roman"/>
                <w:sz w:val="18"/>
              </w:rPr>
              <w:t>-281,821,155.98</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921,624,133.58</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16"/>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 </w:t>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27,691,944.00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695,041,463.12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351,481,654.74</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1,081,955,117.28</w:t>
            </w: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6" w:right="0"/>
              <w:jc w:val="center"/>
              <w:rPr>
                <w:rFonts w:ascii="Times New Roman" w:hAnsi="Times New Roman" w:cs="Times New Roman" w:eastAsia="Times New Roman" w:hint="default"/>
                <w:sz w:val="18"/>
                <w:szCs w:val="18"/>
              </w:rPr>
            </w:pPr>
            <w:r>
              <w:rPr>
                <w:rFonts w:ascii="Times New Roman"/>
                <w:sz w:val="18"/>
              </w:rPr>
              <w:t>359,221,710.16</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359,221,710.16</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6"/>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（二）所有者投入和减少资 </w:t>
            </w:r>
            <w:r>
              <w:rPr>
                <w:rFonts w:ascii="宋体" w:hAnsi="宋体" w:cs="宋体" w:eastAsia="宋体" w:hint="default"/>
                <w:sz w:val="18"/>
                <w:szCs w:val="18"/>
              </w:rPr>
              <w:t>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27,691,944.00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695,041,463.12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722,733,407.12</w:t>
            </w:r>
          </w:p>
        </w:tc>
      </w:tr>
      <w:tr>
        <w:trPr>
          <w:trHeight w:val="465"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27,691,944.00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695,041,364.69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722,733,308.69</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w:t>
            </w:r>
            <w:r>
              <w:rPr>
                <w:rFonts w:ascii="宋体" w:hAnsi="宋体" w:cs="宋体" w:eastAsia="宋体" w:hint="default"/>
                <w:sz w:val="18"/>
                <w:szCs w:val="18"/>
              </w:rPr>
              <w:t> 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w:t>
            </w:r>
            <w:r>
              <w:rPr>
                <w:rFonts w:ascii="宋体" w:hAnsi="宋体" w:cs="宋体" w:eastAsia="宋体" w:hint="default"/>
                <w:sz w:val="18"/>
                <w:szCs w:val="18"/>
              </w:rPr>
              <w:t> 的金额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2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98.43</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3"/>
              <w:ind w:right="9"/>
              <w:jc w:val="right"/>
              <w:rPr>
                <w:rFonts w:ascii="Times New Roman" w:hAnsi="Times New Roman" w:cs="Times New Roman" w:eastAsia="Times New Roman" w:hint="default"/>
                <w:sz w:val="18"/>
                <w:szCs w:val="18"/>
              </w:rPr>
            </w:pPr>
            <w:r>
              <w:rPr>
                <w:rFonts w:ascii="Times New Roman"/>
                <w:sz w:val="18"/>
              </w:rPr>
              <w:t>98.43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1266" w:top="1100" w:bottom="1460" w:left="1300" w:right="0"/>
        </w:sectPr>
      </w:pPr>
    </w:p>
    <w:p>
      <w:pPr>
        <w:spacing w:line="240" w:lineRule="auto" w:before="5"/>
        <w:rPr>
          <w:rFonts w:ascii="Times New Roman" w:hAnsi="Times New Roman" w:cs="Times New Roman" w:eastAsia="Times New Roman" w:hint="default"/>
          <w:sz w:val="17"/>
          <w:szCs w:val="17"/>
        </w:rPr>
      </w:pPr>
      <w:r>
        <w:rPr/>
        <w:pict>
          <v:shape style="position:absolute;margin-left:71.220001pt;margin-top:60.000008pt;width:704.05pt;height:364.9pt;mso-position-horizontal-relative:page;mso-position-vertical-relative:page;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9"/>
                    <w:gridCol w:w="1276"/>
                    <w:gridCol w:w="709"/>
                    <w:gridCol w:w="709"/>
                    <w:gridCol w:w="568"/>
                    <w:gridCol w:w="1416"/>
                    <w:gridCol w:w="1134"/>
                    <w:gridCol w:w="1277"/>
                    <w:gridCol w:w="850"/>
                    <w:gridCol w:w="1134"/>
                    <w:gridCol w:w="1276"/>
                    <w:gridCol w:w="1418"/>
                  </w:tblGrid>
                  <w:tr>
                    <w:trPr>
                      <w:trHeight w:val="474" w:hRule="exact"/>
                    </w:trPr>
                    <w:tc>
                      <w:tcPr>
                        <w:tcW w:w="22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6"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850"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418"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7,740,055.42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-7,740,055.42</w:t>
                        </w: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2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18" w:right="0"/>
                          <w:jc w:val="left"/>
                          <w:rPr>
                            <w:rFonts w:ascii="Times New Roman" w:hAnsi="Times New Roman" w:cs="Times New Roman" w:eastAsia="Times New Roman" w:hint="default"/>
                            <w:sz w:val="18"/>
                            <w:szCs w:val="18"/>
                          </w:rPr>
                        </w:pPr>
                        <w:r>
                          <w:rPr>
                            <w:rFonts w:ascii="Times New Roman"/>
                            <w:sz w:val="18"/>
                          </w:rPr>
                          <w:t>458,905,958.00</w:t>
                        </w:r>
                      </w:p>
                    </w:tc>
                    <w:tc>
                      <w:tcPr>
                        <w:tcW w:w="709"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23" w:right="0"/>
                          <w:jc w:val="left"/>
                          <w:rPr>
                            <w:rFonts w:ascii="Times New Roman" w:hAnsi="Times New Roman" w:cs="Times New Roman" w:eastAsia="Times New Roman" w:hint="default"/>
                            <w:sz w:val="18"/>
                            <w:szCs w:val="18"/>
                          </w:rPr>
                        </w:pPr>
                        <w:r>
                          <w:rPr>
                            <w:rFonts w:ascii="Times New Roman"/>
                            <w:sz w:val="18"/>
                          </w:rPr>
                          <w:t>1,464,950,000.32</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10,062,793.78</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69,660,498.76</w:t>
                        </w: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125" w:right="0"/>
                          <w:jc w:val="left"/>
                          <w:rPr>
                            <w:rFonts w:ascii="Times New Roman" w:hAnsi="Times New Roman" w:cs="Times New Roman" w:eastAsia="Times New Roman" w:hint="default"/>
                            <w:sz w:val="18"/>
                            <w:szCs w:val="18"/>
                          </w:rPr>
                        </w:pPr>
                        <w:r>
                          <w:rPr>
                            <w:rFonts w:ascii="Times New Roman"/>
                            <w:sz w:val="18"/>
                          </w:rPr>
                          <w:t>2,003,579,250.86</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908" w:footer="1266" w:top="1260" w:bottom="1460" w:left="1300" w:right="0"/>
        </w:sectPr>
      </w:pPr>
    </w:p>
    <w:p>
      <w:pPr>
        <w:spacing w:line="240" w:lineRule="auto" w:before="10"/>
        <w:rPr>
          <w:rFonts w:ascii="Times New Roman" w:hAnsi="Times New Roman" w:cs="Times New Roman" w:eastAsia="Times New Roman" w:hint="default"/>
          <w:sz w:val="18"/>
          <w:szCs w:val="18"/>
        </w:rPr>
      </w:pPr>
    </w:p>
    <w:p>
      <w:pPr>
        <w:pStyle w:val="Heading2"/>
        <w:spacing w:line="240" w:lineRule="auto" w:before="26"/>
        <w:ind w:left="154" w:right="0"/>
        <w:jc w:val="both"/>
        <w:rPr>
          <w:b w:val="0"/>
          <w:bCs w:val="0"/>
        </w:rPr>
      </w:pPr>
      <w:bookmarkStart w:name="三、公司基本情况" w:id="164"/>
      <w:bookmarkEnd w:id="164"/>
      <w:r>
        <w:rPr>
          <w:b w:val="0"/>
          <w:bCs w:val="0"/>
        </w:rPr>
      </w: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left="574" w:right="0" w:hanging="420"/>
        <w:jc w:val="left"/>
      </w:pPr>
      <w:r>
        <w:rPr>
          <w:rFonts w:ascii="宋体" w:hAnsi="宋体" w:cs="宋体" w:eastAsia="宋体" w:hint="default"/>
        </w:rPr>
        <w:t>1</w:t>
      </w:r>
      <w:r>
        <w:rPr/>
        <w:t>、神州信息设立及上市情况 </w:t>
      </w:r>
      <w:r>
        <w:rPr>
          <w:spacing w:val="-1"/>
        </w:rPr>
        <w:t>神州数码信息服务股份有限公司（以下简称本公司、公司或神州信息）前身为深圳市太光电信股份有</w:t>
      </w:r>
    </w:p>
    <w:p>
      <w:pPr>
        <w:pStyle w:val="BodyText"/>
        <w:spacing w:line="408" w:lineRule="auto" w:before="16"/>
        <w:ind w:right="1132"/>
        <w:jc w:val="both"/>
      </w:pPr>
      <w:r>
        <w:rPr>
          <w:spacing w:val="-1"/>
        </w:rPr>
        <w:t>限公司（以下简称太光电信），是经贵州省经济体制改革委员会出具的《关于同意改组成立“贵州凯涤股</w:t>
      </w:r>
      <w:r>
        <w:rPr>
          <w:spacing w:val="-85"/>
        </w:rPr>
        <w:t> </w:t>
      </w:r>
      <w:r>
        <w:rPr>
          <w:spacing w:val="-85"/>
        </w:rPr>
      </w:r>
      <w:r>
        <w:rPr>
          <w:spacing w:val="-1"/>
        </w:rPr>
        <w:t>份有限公司”的批复》（黔体改股字【</w:t>
      </w:r>
      <w:r>
        <w:rPr>
          <w:rFonts w:ascii="宋体" w:hAnsi="宋体" w:cs="宋体" w:eastAsia="宋体" w:hint="default"/>
          <w:spacing w:val="-1"/>
        </w:rPr>
        <w:t>1993</w:t>
      </w:r>
      <w:r>
        <w:rPr>
          <w:spacing w:val="-1"/>
        </w:rPr>
        <w:t>】第</w:t>
      </w:r>
      <w:r>
        <w:rPr>
          <w:rFonts w:ascii="宋体" w:hAnsi="宋体" w:cs="宋体" w:eastAsia="宋体" w:hint="default"/>
          <w:spacing w:val="-1"/>
        </w:rPr>
        <w:t>72</w:t>
      </w:r>
      <w:r>
        <w:rPr>
          <w:spacing w:val="-1"/>
        </w:rPr>
        <w:t>号）、贵州省人民政府出具的《关于同意贵州凯涤股份</w:t>
      </w:r>
      <w:r>
        <w:rPr>
          <w:spacing w:val="-84"/>
        </w:rPr>
        <w:t> </w:t>
      </w:r>
      <w:r>
        <w:rPr>
          <w:spacing w:val="-84"/>
        </w:rPr>
      </w:r>
      <w:r>
        <w:rPr/>
        <w:t>有限公司公开发行股票并在异地上市的批复》（贵州省人民政府黔府函【</w:t>
      </w:r>
      <w:r>
        <w:rPr>
          <w:rFonts w:ascii="宋体" w:hAnsi="宋体" w:cs="宋体" w:eastAsia="宋体" w:hint="default"/>
        </w:rPr>
        <w:t>1993</w:t>
      </w:r>
      <w:r>
        <w:rPr/>
        <w:t>】</w:t>
      </w:r>
      <w:r>
        <w:rPr>
          <w:rFonts w:ascii="宋体" w:hAnsi="宋体" w:cs="宋体" w:eastAsia="宋体" w:hint="default"/>
        </w:rPr>
        <w:t>174</w:t>
      </w:r>
      <w:r>
        <w:rPr/>
        <w:t>号文）以及中国证券</w:t>
      </w:r>
      <w:r>
        <w:rPr>
          <w:spacing w:val="-29"/>
        </w:rPr>
        <w:t> </w:t>
      </w:r>
      <w:r>
        <w:rPr>
          <w:spacing w:val="-29"/>
        </w:rPr>
      </w:r>
      <w:r>
        <w:rPr/>
        <w:t>监督管理委员会出具的《证监发审字（</w:t>
      </w:r>
      <w:r>
        <w:rPr>
          <w:rFonts w:ascii="宋体" w:hAnsi="宋体" w:cs="宋体" w:eastAsia="宋体" w:hint="default"/>
        </w:rPr>
        <w:t>1993</w:t>
      </w:r>
      <w:r>
        <w:rPr/>
        <w:t>）</w:t>
      </w:r>
      <w:r>
        <w:rPr>
          <w:rFonts w:ascii="宋体" w:hAnsi="宋体" w:cs="宋体" w:eastAsia="宋体" w:hint="default"/>
        </w:rPr>
        <w:t>100</w:t>
      </w:r>
      <w:r>
        <w:rPr>
          <w:rFonts w:ascii="宋体" w:hAnsi="宋体" w:cs="宋体" w:eastAsia="宋体" w:hint="default"/>
          <w:spacing w:val="-24"/>
        </w:rPr>
        <w:t> </w:t>
      </w:r>
      <w:r>
        <w:rPr/>
        <w:t>号》文批准，由贵州省凯里涤纶厂作为主发起人，采取 社会募集方式设立的股份有限公司，原名称为贵州凯涤股份有限公司，设立时总股本为</w:t>
      </w:r>
      <w:r>
        <w:rPr>
          <w:rFonts w:ascii="宋体" w:hAnsi="宋体" w:cs="宋体" w:eastAsia="宋体" w:hint="default"/>
        </w:rPr>
        <w:t>7,438.88</w:t>
      </w:r>
      <w:r>
        <w:rPr/>
        <w:t>万股。</w:t>
      </w:r>
    </w:p>
    <w:p>
      <w:pPr>
        <w:pStyle w:val="BodyText"/>
        <w:spacing w:line="410" w:lineRule="auto" w:before="85"/>
        <w:ind w:left="154" w:right="1135" w:firstLine="420"/>
        <w:jc w:val="left"/>
      </w:pPr>
      <w:r>
        <w:rPr>
          <w:rFonts w:ascii="宋体" w:hAnsi="宋体" w:cs="宋体" w:eastAsia="宋体" w:hint="default"/>
        </w:rPr>
        <w:t>1994</w:t>
      </w:r>
      <w:r>
        <w:rPr/>
        <w:t>年</w:t>
      </w:r>
      <w:r>
        <w:rPr>
          <w:rFonts w:ascii="宋体" w:hAnsi="宋体" w:cs="宋体" w:eastAsia="宋体" w:hint="default"/>
        </w:rPr>
        <w:t>4</w:t>
      </w:r>
      <w:r>
        <w:rPr/>
        <w:t>月</w:t>
      </w:r>
      <w:r>
        <w:rPr>
          <w:rFonts w:ascii="宋体" w:hAnsi="宋体" w:cs="宋体" w:eastAsia="宋体" w:hint="default"/>
        </w:rPr>
        <w:t>8</w:t>
      </w:r>
      <w:r>
        <w:rPr/>
        <w:t>日，经深圳证券交易所《深证市字（</w:t>
      </w:r>
      <w:r>
        <w:rPr>
          <w:rFonts w:ascii="宋体" w:hAnsi="宋体" w:cs="宋体" w:eastAsia="宋体" w:hint="default"/>
        </w:rPr>
        <w:t>1994</w:t>
      </w:r>
      <w:r>
        <w:rPr/>
        <w:t>）第</w:t>
      </w:r>
      <w:r>
        <w:rPr>
          <w:rFonts w:ascii="宋体" w:hAnsi="宋体" w:cs="宋体" w:eastAsia="宋体" w:hint="default"/>
        </w:rPr>
        <w:t>7</w:t>
      </w:r>
      <w:r>
        <w:rPr/>
        <w:t>号》文批准，在深圳证券交易所挂牌上市 交易，贵州省凯里涤纶厂持有太光电信 </w:t>
      </w:r>
      <w:r>
        <w:rPr>
          <w:rFonts w:ascii="宋体" w:hAnsi="宋体" w:cs="宋体" w:eastAsia="宋体" w:hint="default"/>
        </w:rPr>
        <w:t>32,412,428 </w:t>
      </w:r>
      <w:r>
        <w:rPr/>
        <w:t>股，占总股本的</w:t>
      </w:r>
      <w:r>
        <w:rPr>
          <w:spacing w:val="-5"/>
        </w:rPr>
        <w:t> </w:t>
      </w:r>
      <w:r>
        <w:rPr>
          <w:rFonts w:ascii="宋体" w:hAnsi="宋体" w:cs="宋体" w:eastAsia="宋体" w:hint="default"/>
        </w:rPr>
        <w:t>43.57%</w:t>
      </w:r>
      <w:r>
        <w:rPr/>
        <w:t>，为太光电信的控股股东。</w:t>
      </w:r>
    </w:p>
    <w:p>
      <w:pPr>
        <w:pStyle w:val="BodyText"/>
        <w:spacing w:line="240" w:lineRule="auto" w:before="83"/>
        <w:ind w:left="574" w:right="1135"/>
        <w:jc w:val="left"/>
      </w:pPr>
      <w:r>
        <w:rPr/>
        <w:t>首次公开发行上市完成时，股本结构如下：</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017"/>
        <w:gridCol w:w="3242"/>
        <w:gridCol w:w="3241"/>
      </w:tblGrid>
      <w:tr>
        <w:trPr>
          <w:trHeight w:val="443" w:hRule="exact"/>
        </w:trPr>
        <w:tc>
          <w:tcPr>
            <w:tcW w:w="3017"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right="8"/>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324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895" w:right="0"/>
              <w:jc w:val="left"/>
              <w:rPr>
                <w:rFonts w:ascii="宋体" w:hAnsi="宋体" w:cs="宋体" w:eastAsia="宋体" w:hint="default"/>
                <w:sz w:val="18"/>
                <w:szCs w:val="18"/>
              </w:rPr>
            </w:pPr>
            <w:r>
              <w:rPr>
                <w:rFonts w:ascii="宋体" w:hAnsi="宋体" w:cs="宋体" w:eastAsia="宋体" w:hint="default"/>
                <w:sz w:val="18"/>
                <w:szCs w:val="18"/>
              </w:rPr>
              <w:t>股份数量（万股）</w:t>
            </w:r>
          </w:p>
        </w:tc>
        <w:tc>
          <w:tcPr>
            <w:tcW w:w="324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所占比例</w:t>
            </w:r>
          </w:p>
        </w:tc>
      </w:tr>
      <w:tr>
        <w:trPr>
          <w:trHeight w:val="479" w:hRule="exact"/>
        </w:trPr>
        <w:tc>
          <w:tcPr>
            <w:tcW w:w="301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8"/>
              <w:ind w:left="93" w:right="0"/>
              <w:jc w:val="left"/>
              <w:rPr>
                <w:rFonts w:ascii="宋体" w:hAnsi="宋体" w:cs="宋体" w:eastAsia="宋体" w:hint="default"/>
                <w:sz w:val="18"/>
                <w:szCs w:val="18"/>
              </w:rPr>
            </w:pPr>
            <w:r>
              <w:rPr>
                <w:rFonts w:ascii="宋体" w:hAnsi="宋体" w:cs="宋体" w:eastAsia="宋体" w:hint="default"/>
                <w:sz w:val="18"/>
                <w:szCs w:val="18"/>
              </w:rPr>
              <w:t>国家法人股</w:t>
            </w:r>
          </w:p>
        </w:tc>
        <w:tc>
          <w:tcPr>
            <w:tcW w:w="324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3,241.24</w:t>
            </w:r>
          </w:p>
        </w:tc>
        <w:tc>
          <w:tcPr>
            <w:tcW w:w="3241"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z w:val="18"/>
              </w:rPr>
              <w:t>43.57%</w:t>
            </w:r>
          </w:p>
        </w:tc>
      </w:tr>
      <w:tr>
        <w:trPr>
          <w:trHeight w:val="464" w:hRule="exact"/>
        </w:trPr>
        <w:tc>
          <w:tcPr>
            <w:tcW w:w="301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2,197.64</w:t>
            </w:r>
          </w:p>
        </w:tc>
        <w:tc>
          <w:tcPr>
            <w:tcW w:w="32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z w:val="18"/>
              </w:rPr>
              <w:t>29.54%</w:t>
            </w:r>
          </w:p>
        </w:tc>
      </w:tr>
      <w:tr>
        <w:trPr>
          <w:trHeight w:val="465" w:hRule="exact"/>
        </w:trPr>
        <w:tc>
          <w:tcPr>
            <w:tcW w:w="301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w:t>
            </w:r>
          </w:p>
        </w:tc>
        <w:tc>
          <w:tcPr>
            <w:tcW w:w="32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26.89%</w:t>
            </w:r>
          </w:p>
        </w:tc>
      </w:tr>
      <w:tr>
        <w:trPr>
          <w:trHeight w:val="463" w:hRule="exact"/>
        </w:trPr>
        <w:tc>
          <w:tcPr>
            <w:tcW w:w="301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534" w:right="0"/>
              <w:jc w:val="left"/>
              <w:rPr>
                <w:rFonts w:ascii="宋体" w:hAnsi="宋体" w:cs="宋体" w:eastAsia="宋体" w:hint="default"/>
                <w:sz w:val="18"/>
                <w:szCs w:val="18"/>
              </w:rPr>
            </w:pPr>
            <w:r>
              <w:rPr>
                <w:rFonts w:ascii="宋体" w:hAnsi="宋体" w:cs="宋体" w:eastAsia="宋体" w:hint="default"/>
                <w:sz w:val="18"/>
                <w:szCs w:val="18"/>
              </w:rPr>
              <w:t>其中：内部职工股</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w:t>
            </w:r>
          </w:p>
        </w:tc>
        <w:tc>
          <w:tcPr>
            <w:tcW w:w="32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2.69%</w:t>
            </w:r>
          </w:p>
        </w:tc>
      </w:tr>
      <w:tr>
        <w:trPr>
          <w:trHeight w:val="475" w:hRule="exact"/>
        </w:trPr>
        <w:tc>
          <w:tcPr>
            <w:tcW w:w="3017"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总股本</w:t>
            </w:r>
          </w:p>
        </w:tc>
        <w:tc>
          <w:tcPr>
            <w:tcW w:w="3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7,438.88</w:t>
            </w:r>
          </w:p>
        </w:tc>
        <w:tc>
          <w:tcPr>
            <w:tcW w:w="32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4"/>
          <w:szCs w:val="4"/>
        </w:rPr>
      </w:pPr>
    </w:p>
    <w:p>
      <w:pPr>
        <w:pStyle w:val="BodyText"/>
        <w:spacing w:line="240" w:lineRule="auto" w:before="31"/>
        <w:ind w:left="154" w:right="0"/>
        <w:jc w:val="both"/>
      </w:pPr>
      <w:r>
        <w:rPr>
          <w:rFonts w:ascii="Times New Roman" w:hAnsi="Times New Roman" w:cs="Times New Roman" w:eastAsia="Times New Roman" w:hint="default"/>
          <w:sz w:val="22"/>
          <w:szCs w:val="22"/>
        </w:rPr>
        <w:t>2</w:t>
      </w:r>
      <w:r>
        <w:rPr>
          <w:sz w:val="22"/>
          <w:szCs w:val="22"/>
        </w:rPr>
        <w:t>、</w:t>
      </w:r>
      <w:r>
        <w:rPr/>
        <w:t>神州信息历次股本及控股权变动情况</w:t>
      </w:r>
    </w:p>
    <w:p>
      <w:pPr>
        <w:spacing w:line="240" w:lineRule="auto" w:before="3"/>
        <w:rPr>
          <w:rFonts w:ascii="宋体" w:hAnsi="宋体" w:cs="宋体" w:eastAsia="宋体" w:hint="default"/>
          <w:sz w:val="16"/>
          <w:szCs w:val="16"/>
        </w:rPr>
      </w:pPr>
    </w:p>
    <w:p>
      <w:pPr>
        <w:pStyle w:val="BodyText"/>
        <w:spacing w:line="441" w:lineRule="auto"/>
        <w:ind w:left="574" w:right="0"/>
        <w:jc w:val="left"/>
      </w:pPr>
      <w:r>
        <w:rPr/>
        <w:t>（</w:t>
      </w:r>
      <w:r>
        <w:rPr>
          <w:rFonts w:ascii="宋体" w:hAnsi="宋体" w:cs="宋体" w:eastAsia="宋体" w:hint="default"/>
        </w:rPr>
        <w:t>1</w:t>
      </w:r>
      <w:r>
        <w:rPr/>
        <w:t>）</w:t>
      </w:r>
      <w:r>
        <w:rPr>
          <w:rFonts w:ascii="宋体" w:hAnsi="宋体" w:cs="宋体" w:eastAsia="宋体" w:hint="default"/>
        </w:rPr>
        <w:t>1995</w:t>
      </w:r>
      <w:r>
        <w:rPr/>
        <w:t>年配股 </w:t>
      </w:r>
      <w:r>
        <w:rPr>
          <w:rFonts w:ascii="宋体" w:hAnsi="宋体" w:cs="宋体" w:eastAsia="宋体" w:hint="default"/>
          <w:spacing w:val="-1"/>
        </w:rPr>
        <w:t>1995</w:t>
      </w:r>
      <w:r>
        <w:rPr>
          <w:spacing w:val="-1"/>
        </w:rPr>
        <w:t>年</w:t>
      </w:r>
      <w:r>
        <w:rPr>
          <w:rFonts w:ascii="宋体" w:hAnsi="宋体" w:cs="宋体" w:eastAsia="宋体" w:hint="default"/>
          <w:spacing w:val="-1"/>
        </w:rPr>
        <w:t>6</w:t>
      </w:r>
      <w:r>
        <w:rPr>
          <w:spacing w:val="-1"/>
        </w:rPr>
        <w:t>月，太光电信召开第二次股东大会，审议同意以未分配利润按每</w:t>
      </w:r>
      <w:r>
        <w:rPr>
          <w:rFonts w:ascii="宋体" w:hAnsi="宋体" w:cs="宋体" w:eastAsia="宋体" w:hint="default"/>
          <w:spacing w:val="-1"/>
        </w:rPr>
        <w:t>10</w:t>
      </w:r>
      <w:r>
        <w:rPr>
          <w:spacing w:val="-1"/>
        </w:rPr>
        <w:t>股送</w:t>
      </w:r>
      <w:r>
        <w:rPr>
          <w:rFonts w:ascii="宋体" w:hAnsi="宋体" w:cs="宋体" w:eastAsia="宋体" w:hint="default"/>
          <w:spacing w:val="-1"/>
        </w:rPr>
        <w:t>1</w:t>
      </w:r>
      <w:r>
        <w:rPr>
          <w:spacing w:val="-1"/>
        </w:rPr>
        <w:t>股向全体股东送派红</w:t>
      </w:r>
    </w:p>
    <w:p>
      <w:pPr>
        <w:pStyle w:val="BodyText"/>
        <w:spacing w:line="240" w:lineRule="auto" w:before="18"/>
        <w:ind w:right="0"/>
        <w:jc w:val="both"/>
      </w:pPr>
      <w:r>
        <w:rPr/>
        <w:t>股。配股完成后，太光电信总股本增至</w:t>
      </w:r>
      <w:r>
        <w:rPr>
          <w:rFonts w:ascii="宋体" w:hAnsi="宋体" w:cs="宋体" w:eastAsia="宋体" w:hint="default"/>
        </w:rPr>
        <w:t>8,182.77</w:t>
      </w:r>
      <w:r>
        <w:rPr/>
        <w:t>万股。</w:t>
      </w:r>
    </w:p>
    <w:p>
      <w:pPr>
        <w:spacing w:line="240" w:lineRule="auto" w:before="10"/>
        <w:rPr>
          <w:rFonts w:ascii="宋体" w:hAnsi="宋体" w:cs="宋体" w:eastAsia="宋体" w:hint="default"/>
          <w:sz w:val="17"/>
          <w:szCs w:val="17"/>
        </w:rPr>
      </w:pPr>
    </w:p>
    <w:p>
      <w:pPr>
        <w:pStyle w:val="BodyText"/>
        <w:spacing w:line="444" w:lineRule="auto"/>
        <w:ind w:left="574" w:right="1135"/>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2000</w:t>
      </w:r>
      <w:r>
        <w:rPr/>
        <w:t>年股权变更 </w:t>
      </w:r>
      <w:r>
        <w:rPr>
          <w:rFonts w:ascii="宋体" w:hAnsi="宋体" w:cs="宋体" w:eastAsia="宋体" w:hint="default"/>
        </w:rPr>
        <w:t>2000</w:t>
      </w:r>
      <w:r>
        <w:rPr/>
        <w:t>年</w:t>
      </w:r>
      <w:r>
        <w:rPr>
          <w:rFonts w:ascii="宋体" w:hAnsi="宋体" w:cs="宋体" w:eastAsia="宋体" w:hint="default"/>
        </w:rPr>
        <w:t>9</w:t>
      </w:r>
      <w:r>
        <w:rPr/>
        <w:t>月及</w:t>
      </w:r>
      <w:r>
        <w:rPr>
          <w:rFonts w:ascii="宋体" w:hAnsi="宋体" w:cs="宋体" w:eastAsia="宋体" w:hint="default"/>
        </w:rPr>
        <w:t>11</w:t>
      </w:r>
      <w:r>
        <w:rPr/>
        <w:t>月，因无力偿还银行债务，太光电信原第一大股东贵州省凯里涤纶厂持有的</w:t>
      </w:r>
      <w:r>
        <w:rPr>
          <w:rFonts w:ascii="宋体" w:hAnsi="宋体" w:cs="宋体" w:eastAsia="宋体" w:hint="default"/>
        </w:rPr>
        <w:t>3,565.37</w:t>
      </w:r>
    </w:p>
    <w:p>
      <w:pPr>
        <w:pStyle w:val="BodyText"/>
        <w:spacing w:line="410" w:lineRule="auto" w:before="14"/>
        <w:ind w:right="1131"/>
        <w:jc w:val="both"/>
      </w:pPr>
      <w:r>
        <w:rPr>
          <w:spacing w:val="-1"/>
        </w:rPr>
        <w:t>万股太光电信股份被贵州省高级人民法院分两次进行强制执行，分别变卖给：北京新唐建筑装饰工程有限</w:t>
      </w:r>
      <w:r>
        <w:rPr>
          <w:spacing w:val="-81"/>
        </w:rPr>
        <w:t> </w:t>
      </w:r>
      <w:r>
        <w:rPr>
          <w:spacing w:val="-81"/>
        </w:rPr>
      </w:r>
      <w:r>
        <w:rPr>
          <w:spacing w:val="-1"/>
        </w:rPr>
        <w:t>公司</w:t>
      </w:r>
      <w:r>
        <w:rPr>
          <w:rFonts w:ascii="宋体" w:hAnsi="宋体" w:cs="宋体" w:eastAsia="宋体" w:hint="default"/>
          <w:spacing w:val="-1"/>
        </w:rPr>
        <w:t>1,886.14</w:t>
      </w:r>
      <w:r>
        <w:rPr>
          <w:spacing w:val="-1"/>
        </w:rPr>
        <w:t>万股，占太光电信股本总额的</w:t>
      </w:r>
      <w:r>
        <w:rPr>
          <w:rFonts w:ascii="宋体" w:hAnsi="宋体" w:cs="宋体" w:eastAsia="宋体" w:hint="default"/>
          <w:spacing w:val="-1"/>
        </w:rPr>
        <w:t>23.05%</w:t>
      </w:r>
      <w:r>
        <w:rPr>
          <w:spacing w:val="-1"/>
        </w:rPr>
        <w:t>；北京德惠俱乐部有限公司</w:t>
      </w:r>
      <w:r>
        <w:rPr>
          <w:rFonts w:ascii="宋体" w:hAnsi="宋体" w:cs="宋体" w:eastAsia="宋体" w:hint="default"/>
          <w:spacing w:val="-1"/>
        </w:rPr>
        <w:t>1,305.23</w:t>
      </w:r>
      <w:r>
        <w:rPr>
          <w:spacing w:val="-1"/>
        </w:rPr>
        <w:t>万股，占太光电信</w:t>
      </w:r>
      <w:r>
        <w:rPr>
          <w:spacing w:val="-76"/>
        </w:rPr>
        <w:t> </w:t>
      </w:r>
      <w:r>
        <w:rPr>
          <w:spacing w:val="-76"/>
        </w:rPr>
      </w:r>
      <w:r>
        <w:rPr/>
        <w:t>股本总额的</w:t>
      </w:r>
      <w:r>
        <w:rPr>
          <w:rFonts w:ascii="宋体" w:hAnsi="宋体" w:cs="宋体" w:eastAsia="宋体" w:hint="default"/>
        </w:rPr>
        <w:t>15.95%</w:t>
      </w:r>
      <w:r>
        <w:rPr/>
        <w:t>；广州银鹏经济发展公司</w:t>
      </w:r>
      <w:r>
        <w:rPr>
          <w:rFonts w:ascii="宋体" w:hAnsi="宋体" w:cs="宋体" w:eastAsia="宋体" w:hint="default"/>
        </w:rPr>
        <w:t>374</w:t>
      </w:r>
      <w:r>
        <w:rPr/>
        <w:t>万股，占太光电信股本总额的</w:t>
      </w:r>
      <w:r>
        <w:rPr>
          <w:rFonts w:ascii="宋体" w:hAnsi="宋体" w:cs="宋体" w:eastAsia="宋体" w:hint="default"/>
        </w:rPr>
        <w:t>4.57%</w:t>
      </w:r>
      <w:r>
        <w:rPr/>
        <w:t>。</w:t>
      </w:r>
    </w:p>
    <w:p>
      <w:pPr>
        <w:pStyle w:val="BodyText"/>
        <w:spacing w:line="408" w:lineRule="auto" w:before="83"/>
        <w:ind w:left="154" w:right="0" w:firstLine="420"/>
        <w:jc w:val="left"/>
      </w:pPr>
      <w:r>
        <w:rPr>
          <w:rFonts w:ascii="宋体" w:hAnsi="宋体" w:cs="宋体" w:eastAsia="宋体" w:hint="default"/>
          <w:spacing w:val="-1"/>
        </w:rPr>
        <w:t>2000</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日，广东金龙基企业有限公司等八家公司股东与深圳市太光科技有限公司签订《股权转让</w:t>
      </w:r>
      <w:r>
        <w:rPr/>
        <w:t> </w:t>
      </w:r>
      <w:r>
        <w:rPr>
          <w:spacing w:val="-1"/>
        </w:rPr>
        <w:t>协议》，广东金龙基企业有限公司等八家股东将合计持有的太光电信股份</w:t>
      </w:r>
      <w:r>
        <w:rPr>
          <w:rFonts w:ascii="宋体" w:hAnsi="宋体" w:cs="宋体" w:eastAsia="宋体" w:hint="default"/>
          <w:spacing w:val="-1"/>
        </w:rPr>
        <w:t>1,989.71</w:t>
      </w:r>
      <w:r>
        <w:rPr>
          <w:spacing w:val="-1"/>
        </w:rPr>
        <w:t>万股转让给深圳市太光</w:t>
      </w:r>
    </w:p>
    <w:p>
      <w:pPr>
        <w:spacing w:after="0" w:line="408" w:lineRule="auto"/>
        <w:jc w:val="left"/>
        <w:sectPr>
          <w:headerReference w:type="default" r:id="rId53"/>
          <w:footerReference w:type="default" r:id="rId54"/>
          <w:pgSz w:w="11910" w:h="16840"/>
          <w:pgMar w:header="918" w:footer="1266" w:top="1160" w:bottom="1460" w:left="980" w:right="0"/>
          <w:pgNumType w:start="118"/>
        </w:sectPr>
      </w:pPr>
    </w:p>
    <w:p>
      <w:pPr>
        <w:spacing w:line="240" w:lineRule="auto" w:before="8"/>
        <w:rPr>
          <w:rFonts w:ascii="宋体" w:hAnsi="宋体" w:cs="宋体" w:eastAsia="宋体" w:hint="default"/>
          <w:sz w:val="23"/>
          <w:szCs w:val="23"/>
        </w:rPr>
      </w:pPr>
    </w:p>
    <w:p>
      <w:pPr>
        <w:pStyle w:val="BodyText"/>
        <w:spacing w:line="444" w:lineRule="auto" w:before="35"/>
        <w:ind w:left="574" w:right="3612" w:hanging="420"/>
        <w:jc w:val="left"/>
      </w:pPr>
      <w:r>
        <w:rPr/>
        <w:t>科技有限公司。 经过上述股权变动，深圳市太光科技有限公司成为太光电信的控股股东。</w:t>
      </w:r>
    </w:p>
    <w:p>
      <w:pPr>
        <w:pStyle w:val="BodyText"/>
        <w:spacing w:line="441" w:lineRule="auto" w:before="55"/>
        <w:ind w:left="573" w:right="1135" w:firstLine="21"/>
        <w:jc w:val="left"/>
      </w:pPr>
      <w:r>
        <w:rPr/>
        <w:t>（</w:t>
      </w:r>
      <w:r>
        <w:rPr>
          <w:rFonts w:ascii="宋体" w:hAnsi="宋体" w:cs="宋体" w:eastAsia="宋体" w:hint="default"/>
        </w:rPr>
        <w:t>3</w:t>
      </w:r>
      <w:r>
        <w:rPr/>
        <w:t>）</w:t>
      </w:r>
      <w:r>
        <w:rPr>
          <w:rFonts w:ascii="宋体" w:hAnsi="宋体" w:cs="宋体" w:eastAsia="宋体" w:hint="default"/>
        </w:rPr>
        <w:t>2002</w:t>
      </w:r>
      <w:r>
        <w:rPr/>
        <w:t>年太光电信股权变更 </w:t>
      </w:r>
      <w:r>
        <w:rPr>
          <w:rFonts w:ascii="宋体" w:hAnsi="宋体" w:cs="宋体" w:eastAsia="宋体" w:hint="default"/>
        </w:rPr>
        <w:t>2002</w:t>
      </w:r>
      <w:r>
        <w:rPr/>
        <w:t>年</w:t>
      </w:r>
      <w:r>
        <w:rPr>
          <w:rFonts w:ascii="宋体" w:hAnsi="宋体" w:cs="宋体" w:eastAsia="宋体" w:hint="default"/>
        </w:rPr>
        <w:t>8</w:t>
      </w:r>
      <w:r>
        <w:rPr/>
        <w:t>月，巨龙信息技术有限责任公司收购太光电信第二大股东北京新唐建筑装饰工程有限公司和</w:t>
      </w:r>
    </w:p>
    <w:p>
      <w:pPr>
        <w:pStyle w:val="BodyText"/>
        <w:spacing w:line="410" w:lineRule="auto" w:before="16"/>
        <w:ind w:right="1135"/>
        <w:jc w:val="left"/>
      </w:pPr>
      <w:r>
        <w:rPr>
          <w:spacing w:val="7"/>
        </w:rPr>
        <w:t>第三大股东北京德惠俱乐部有限公司合计所持有的太光电信股份</w:t>
      </w:r>
      <w:r>
        <w:rPr>
          <w:rFonts w:ascii="宋体" w:hAnsi="宋体" w:cs="宋体" w:eastAsia="宋体" w:hint="default"/>
          <w:spacing w:val="7"/>
        </w:rPr>
        <w:t>1,983.37</w:t>
      </w:r>
      <w:r>
        <w:rPr>
          <w:spacing w:val="7"/>
        </w:rPr>
        <w:t>万股，占太光电信总股本的</w:t>
      </w:r>
      <w:r>
        <w:rPr>
          <w:spacing w:val="-65"/>
        </w:rPr>
        <w:t> </w:t>
      </w:r>
      <w:r>
        <w:rPr>
          <w:spacing w:val="-65"/>
        </w:rPr>
      </w:r>
      <w:r>
        <w:rPr>
          <w:rFonts w:ascii="宋体" w:hAnsi="宋体" w:cs="宋体" w:eastAsia="宋体" w:hint="default"/>
        </w:rPr>
        <w:t>24.24%</w:t>
      </w:r>
      <w:r>
        <w:rPr/>
        <w:t>，成为太光电信第二大股东。</w:t>
      </w:r>
    </w:p>
    <w:p>
      <w:pPr>
        <w:pStyle w:val="BodyText"/>
        <w:spacing w:line="444" w:lineRule="auto" w:before="83"/>
        <w:ind w:left="595" w:right="1135"/>
        <w:jc w:val="left"/>
      </w:pPr>
      <w:r>
        <w:rPr/>
        <w:t>（</w:t>
      </w:r>
      <w:r>
        <w:rPr>
          <w:rFonts w:ascii="宋体" w:hAnsi="宋体" w:cs="宋体" w:eastAsia="宋体" w:hint="default"/>
        </w:rPr>
        <w:t>4</w:t>
      </w:r>
      <w:r>
        <w:rPr/>
        <w:t>）</w:t>
      </w:r>
      <w:r>
        <w:rPr>
          <w:rFonts w:ascii="宋体" w:hAnsi="宋体" w:cs="宋体" w:eastAsia="宋体" w:hint="default"/>
        </w:rPr>
        <w:t>2004</w:t>
      </w:r>
      <w:r>
        <w:rPr/>
        <w:t>年太光电信股权变更 </w:t>
      </w:r>
      <w:r>
        <w:rPr>
          <w:rFonts w:ascii="宋体" w:hAnsi="宋体" w:cs="宋体" w:eastAsia="宋体" w:hint="default"/>
        </w:rPr>
        <w:t>2004</w:t>
      </w:r>
      <w:r>
        <w:rPr/>
        <w:t>年</w:t>
      </w:r>
      <w:r>
        <w:rPr>
          <w:rFonts w:ascii="宋体" w:hAnsi="宋体" w:cs="宋体" w:eastAsia="宋体" w:hint="default"/>
        </w:rPr>
        <w:t>8</w:t>
      </w:r>
      <w:r>
        <w:rPr/>
        <w:t>月，因欠款纠纷，北京市第二中级人民法院将巨龙信息技术有限责任公司所持太光电信股份</w:t>
      </w:r>
    </w:p>
    <w:p>
      <w:pPr>
        <w:pStyle w:val="BodyText"/>
        <w:spacing w:line="410" w:lineRule="auto" w:before="14"/>
        <w:ind w:left="154" w:right="1135"/>
        <w:jc w:val="left"/>
      </w:pPr>
      <w:r>
        <w:rPr>
          <w:rFonts w:ascii="宋体" w:hAnsi="宋体" w:cs="宋体" w:eastAsia="宋体" w:hint="default"/>
        </w:rPr>
        <w:t>608.37</w:t>
      </w:r>
      <w:r>
        <w:rPr/>
        <w:t>万股（占太光电信总股本的</w:t>
      </w:r>
      <w:r>
        <w:rPr>
          <w:rFonts w:ascii="宋体" w:hAnsi="宋体" w:cs="宋体" w:eastAsia="宋体" w:hint="default"/>
        </w:rPr>
        <w:t>7.44%</w:t>
      </w:r>
      <w:r>
        <w:rPr/>
        <w:t>）公开拍卖，由上海华之达商贸有限公司竞买取得并成为太光电</w:t>
      </w:r>
      <w:r>
        <w:rPr>
          <w:spacing w:val="-34"/>
        </w:rPr>
        <w:t> </w:t>
      </w:r>
      <w:r>
        <w:rPr>
          <w:spacing w:val="-34"/>
        </w:rPr>
      </w:r>
      <w:r>
        <w:rPr/>
        <w:t>信第三大股东。</w:t>
      </w:r>
    </w:p>
    <w:p>
      <w:pPr>
        <w:pStyle w:val="BodyText"/>
        <w:spacing w:line="441" w:lineRule="auto" w:before="83"/>
        <w:ind w:left="573" w:right="1135" w:firstLine="21"/>
        <w:jc w:val="left"/>
      </w:pPr>
      <w:r>
        <w:rPr/>
        <w:t>（</w:t>
      </w:r>
      <w:r>
        <w:rPr>
          <w:rFonts w:ascii="宋体" w:hAnsi="宋体" w:cs="宋体" w:eastAsia="宋体" w:hint="default"/>
        </w:rPr>
        <w:t>5</w:t>
      </w:r>
      <w:r>
        <w:rPr/>
        <w:t>）</w:t>
      </w:r>
      <w:r>
        <w:rPr>
          <w:rFonts w:ascii="宋体" w:hAnsi="宋体" w:cs="宋体" w:eastAsia="宋体" w:hint="default"/>
        </w:rPr>
        <w:t>2004</w:t>
      </w:r>
      <w:r>
        <w:rPr/>
        <w:t>年太光电信控股股东更名 </w:t>
      </w:r>
      <w:r>
        <w:rPr>
          <w:rFonts w:ascii="宋体" w:hAnsi="宋体" w:cs="宋体" w:eastAsia="宋体" w:hint="default"/>
        </w:rPr>
        <w:t>2004</w:t>
      </w:r>
      <w:r>
        <w:rPr/>
        <w:t>年</w:t>
      </w:r>
      <w:r>
        <w:rPr>
          <w:rFonts w:ascii="宋体" w:hAnsi="宋体" w:cs="宋体" w:eastAsia="宋体" w:hint="default"/>
        </w:rPr>
        <w:t>11</w:t>
      </w:r>
      <w:r>
        <w:rPr/>
        <w:t>月</w:t>
      </w:r>
      <w:r>
        <w:rPr>
          <w:rFonts w:ascii="宋体" w:hAnsi="宋体" w:cs="宋体" w:eastAsia="宋体" w:hint="default"/>
        </w:rPr>
        <w:t>9</w:t>
      </w:r>
      <w:r>
        <w:rPr/>
        <w:t>日，太光电信控股股东深圳市太光科技有限公司更名为深圳市申昌科技有限公司（以下</w:t>
      </w:r>
    </w:p>
    <w:p>
      <w:pPr>
        <w:pStyle w:val="BodyText"/>
        <w:spacing w:line="240" w:lineRule="auto" w:before="18"/>
        <w:ind w:right="1135"/>
        <w:jc w:val="left"/>
      </w:pPr>
      <w:r>
        <w:rPr/>
        <w:t>简称深圳申昌科技）。</w:t>
      </w:r>
    </w:p>
    <w:p>
      <w:pPr>
        <w:spacing w:line="240" w:lineRule="auto" w:before="12"/>
        <w:rPr>
          <w:rFonts w:ascii="宋体" w:hAnsi="宋体" w:cs="宋体" w:eastAsia="宋体" w:hint="default"/>
          <w:sz w:val="17"/>
          <w:szCs w:val="17"/>
        </w:rPr>
      </w:pPr>
    </w:p>
    <w:p>
      <w:pPr>
        <w:pStyle w:val="BodyText"/>
        <w:spacing w:line="441" w:lineRule="auto"/>
        <w:ind w:left="573" w:right="0" w:firstLine="21"/>
        <w:jc w:val="left"/>
      </w:pPr>
      <w:r>
        <w:rPr/>
        <w:t>（</w:t>
      </w:r>
      <w:r>
        <w:rPr>
          <w:rFonts w:ascii="宋体" w:hAnsi="宋体" w:cs="宋体" w:eastAsia="宋体" w:hint="default"/>
        </w:rPr>
        <w:t>6</w:t>
      </w:r>
      <w:r>
        <w:rPr/>
        <w:t>）</w:t>
      </w:r>
      <w:r>
        <w:rPr>
          <w:rFonts w:ascii="宋体" w:hAnsi="宋体" w:cs="宋体" w:eastAsia="宋体" w:hint="default"/>
        </w:rPr>
        <w:t>2006</w:t>
      </w:r>
      <w:r>
        <w:rPr/>
        <w:t>年太光电信股权变更 </w:t>
      </w:r>
      <w:r>
        <w:rPr>
          <w:rFonts w:ascii="宋体" w:hAnsi="宋体" w:cs="宋体" w:eastAsia="宋体" w:hint="default"/>
          <w:spacing w:val="-1"/>
        </w:rPr>
        <w:t>2006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12</w:t>
      </w:r>
      <w:r>
        <w:rPr>
          <w:spacing w:val="-1"/>
        </w:rPr>
        <w:t>日，太光电信第二大股东巨龙信息技术有限责任公司所持有的太光电信</w:t>
      </w:r>
      <w:r>
        <w:rPr>
          <w:rFonts w:ascii="宋体" w:hAnsi="宋体" w:cs="宋体" w:eastAsia="宋体" w:hint="default"/>
          <w:spacing w:val="-1"/>
        </w:rPr>
        <w:t>1,375</w:t>
      </w:r>
      <w:r>
        <w:rPr>
          <w:spacing w:val="-1"/>
        </w:rPr>
        <w:t>万股股份被</w:t>
      </w:r>
    </w:p>
    <w:p>
      <w:pPr>
        <w:pStyle w:val="BodyText"/>
        <w:spacing w:line="410" w:lineRule="auto" w:before="16"/>
        <w:ind w:right="0"/>
        <w:jc w:val="left"/>
      </w:pPr>
      <w:r>
        <w:rPr/>
        <w:t>拍卖给四家公司，其中上海锯爱企业发展有限公司购买</w:t>
      </w:r>
      <w:r>
        <w:rPr>
          <w:rFonts w:ascii="宋体" w:hAnsi="宋体" w:cs="宋体" w:eastAsia="宋体" w:hint="default"/>
        </w:rPr>
        <w:t>400</w:t>
      </w:r>
      <w:r>
        <w:rPr/>
        <w:t>万股，上海优麦点广告有限公司购买</w:t>
      </w:r>
      <w:r>
        <w:rPr>
          <w:rFonts w:ascii="宋体" w:hAnsi="宋体" w:cs="宋体" w:eastAsia="宋体" w:hint="default"/>
        </w:rPr>
        <w:t>400</w:t>
      </w:r>
      <w:r>
        <w:rPr/>
        <w:t>万股，</w:t>
      </w:r>
      <w:r>
        <w:rPr>
          <w:spacing w:val="-28"/>
        </w:rPr>
        <w:t> </w:t>
      </w:r>
      <w:r>
        <w:rPr>
          <w:spacing w:val="-28"/>
        </w:rPr>
      </w:r>
      <w:r>
        <w:rPr/>
        <w:t>陕西瑞发投资有限公司购买</w:t>
      </w:r>
      <w:r>
        <w:rPr>
          <w:rFonts w:ascii="宋体" w:hAnsi="宋体" w:cs="宋体" w:eastAsia="宋体" w:hint="default"/>
        </w:rPr>
        <w:t>400</w:t>
      </w:r>
      <w:r>
        <w:rPr/>
        <w:t>万股，海南合旺实业投资有限公司购买</w:t>
      </w:r>
      <w:r>
        <w:rPr>
          <w:rFonts w:ascii="宋体" w:hAnsi="宋体" w:cs="宋体" w:eastAsia="宋体" w:hint="default"/>
        </w:rPr>
        <w:t>175</w:t>
      </w:r>
      <w:r>
        <w:rPr/>
        <w:t>万股。巨龙信息技术有限责任公 司不再持有太光电信股份。</w:t>
      </w:r>
    </w:p>
    <w:p>
      <w:pPr>
        <w:pStyle w:val="BodyText"/>
        <w:spacing w:line="444" w:lineRule="auto" w:before="83"/>
        <w:ind w:left="573" w:right="1135" w:firstLine="21"/>
        <w:jc w:val="left"/>
      </w:pPr>
      <w:r>
        <w:rPr/>
        <w:t>（</w:t>
      </w:r>
      <w:r>
        <w:rPr>
          <w:rFonts w:ascii="宋体" w:hAnsi="宋体" w:cs="宋体" w:eastAsia="宋体" w:hint="default"/>
        </w:rPr>
        <w:t>7</w:t>
      </w:r>
      <w:r>
        <w:rPr/>
        <w:t>）</w:t>
      </w:r>
      <w:r>
        <w:rPr>
          <w:rFonts w:ascii="宋体" w:hAnsi="宋体" w:cs="宋体" w:eastAsia="宋体" w:hint="default"/>
        </w:rPr>
        <w:t>2006</w:t>
      </w:r>
      <w:r>
        <w:rPr/>
        <w:t>年股权分置改革 </w:t>
      </w: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26</w:t>
      </w:r>
      <w:r>
        <w:rPr/>
        <w:t>日，太光电信召开</w:t>
      </w:r>
      <w:r>
        <w:rPr>
          <w:rFonts w:ascii="宋体" w:hAnsi="宋体" w:cs="宋体" w:eastAsia="宋体" w:hint="default"/>
        </w:rPr>
        <w:t>2006</w:t>
      </w:r>
      <w:r>
        <w:rPr/>
        <w:t>年第二次临时股东大会审议通过了股权分置改革方案：以</w:t>
      </w:r>
      <w:r>
        <w:rPr>
          <w:rFonts w:ascii="宋体" w:hAnsi="宋体" w:cs="宋体" w:eastAsia="宋体" w:hint="default"/>
        </w:rPr>
        <w:t>2005</w:t>
      </w:r>
      <w:r>
        <w:rPr/>
        <w:t>年</w:t>
      </w:r>
    </w:p>
    <w:p>
      <w:pPr>
        <w:pStyle w:val="BodyText"/>
        <w:spacing w:line="410" w:lineRule="auto" w:before="14"/>
        <w:ind w:right="0"/>
        <w:jc w:val="left"/>
      </w:pPr>
      <w:r>
        <w:rPr>
          <w:rFonts w:ascii="宋体" w:hAnsi="宋体" w:cs="宋体" w:eastAsia="宋体" w:hint="default"/>
        </w:rPr>
        <w:t>12</w:t>
      </w:r>
      <w:r>
        <w:rPr/>
        <w:t>月</w:t>
      </w:r>
      <w:r>
        <w:rPr>
          <w:rFonts w:ascii="宋体" w:hAnsi="宋体" w:cs="宋体" w:eastAsia="宋体" w:hint="default"/>
        </w:rPr>
        <w:t>31</w:t>
      </w:r>
      <w:r>
        <w:rPr/>
        <w:t>日流通股</w:t>
      </w:r>
      <w:r>
        <w:rPr>
          <w:rFonts w:ascii="宋体" w:hAnsi="宋体" w:cs="宋体" w:eastAsia="宋体" w:hint="default"/>
        </w:rPr>
        <w:t>2,200</w:t>
      </w:r>
      <w:r>
        <w:rPr/>
        <w:t>万股为基数，按每</w:t>
      </w:r>
      <w:r>
        <w:rPr>
          <w:rFonts w:ascii="宋体" w:hAnsi="宋体" w:cs="宋体" w:eastAsia="宋体" w:hint="default"/>
        </w:rPr>
        <w:t>10</w:t>
      </w:r>
      <w:r>
        <w:rPr/>
        <w:t>股转增</w:t>
      </w:r>
      <w:r>
        <w:rPr>
          <w:rFonts w:ascii="宋体" w:hAnsi="宋体" w:cs="宋体" w:eastAsia="宋体" w:hint="default"/>
        </w:rPr>
        <w:t>4</w:t>
      </w:r>
      <w:r>
        <w:rPr/>
        <w:t>股的比例，以资本公积金向全体流通股股东转增股本。</w:t>
      </w:r>
      <w:r>
        <w:rPr>
          <w:spacing w:val="-32"/>
        </w:rPr>
        <w:t> </w:t>
      </w:r>
      <w:r>
        <w:rPr>
          <w:spacing w:val="-32"/>
        </w:rPr>
      </w:r>
      <w:r>
        <w:rPr/>
        <w:t>股权分置改革完成后，太光电信总股本增至</w:t>
      </w:r>
      <w:r>
        <w:rPr>
          <w:rFonts w:ascii="宋体" w:hAnsi="宋体" w:cs="宋体" w:eastAsia="宋体" w:hint="default"/>
        </w:rPr>
        <w:t>9,062.77</w:t>
      </w:r>
      <w:r>
        <w:rPr/>
        <w:t>万股。</w:t>
      </w:r>
    </w:p>
    <w:p>
      <w:pPr>
        <w:pStyle w:val="BodyText"/>
        <w:spacing w:line="441" w:lineRule="auto" w:before="83"/>
        <w:ind w:left="573" w:right="918" w:firstLine="21"/>
        <w:jc w:val="left"/>
      </w:pPr>
      <w:r>
        <w:rPr/>
        <w:t>（</w:t>
      </w:r>
      <w:r>
        <w:rPr>
          <w:rFonts w:ascii="宋体" w:hAnsi="宋体" w:cs="宋体" w:eastAsia="宋体" w:hint="default"/>
        </w:rPr>
        <w:t>8</w:t>
      </w:r>
      <w:r>
        <w:rPr/>
        <w:t>）</w:t>
      </w:r>
      <w:r>
        <w:rPr>
          <w:rFonts w:ascii="宋体" w:hAnsi="宋体" w:cs="宋体" w:eastAsia="宋体" w:hint="default"/>
        </w:rPr>
        <w:t>2010</w:t>
      </w:r>
      <w:r>
        <w:rPr/>
        <w:t>年太光电信控股股东更名 </w:t>
      </w:r>
      <w:r>
        <w:rPr>
          <w:rFonts w:ascii="宋体" w:hAnsi="宋体" w:cs="宋体" w:eastAsia="宋体" w:hint="default"/>
          <w:spacing w:val="-5"/>
        </w:rPr>
        <w:t>2010</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8</w:t>
      </w:r>
      <w:r>
        <w:rPr>
          <w:spacing w:val="-5"/>
        </w:rPr>
        <w:t>日，太光电信控股股东深圳申昌科技更名为昆山市申昌科技有限公司（以下简称申昌科技）。</w:t>
      </w:r>
    </w:p>
    <w:p>
      <w:pPr>
        <w:pStyle w:val="BodyText"/>
        <w:spacing w:line="240" w:lineRule="auto" w:before="18"/>
        <w:ind w:left="154" w:right="1135"/>
        <w:jc w:val="left"/>
      </w:pPr>
      <w:r>
        <w:rPr/>
        <w:t>截至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30</w:t>
      </w:r>
      <w:r>
        <w:rPr/>
        <w:t>日前，申昌科技持有太光电信</w:t>
      </w:r>
      <w:r>
        <w:rPr>
          <w:rFonts w:ascii="宋体" w:hAnsi="宋体" w:cs="宋体" w:eastAsia="宋体" w:hint="default"/>
        </w:rPr>
        <w:t>1,989.71</w:t>
      </w:r>
      <w:r>
        <w:rPr/>
        <w:t>万股，持股比例</w:t>
      </w:r>
      <w:r>
        <w:rPr>
          <w:rFonts w:ascii="宋体" w:hAnsi="宋体" w:cs="宋体" w:eastAsia="宋体" w:hint="default"/>
        </w:rPr>
        <w:t>21.95%</w:t>
      </w:r>
      <w:r>
        <w:rPr/>
        <w:t>。</w:t>
      </w:r>
    </w:p>
    <w:p>
      <w:pPr>
        <w:spacing w:line="240" w:lineRule="auto" w:before="12"/>
        <w:rPr>
          <w:rFonts w:ascii="宋体" w:hAnsi="宋体" w:cs="宋体" w:eastAsia="宋体" w:hint="default"/>
          <w:sz w:val="17"/>
          <w:szCs w:val="17"/>
        </w:rPr>
      </w:pPr>
    </w:p>
    <w:p>
      <w:pPr>
        <w:pStyle w:val="BodyText"/>
        <w:spacing w:line="441" w:lineRule="auto"/>
        <w:ind w:left="573" w:right="0" w:firstLine="21"/>
        <w:jc w:val="left"/>
      </w:pPr>
      <w:r>
        <w:rPr/>
        <w:t>（</w:t>
      </w:r>
      <w:r>
        <w:rPr>
          <w:rFonts w:ascii="宋体" w:hAnsi="宋体" w:cs="宋体" w:eastAsia="宋体" w:hint="default"/>
        </w:rPr>
        <w:t>9</w:t>
      </w:r>
      <w:r>
        <w:rPr/>
        <w:t>）</w:t>
      </w:r>
      <w:r>
        <w:rPr>
          <w:rFonts w:ascii="宋体" w:hAnsi="宋体" w:cs="宋体" w:eastAsia="宋体" w:hint="default"/>
        </w:rPr>
        <w:t>2013</w:t>
      </w:r>
      <w:r>
        <w:rPr/>
        <w:t>年度重大资产重组 </w:t>
      </w:r>
      <w:r>
        <w:rPr>
          <w:spacing w:val="-1"/>
        </w:rPr>
        <w:t>根据太光电信</w:t>
      </w:r>
      <w:r>
        <w:rPr>
          <w:rFonts w:ascii="宋体" w:hAnsi="宋体" w:cs="宋体" w:eastAsia="宋体" w:hint="default"/>
          <w:spacing w:val="-1"/>
        </w:rPr>
        <w:t>2013</w:t>
      </w:r>
      <w:r>
        <w:rPr>
          <w:spacing w:val="-1"/>
        </w:rPr>
        <w:t>年第二次临时股东大会决议通过的《关于公司吸收合并神州信息并募集配套资金构</w:t>
      </w:r>
    </w:p>
    <w:p>
      <w:pPr>
        <w:pStyle w:val="BodyText"/>
        <w:spacing w:line="240" w:lineRule="auto" w:before="16"/>
        <w:ind w:left="154" w:right="0"/>
        <w:jc w:val="left"/>
      </w:pPr>
      <w:r>
        <w:rPr/>
        <w:t>成重大资产重组且构成关联交易的议案》、《关于公司吸收合并神州信息并募集配套资金具体方案的议案</w:t>
      </w:r>
    </w:p>
    <w:p>
      <w:pPr>
        <w:spacing w:after="0" w:line="240" w:lineRule="auto"/>
        <w:jc w:val="left"/>
        <w:sectPr>
          <w:pgSz w:w="11910" w:h="16840"/>
          <w:pgMar w:header="918" w:footer="1266" w:top="1160" w:bottom="1460" w:left="980" w:right="0"/>
        </w:sectPr>
      </w:pPr>
    </w:p>
    <w:p>
      <w:pPr>
        <w:spacing w:line="240" w:lineRule="auto" w:before="7"/>
        <w:rPr>
          <w:rFonts w:ascii="宋体" w:hAnsi="宋体" w:cs="宋体" w:eastAsia="宋体" w:hint="default"/>
          <w:sz w:val="23"/>
          <w:szCs w:val="23"/>
        </w:rPr>
      </w:pPr>
    </w:p>
    <w:p>
      <w:pPr>
        <w:pStyle w:val="BodyText"/>
        <w:spacing w:line="408" w:lineRule="auto" w:before="35"/>
        <w:ind w:right="1130"/>
        <w:jc w:val="both"/>
      </w:pPr>
      <w:r>
        <w:rPr/>
        <w:t>（修订）》、《关于公司与申昌科技签署</w:t>
      </w:r>
      <w:r>
        <w:rPr>
          <w:rFonts w:ascii="宋体" w:hAnsi="宋体" w:cs="宋体" w:eastAsia="宋体" w:hint="default"/>
        </w:rPr>
        <w:t>&lt;</w:t>
      </w:r>
      <w:r>
        <w:rPr/>
        <w:t>关于深圳市太光电信股份有限公司向特定对象发行股份之股份</w:t>
      </w:r>
      <w:r>
        <w:rPr>
          <w:spacing w:val="-30"/>
        </w:rPr>
        <w:t> </w:t>
      </w:r>
      <w:r>
        <w:rPr>
          <w:spacing w:val="-30"/>
        </w:rPr>
      </w:r>
      <w:r>
        <w:rPr/>
        <w:t>认购协议</w:t>
      </w:r>
      <w:r>
        <w:rPr>
          <w:rFonts w:ascii="宋体" w:hAnsi="宋体" w:cs="宋体" w:eastAsia="宋体" w:hint="default"/>
        </w:rPr>
        <w:t>&gt;</w:t>
      </w:r>
      <w:r>
        <w:rPr/>
        <w:t>的议案》、《关于公司与神州信息签署的</w:t>
      </w:r>
      <w:r>
        <w:rPr>
          <w:rFonts w:ascii="宋体" w:hAnsi="宋体" w:cs="宋体" w:eastAsia="宋体" w:hint="default"/>
        </w:rPr>
        <w:t>&lt;</w:t>
      </w:r>
      <w:r>
        <w:rPr/>
        <w:t>吸收合并协议</w:t>
      </w:r>
      <w:r>
        <w:rPr>
          <w:rFonts w:ascii="宋体" w:hAnsi="宋体" w:cs="宋体" w:eastAsia="宋体" w:hint="default"/>
        </w:rPr>
        <w:t>&gt;</w:t>
      </w:r>
      <w:r>
        <w:rPr/>
        <w:t>及其补充协议的议案》，并经中国证</w:t>
      </w:r>
      <w:r>
        <w:rPr>
          <w:spacing w:val="-31"/>
        </w:rPr>
        <w:t> </w:t>
      </w:r>
      <w:r>
        <w:rPr>
          <w:spacing w:val="-31"/>
        </w:rPr>
      </w:r>
      <w:r>
        <w:rPr>
          <w:spacing w:val="-1"/>
        </w:rPr>
        <w:t>券监督管理委员会证监许可</w:t>
      </w:r>
      <w:r>
        <w:rPr>
          <w:rFonts w:ascii="宋体" w:hAnsi="宋体" w:cs="宋体" w:eastAsia="宋体" w:hint="default"/>
          <w:spacing w:val="-1"/>
        </w:rPr>
        <w:t>[2013]1578</w:t>
      </w:r>
      <w:r>
        <w:rPr>
          <w:spacing w:val="-1"/>
        </w:rPr>
        <w:t>号《关于核准深圳市太光电信股份有限公司吸收合并神州数码信息</w:t>
      </w:r>
      <w:r>
        <w:rPr>
          <w:spacing w:val="-78"/>
        </w:rPr>
        <w:t> </w:t>
      </w:r>
      <w:r>
        <w:rPr>
          <w:spacing w:val="-78"/>
        </w:rPr>
      </w:r>
      <w:r>
        <w:rPr>
          <w:spacing w:val="-5"/>
        </w:rPr>
        <w:t>服务股份有限公司并募集配套资金的批复》的核准，太光电信向神州信息的股东神州数码软件有限公司（以</w:t>
      </w:r>
      <w:r>
        <w:rPr>
          <w:spacing w:val="-101"/>
        </w:rPr>
        <w:t> </w:t>
      </w:r>
      <w:r>
        <w:rPr>
          <w:spacing w:val="-101"/>
        </w:rPr>
      </w:r>
      <w:r>
        <w:rPr>
          <w:spacing w:val="-1"/>
        </w:rPr>
        <w:t>下简称神码软件）、天津信锐投资合伙企业（有限合伙）（以下简称天津信锐）、中新苏州工业园区创业</w:t>
      </w:r>
      <w:r>
        <w:rPr>
          <w:spacing w:val="-85"/>
        </w:rPr>
        <w:t> </w:t>
      </w:r>
      <w:r>
        <w:rPr>
          <w:spacing w:val="-85"/>
        </w:rPr>
      </w:r>
      <w:r>
        <w:rPr/>
        <w:t>投资有限公司（以下简称中新创投）、</w:t>
      </w:r>
      <w:r>
        <w:rPr>
          <w:rFonts w:ascii="宋体" w:hAnsi="宋体" w:cs="宋体" w:eastAsia="宋体" w:hint="default"/>
        </w:rPr>
        <w:t>Infinity</w:t>
      </w:r>
      <w:r>
        <w:rPr>
          <w:rFonts w:ascii="宋体" w:hAnsi="宋体" w:cs="宋体" w:eastAsia="宋体" w:hint="default"/>
          <w:spacing w:val="17"/>
        </w:rPr>
        <w:t> </w:t>
      </w:r>
      <w:r>
        <w:rPr>
          <w:rFonts w:ascii="宋体" w:hAnsi="宋体" w:cs="宋体" w:eastAsia="宋体" w:hint="default"/>
        </w:rPr>
        <w:t>I-China</w:t>
      </w:r>
      <w:r>
        <w:rPr>
          <w:rFonts w:ascii="宋体" w:hAnsi="宋体" w:cs="宋体" w:eastAsia="宋体" w:hint="default"/>
          <w:spacing w:val="17"/>
        </w:rPr>
        <w:t> </w:t>
      </w:r>
      <w:r>
        <w:rPr>
          <w:rFonts w:ascii="宋体" w:hAnsi="宋体" w:cs="宋体" w:eastAsia="宋体" w:hint="default"/>
        </w:rPr>
        <w:t>Investments</w:t>
      </w:r>
      <w:r>
        <w:rPr>
          <w:rFonts w:ascii="宋体" w:hAnsi="宋体" w:cs="宋体" w:eastAsia="宋体" w:hint="default"/>
          <w:spacing w:val="17"/>
        </w:rPr>
        <w:t> </w:t>
      </w:r>
      <w:r>
        <w:rPr>
          <w:rFonts w:ascii="宋体" w:hAnsi="宋体" w:cs="宋体" w:eastAsia="宋体" w:hint="default"/>
        </w:rPr>
        <w:t>(Israel),</w:t>
      </w:r>
      <w:r>
        <w:rPr>
          <w:rFonts w:ascii="宋体" w:hAnsi="宋体" w:cs="宋体" w:eastAsia="宋体" w:hint="default"/>
          <w:spacing w:val="18"/>
        </w:rPr>
        <w:t> </w:t>
      </w:r>
      <w:r>
        <w:rPr>
          <w:rFonts w:ascii="宋体" w:hAnsi="宋体" w:cs="宋体" w:eastAsia="宋体" w:hint="default"/>
        </w:rPr>
        <w:t>L.P.</w:t>
      </w:r>
      <w:r>
        <w:rPr/>
        <w:t>（以下简称华亿</w:t>
      </w:r>
      <w:r>
        <w:rPr>
          <w:spacing w:val="-103"/>
        </w:rPr>
        <w:t> </w:t>
      </w:r>
      <w:r>
        <w:rPr>
          <w:spacing w:val="-103"/>
        </w:rPr>
      </w:r>
      <w:r>
        <w:rPr>
          <w:spacing w:val="-5"/>
        </w:rPr>
        <w:t>投资）、南京汇庆天下科技有限公司（以下简称南京汇庆）发行</w:t>
      </w:r>
      <w:r>
        <w:rPr>
          <w:rFonts w:ascii="宋体" w:hAnsi="宋体" w:cs="宋体" w:eastAsia="宋体" w:hint="default"/>
          <w:spacing w:val="-5"/>
        </w:rPr>
        <w:t>319,399,894</w:t>
      </w:r>
      <w:r>
        <w:rPr>
          <w:spacing w:val="-5"/>
        </w:rPr>
        <w:t>股股份（每股面值人民币</w:t>
      </w:r>
      <w:r>
        <w:rPr>
          <w:rFonts w:ascii="宋体" w:hAnsi="宋体" w:cs="宋体" w:eastAsia="宋体" w:hint="default"/>
          <w:spacing w:val="-5"/>
        </w:rPr>
        <w:t>1</w:t>
      </w:r>
      <w:r>
        <w:rPr>
          <w:spacing w:val="-5"/>
        </w:rPr>
        <w:t>元）</w:t>
      </w:r>
      <w:r>
        <w:rPr>
          <w:spacing w:val="-73"/>
        </w:rPr>
        <w:t> </w:t>
      </w:r>
      <w:r>
        <w:rPr>
          <w:spacing w:val="-1"/>
        </w:rPr>
        <w:t>吸收合并神州信息，向控股股东申昌科技发行新股</w:t>
      </w:r>
      <w:r>
        <w:rPr>
          <w:rFonts w:ascii="宋体" w:hAnsi="宋体" w:cs="宋体" w:eastAsia="宋体" w:hint="default"/>
          <w:spacing w:val="-1"/>
        </w:rPr>
        <w:t>21,186,440</w:t>
      </w:r>
      <w:r>
        <w:rPr>
          <w:spacing w:val="-1"/>
        </w:rPr>
        <w:t>股募集配套资金，并申请增加注册资本人民</w:t>
      </w:r>
      <w:r>
        <w:rPr>
          <w:spacing w:val="-78"/>
        </w:rPr>
        <w:t> </w:t>
      </w:r>
      <w:r>
        <w:rPr>
          <w:spacing w:val="-78"/>
        </w:rPr>
      </w:r>
      <w:r>
        <w:rPr/>
        <w:t>币</w:t>
      </w:r>
      <w:r>
        <w:rPr>
          <w:rFonts w:ascii="宋体" w:hAnsi="宋体" w:cs="宋体" w:eastAsia="宋体" w:hint="default"/>
        </w:rPr>
        <w:t>340,586,334</w:t>
      </w:r>
      <w:r>
        <w:rPr/>
        <w:t>元。</w:t>
      </w:r>
    </w:p>
    <w:p>
      <w:pPr>
        <w:pStyle w:val="BodyText"/>
        <w:spacing w:line="408" w:lineRule="auto" w:before="84"/>
        <w:ind w:right="1132" w:firstLine="420"/>
        <w:jc w:val="both"/>
      </w:pPr>
      <w:r>
        <w:rPr/>
        <w:t>根据《吸收合并协议》及补充协议，太光电信向神州信息股东发行股份</w:t>
      </w:r>
      <w:r>
        <w:rPr>
          <w:rFonts w:ascii="宋体" w:hAnsi="宋体" w:cs="宋体" w:eastAsia="宋体" w:hint="default"/>
        </w:rPr>
        <w:t>319,399,894</w:t>
      </w:r>
      <w:r>
        <w:rPr/>
        <w:t>股（发行价格为 </w:t>
      </w:r>
      <w:r>
        <w:rPr>
          <w:rFonts w:ascii="宋体" w:hAnsi="宋体" w:cs="宋体" w:eastAsia="宋体" w:hint="default"/>
        </w:rPr>
        <w:t>9.44</w:t>
      </w:r>
      <w:r>
        <w:rPr/>
        <w:t>元</w:t>
      </w:r>
      <w:r>
        <w:rPr>
          <w:rFonts w:ascii="宋体" w:hAnsi="宋体" w:cs="宋体" w:eastAsia="宋体" w:hint="default"/>
        </w:rPr>
        <w:t>/</w:t>
      </w:r>
      <w:r>
        <w:rPr/>
        <w:t>股），用以支付吸收合并之对价；神州信息股东神码软件、天津信锐、中新创投、华亿投资、南</w:t>
      </w:r>
      <w:r>
        <w:rPr>
          <w:spacing w:val="-35"/>
        </w:rPr>
        <w:t> </w:t>
      </w:r>
      <w:r>
        <w:rPr>
          <w:spacing w:val="-35"/>
        </w:rPr>
      </w:r>
      <w:r>
        <w:rPr/>
        <w:t>京汇庆以其持有的神州信息的全部资产、负债及业务认购</w:t>
      </w:r>
      <w:r>
        <w:rPr>
          <w:rFonts w:ascii="宋体" w:hAnsi="宋体" w:cs="宋体" w:eastAsia="宋体" w:hint="default"/>
        </w:rPr>
        <w:t>319,399,894</w:t>
      </w:r>
      <w:r>
        <w:rPr/>
        <w:t>股股份。太光电信向控股股东申昌</w:t>
      </w:r>
      <w:r>
        <w:rPr>
          <w:spacing w:val="-28"/>
        </w:rPr>
        <w:t> </w:t>
      </w:r>
      <w:r>
        <w:rPr>
          <w:spacing w:val="-28"/>
        </w:rPr>
      </w:r>
      <w:r>
        <w:rPr/>
        <w:t>科技发行股份募集配套资金的发行价格与向神州信息股东发行股份价格一致。</w:t>
      </w:r>
    </w:p>
    <w:p>
      <w:pPr>
        <w:pStyle w:val="BodyText"/>
        <w:spacing w:line="410" w:lineRule="auto" w:before="85"/>
        <w:ind w:right="0" w:firstLine="42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17</w:t>
      </w:r>
      <w:r>
        <w:rPr/>
        <w:t>日，太光电信与神州信息签署《资产交割确认书》，自资产交割日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17</w:t>
      </w:r>
      <w:r>
        <w:rPr/>
        <w:t>日起， 神州信息的全部资产、负债、业务由太光电信享有和承担；神州信息的业务随资产、负债转由太光电信承 担，由此产生的收益、风险由太光电信承担。</w:t>
      </w:r>
    </w:p>
    <w:p>
      <w:pPr>
        <w:pStyle w:val="BodyText"/>
        <w:spacing w:line="410" w:lineRule="auto" w:before="82"/>
        <w:ind w:left="154" w:right="1132" w:firstLine="420"/>
        <w:jc w:val="both"/>
      </w:pP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23</w:t>
      </w:r>
      <w:r>
        <w:rPr>
          <w:spacing w:val="-1"/>
        </w:rPr>
        <w:t>日，太光电信在资产过户完成后即向中国证券登记结算有限责任公司深圳分公司申请办</w:t>
      </w:r>
      <w:r>
        <w:rPr/>
        <w:t> 理增发股份登记事项，新发股份于</w:t>
      </w:r>
      <w:r>
        <w:rPr>
          <w:rFonts w:ascii="宋体" w:hAnsi="宋体" w:cs="宋体" w:eastAsia="宋体" w:hint="default"/>
        </w:rPr>
        <w:t>2013 </w:t>
      </w:r>
      <w:r>
        <w:rPr/>
        <w:t>年</w:t>
      </w:r>
      <w:r>
        <w:rPr>
          <w:rFonts w:ascii="宋体" w:hAnsi="宋体" w:cs="宋体" w:eastAsia="宋体" w:hint="default"/>
        </w:rPr>
        <w:t>12</w:t>
      </w:r>
      <w:r>
        <w:rPr/>
        <w:t>月</w:t>
      </w:r>
      <w:r>
        <w:rPr>
          <w:rFonts w:ascii="宋体" w:hAnsi="宋体" w:cs="宋体" w:eastAsia="宋体" w:hint="default"/>
        </w:rPr>
        <w:t>30</w:t>
      </w:r>
      <w:r>
        <w:rPr>
          <w:rFonts w:ascii="宋体" w:hAnsi="宋体" w:cs="宋体" w:eastAsia="宋体" w:hint="default"/>
          <w:spacing w:val="-5"/>
        </w:rPr>
        <w:t> </w:t>
      </w:r>
      <w:r>
        <w:rPr/>
        <w:t>日正式上市。</w:t>
      </w:r>
    </w:p>
    <w:p>
      <w:pPr>
        <w:pStyle w:val="BodyText"/>
        <w:spacing w:line="410" w:lineRule="auto" w:before="82"/>
        <w:ind w:right="1146" w:firstLine="420"/>
        <w:jc w:val="both"/>
      </w:pPr>
      <w:r>
        <w:rPr>
          <w:rFonts w:ascii="宋体" w:hAnsi="宋体" w:cs="宋体" w:eastAsia="宋体" w:hint="default"/>
          <w:spacing w:val="7"/>
        </w:rPr>
        <w:t>2014</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26</w:t>
      </w:r>
      <w:r>
        <w:rPr>
          <w:spacing w:val="7"/>
        </w:rPr>
        <w:t>日，太光电信注册资本变更为</w:t>
      </w:r>
      <w:r>
        <w:rPr>
          <w:rFonts w:ascii="宋体" w:hAnsi="宋体" w:cs="宋体" w:eastAsia="宋体" w:hint="default"/>
          <w:spacing w:val="7"/>
        </w:rPr>
        <w:t>431,214,014</w:t>
      </w:r>
      <w:r>
        <w:rPr>
          <w:spacing w:val="7"/>
        </w:rPr>
        <w:t>元，并业经信永中和会计师事务所出具的</w:t>
      </w:r>
      <w:r>
        <w:rPr/>
        <w:t> </w:t>
      </w:r>
      <w:r>
        <w:rPr>
          <w:rFonts w:ascii="宋体" w:hAnsi="宋体" w:cs="宋体" w:eastAsia="宋体" w:hint="default"/>
        </w:rPr>
        <w:t>XYZH/2012A1055-8</w:t>
      </w:r>
      <w:r>
        <w:rPr/>
        <w:t>号《验资报告》验证。</w:t>
      </w:r>
    </w:p>
    <w:p>
      <w:pPr>
        <w:pStyle w:val="BodyText"/>
        <w:spacing w:line="410" w:lineRule="auto" w:before="83"/>
        <w:ind w:right="1141" w:firstLine="420"/>
        <w:jc w:val="both"/>
      </w:pPr>
      <w:r>
        <w:rPr>
          <w:spacing w:val="-1"/>
        </w:rPr>
        <w:t>太光电信吸收合并完成前控股股东为昆山市申昌科技有限公司；吸收合并完成后控股股东变更为神州</w:t>
      </w:r>
      <w:r>
        <w:rPr/>
        <w:t> 数码软件有限公司（持股比例</w:t>
      </w:r>
      <w:r>
        <w:rPr>
          <w:rFonts w:ascii="宋体" w:hAnsi="宋体" w:cs="宋体" w:eastAsia="宋体" w:hint="default"/>
        </w:rPr>
        <w:t>45.17%</w:t>
      </w:r>
      <w:r>
        <w:rPr/>
        <w:t>）。</w:t>
      </w:r>
    </w:p>
    <w:p>
      <w:pPr>
        <w:pStyle w:val="BodyText"/>
        <w:spacing w:line="408" w:lineRule="auto" w:before="82"/>
        <w:ind w:right="1128" w:firstLine="420"/>
        <w:jc w:val="both"/>
      </w:pPr>
      <w:r>
        <w:rPr>
          <w:rFonts w:ascii="宋体" w:hAnsi="宋体" w:cs="宋体" w:eastAsia="宋体" w:hint="default"/>
          <w:spacing w:val="-3"/>
        </w:rPr>
        <w:t>2014</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26</w:t>
      </w:r>
      <w:r>
        <w:rPr>
          <w:spacing w:val="-3"/>
        </w:rPr>
        <w:t>日，经国家工商总局和深圳市市场监督管理局核准，太光电信完成了工商变更登记手续，</w:t>
      </w:r>
      <w:r>
        <w:rPr/>
        <w:t> 公司名称由“深圳市太光电信股份有限公司”变更为“神州数码信息服务股份有限公司”（以</w:t>
      </w:r>
      <w:r>
        <w:rPr>
          <w:rFonts w:ascii="宋体" w:hAnsi="宋体" w:cs="宋体" w:eastAsia="宋体" w:hint="default"/>
        </w:rPr>
        <w:t>2014</w:t>
      </w:r>
      <w:r>
        <w:rPr/>
        <w:t>年</w:t>
      </w:r>
      <w:r>
        <w:rPr>
          <w:rFonts w:ascii="宋体" w:hAnsi="宋体" w:cs="宋体" w:eastAsia="宋体" w:hint="default"/>
        </w:rPr>
        <w:t>2</w:t>
      </w:r>
      <w:r>
        <w:rPr/>
        <w:t>月</w:t>
      </w:r>
      <w:r>
        <w:rPr>
          <w:spacing w:val="-27"/>
        </w:rPr>
        <w:t> </w:t>
      </w:r>
      <w:r>
        <w:rPr>
          <w:rFonts w:ascii="宋体" w:hAnsi="宋体" w:cs="宋体" w:eastAsia="宋体" w:hint="default"/>
          <w:spacing w:val="-1"/>
        </w:rPr>
        <w:t>26</w:t>
      </w:r>
      <w:r>
        <w:rPr>
          <w:spacing w:val="-1"/>
        </w:rPr>
        <w:t>日为界限，之前公司名称为“深圳市太光电信股份有限公司”，之后公司名称为“神州数码信息服务股</w:t>
      </w:r>
      <w:r>
        <w:rPr>
          <w:spacing w:val="-84"/>
        </w:rPr>
        <w:t> </w:t>
      </w:r>
      <w:r>
        <w:rPr>
          <w:spacing w:val="-84"/>
        </w:rPr>
      </w:r>
      <w:r>
        <w:rPr/>
        <w:t>份有限公司”），法定代表人由“宋波”变更为“郭为”。</w:t>
      </w:r>
    </w:p>
    <w:p>
      <w:pPr>
        <w:pStyle w:val="BodyText"/>
        <w:spacing w:line="240" w:lineRule="auto" w:before="86"/>
        <w:ind w:left="595" w:right="1135"/>
        <w:jc w:val="left"/>
      </w:pPr>
      <w:r>
        <w:rPr/>
        <w:t>（</w:t>
      </w:r>
      <w:r>
        <w:rPr>
          <w:rFonts w:ascii="宋体" w:hAnsi="宋体" w:cs="宋体" w:eastAsia="宋体" w:hint="default"/>
        </w:rPr>
        <w:t>10</w:t>
      </w:r>
      <w:r>
        <w:rPr/>
        <w:t>）</w:t>
      </w:r>
      <w:r>
        <w:rPr>
          <w:rFonts w:ascii="宋体" w:hAnsi="宋体" w:cs="宋体" w:eastAsia="宋体" w:hint="default"/>
        </w:rPr>
        <w:t>2014</w:t>
      </w:r>
      <w:r>
        <w:rPr/>
        <w:t>年度发行股份及支付现金购买资产事项</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根据神州信息第六届董事会</w:t>
      </w:r>
      <w:r>
        <w:rPr>
          <w:rFonts w:ascii="宋体" w:hAnsi="宋体" w:cs="宋体" w:eastAsia="宋体" w:hint="default"/>
        </w:rPr>
        <w:t>2014</w:t>
      </w:r>
      <w:r>
        <w:rPr/>
        <w:t>年第七次临时会议决议通过的《关于公司向特定对象发行股份购买资</w:t>
      </w:r>
    </w:p>
    <w:p>
      <w:pPr>
        <w:spacing w:after="0" w:line="240" w:lineRule="auto"/>
        <w:jc w:val="left"/>
        <w:sectPr>
          <w:footerReference w:type="default" r:id="rId55"/>
          <w:pgSz w:w="11910" w:h="16840"/>
          <w:pgMar w:footer="1724" w:header="918" w:top="1160" w:bottom="1920" w:left="980" w:right="0"/>
          <w:pgNumType w:start="120"/>
        </w:sectPr>
      </w:pPr>
    </w:p>
    <w:p>
      <w:pPr>
        <w:spacing w:line="240" w:lineRule="auto" w:before="7"/>
        <w:rPr>
          <w:rFonts w:ascii="宋体" w:hAnsi="宋体" w:cs="宋体" w:eastAsia="宋体" w:hint="default"/>
          <w:sz w:val="23"/>
          <w:szCs w:val="23"/>
        </w:rPr>
      </w:pPr>
    </w:p>
    <w:p>
      <w:pPr>
        <w:pStyle w:val="BodyText"/>
        <w:spacing w:line="410" w:lineRule="auto" w:before="35"/>
        <w:ind w:left="154" w:right="1131"/>
        <w:jc w:val="both"/>
      </w:pPr>
      <w:r>
        <w:rPr>
          <w:spacing w:val="-1"/>
        </w:rPr>
        <w:t>会决议通过的《关于公司向特定对象发行股份购买资产并募集配套资金方案的议案（修订）》及神州信息</w:t>
      </w:r>
      <w:r>
        <w:rPr>
          <w:spacing w:val="-85"/>
        </w:rPr>
        <w:t> </w:t>
      </w:r>
      <w:r>
        <w:rPr>
          <w:spacing w:val="-85"/>
        </w:rPr>
      </w:r>
      <w:r>
        <w:rPr>
          <w:spacing w:val="-1"/>
        </w:rPr>
        <w:t>与北京中农信达信息技术有限公司（以下简称中农信达）全体股东签署的《发行股份及支付现金购买资产</w:t>
      </w:r>
      <w:r>
        <w:rPr>
          <w:spacing w:val="-83"/>
        </w:rPr>
        <w:t> </w:t>
      </w:r>
      <w:r>
        <w:rPr>
          <w:spacing w:val="-83"/>
        </w:rPr>
      </w:r>
      <w:r>
        <w:rPr/>
        <w:t>协议》与《发行股份及支付现金购买资产协议之补充协议》，神州信息拟购买中农信达</w:t>
      </w:r>
      <w:r>
        <w:rPr>
          <w:rFonts w:ascii="宋体" w:hAnsi="宋体" w:cs="宋体" w:eastAsia="宋体" w:hint="default"/>
        </w:rPr>
        <w:t>100%</w:t>
      </w:r>
      <w:r>
        <w:rPr/>
        <w:t>股权。</w:t>
      </w:r>
    </w:p>
    <w:p>
      <w:pPr>
        <w:pStyle w:val="BodyText"/>
        <w:spacing w:line="408" w:lineRule="auto" w:before="83"/>
        <w:ind w:left="154" w:right="1132" w:firstLine="420"/>
        <w:jc w:val="both"/>
      </w:pPr>
      <w:r>
        <w:rPr>
          <w:spacing w:val="-1"/>
        </w:rPr>
        <w:t>中国证券监督管理委员会下发证监许可</w:t>
      </w:r>
      <w:r>
        <w:rPr>
          <w:rFonts w:ascii="宋体" w:hAnsi="宋体" w:cs="宋体" w:eastAsia="宋体" w:hint="default"/>
          <w:spacing w:val="-1"/>
        </w:rPr>
        <w:t>[2014]1258</w:t>
      </w:r>
      <w:r>
        <w:rPr>
          <w:spacing w:val="-1"/>
        </w:rPr>
        <w:t>号《关于核准神州数码信息服务股份有限公司向冯</w:t>
      </w:r>
      <w:r>
        <w:rPr/>
        <w:t> 健刚等发行股份购买资产并募集配套资金的批复》，核准神州信息向冯健刚发行</w:t>
      </w:r>
      <w:r>
        <w:rPr>
          <w:rFonts w:ascii="宋体" w:hAnsi="宋体" w:cs="宋体" w:eastAsia="宋体" w:hint="default"/>
        </w:rPr>
        <w:t>6,073,988</w:t>
      </w:r>
      <w:r>
        <w:rPr/>
        <w:t>股股份、向王</w:t>
      </w:r>
      <w:r>
        <w:rPr>
          <w:spacing w:val="-28"/>
        </w:rPr>
        <w:t> </w:t>
      </w:r>
      <w:r>
        <w:rPr>
          <w:spacing w:val="-28"/>
        </w:rPr>
      </w:r>
      <w:r>
        <w:rPr/>
        <w:t>宇飞发行</w:t>
      </w:r>
      <w:r>
        <w:rPr>
          <w:rFonts w:ascii="宋体" w:hAnsi="宋体" w:cs="宋体" w:eastAsia="宋体" w:hint="default"/>
        </w:rPr>
        <w:t>5,540,462</w:t>
      </w:r>
      <w:r>
        <w:rPr/>
        <w:t>股股份、向张丹丹发行</w:t>
      </w:r>
      <w:r>
        <w:rPr>
          <w:rFonts w:ascii="宋体" w:hAnsi="宋体" w:cs="宋体" w:eastAsia="宋体" w:hint="default"/>
        </w:rPr>
        <w:t>4,432,369</w:t>
      </w:r>
      <w:r>
        <w:rPr/>
        <w:t>股股份、向贺胜龙发行</w:t>
      </w:r>
      <w:r>
        <w:rPr>
          <w:rFonts w:ascii="宋体" w:hAnsi="宋体" w:cs="宋体" w:eastAsia="宋体" w:hint="default"/>
        </w:rPr>
        <w:t>3,078,033</w:t>
      </w:r>
      <w:r>
        <w:rPr/>
        <w:t>股股份、向王正发</w:t>
      </w:r>
      <w:r>
        <w:rPr>
          <w:spacing w:val="-29"/>
        </w:rPr>
        <w:t> </w:t>
      </w:r>
      <w:r>
        <w:rPr>
          <w:spacing w:val="-29"/>
        </w:rPr>
      </w:r>
      <w:r>
        <w:rPr/>
        <w:t>行</w:t>
      </w:r>
      <w:r>
        <w:rPr>
          <w:rFonts w:ascii="宋体" w:hAnsi="宋体" w:cs="宋体" w:eastAsia="宋体" w:hint="default"/>
        </w:rPr>
        <w:t>820,809</w:t>
      </w:r>
      <w:r>
        <w:rPr/>
        <w:t>股股份、向蒋云发行</w:t>
      </w:r>
      <w:r>
        <w:rPr>
          <w:rFonts w:ascii="宋体" w:hAnsi="宋体" w:cs="宋体" w:eastAsia="宋体" w:hint="default"/>
        </w:rPr>
        <w:t>287,283</w:t>
      </w:r>
      <w:r>
        <w:rPr/>
        <w:t>股股份、向王建林发行</w:t>
      </w:r>
      <w:r>
        <w:rPr>
          <w:rFonts w:ascii="宋体" w:hAnsi="宋体" w:cs="宋体" w:eastAsia="宋体" w:hint="default"/>
        </w:rPr>
        <w:t>287,283</w:t>
      </w:r>
      <w:r>
        <w:rPr/>
        <w:t>股股份购买相关资产，核准神州信</w:t>
      </w:r>
      <w:r>
        <w:rPr>
          <w:spacing w:val="-31"/>
        </w:rPr>
        <w:t> </w:t>
      </w:r>
      <w:r>
        <w:rPr>
          <w:spacing w:val="-31"/>
        </w:rPr>
      </w:r>
      <w:r>
        <w:rPr/>
        <w:t>息非公开发行不超过</w:t>
      </w:r>
      <w:r>
        <w:rPr>
          <w:rFonts w:ascii="宋体" w:hAnsi="宋体" w:cs="宋体" w:eastAsia="宋体" w:hint="default"/>
        </w:rPr>
        <w:t>10,856,269</w:t>
      </w:r>
      <w:r>
        <w:rPr/>
        <w:t>股新股募集上述发行股份购买资产的配套资金。</w:t>
      </w:r>
    </w:p>
    <w:p>
      <w:pPr>
        <w:pStyle w:val="BodyText"/>
        <w:spacing w:line="408" w:lineRule="auto" w:before="85"/>
        <w:ind w:right="1026" w:firstLine="420"/>
        <w:jc w:val="left"/>
      </w:pPr>
      <w:r>
        <w:rPr/>
        <w:t>根据《发行股份及支付现金购买资产协议》与《发行股份及支付现金购买资产协议之补充协议》，神 州信息向前述的中农信达原股东发行股份共计</w:t>
      </w:r>
      <w:r>
        <w:rPr>
          <w:rFonts w:ascii="宋体" w:hAnsi="宋体" w:cs="宋体" w:eastAsia="宋体" w:hint="default"/>
        </w:rPr>
        <w:t>20,520,227</w:t>
      </w:r>
      <w:r>
        <w:rPr/>
        <w:t>股（发行价格为</w:t>
      </w:r>
      <w:r>
        <w:rPr>
          <w:rFonts w:ascii="宋体" w:hAnsi="宋体" w:cs="宋体" w:eastAsia="宋体" w:hint="default"/>
        </w:rPr>
        <w:t>24.22</w:t>
      </w:r>
      <w:r>
        <w:rPr/>
        <w:t>元</w:t>
      </w:r>
      <w:r>
        <w:rPr>
          <w:rFonts w:ascii="宋体" w:hAnsi="宋体" w:cs="宋体" w:eastAsia="宋体" w:hint="default"/>
        </w:rPr>
        <w:t>/</w:t>
      </w:r>
      <w:r>
        <w:rPr/>
        <w:t>股）。截至</w:t>
      </w:r>
      <w:r>
        <w:rPr>
          <w:rFonts w:ascii="宋体" w:hAnsi="宋体" w:cs="宋体" w:eastAsia="宋体" w:hint="default"/>
        </w:rPr>
        <w:t>2014</w:t>
      </w:r>
      <w:r>
        <w:rPr/>
        <w:t>年</w:t>
      </w:r>
      <w:r>
        <w:rPr>
          <w:rFonts w:ascii="宋体" w:hAnsi="宋体" w:cs="宋体" w:eastAsia="宋体" w:hint="default"/>
        </w:rPr>
        <w:t>12</w:t>
      </w:r>
      <w:r>
        <w:rPr/>
        <w:t>月 </w:t>
      </w:r>
      <w:r>
        <w:rPr>
          <w:rFonts w:ascii="宋体" w:hAnsi="宋体" w:cs="宋体" w:eastAsia="宋体" w:hint="default"/>
          <w:spacing w:val="-3"/>
        </w:rPr>
        <w:t>3</w:t>
      </w:r>
      <w:r>
        <w:rPr>
          <w:spacing w:val="-3"/>
        </w:rPr>
        <w:t>日止，公司已收到新增注册资本人民币</w:t>
      </w:r>
      <w:r>
        <w:rPr>
          <w:rFonts w:ascii="宋体" w:hAnsi="宋体" w:cs="宋体" w:eastAsia="宋体" w:hint="default"/>
          <w:spacing w:val="-3"/>
        </w:rPr>
        <w:t>20,520,227.00</w:t>
      </w:r>
      <w:r>
        <w:rPr>
          <w:spacing w:val="-3"/>
        </w:rPr>
        <w:t>元，变更后的注册资本为人民币</w:t>
      </w:r>
      <w:r>
        <w:rPr>
          <w:rFonts w:ascii="宋体" w:hAnsi="宋体" w:cs="宋体" w:eastAsia="宋体" w:hint="default"/>
          <w:spacing w:val="-3"/>
        </w:rPr>
        <w:t>451,734,241.00</w:t>
      </w:r>
      <w:r>
        <w:rPr>
          <w:spacing w:val="-3"/>
        </w:rPr>
        <w:t>元，</w:t>
      </w:r>
      <w:r>
        <w:rPr>
          <w:spacing w:val="-51"/>
        </w:rPr>
        <w:t> </w:t>
      </w:r>
      <w:r>
        <w:rPr/>
        <w:t>并业经信永中和会计师事务所出具的</w:t>
      </w:r>
      <w:r>
        <w:rPr>
          <w:rFonts w:ascii="宋体" w:hAnsi="宋体" w:cs="宋体" w:eastAsia="宋体" w:hint="default"/>
        </w:rPr>
        <w:t>XYZH/2014A1054-5</w:t>
      </w:r>
      <w:r>
        <w:rPr/>
        <w:t>号《验资报告》验证。</w:t>
      </w:r>
    </w:p>
    <w:p>
      <w:pPr>
        <w:pStyle w:val="BodyText"/>
        <w:spacing w:line="408" w:lineRule="auto" w:before="84"/>
        <w:ind w:right="1129" w:firstLine="420"/>
        <w:jc w:val="both"/>
      </w:pPr>
      <w:r>
        <w:rPr>
          <w:spacing w:val="-1"/>
        </w:rPr>
        <w:t>根据《发行股份及支付现金购买资产协议》、《发行股份及支付现金购买资产协议之补充协议》及证</w:t>
      </w:r>
      <w:r>
        <w:rPr/>
        <w:t> </w:t>
      </w:r>
      <w:r>
        <w:rPr>
          <w:spacing w:val="-1"/>
        </w:rPr>
        <w:t>监许可</w:t>
      </w:r>
      <w:r>
        <w:rPr>
          <w:rFonts w:ascii="宋体" w:hAnsi="宋体" w:cs="宋体" w:eastAsia="宋体" w:hint="default"/>
          <w:spacing w:val="-1"/>
        </w:rPr>
        <w:t>[2014]1258</w:t>
      </w:r>
      <w:r>
        <w:rPr>
          <w:spacing w:val="-1"/>
        </w:rPr>
        <w:t>号《关于核准神州数码信息服务股份有限公司向冯健刚等发行股份购买资产并募集配套</w:t>
      </w:r>
      <w:r>
        <w:rPr>
          <w:spacing w:val="-78"/>
        </w:rPr>
        <w:t> </w:t>
      </w:r>
      <w:r>
        <w:rPr>
          <w:spacing w:val="-78"/>
        </w:rPr>
      </w:r>
      <w:r>
        <w:rPr>
          <w:spacing w:val="-1"/>
        </w:rPr>
        <w:t>资金的批复》，神州信息向财通基金管理有限公司、华安基金管理有限公司、华商基金管理有限公司、泰</w:t>
      </w:r>
      <w:r>
        <w:rPr>
          <w:spacing w:val="-83"/>
        </w:rPr>
        <w:t> </w:t>
      </w:r>
      <w:r>
        <w:rPr>
          <w:spacing w:val="-83"/>
        </w:rPr>
      </w:r>
      <w:r>
        <w:rPr>
          <w:spacing w:val="16"/>
        </w:rPr>
        <w:t>康资产管理有限责任公司、</w:t>
      </w:r>
      <w:r>
        <w:rPr>
          <w:spacing w:val="-85"/>
        </w:rPr>
        <w:t> </w:t>
      </w:r>
      <w:r>
        <w:rPr>
          <w:spacing w:val="16"/>
        </w:rPr>
        <w:t>兴业全球基金管理有限公司发行股份共计</w:t>
      </w:r>
      <w:r>
        <w:rPr>
          <w:spacing w:val="-77"/>
        </w:rPr>
        <w:t> </w:t>
      </w:r>
      <w:r>
        <w:rPr>
          <w:rFonts w:ascii="宋体" w:hAnsi="宋体" w:cs="宋体" w:eastAsia="宋体" w:hint="default"/>
        </w:rPr>
        <w:t>7,171,717</w:t>
      </w:r>
      <w:r>
        <w:rPr>
          <w:rFonts w:ascii="宋体" w:hAnsi="宋体" w:cs="宋体" w:eastAsia="宋体" w:hint="default"/>
          <w:spacing w:val="-83"/>
        </w:rPr>
        <w:t> </w:t>
      </w:r>
      <w:r>
        <w:rPr>
          <w:spacing w:val="15"/>
        </w:rPr>
        <w:t>股并募集配套资金</w:t>
      </w:r>
      <w:r>
        <w:rPr>
          <w:spacing w:val="-99"/>
        </w:rPr>
        <w:t> </w:t>
      </w:r>
      <w:r>
        <w:rPr>
          <w:spacing w:val="-99"/>
        </w:rPr>
      </w:r>
      <w:r>
        <w:rPr>
          <w:rFonts w:ascii="宋体" w:hAnsi="宋体" w:cs="宋体" w:eastAsia="宋体" w:hint="default"/>
          <w:spacing w:val="-4"/>
        </w:rPr>
        <w:t>236,666,661</w:t>
      </w:r>
      <w:r>
        <w:rPr>
          <w:spacing w:val="-4"/>
        </w:rPr>
        <w:t>元（发行价格为</w:t>
      </w:r>
      <w:r>
        <w:rPr>
          <w:rFonts w:ascii="宋体" w:hAnsi="宋体" w:cs="宋体" w:eastAsia="宋体" w:hint="default"/>
          <w:spacing w:val="-4"/>
        </w:rPr>
        <w:t>33.00</w:t>
      </w:r>
      <w:r>
        <w:rPr>
          <w:spacing w:val="-4"/>
        </w:rPr>
        <w:t>元</w:t>
      </w:r>
      <w:r>
        <w:rPr>
          <w:rFonts w:ascii="宋体" w:hAnsi="宋体" w:cs="宋体" w:eastAsia="宋体" w:hint="default"/>
          <w:spacing w:val="-4"/>
        </w:rPr>
        <w:t>/</w:t>
      </w:r>
      <w:r>
        <w:rPr>
          <w:spacing w:val="-4"/>
        </w:rPr>
        <w:t>股），截至</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19</w:t>
      </w:r>
      <w:r>
        <w:rPr>
          <w:spacing w:val="-4"/>
        </w:rPr>
        <w:t>日止，公司已收到募集资金</w:t>
      </w:r>
      <w:r>
        <w:rPr>
          <w:rFonts w:ascii="宋体" w:hAnsi="宋体" w:cs="宋体" w:eastAsia="宋体" w:hint="default"/>
          <w:spacing w:val="-4"/>
        </w:rPr>
        <w:t>236,666,661</w:t>
      </w:r>
      <w:r>
        <w:rPr>
          <w:spacing w:val="-4"/>
        </w:rPr>
        <w:t>元，</w:t>
      </w:r>
      <w:r>
        <w:rPr>
          <w:spacing w:val="-85"/>
        </w:rPr>
        <w:t> </w:t>
      </w:r>
      <w:r>
        <w:rPr/>
        <w:t>扣除公司依据协议应支付给西南证券股份有限公司的财务顾问费用</w:t>
      </w:r>
      <w:r>
        <w:rPr>
          <w:rFonts w:ascii="宋体" w:hAnsi="宋体" w:cs="宋体" w:eastAsia="宋体" w:hint="default"/>
        </w:rPr>
        <w:t>10,000,000.00</w:t>
      </w:r>
      <w:r>
        <w:rPr/>
        <w:t>元后，实际募集资金净</w:t>
      </w:r>
      <w:r>
        <w:rPr>
          <w:spacing w:val="-26"/>
        </w:rPr>
        <w:t> </w:t>
      </w:r>
      <w:r>
        <w:rPr>
          <w:spacing w:val="-26"/>
        </w:rPr>
      </w:r>
      <w:r>
        <w:rPr>
          <w:spacing w:val="-2"/>
        </w:rPr>
        <w:t>额为</w:t>
      </w:r>
      <w:r>
        <w:rPr>
          <w:rFonts w:ascii="宋体" w:hAnsi="宋体" w:cs="宋体" w:eastAsia="宋体" w:hint="default"/>
          <w:spacing w:val="-2"/>
        </w:rPr>
        <w:t>226,666,661</w:t>
      </w:r>
      <w:r>
        <w:rPr>
          <w:spacing w:val="-2"/>
        </w:rPr>
        <w:t>元，其中新增注册资本</w:t>
      </w:r>
      <w:r>
        <w:rPr>
          <w:rFonts w:ascii="宋体" w:hAnsi="宋体" w:cs="宋体" w:eastAsia="宋体" w:hint="default"/>
          <w:spacing w:val="-2"/>
        </w:rPr>
        <w:t>7,171,717.00</w:t>
      </w:r>
      <w:r>
        <w:rPr>
          <w:spacing w:val="-2"/>
        </w:rPr>
        <w:t>元，变更后的注册资本为人民币</w:t>
      </w:r>
      <w:r>
        <w:rPr>
          <w:rFonts w:ascii="宋体" w:hAnsi="宋体" w:cs="宋体" w:eastAsia="宋体" w:hint="default"/>
          <w:spacing w:val="-2"/>
        </w:rPr>
        <w:t>458,905,958.00</w:t>
      </w:r>
      <w:r>
        <w:rPr>
          <w:spacing w:val="-2"/>
        </w:rPr>
        <w:t>元，</w:t>
      </w:r>
      <w:r>
        <w:rPr>
          <w:spacing w:val="-103"/>
        </w:rPr>
        <w:t> </w:t>
      </w:r>
      <w:r>
        <w:rPr/>
        <w:t>并业经信永中和会计师事务所出具的</w:t>
      </w:r>
      <w:r>
        <w:rPr>
          <w:rFonts w:ascii="宋体" w:hAnsi="宋体" w:cs="宋体" w:eastAsia="宋体" w:hint="default"/>
        </w:rPr>
        <w:t>XYZH/2014A1054-6</w:t>
      </w:r>
      <w:r>
        <w:rPr/>
        <w:t>号《验资报告》验证。</w:t>
      </w:r>
    </w:p>
    <w:p>
      <w:pPr>
        <w:pStyle w:val="BodyText"/>
        <w:spacing w:line="410" w:lineRule="auto" w:before="84"/>
        <w:ind w:right="1132" w:firstLine="420"/>
        <w:jc w:val="both"/>
      </w:pPr>
      <w:r>
        <w:rPr/>
        <w:t>被购买资产作价依据为经北京中同华资产评估有限公司出具的中同华评报字</w:t>
      </w:r>
      <w:r>
        <w:rPr>
          <w:spacing w:val="-24"/>
        </w:rPr>
        <w:t> </w:t>
      </w:r>
      <w:r>
        <w:rPr>
          <w:rFonts w:ascii="宋体" w:hAnsi="宋体" w:cs="宋体" w:eastAsia="宋体" w:hint="default"/>
        </w:rPr>
        <w:t>(2014)</w:t>
      </w:r>
      <w:r>
        <w:rPr/>
        <w:t>第</w:t>
      </w:r>
      <w:r>
        <w:rPr>
          <w:rFonts w:ascii="宋体" w:hAnsi="宋体" w:cs="宋体" w:eastAsia="宋体" w:hint="default"/>
        </w:rPr>
        <w:t>406</w:t>
      </w:r>
      <w:r>
        <w:rPr/>
        <w:t>号《神州数 </w:t>
      </w:r>
      <w:r>
        <w:rPr>
          <w:spacing w:val="3"/>
        </w:rPr>
        <w:t>码信息服务股份有限公司向特定对象发行股份购买资产并募集配套资金所涉及北京中农信达信息技术有</w:t>
      </w:r>
      <w:r>
        <w:rPr>
          <w:spacing w:val="-82"/>
        </w:rPr>
        <w:t> </w:t>
      </w:r>
      <w:r>
        <w:rPr>
          <w:spacing w:val="-82"/>
        </w:rPr>
      </w:r>
      <w:r>
        <w:rPr/>
        <w:t>限公司股权评估项目资产评估报告书》。</w:t>
      </w:r>
    </w:p>
    <w:p>
      <w:pPr>
        <w:pStyle w:val="BodyText"/>
        <w:spacing w:line="441" w:lineRule="auto" w:before="85"/>
        <w:ind w:left="574" w:right="0" w:firstLine="21"/>
        <w:jc w:val="left"/>
      </w:pPr>
      <w:r>
        <w:rPr/>
        <w:t>（</w:t>
      </w:r>
      <w:r>
        <w:rPr>
          <w:rFonts w:ascii="宋体" w:hAnsi="宋体" w:cs="宋体" w:eastAsia="宋体" w:hint="default"/>
        </w:rPr>
        <w:t>11</w:t>
      </w:r>
      <w:r>
        <w:rPr/>
        <w:t>）资本公积转股事项 </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w:t>
      </w:r>
      <w:r>
        <w:rPr>
          <w:rFonts w:ascii="宋体" w:hAnsi="宋体" w:cs="宋体" w:eastAsia="宋体" w:hint="default"/>
          <w:spacing w:val="-1"/>
        </w:rPr>
        <w:t>,</w:t>
      </w:r>
      <w:r>
        <w:rPr>
          <w:spacing w:val="-1"/>
        </w:rPr>
        <w:t>本公司召开的第六届董事会第十二次会议决议通过了《关于</w:t>
      </w:r>
      <w:r>
        <w:rPr>
          <w:rFonts w:ascii="宋体" w:hAnsi="宋体" w:cs="宋体" w:eastAsia="宋体" w:hint="default"/>
          <w:spacing w:val="-1"/>
        </w:rPr>
        <w:t>2015</w:t>
      </w:r>
      <w:r>
        <w:rPr>
          <w:spacing w:val="-1"/>
        </w:rPr>
        <w:t>年半年度资本公积金</w:t>
      </w:r>
    </w:p>
    <w:p>
      <w:pPr>
        <w:pStyle w:val="BodyText"/>
        <w:spacing w:line="408" w:lineRule="auto" w:before="16"/>
        <w:ind w:right="0"/>
        <w:jc w:val="left"/>
      </w:pPr>
      <w:r>
        <w:rPr/>
        <w:t>转增股本预案的议案》，以公司总股本</w:t>
      </w:r>
      <w:r>
        <w:rPr>
          <w:rFonts w:ascii="宋体" w:hAnsi="宋体" w:cs="宋体" w:eastAsia="宋体" w:hint="default"/>
        </w:rPr>
        <w:t>458,905,958</w:t>
      </w:r>
      <w:r>
        <w:rPr>
          <w:rFonts w:ascii="宋体" w:hAnsi="宋体" w:cs="宋体" w:eastAsia="宋体" w:hint="default"/>
          <w:spacing w:val="71"/>
        </w:rPr>
        <w:t> </w:t>
      </w:r>
      <w:r>
        <w:rPr/>
        <w:t>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w:t>
      </w:r>
      <w:r>
        <w:rPr>
          <w:spacing w:val="-96"/>
        </w:rPr>
        <w:t> </w:t>
      </w:r>
      <w:r>
        <w:rPr/>
        <w:t>本议案已经公司</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11</w:t>
      </w:r>
      <w:r>
        <w:rPr/>
        <w:t>日召开的</w:t>
      </w:r>
      <w:r>
        <w:rPr>
          <w:rFonts w:ascii="宋体" w:hAnsi="宋体" w:cs="宋体" w:eastAsia="宋体" w:hint="default"/>
        </w:rPr>
        <w:t>2015</w:t>
      </w:r>
      <w:r>
        <w:rPr/>
        <w:t>年度第三次临时股东大会进行审议通过，转增完成后公司总股</w:t>
      </w:r>
      <w:r>
        <w:rPr>
          <w:spacing w:val="-34"/>
        </w:rPr>
        <w:t> </w:t>
      </w:r>
      <w:r>
        <w:rPr>
          <w:spacing w:val="-34"/>
        </w:rPr>
      </w:r>
      <w:r>
        <w:rPr/>
        <w:t>本由</w:t>
      </w:r>
      <w:r>
        <w:rPr>
          <w:rFonts w:ascii="宋体" w:hAnsi="宋体" w:cs="宋体" w:eastAsia="宋体" w:hint="default"/>
        </w:rPr>
        <w:t>458,905,958</w:t>
      </w:r>
      <w:r>
        <w:rPr/>
        <w:t>股增加到</w:t>
      </w:r>
      <w:r>
        <w:rPr>
          <w:rFonts w:ascii="宋体" w:hAnsi="宋体" w:cs="宋体" w:eastAsia="宋体" w:hint="default"/>
        </w:rPr>
        <w:t>917,811,916</w:t>
      </w:r>
      <w:r>
        <w:rPr/>
        <w:t>股。</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本公司注册资本变更为</w:t>
      </w:r>
      <w:r>
        <w:rPr>
          <w:rFonts w:ascii="宋体" w:hAnsi="宋体" w:cs="宋体" w:eastAsia="宋体" w:hint="default"/>
        </w:rPr>
        <w:t>917,811,916</w:t>
      </w:r>
      <w:r>
        <w:rPr/>
        <w:t>元</w:t>
      </w:r>
      <w:r>
        <w:rPr>
          <w:rFonts w:ascii="宋体" w:hAnsi="宋体" w:cs="宋体" w:eastAsia="宋体" w:hint="default"/>
        </w:rPr>
        <w:t>,</w:t>
      </w:r>
      <w:r>
        <w:rPr/>
        <w:t>并业</w:t>
      </w:r>
      <w:r>
        <w:rPr>
          <w:spacing w:val="-31"/>
        </w:rPr>
        <w:t> </w:t>
      </w:r>
      <w:r>
        <w:rPr/>
        <w:t>经信永中和会计师事务所出具的</w:t>
      </w:r>
      <w:r>
        <w:rPr>
          <w:rFonts w:ascii="宋体" w:hAnsi="宋体" w:cs="宋体" w:eastAsia="宋体" w:hint="default"/>
        </w:rPr>
        <w:t>XYZH/2015BJA10125</w:t>
      </w:r>
      <w:r>
        <w:rPr/>
        <w:t>号《验资报告》验证。</w:t>
      </w:r>
    </w:p>
    <w:p>
      <w:pPr>
        <w:spacing w:after="0" w:line="408" w:lineRule="auto"/>
        <w:jc w:val="left"/>
        <w:sectPr>
          <w:footerReference w:type="default" r:id="rId56"/>
          <w:pgSz w:w="11910" w:h="16840"/>
          <w:pgMar w:footer="1266" w:header="918" w:top="1160" w:bottom="1460" w:left="980" w:right="0"/>
          <w:pgNumType w:start="121"/>
        </w:sectPr>
      </w:pPr>
    </w:p>
    <w:p>
      <w:pPr>
        <w:spacing w:line="240" w:lineRule="auto" w:before="8"/>
        <w:rPr>
          <w:rFonts w:ascii="宋体" w:hAnsi="宋体" w:cs="宋体" w:eastAsia="宋体" w:hint="default"/>
          <w:sz w:val="23"/>
          <w:szCs w:val="23"/>
        </w:rPr>
      </w:pPr>
    </w:p>
    <w:p>
      <w:pPr>
        <w:pStyle w:val="BodyText"/>
        <w:tabs>
          <w:tab w:pos="575" w:val="left" w:leader="none"/>
        </w:tabs>
        <w:spacing w:line="441" w:lineRule="auto" w:before="35"/>
        <w:ind w:left="574" w:right="1135" w:hanging="420"/>
        <w:jc w:val="left"/>
      </w:pPr>
      <w:r>
        <w:rPr>
          <w:rFonts w:ascii="宋体" w:hAnsi="宋体" w:cs="宋体" w:eastAsia="宋体" w:hint="default"/>
        </w:rPr>
        <w:t>3.</w:t>
        <w:tab/>
        <w:tab/>
      </w:r>
      <w:r>
        <w:rPr/>
        <w:t>其他基本情况 </w:t>
      </w:r>
      <w:r>
        <w:rPr>
          <w:spacing w:val="5"/>
        </w:rPr>
        <w:t>注册地址：深圳市南山区科发路</w:t>
      </w:r>
      <w:r>
        <w:rPr>
          <w:rFonts w:ascii="宋体" w:hAnsi="宋体" w:cs="宋体" w:eastAsia="宋体" w:hint="default"/>
          <w:spacing w:val="5"/>
        </w:rPr>
        <w:t>8</w:t>
      </w:r>
      <w:r>
        <w:rPr>
          <w:spacing w:val="5"/>
        </w:rPr>
        <w:t>号金融服务技术创新基地</w:t>
      </w:r>
      <w:r>
        <w:rPr>
          <w:rFonts w:ascii="宋体" w:hAnsi="宋体" w:cs="宋体" w:eastAsia="宋体" w:hint="default"/>
          <w:spacing w:val="5"/>
        </w:rPr>
        <w:t>1</w:t>
      </w:r>
      <w:r>
        <w:rPr>
          <w:spacing w:val="5"/>
        </w:rPr>
        <w:t>栋</w:t>
      </w:r>
      <w:r>
        <w:rPr>
          <w:rFonts w:ascii="宋体" w:hAnsi="宋体" w:cs="宋体" w:eastAsia="宋体" w:hint="default"/>
          <w:spacing w:val="5"/>
        </w:rPr>
        <w:t>3C5</w:t>
      </w:r>
      <w:r>
        <w:rPr>
          <w:spacing w:val="5"/>
        </w:rPr>
        <w:t>单元；企业法人营业执照注册号</w:t>
      </w:r>
    </w:p>
    <w:p>
      <w:pPr>
        <w:pStyle w:val="BodyText"/>
        <w:spacing w:line="240" w:lineRule="auto" w:before="18"/>
        <w:ind w:left="154" w:right="1135"/>
        <w:jc w:val="left"/>
      </w:pPr>
      <w:r>
        <w:rPr>
          <w:rFonts w:ascii="宋体" w:hAnsi="宋体" w:cs="宋体" w:eastAsia="宋体" w:hint="default"/>
        </w:rPr>
        <w:t>440301103593790</w:t>
      </w:r>
      <w:r>
        <w:rPr/>
        <w:t>。</w:t>
      </w:r>
    </w:p>
    <w:p>
      <w:pPr>
        <w:spacing w:line="240" w:lineRule="auto" w:before="11"/>
        <w:rPr>
          <w:rFonts w:ascii="宋体" w:hAnsi="宋体" w:cs="宋体" w:eastAsia="宋体" w:hint="default"/>
          <w:sz w:val="17"/>
          <w:szCs w:val="17"/>
        </w:rPr>
      </w:pPr>
    </w:p>
    <w:p>
      <w:pPr>
        <w:pStyle w:val="BodyText"/>
        <w:spacing w:line="408" w:lineRule="auto"/>
        <w:ind w:left="154" w:right="1133" w:firstLine="420"/>
        <w:jc w:val="both"/>
      </w:pPr>
      <w:r>
        <w:rPr>
          <w:spacing w:val="-1"/>
        </w:rPr>
        <w:t>经营范围：研究、开发金融自助设备及相关应用软件，销售本公司所研发产品并提供售后服务；提供</w:t>
      </w:r>
      <w:r>
        <w:rPr/>
        <w:t> </w:t>
      </w:r>
      <w:r>
        <w:rPr>
          <w:spacing w:val="-1"/>
        </w:rPr>
        <w:t>信息技术及相关技术的咨询、开发、技术服务；软件开发、信息系统的集成并提供售后服务；从事信息系</w:t>
      </w:r>
      <w:r>
        <w:rPr>
          <w:spacing w:val="-83"/>
        </w:rPr>
        <w:t> </w:t>
      </w:r>
      <w:r>
        <w:rPr>
          <w:spacing w:val="-83"/>
        </w:rPr>
      </w:r>
      <w:r>
        <w:rPr>
          <w:spacing w:val="-1"/>
        </w:rPr>
        <w:t>统集成配套计算机硬件及零件、网络设备、多媒体产品、电子信息产品及通讯产品、办公自动化设备、仪</w:t>
      </w:r>
      <w:r>
        <w:rPr>
          <w:spacing w:val="-83"/>
        </w:rPr>
        <w:t> </w:t>
      </w:r>
      <w:r>
        <w:rPr>
          <w:spacing w:val="-83"/>
        </w:rPr>
      </w:r>
      <w:r>
        <w:rPr/>
        <w:t>器仪表、电器及印刷照排设备的批发、进出口及相关业务。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410" w:lineRule="auto"/>
        <w:ind w:right="1029" w:firstLine="417"/>
        <w:jc w:val="both"/>
      </w:pPr>
      <w:r>
        <w:rPr/>
        <w:t>本公司合并财务报表范围包括神州数码系统集成服务有限公司、神州数码信息系统有限公司等</w:t>
      </w:r>
      <w:r>
        <w:rPr>
          <w:rFonts w:ascii="宋体" w:hAnsi="宋体" w:cs="宋体" w:eastAsia="宋体" w:hint="default"/>
        </w:rPr>
        <w:t>23</w:t>
      </w:r>
      <w:r>
        <w:rPr/>
        <w:t>家子 公司。与上年相比，本年合并范围因新设增加湖南中农信达信息科技有限公司、贵州中农信达信息技术有 限公司和神州数码融信云技术服务有限公司共计三家子公司，因注销减少神州数码</w:t>
      </w:r>
      <w:r>
        <w:rPr>
          <w:rFonts w:ascii="宋体" w:hAnsi="宋体" w:cs="宋体" w:eastAsia="宋体" w:hint="default"/>
        </w:rPr>
        <w:t>(</w:t>
      </w:r>
      <w:r>
        <w:rPr/>
        <w:t>西安</w:t>
      </w:r>
      <w:r>
        <w:rPr>
          <w:rFonts w:ascii="宋体" w:hAnsi="宋体" w:cs="宋体" w:eastAsia="宋体" w:hint="default"/>
        </w:rPr>
        <w:t>)</w:t>
      </w:r>
      <w:r>
        <w:rPr/>
        <w:t>软件有限公司。</w:t>
      </w:r>
    </w:p>
    <w:p>
      <w:pPr>
        <w:pStyle w:val="BodyText"/>
        <w:spacing w:line="240" w:lineRule="auto" w:before="85"/>
        <w:ind w:left="571" w:right="1135"/>
        <w:jc w:val="left"/>
      </w:pPr>
      <w:r>
        <w:rPr/>
        <w:t>详见本附注“八、合并范围的变更”</w:t>
      </w:r>
      <w:r>
        <w:rPr>
          <w:spacing w:val="-3"/>
        </w:rPr>
        <w:t> </w:t>
      </w:r>
      <w:r>
        <w:rPr/>
        <w:t>及本附注“九、在其他主体中的权益”相关内容。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ind w:right="1135"/>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135"/>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right="0" w:firstLine="420"/>
        <w:jc w:val="left"/>
      </w:pPr>
      <w:r>
        <w:rPr>
          <w:spacing w:val="-6"/>
        </w:rPr>
        <w:t>本公司财务报表以持续经营为基础，根据实际发生的交易和事项，按照财政部颁布的《企业会计准则》</w:t>
      </w:r>
      <w:r>
        <w:rPr/>
        <w:t> 及相关规定，并基于本附注“五、重要会计政策及会计估计”所述会计政策和会计估计编制。</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73" w:right="1135"/>
        <w:jc w:val="left"/>
      </w:pPr>
      <w:r>
        <w:rPr/>
        <w:t>本公司有近期获利经营的历史且有财务资源支持，认为以持续经营为基础编制财务报表是合理的。</w:t>
      </w:r>
    </w:p>
    <w:p>
      <w:pPr>
        <w:spacing w:line="240" w:lineRule="auto" w:before="11"/>
        <w:rPr>
          <w:rFonts w:ascii="宋体" w:hAnsi="宋体" w:cs="宋体" w:eastAsia="宋体" w:hint="default"/>
          <w:sz w:val="29"/>
          <w:szCs w:val="29"/>
        </w:rPr>
      </w:pPr>
    </w:p>
    <w:p>
      <w:pPr>
        <w:pStyle w:val="Heading2"/>
        <w:spacing w:line="240" w:lineRule="auto"/>
        <w:ind w:right="1135"/>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690" w:lineRule="exact" w:before="16"/>
        <w:ind w:left="573" w:right="0" w:hanging="420"/>
        <w:jc w:val="left"/>
        <w:rPr>
          <w:rFonts w:ascii="宋体" w:hAnsi="宋体" w:cs="宋体" w:eastAsia="宋体" w:hint="default"/>
          <w:sz w:val="21"/>
          <w:szCs w:val="21"/>
        </w:rPr>
      </w:pPr>
      <w:bookmarkStart w:name="1、遵循企业会计准则的声明" w:id="169"/>
      <w:bookmarkEnd w:id="1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本公司编制的财务报表符合企业会计准则的要求，真实、完整地反映了本公司的财务状况、经营成果</w:t>
      </w:r>
    </w:p>
    <w:p>
      <w:pPr>
        <w:pStyle w:val="BodyText"/>
        <w:spacing w:line="240" w:lineRule="auto" w:before="86"/>
        <w:ind w:right="1135"/>
        <w:jc w:val="left"/>
      </w:pPr>
      <w:r>
        <w:rPr/>
        <w:t>和现金流量等有关信息。</w:t>
      </w:r>
    </w:p>
    <w:p>
      <w:pPr>
        <w:spacing w:line="240" w:lineRule="auto" w:before="0"/>
        <w:rPr>
          <w:rFonts w:ascii="宋体" w:hAnsi="宋体" w:cs="宋体" w:eastAsia="宋体" w:hint="default"/>
          <w:sz w:val="20"/>
          <w:szCs w:val="20"/>
        </w:rPr>
      </w:pPr>
    </w:p>
    <w:p>
      <w:pPr>
        <w:pStyle w:val="Heading6"/>
        <w:spacing w:line="240" w:lineRule="auto" w:before="154"/>
        <w:ind w:left="153" w:right="1135"/>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1135"/>
        <w:jc w:val="left"/>
      </w:pPr>
      <w:r>
        <w:rPr/>
        <w:t>本公司的会计期间为公历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after="0" w:line="240" w:lineRule="auto"/>
        <w:jc w:val="left"/>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74" w:right="1135"/>
        <w:jc w:val="left"/>
      </w:pPr>
      <w:r>
        <w:rPr/>
        <w:t>本公司的营业周期为公历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日，并且作为资产和负债的流动性划分标准。</w:t>
      </w:r>
    </w:p>
    <w:p>
      <w:pPr>
        <w:spacing w:line="240" w:lineRule="auto" w:before="0"/>
        <w:rPr>
          <w:rFonts w:ascii="宋体" w:hAnsi="宋体" w:cs="宋体" w:eastAsia="宋体" w:hint="default"/>
          <w:sz w:val="20"/>
          <w:szCs w:val="20"/>
        </w:rPr>
      </w:pPr>
    </w:p>
    <w:p>
      <w:pPr>
        <w:pStyle w:val="Heading6"/>
        <w:spacing w:line="240" w:lineRule="auto" w:before="152"/>
        <w:ind w:right="1135"/>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74" w:right="1135"/>
        <w:jc w:val="left"/>
      </w:pPr>
      <w:r>
        <w:rPr/>
        <w:t>本公司以人民币为记账本位币。</w:t>
      </w:r>
    </w:p>
    <w:p>
      <w:pPr>
        <w:spacing w:line="670" w:lineRule="atLeast" w:before="34"/>
        <w:ind w:left="574" w:right="0" w:hanging="420"/>
        <w:jc w:val="left"/>
        <w:rPr>
          <w:rFonts w:ascii="宋体" w:hAnsi="宋体" w:cs="宋体" w:eastAsia="宋体" w:hint="default"/>
          <w:sz w:val="21"/>
          <w:szCs w:val="21"/>
        </w:rPr>
      </w:pPr>
      <w:bookmarkStart w:name="5、同一控制下和非同一控制下企业合并的会计处理方法" w:id="173"/>
      <w:bookmarkEnd w:id="1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本公司作为合并方，在同一控制下企业合并中取得的资产和负债，在合并日按被合并方在最终控制方</w:t>
      </w:r>
    </w:p>
    <w:p>
      <w:pPr>
        <w:spacing w:line="240" w:lineRule="auto" w:before="10"/>
        <w:rPr>
          <w:rFonts w:ascii="宋体" w:hAnsi="宋体" w:cs="宋体" w:eastAsia="宋体" w:hint="default"/>
          <w:sz w:val="14"/>
          <w:szCs w:val="14"/>
        </w:rPr>
      </w:pPr>
    </w:p>
    <w:p>
      <w:pPr>
        <w:pStyle w:val="BodyText"/>
        <w:spacing w:line="410" w:lineRule="auto"/>
        <w:ind w:left="154" w:right="0"/>
        <w:jc w:val="left"/>
      </w:pPr>
      <w:r>
        <w:rPr/>
        <w:t>合并报表中的账面价值计量。取得的净资产账面价值与支付的合并对价账面价值的差额，调整资本公积；</w:t>
      </w:r>
      <w:r>
        <w:rPr>
          <w:spacing w:val="-35"/>
        </w:rPr>
        <w:t> </w:t>
      </w:r>
      <w:r>
        <w:rPr>
          <w:spacing w:val="-35"/>
        </w:rPr>
      </w:r>
      <w:r>
        <w:rPr/>
        <w:t>资本公积不足冲减的，调整留存收益。</w:t>
      </w:r>
    </w:p>
    <w:p>
      <w:pPr>
        <w:pStyle w:val="BodyText"/>
        <w:spacing w:line="408" w:lineRule="auto" w:before="83"/>
        <w:ind w:left="154" w:right="1023" w:firstLine="420"/>
        <w:jc w:val="left"/>
      </w:pPr>
      <w:r>
        <w:rPr/>
        <w:t>在非同一控制下企业合并中取得的被购买方可辨认资产、负债及或有负债在收购日以公允价值计量。 合并成本为本公司在购买日为取得对被购买方的控制权而支付的现金或非现金资产、发行或承担的负债、</w:t>
      </w:r>
      <w:r>
        <w:rPr>
          <w:spacing w:val="-35"/>
        </w:rPr>
        <w:t> </w:t>
      </w:r>
      <w:r>
        <w:rPr>
          <w:spacing w:val="-35"/>
        </w:rPr>
      </w:r>
      <w:r>
        <w:rPr/>
        <w:t>发行的权益性证券等的公允价值以及在企业合并中发生的各项直接相关费用之和（通过多次交易分步实现</w:t>
      </w:r>
      <w:r>
        <w:rPr/>
        <w:t> 的企业合并，其合并成本为每一单项交易的成本之和）。合并成本大于合并中取得的被购买方可辨认净资 </w:t>
      </w:r>
      <w:r>
        <w:rPr>
          <w:spacing w:val="-3"/>
        </w:rPr>
        <w:t>产公允价值份额的差额，确认为商誉；合并成本小于合并中取得的被购买方可辨认净资产公允价值份额的，</w:t>
      </w:r>
      <w:r>
        <w:rPr>
          <w:spacing w:val="-92"/>
        </w:rPr>
        <w:t> </w:t>
      </w:r>
      <w:r>
        <w:rPr>
          <w:spacing w:val="-92"/>
        </w:rPr>
      </w:r>
      <w:r>
        <w:rPr/>
        <w:t>首先对合并中取得的各项可辨认资产、负债及或有负债的公允价值、以及合并对价的非现金资产或发行的</w:t>
      </w:r>
      <w:r>
        <w:rPr/>
        <w:t> 权益性证券等的公允价值进行复核，经复核后，合并成本仍小于合并中取得的被购买方可辨认净资产公允 价值份额的，将其差额计入合并当期营业外收入。</w:t>
      </w:r>
    </w:p>
    <w:p>
      <w:pPr>
        <w:spacing w:line="240" w:lineRule="auto" w:before="5"/>
        <w:rPr>
          <w:rFonts w:ascii="宋体" w:hAnsi="宋体" w:cs="宋体" w:eastAsia="宋体" w:hint="default"/>
          <w:sz w:val="20"/>
          <w:szCs w:val="20"/>
        </w:rPr>
      </w:pPr>
    </w:p>
    <w:p>
      <w:pPr>
        <w:pStyle w:val="Heading6"/>
        <w:spacing w:line="240" w:lineRule="auto"/>
        <w:ind w:right="1135"/>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30"/>
          <w:szCs w:val="30"/>
        </w:rPr>
      </w:pPr>
    </w:p>
    <w:p>
      <w:pPr>
        <w:pStyle w:val="BodyText"/>
        <w:spacing w:line="441" w:lineRule="auto"/>
        <w:ind w:left="574" w:right="0"/>
        <w:jc w:val="left"/>
      </w:pPr>
      <w:r>
        <w:rPr/>
        <w:t>本公司将所有控制的子公司及结构化主体纳入合并财务报表范围。 </w:t>
      </w:r>
      <w:r>
        <w:rPr>
          <w:spacing w:val="-1"/>
        </w:rPr>
        <w:t>在编制合并财务报表时，子公司与本公司采用的会计政策或会计期间不一致的，按照本公司的会计政</w:t>
      </w:r>
    </w:p>
    <w:p>
      <w:pPr>
        <w:pStyle w:val="BodyText"/>
        <w:spacing w:line="441" w:lineRule="auto" w:before="18"/>
        <w:ind w:left="574" w:right="0" w:hanging="420"/>
        <w:jc w:val="left"/>
      </w:pPr>
      <w:r>
        <w:rPr/>
        <w:t>策或会计期间对子公司财务报表进行必要的调整。 </w:t>
      </w:r>
      <w:r>
        <w:rPr>
          <w:spacing w:val="-1"/>
        </w:rPr>
        <w:t>合并范围内的所有重大内部交易、往来余额及未实现利润在合并报表编制时予以抵销。子公司的所有</w:t>
      </w:r>
    </w:p>
    <w:p>
      <w:pPr>
        <w:pStyle w:val="BodyText"/>
        <w:spacing w:line="410" w:lineRule="auto" w:before="16"/>
        <w:ind w:left="154" w:right="0"/>
        <w:jc w:val="left"/>
      </w:pPr>
      <w:r>
        <w:rPr>
          <w:spacing w:val="-1"/>
        </w:rPr>
        <w:t>者权益中不属于母公司的份额以及当期净损益、其他综合收益及综合收益总额中属于少数股东权益的份额，</w:t>
      </w:r>
      <w:r>
        <w:rPr>
          <w:spacing w:val="-80"/>
        </w:rPr>
        <w:t> </w:t>
      </w:r>
      <w:r>
        <w:rPr>
          <w:spacing w:val="-80"/>
        </w:rPr>
      </w:r>
      <w:r>
        <w:rPr/>
        <w:t>分别在合并财务报表“少数股东权益、少数股东损益、归属于少数股东的其他综合收益及归属于少数股东</w:t>
      </w:r>
      <w:r>
        <w:rPr/>
        <w:t> 的综合收益总额”项目列示。</w:t>
      </w:r>
    </w:p>
    <w:p>
      <w:pPr>
        <w:pStyle w:val="BodyText"/>
        <w:spacing w:line="408" w:lineRule="auto" w:before="83"/>
        <w:ind w:left="154" w:right="0" w:firstLine="420"/>
        <w:jc w:val="left"/>
      </w:pPr>
      <w:r>
        <w:rPr/>
        <w:t>对于同一控制下企业合并取得的子公司，其经营成果和现金流量自合并当期期初纳入合并财务报表。 编制比较合并财务报表时，对上年财务报表的相关项目进行调整，视同合并后形成的报告主体自最终控制</w:t>
      </w:r>
    </w:p>
    <w:p>
      <w:pPr>
        <w:spacing w:after="0" w:line="408"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1" w:lineRule="auto" w:before="35"/>
        <w:ind w:left="574" w:right="0" w:hanging="420"/>
        <w:jc w:val="left"/>
      </w:pPr>
      <w:r>
        <w:rPr/>
        <w:t>方开始控制时点起一直存在。 </w:t>
      </w:r>
      <w:r>
        <w:rPr>
          <w:spacing w:val="-1"/>
        </w:rPr>
        <w:t>对于非同一控制下企业合并取得子公司，经营成果和现金流量自本公司取得控制权之日起纳入合并财</w:t>
      </w:r>
    </w:p>
    <w:p>
      <w:pPr>
        <w:pStyle w:val="BodyText"/>
        <w:spacing w:line="410" w:lineRule="auto" w:before="16"/>
        <w:ind w:left="154" w:right="1131"/>
        <w:jc w:val="both"/>
      </w:pPr>
      <w:r>
        <w:rPr>
          <w:spacing w:val="-1"/>
        </w:rPr>
        <w:t>务报表。在编制合并财务报表时，以购买日确定的各项可辨认资产、负债及或有负债的公允价值为基础对</w:t>
      </w:r>
      <w:r>
        <w:rPr>
          <w:spacing w:val="-83"/>
        </w:rPr>
        <w:t> </w:t>
      </w:r>
      <w:r>
        <w:rPr>
          <w:spacing w:val="-83"/>
        </w:rPr>
      </w:r>
      <w:r>
        <w:rPr/>
        <w:t>子公司的财务报表进行调整。</w:t>
      </w:r>
    </w:p>
    <w:p>
      <w:pPr>
        <w:spacing w:line="240" w:lineRule="auto" w:before="4"/>
        <w:rPr>
          <w:rFonts w:ascii="宋体" w:hAnsi="宋体" w:cs="宋体" w:eastAsia="宋体" w:hint="default"/>
          <w:sz w:val="20"/>
          <w:szCs w:val="20"/>
        </w:rPr>
      </w:pPr>
    </w:p>
    <w:p>
      <w:pPr>
        <w:pStyle w:val="Heading6"/>
        <w:spacing w:line="240" w:lineRule="auto"/>
        <w:ind w:right="0"/>
        <w:jc w:val="both"/>
        <w:rPr>
          <w:b w:val="0"/>
          <w:bCs w:val="0"/>
        </w:rPr>
      </w:pPr>
      <w:bookmarkStart w:name="7、现金及现金等价物的确定标准" w:id="175"/>
      <w:bookmarkEnd w:id="175"/>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left="154" w:right="1132" w:firstLine="420"/>
        <w:jc w:val="both"/>
      </w:pPr>
      <w:r>
        <w:rPr>
          <w:spacing w:val="-1"/>
        </w:rPr>
        <w:t>本公司现金流量表之现金指库存现金以及可以随时用于支付的存款。现金流量表之现金等价物指持有</w:t>
      </w:r>
      <w:r>
        <w:rPr/>
        <w:t> </w:t>
      </w:r>
      <w:r>
        <w:rPr>
          <w:spacing w:val="-1"/>
        </w:rPr>
        <w:t>期限短（一般是指从购买日起三个月内到期）、流动性强、易于转换为已知金额现金、价值变动风险很小</w:t>
      </w:r>
      <w:r>
        <w:rPr>
          <w:spacing w:val="-82"/>
        </w:rPr>
        <w:t> </w:t>
      </w:r>
      <w:r>
        <w:rPr>
          <w:spacing w:val="-82"/>
        </w:rPr>
      </w:r>
      <w:r>
        <w:rPr/>
        <w:t>的投资。</w:t>
      </w:r>
    </w:p>
    <w:p>
      <w:pPr>
        <w:spacing w:line="240" w:lineRule="auto" w:before="4"/>
        <w:rPr>
          <w:rFonts w:ascii="宋体" w:hAnsi="宋体" w:cs="宋体" w:eastAsia="宋体" w:hint="default"/>
          <w:sz w:val="20"/>
          <w:szCs w:val="20"/>
        </w:rPr>
      </w:pPr>
    </w:p>
    <w:p>
      <w:pPr>
        <w:pStyle w:val="Heading6"/>
        <w:spacing w:line="240" w:lineRule="auto"/>
        <w:ind w:right="0"/>
        <w:jc w:val="both"/>
        <w:rPr>
          <w:b w:val="0"/>
          <w:bCs w:val="0"/>
        </w:rPr>
      </w:pPr>
      <w:bookmarkStart w:name="8、外币业务和外币报表折算" w:id="176"/>
      <w:bookmarkEnd w:id="176"/>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left="574" w:right="0"/>
        <w:jc w:val="left"/>
      </w:pPr>
      <w:r>
        <w:rPr/>
        <w:t>（</w:t>
      </w:r>
      <w:r>
        <w:rPr>
          <w:rFonts w:ascii="宋体" w:hAnsi="宋体" w:cs="宋体" w:eastAsia="宋体" w:hint="default"/>
        </w:rPr>
        <w:t>1</w:t>
      </w:r>
      <w:r>
        <w:rPr/>
        <w:t>）外币交易 </w:t>
      </w:r>
      <w:r>
        <w:rPr>
          <w:spacing w:val="-1"/>
        </w:rPr>
        <w:t>本公司外币交易按交易发生日的即期汇率将外币金额折算为人民币金额。于资产负债表日，外币货币</w:t>
      </w:r>
    </w:p>
    <w:p>
      <w:pPr>
        <w:pStyle w:val="BodyText"/>
        <w:spacing w:line="408" w:lineRule="auto" w:before="14"/>
        <w:ind w:left="154" w:right="1130"/>
        <w:jc w:val="both"/>
      </w:pPr>
      <w:r>
        <w:rPr>
          <w:spacing w:val="-1"/>
        </w:rPr>
        <w:t>性项目采用资产负债表日的即期汇率折算为人民币，所产生的折算差额除了为购建或生产符合资本化条件</w:t>
      </w:r>
      <w:r>
        <w:rPr>
          <w:spacing w:val="-81"/>
        </w:rPr>
        <w:t> </w:t>
      </w:r>
      <w:r>
        <w:rPr>
          <w:spacing w:val="-81"/>
        </w:rPr>
      </w:r>
      <w:r>
        <w:rPr>
          <w:spacing w:val="-1"/>
        </w:rPr>
        <w:t>的资产而借入的外币专门借款产生的汇兑差额按资本化的原则处理外，直接计入当期损益。以公允价值计</w:t>
      </w:r>
      <w:r>
        <w:rPr>
          <w:spacing w:val="-81"/>
        </w:rPr>
        <w:t> </w:t>
      </w:r>
      <w:r>
        <w:rPr>
          <w:spacing w:val="-81"/>
        </w:rPr>
      </w:r>
      <w:r>
        <w:rPr>
          <w:spacing w:val="-1"/>
        </w:rPr>
        <w:t>量的外币非货币性项目，采用公允价值确定日的即期汇率折算为人民币，所产生的折算差额，作为公允价</w:t>
      </w:r>
      <w:r>
        <w:rPr>
          <w:spacing w:val="-83"/>
        </w:rPr>
        <w:t> </w:t>
      </w:r>
      <w:r>
        <w:rPr>
          <w:spacing w:val="-83"/>
        </w:rPr>
      </w:r>
      <w:r>
        <w:rPr>
          <w:spacing w:val="-1"/>
        </w:rPr>
        <w:t>值变动直接计入当期损益。以历史成本计量的外币非货币性项目，仍采用交易发生日的即期汇率折算，不</w:t>
      </w:r>
      <w:r>
        <w:rPr>
          <w:spacing w:val="-83"/>
        </w:rPr>
        <w:t> </w:t>
      </w:r>
      <w:r>
        <w:rPr>
          <w:spacing w:val="-83"/>
        </w:rPr>
      </w:r>
      <w:r>
        <w:rPr/>
        <w:t>改变其人民币金额。</w:t>
      </w:r>
    </w:p>
    <w:p>
      <w:pPr>
        <w:pStyle w:val="BodyText"/>
        <w:spacing w:line="441" w:lineRule="auto" w:before="85"/>
        <w:ind w:left="574" w:right="0"/>
        <w:jc w:val="left"/>
      </w:pPr>
      <w:r>
        <w:rPr/>
        <w:t>（</w:t>
      </w:r>
      <w:r>
        <w:rPr>
          <w:rFonts w:ascii="宋体" w:hAnsi="宋体" w:cs="宋体" w:eastAsia="宋体" w:hint="default"/>
        </w:rPr>
        <w:t>2</w:t>
      </w:r>
      <w:r>
        <w:rPr/>
        <w:t>）外币财务报表的折算 </w:t>
      </w:r>
      <w:r>
        <w:rPr>
          <w:spacing w:val="-1"/>
        </w:rPr>
        <w:t>外币资产负债表中资产、负债类项目采用资产负债表日的即期汇率折算；所有者权益类项目除“未分</w:t>
      </w:r>
    </w:p>
    <w:p>
      <w:pPr>
        <w:pStyle w:val="BodyText"/>
        <w:spacing w:line="410" w:lineRule="auto" w:before="16"/>
        <w:ind w:left="154" w:right="1131"/>
        <w:jc w:val="both"/>
      </w:pPr>
      <w:r>
        <w:rPr>
          <w:spacing w:val="-1"/>
        </w:rPr>
        <w:t>配利润”外，均按业务发生时的即期汇率折算；利润表中的收入与费用项目，采用交易发生日的即期汇率</w:t>
      </w:r>
      <w:r>
        <w:rPr>
          <w:spacing w:val="-86"/>
        </w:rPr>
        <w:t> </w:t>
      </w:r>
      <w:r>
        <w:rPr>
          <w:spacing w:val="-86"/>
        </w:rPr>
      </w:r>
      <w:r>
        <w:rPr>
          <w:spacing w:val="-1"/>
        </w:rPr>
        <w:t>折算。上述折算产生的外币报表折算差额，在所有者权益项目下单独列示。外币现金流量采用现金流量发</w:t>
      </w:r>
      <w:r>
        <w:rPr>
          <w:spacing w:val="-83"/>
        </w:rPr>
        <w:t> </w:t>
      </w:r>
      <w:r>
        <w:rPr>
          <w:spacing w:val="-83"/>
        </w:rPr>
      </w:r>
      <w:r>
        <w:rPr/>
        <w:t>生日的即期汇率折算。汇率变动对现金的影响额，在现金流量表中单独列示。</w:t>
      </w:r>
    </w:p>
    <w:p>
      <w:pPr>
        <w:spacing w:line="240" w:lineRule="auto" w:before="4"/>
        <w:rPr>
          <w:rFonts w:ascii="宋体" w:hAnsi="宋体" w:cs="宋体" w:eastAsia="宋体" w:hint="default"/>
          <w:sz w:val="20"/>
          <w:szCs w:val="20"/>
        </w:rPr>
      </w:pPr>
    </w:p>
    <w:p>
      <w:pPr>
        <w:pStyle w:val="Heading6"/>
        <w:spacing w:line="240" w:lineRule="auto"/>
        <w:ind w:right="0"/>
        <w:jc w:val="both"/>
        <w:rPr>
          <w:b w:val="0"/>
          <w:bCs w:val="0"/>
        </w:rPr>
      </w:pPr>
      <w:bookmarkStart w:name="9、金融工具" w:id="177"/>
      <w:bookmarkEnd w:id="177"/>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0"/>
        <w:jc w:val="both"/>
      </w:pPr>
      <w:r>
        <w:rPr/>
        <w:t>（</w:t>
      </w:r>
      <w:r>
        <w:rPr>
          <w:rFonts w:ascii="宋体" w:hAnsi="宋体" w:cs="宋体" w:eastAsia="宋体" w:hint="default"/>
        </w:rPr>
        <w:t>1</w:t>
      </w:r>
      <w:r>
        <w:rPr/>
        <w:t>）金融资产</w:t>
      </w:r>
    </w:p>
    <w:p>
      <w:pPr>
        <w:spacing w:line="240" w:lineRule="auto" w:before="12"/>
        <w:rPr>
          <w:rFonts w:ascii="宋体" w:hAnsi="宋体" w:cs="宋体" w:eastAsia="宋体" w:hint="default"/>
          <w:sz w:val="17"/>
          <w:szCs w:val="17"/>
        </w:rPr>
      </w:pPr>
    </w:p>
    <w:p>
      <w:pPr>
        <w:pStyle w:val="BodyText"/>
        <w:spacing w:line="441" w:lineRule="auto"/>
        <w:ind w:left="574" w:right="1135"/>
        <w:jc w:val="left"/>
      </w:pPr>
      <w:r>
        <w:rPr>
          <w:rFonts w:ascii="宋体" w:hAnsi="宋体" w:cs="宋体" w:eastAsia="宋体" w:hint="default"/>
        </w:rPr>
        <w:t>1</w:t>
      </w:r>
      <w:r>
        <w:rPr/>
        <w:t>）金融资产分类 </w:t>
      </w:r>
      <w:r>
        <w:rPr>
          <w:spacing w:val="3"/>
        </w:rPr>
        <w:t>本公司按投资目的和经济实质对拥有的金融资产分为以公允价值计量且其变动计入当期损益的金融</w:t>
      </w:r>
    </w:p>
    <w:p>
      <w:pPr>
        <w:pStyle w:val="BodyText"/>
        <w:spacing w:line="240" w:lineRule="auto" w:before="18"/>
        <w:ind w:left="154" w:right="0"/>
        <w:jc w:val="both"/>
      </w:pPr>
      <w:r>
        <w:rPr/>
        <w:t>资产、持有至到期投资、应收款项和可供出售金融资产四大类。</w:t>
      </w:r>
    </w:p>
    <w:p>
      <w:pPr>
        <w:spacing w:after="0" w:line="240" w:lineRule="auto"/>
        <w:jc w:val="both"/>
        <w:sectPr>
          <w:pgSz w:w="11910" w:h="16840"/>
          <w:pgMar w:header="918" w:footer="1266" w:top="1160" w:bottom="1460" w:left="980" w:right="0"/>
        </w:sectPr>
      </w:pPr>
    </w:p>
    <w:p>
      <w:pPr>
        <w:spacing w:line="240" w:lineRule="auto" w:before="7"/>
        <w:rPr>
          <w:rFonts w:ascii="宋体" w:hAnsi="宋体" w:cs="宋体" w:eastAsia="宋体" w:hint="default"/>
          <w:sz w:val="23"/>
          <w:szCs w:val="23"/>
        </w:rPr>
      </w:pPr>
    </w:p>
    <w:p>
      <w:pPr>
        <w:pStyle w:val="BodyText"/>
        <w:spacing w:line="410" w:lineRule="auto" w:before="35"/>
        <w:ind w:left="154" w:right="1132" w:firstLine="420"/>
        <w:jc w:val="both"/>
      </w:pPr>
      <w:r>
        <w:rPr>
          <w:spacing w:val="-1"/>
        </w:rPr>
        <w:t>以公允价值计量且其变动计入当期损益的金融资产，包括交易性金融资产和在初始确认时指定为以公</w:t>
      </w:r>
      <w:r>
        <w:rPr/>
        <w:t> 允价值计量且其变动计入当期损益的金融资产。</w:t>
      </w:r>
    </w:p>
    <w:p>
      <w:pPr>
        <w:pStyle w:val="BodyText"/>
        <w:spacing w:line="410" w:lineRule="auto" w:before="82"/>
        <w:ind w:left="154" w:right="1131" w:firstLine="420"/>
        <w:jc w:val="both"/>
      </w:pPr>
      <w:r>
        <w:rPr>
          <w:spacing w:val="-1"/>
        </w:rPr>
        <w:t>持有至到期投资是指到期日固定、回收金额固定或可确定，且管理层有明确意图和能力持有至到期的</w:t>
      </w:r>
      <w:r>
        <w:rPr/>
        <w:t> 非衍生金融资产。</w:t>
      </w:r>
    </w:p>
    <w:p>
      <w:pPr>
        <w:pStyle w:val="BodyText"/>
        <w:spacing w:line="441" w:lineRule="auto" w:before="85"/>
        <w:ind w:left="573" w:right="0"/>
        <w:jc w:val="left"/>
      </w:pPr>
      <w:r>
        <w:rPr/>
        <w:t>应收款项是指在活跃市场中没有报价，回收金额固定或可确定的非衍生金融资产。 </w:t>
      </w:r>
      <w:r>
        <w:rPr>
          <w:spacing w:val="-1"/>
        </w:rPr>
        <w:t>可供出售金融资产，是指初始确认时即被指定为可供出售的非衍生金融资产，以及未被划分为其他类</w:t>
      </w:r>
    </w:p>
    <w:p>
      <w:pPr>
        <w:pStyle w:val="BodyText"/>
        <w:spacing w:line="408" w:lineRule="auto" w:before="16"/>
        <w:ind w:right="0"/>
        <w:jc w:val="left"/>
      </w:pPr>
      <w:r>
        <w:rPr/>
        <w:t>的金融资产。这类资产中，在活跃市场中没有报价且其公允价值不能可靠计量的权益工具投资以及与该权 益工具挂钩并须通过交付该权益工具结算的衍生金融资产，按成本进行后续计量；其他存在活跃市场报价 或虽没有活跃市场报价但公允价值能够可靠计量的，按公允价值计量，公允价值变动计入其他综合收益。</w:t>
      </w:r>
      <w:r>
        <w:rPr>
          <w:spacing w:val="-35"/>
        </w:rPr>
        <w:t> </w:t>
      </w:r>
      <w:r>
        <w:rPr>
          <w:spacing w:val="-35"/>
        </w:rPr>
      </w:r>
      <w:r>
        <w:rPr/>
        <w:t>对于此类金融资产采用公允价值进行后续计量，除减值损失及外币货币性金融资产形成的汇兑损益外，可</w:t>
      </w:r>
      <w:r>
        <w:rPr/>
        <w:t> 供出售金融资产公允价值变动直接计入股东权益，待该金融资产终止确认时，原直接计入权益的公允价值 变动累计额转入当期损益。可供出售债务工具投资在持有期间按实际利率法计算的利息，以及被投资单位 宣告发放的与可供出售权益工具投资相关的现金股利，作为投资收益计入当期损益。对于在活跃市场中没 有报价且其公允价值不能可靠计量的权益工具投资，按成本计量。</w:t>
      </w:r>
    </w:p>
    <w:p>
      <w:pPr>
        <w:pStyle w:val="BodyText"/>
        <w:spacing w:line="444" w:lineRule="auto" w:before="86"/>
        <w:ind w:left="574" w:right="0"/>
        <w:jc w:val="left"/>
      </w:pPr>
      <w:r>
        <w:rPr>
          <w:rFonts w:ascii="宋体" w:hAnsi="宋体" w:cs="宋体" w:eastAsia="宋体" w:hint="default"/>
        </w:rPr>
        <w:t>2</w:t>
      </w:r>
      <w:r>
        <w:rPr/>
        <w:t>）金融资产确认依据和计量方法 </w:t>
      </w:r>
      <w:r>
        <w:rPr>
          <w:spacing w:val="-1"/>
        </w:rPr>
        <w:t>金融资产满足下列条件之一的，予以终止确认：①收取该金融资产现金流量的合同权利终止；②该金</w:t>
      </w:r>
    </w:p>
    <w:p>
      <w:pPr>
        <w:pStyle w:val="BodyText"/>
        <w:spacing w:line="410" w:lineRule="auto" w:before="14"/>
        <w:ind w:left="154" w:right="1023"/>
        <w:jc w:val="left"/>
      </w:pPr>
      <w:r>
        <w:rPr>
          <w:spacing w:val="-3"/>
        </w:rPr>
        <w:t>融资产已转移，且本集团将金融资产所有权上几乎所有的风险和报酬转移给转入方；③该金融资产已转移，</w:t>
      </w:r>
      <w:r>
        <w:rPr>
          <w:spacing w:val="-92"/>
        </w:rPr>
        <w:t> </w:t>
      </w:r>
      <w:r>
        <w:rPr>
          <w:spacing w:val="-92"/>
        </w:rPr>
      </w:r>
      <w:r>
        <w:rPr/>
        <w:t>虽然本集团既没有转移也没有保留金融资产所有权上几乎所有的风险和报酬，但是放弃了对该金融资产控</w:t>
      </w:r>
      <w:r>
        <w:rPr/>
        <w:t> 制。</w:t>
      </w:r>
    </w:p>
    <w:p>
      <w:pPr>
        <w:pStyle w:val="BodyText"/>
        <w:spacing w:line="410" w:lineRule="auto" w:before="82"/>
        <w:ind w:left="154" w:right="0" w:firstLine="420"/>
        <w:jc w:val="left"/>
      </w:pPr>
      <w:r>
        <w:rPr>
          <w:spacing w:val="-1"/>
        </w:rPr>
        <w:t>企业既没有转移也没有保留金融资产所有权上几乎所有的风险和报酬，且未放弃对该金融资产控制的，</w:t>
      </w:r>
      <w:r>
        <w:rPr/>
        <w:t> 则按照其继续涉入所转移金融资产的程度确认有关金融资产，并相应确认有关负债。</w:t>
      </w:r>
    </w:p>
    <w:p>
      <w:pPr>
        <w:pStyle w:val="BodyText"/>
        <w:spacing w:line="410" w:lineRule="auto" w:before="82"/>
        <w:ind w:right="1130" w:firstLine="420"/>
        <w:jc w:val="both"/>
      </w:pPr>
      <w:r>
        <w:rPr>
          <w:spacing w:val="-1"/>
        </w:rPr>
        <w:t>金融资产整体转移满足终止确认条件的，将所转移金融资产的账面价值，与因转移而收到的对价及原</w:t>
      </w:r>
      <w:r>
        <w:rPr/>
        <w:t> 计入其他综合收益的公允价值变动累计额之和的差额计入当期损益。</w:t>
      </w:r>
    </w:p>
    <w:p>
      <w:pPr>
        <w:pStyle w:val="BodyText"/>
        <w:spacing w:line="410" w:lineRule="auto" w:before="83"/>
        <w:ind w:right="1131" w:firstLine="420"/>
        <w:jc w:val="both"/>
      </w:pPr>
      <w:r>
        <w:rPr>
          <w:spacing w:val="-1"/>
        </w:rPr>
        <w:t>金融资产部分转移满足终止确认条件的，将所转移金融资产整体的账面价值，在终止确认部分和未终</w:t>
      </w:r>
      <w:r>
        <w:rPr/>
        <w:t> </w:t>
      </w:r>
      <w:r>
        <w:rPr>
          <w:spacing w:val="-1"/>
        </w:rPr>
        <w:t>止确认部分之间，按照各自的相对公允价值进行分摊，并将因转移而收到的对价及应分摊至终止确认部分</w:t>
      </w:r>
      <w:r>
        <w:rPr>
          <w:spacing w:val="-81"/>
        </w:rPr>
        <w:t> </w:t>
      </w:r>
      <w:r>
        <w:rPr>
          <w:spacing w:val="-81"/>
        </w:rPr>
      </w:r>
      <w:r>
        <w:rPr/>
        <w:t>的原计入其他综合收益的公允价值变动累计额之和，与分摊的前述账面金额的差额计入当期损益。</w:t>
      </w:r>
    </w:p>
    <w:p>
      <w:pPr>
        <w:pStyle w:val="BodyText"/>
        <w:spacing w:line="441" w:lineRule="auto" w:before="84"/>
        <w:ind w:left="574" w:right="0"/>
        <w:jc w:val="left"/>
      </w:pPr>
      <w:r>
        <w:rPr>
          <w:rFonts w:ascii="宋体" w:hAnsi="宋体" w:cs="宋体" w:eastAsia="宋体" w:hint="default"/>
        </w:rPr>
        <w:t>3</w:t>
      </w:r>
      <w:r>
        <w:rPr/>
        <w:t>）金融资产减值的测试方法及会计处理方法 </w:t>
      </w:r>
      <w:r>
        <w:rPr>
          <w:spacing w:val="-1"/>
        </w:rPr>
        <w:t>除以公允价值计量且其变动计入当期损益的金融资产外，本公司于资产负债表日对其他金融资产的账</w:t>
      </w:r>
    </w:p>
    <w:p>
      <w:pPr>
        <w:spacing w:after="0" w:line="441"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1" w:lineRule="auto" w:before="35"/>
        <w:ind w:left="573" w:right="0" w:hanging="420"/>
        <w:jc w:val="left"/>
      </w:pPr>
      <w:r>
        <w:rPr/>
        <w:t>面价值进行检查，如果有客观证据表明某项金融资产发生减值的，计提减值准备。 </w:t>
      </w:r>
      <w:r>
        <w:rPr>
          <w:spacing w:val="-1"/>
        </w:rPr>
        <w:t>本公司以公允价值计量且其变动计入当期损益的可供出售金融资产，年末按照市场价值确认的公允价</w:t>
      </w:r>
    </w:p>
    <w:p>
      <w:pPr>
        <w:pStyle w:val="BodyText"/>
        <w:spacing w:line="410" w:lineRule="auto" w:before="16"/>
        <w:ind w:right="1134"/>
        <w:jc w:val="both"/>
      </w:pPr>
      <w:r>
        <w:rPr/>
        <w:t>值，较按照市场价值确认的初始成本，下跌幅度达到或超过</w:t>
      </w:r>
      <w:r>
        <w:rPr>
          <w:rFonts w:ascii="宋体" w:hAnsi="宋体" w:cs="宋体" w:eastAsia="宋体" w:hint="default"/>
        </w:rPr>
        <w:t>50%</w:t>
      </w:r>
      <w:r>
        <w:rPr/>
        <w:t>以上；或截至资产负债表日持续下跌时间</w:t>
      </w:r>
      <w:r>
        <w:rPr>
          <w:spacing w:val="-29"/>
        </w:rPr>
        <w:t> </w:t>
      </w:r>
      <w:r>
        <w:rPr>
          <w:spacing w:val="-29"/>
        </w:rPr>
      </w:r>
      <w:r>
        <w:rPr/>
        <w:t>已经达到或超过</w:t>
      </w:r>
      <w:r>
        <w:rPr>
          <w:rFonts w:ascii="宋体" w:hAnsi="宋体" w:cs="宋体" w:eastAsia="宋体" w:hint="default"/>
        </w:rPr>
        <w:t>12</w:t>
      </w:r>
      <w:r>
        <w:rPr/>
        <w:t>个月，本公司根据成本与年末公允价值的差额确认累积应计提的减值准备。</w:t>
      </w:r>
    </w:p>
    <w:p>
      <w:pPr>
        <w:pStyle w:val="BodyText"/>
        <w:spacing w:line="410" w:lineRule="auto" w:before="83"/>
        <w:ind w:right="1132" w:firstLine="420"/>
        <w:jc w:val="both"/>
      </w:pPr>
      <w:r>
        <w:rPr>
          <w:spacing w:val="-1"/>
        </w:rPr>
        <w:t>当可供出售金融资产发生减值，原直接计入股东权益的因公允价值下降形成的累计损失予以转出并计</w:t>
      </w:r>
      <w:r>
        <w:rPr/>
        <w:t> 入减值损失。对已确认减值损失的可供出售权益工具投资，期后公允价值上升直接计入股东权益。</w:t>
      </w:r>
    </w:p>
    <w:p>
      <w:pPr>
        <w:pStyle w:val="BodyText"/>
        <w:spacing w:line="444" w:lineRule="auto" w:before="83"/>
        <w:ind w:left="574" w:right="6657"/>
        <w:jc w:val="left"/>
      </w:pPr>
      <w:r>
        <w:rPr/>
        <w:t>（</w:t>
      </w:r>
      <w:r>
        <w:rPr>
          <w:rFonts w:ascii="宋体" w:hAnsi="宋体" w:cs="宋体" w:eastAsia="宋体" w:hint="default"/>
        </w:rPr>
        <w:t>2</w:t>
      </w:r>
      <w:r>
        <w:rPr/>
        <w:t>）金融负债 </w:t>
      </w:r>
      <w:r>
        <w:rPr>
          <w:rFonts w:ascii="宋体" w:hAnsi="宋体" w:cs="宋体" w:eastAsia="宋体" w:hint="default"/>
        </w:rPr>
        <w:t>1</w:t>
      </w:r>
      <w:r>
        <w:rPr/>
        <w:t>）金融负债分类、确认依据和计量方法</w:t>
      </w:r>
    </w:p>
    <w:p>
      <w:pPr>
        <w:pStyle w:val="BodyText"/>
        <w:spacing w:line="410" w:lineRule="auto" w:before="54"/>
        <w:ind w:left="154" w:right="1137" w:firstLine="420"/>
        <w:jc w:val="both"/>
      </w:pPr>
      <w:r>
        <w:rPr>
          <w:spacing w:val="3"/>
        </w:rPr>
        <w:t>本公司的金融负债于初始确认时分类为以公允价值计量且其变动计入当期损益的金融负债和其他金</w:t>
      </w:r>
      <w:r>
        <w:rPr/>
        <w:t> 融负债。</w:t>
      </w:r>
    </w:p>
    <w:p>
      <w:pPr>
        <w:pStyle w:val="BodyText"/>
        <w:spacing w:line="410" w:lineRule="auto" w:before="82"/>
        <w:ind w:left="154" w:right="1131" w:firstLine="420"/>
        <w:jc w:val="both"/>
      </w:pPr>
      <w:r>
        <w:rPr>
          <w:spacing w:val="-1"/>
        </w:rPr>
        <w:t>以公允价值计量且其变动计入当期损益的金融负债，包括交易性金融负债和初始确认时指定为以公允</w:t>
      </w:r>
      <w:r>
        <w:rPr/>
        <w:t> </w:t>
      </w:r>
      <w:r>
        <w:rPr>
          <w:spacing w:val="-1"/>
        </w:rPr>
        <w:t>价值计量且其变动计入当期损益的金融负债。按照公允价值进行后续计量，公允价值变动形成的利得或损</w:t>
      </w:r>
      <w:r>
        <w:rPr>
          <w:spacing w:val="-81"/>
        </w:rPr>
        <w:t> </w:t>
      </w:r>
      <w:r>
        <w:rPr>
          <w:spacing w:val="-81"/>
        </w:rPr>
      </w:r>
      <w:r>
        <w:rPr/>
        <w:t>失以及与该金融负债相关的股利和利息支出计入当期损益。</w:t>
      </w:r>
    </w:p>
    <w:p>
      <w:pPr>
        <w:pStyle w:val="BodyText"/>
        <w:spacing w:line="444" w:lineRule="auto" w:before="83"/>
        <w:ind w:left="574" w:right="4662"/>
        <w:jc w:val="left"/>
      </w:pPr>
      <w:r>
        <w:rPr/>
        <w:t>其他金融负债采用实际利率法，按照摊余成本进行后续计量。 </w:t>
      </w:r>
      <w:r>
        <w:rPr>
          <w:rFonts w:ascii="宋体" w:hAnsi="宋体" w:cs="宋体" w:eastAsia="宋体" w:hint="default"/>
        </w:rPr>
        <w:t>2</w:t>
      </w:r>
      <w:r>
        <w:rPr/>
        <w:t>）金融负债终止确认条件</w:t>
      </w:r>
    </w:p>
    <w:p>
      <w:pPr>
        <w:pStyle w:val="BodyText"/>
        <w:spacing w:line="408" w:lineRule="auto" w:before="53"/>
        <w:ind w:left="154" w:right="1131" w:firstLine="420"/>
        <w:jc w:val="both"/>
      </w:pPr>
      <w:r>
        <w:rPr>
          <w:spacing w:val="-1"/>
        </w:rPr>
        <w:t>金融负债的现时义务全部或部分已经解除时，终止确认该金融负债或义务已解除的部分。公司与债权</w:t>
      </w:r>
      <w:r>
        <w:rPr/>
        <w:t> </w:t>
      </w:r>
      <w:r>
        <w:rPr>
          <w:spacing w:val="-1"/>
        </w:rPr>
        <w:t>人之间签订协议，以承担新金融负债方式替换现存金融负债，且新金融负债与现存金融负债的合同条款实</w:t>
      </w:r>
      <w:r>
        <w:rPr>
          <w:spacing w:val="-81"/>
        </w:rPr>
        <w:t> </w:t>
      </w:r>
      <w:r>
        <w:rPr>
          <w:spacing w:val="-81"/>
        </w:rPr>
      </w:r>
      <w:r>
        <w:rPr>
          <w:spacing w:val="-1"/>
        </w:rPr>
        <w:t>质上不同的，终止确认现存金融负债，并同时确认新金融负债。公司对现存金融负债全部或部分的合同条</w:t>
      </w:r>
      <w:r>
        <w:rPr>
          <w:spacing w:val="-83"/>
        </w:rPr>
        <w:t> </w:t>
      </w:r>
      <w:r>
        <w:rPr>
          <w:spacing w:val="-83"/>
        </w:rPr>
      </w:r>
      <w:r>
        <w:rPr>
          <w:spacing w:val="-1"/>
        </w:rPr>
        <w:t>款作出实质性修改的，终止确认现存金融负债或其一部分，同时将修改条款后的金融负债确认为一项新金</w:t>
      </w:r>
      <w:r>
        <w:rPr>
          <w:spacing w:val="-81"/>
        </w:rPr>
        <w:t> </w:t>
      </w:r>
      <w:r>
        <w:rPr>
          <w:spacing w:val="-81"/>
        </w:rPr>
      </w:r>
      <w:r>
        <w:rPr/>
        <w:t>融负债。终止确认部分的账面价值与支付的对价之间的差额，计入当期损益。</w:t>
      </w:r>
    </w:p>
    <w:p>
      <w:pPr>
        <w:pStyle w:val="BodyText"/>
        <w:spacing w:line="444" w:lineRule="auto" w:before="85"/>
        <w:ind w:left="574" w:right="1135"/>
        <w:jc w:val="left"/>
      </w:pPr>
      <w:r>
        <w:rPr/>
        <w:t>（</w:t>
      </w:r>
      <w:r>
        <w:rPr>
          <w:rFonts w:ascii="宋体" w:hAnsi="宋体" w:cs="宋体" w:eastAsia="宋体" w:hint="default"/>
        </w:rPr>
        <w:t>3</w:t>
      </w:r>
      <w:r>
        <w:rPr/>
        <w:t>）金融资产和金融负债的公允价值确定方法 </w:t>
      </w:r>
      <w:r>
        <w:rPr>
          <w:rFonts w:ascii="宋体" w:hAnsi="宋体" w:cs="宋体" w:eastAsia="宋体" w:hint="default"/>
        </w:rPr>
        <w:t>1</w:t>
      </w:r>
      <w:r>
        <w:rPr/>
        <w:t>）金融工具存在活跃市场的，活跃市场中的市场报价用于确定其公允价值。在活跃市场上，本公司</w:t>
      </w:r>
    </w:p>
    <w:p>
      <w:pPr>
        <w:pStyle w:val="BodyText"/>
        <w:spacing w:line="408" w:lineRule="auto" w:before="14"/>
        <w:ind w:left="154" w:right="1131"/>
        <w:jc w:val="both"/>
      </w:pPr>
      <w:r>
        <w:rPr>
          <w:spacing w:val="-1"/>
        </w:rPr>
        <w:t>已持有的金融资产或拟承担的金融负债以现行出价作为相应资产或负债的公允价值；本公司拟购入的金融</w:t>
      </w:r>
      <w:r>
        <w:rPr>
          <w:spacing w:val="-81"/>
        </w:rPr>
        <w:t> </w:t>
      </w:r>
      <w:r>
        <w:rPr>
          <w:spacing w:val="-81"/>
        </w:rPr>
      </w:r>
      <w:r>
        <w:rPr>
          <w:spacing w:val="-1"/>
        </w:rPr>
        <w:t>资产或已承担的金融负债以现行要价作为相应资产或负债的公允价值。金融资产或金融负债没有现行出价</w:t>
      </w:r>
      <w:r>
        <w:rPr>
          <w:spacing w:val="-81"/>
        </w:rPr>
        <w:t> </w:t>
      </w:r>
      <w:r>
        <w:rPr>
          <w:spacing w:val="-81"/>
        </w:rPr>
      </w:r>
      <w:r>
        <w:rPr>
          <w:spacing w:val="-1"/>
        </w:rPr>
        <w:t>和要价，但最近交易日后经济环境没有发生重大变化的，则采用最近交易的市场报价确定该金融资产或金</w:t>
      </w:r>
      <w:r>
        <w:rPr>
          <w:spacing w:val="-81"/>
        </w:rPr>
        <w:t> </w:t>
      </w:r>
      <w:r>
        <w:rPr>
          <w:spacing w:val="-81"/>
        </w:rPr>
      </w:r>
      <w:r>
        <w:rPr/>
        <w:t>融负债的公允价值。</w:t>
      </w:r>
    </w:p>
    <w:p>
      <w:pPr>
        <w:pStyle w:val="BodyText"/>
        <w:spacing w:line="408" w:lineRule="auto" w:before="85"/>
        <w:ind w:left="154" w:right="1130" w:firstLine="420"/>
        <w:jc w:val="both"/>
      </w:pPr>
      <w:r>
        <w:rPr>
          <w:rFonts w:ascii="宋体" w:hAnsi="宋体" w:cs="宋体" w:eastAsia="宋体" w:hint="default"/>
        </w:rPr>
        <w:t>2</w:t>
      </w:r>
      <w:r>
        <w:rPr/>
        <w:t>）金融工具不存在活跃市场的，采用估值技术确定其公允价值。估值技术包括参考熟悉情况并自愿 </w:t>
      </w:r>
      <w:r>
        <w:rPr>
          <w:spacing w:val="-1"/>
        </w:rPr>
        <w:t>交易的各方最近进行的市场交易中使用的价格、参照实质上相同的其他金融资产的当前公允价值、现金流</w:t>
      </w:r>
    </w:p>
    <w:p>
      <w:pPr>
        <w:spacing w:after="0" w:line="408" w:lineRule="auto"/>
        <w:jc w:val="both"/>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154" w:right="1135"/>
        <w:jc w:val="left"/>
      </w:pPr>
      <w:r>
        <w:rPr/>
        <w:t>量折现法和期权定价模型等。</w:t>
      </w:r>
    </w:p>
    <w:p>
      <w:pPr>
        <w:spacing w:line="240" w:lineRule="auto" w:before="0"/>
        <w:rPr>
          <w:rFonts w:ascii="宋体" w:hAnsi="宋体" w:cs="宋体" w:eastAsia="宋体" w:hint="default"/>
          <w:sz w:val="20"/>
          <w:szCs w:val="20"/>
        </w:rPr>
      </w:pPr>
    </w:p>
    <w:p>
      <w:pPr>
        <w:pStyle w:val="Heading6"/>
        <w:spacing w:line="240" w:lineRule="auto" w:before="152"/>
        <w:ind w:right="1135"/>
        <w:jc w:val="left"/>
        <w:rPr>
          <w:b w:val="0"/>
          <w:bCs w:val="0"/>
        </w:rPr>
      </w:pPr>
      <w:bookmarkStart w:name="10、应收款项" w:id="178"/>
      <w:bookmarkEnd w:id="178"/>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1131" w:firstLine="420"/>
        <w:jc w:val="both"/>
      </w:pPr>
      <w:r>
        <w:rPr>
          <w:spacing w:val="-1"/>
        </w:rPr>
        <w:t>本公司在资产负债表日对应收款项账面价值进行检查，对存在债务单位撤销、破产、资不抵债、现金</w:t>
      </w:r>
      <w:r>
        <w:rPr/>
        <w:t> </w:t>
      </w:r>
      <w:r>
        <w:rPr>
          <w:spacing w:val="-1"/>
        </w:rPr>
        <w:t>流量严重不足、发生严重自然灾害等导致停产而在可预见的时间内无法偿付债务等；其他确凿证据表明确</w:t>
      </w:r>
      <w:r>
        <w:rPr>
          <w:spacing w:val="-81"/>
        </w:rPr>
        <w:t> </w:t>
      </w:r>
      <w:r>
        <w:rPr>
          <w:spacing w:val="-81"/>
        </w:rPr>
      </w:r>
      <w:r>
        <w:rPr/>
        <w:t>实无法收回或收回的可能性不大的应收款项，计提坏账准备。</w:t>
      </w:r>
    </w:p>
    <w:p>
      <w:pPr>
        <w:pStyle w:val="BodyText"/>
        <w:spacing w:line="410" w:lineRule="auto" w:before="82"/>
        <w:ind w:right="1131" w:firstLine="420"/>
        <w:jc w:val="both"/>
      </w:pPr>
      <w:r>
        <w:rPr>
          <w:spacing w:val="-1"/>
        </w:rPr>
        <w:t>对可能发生的坏账损失采用备抵法核算，期末单独或按组合进行减值测试，计提坏账准备，计入当期</w:t>
      </w:r>
      <w:r>
        <w:rPr/>
        <w:t> </w:t>
      </w:r>
      <w:r>
        <w:rPr>
          <w:spacing w:val="-1"/>
        </w:rPr>
        <w:t>损益。对于有确凿证据表明确实无法收回的应收款项，经本公司按规定程序批准后列作坏账损失，冲销提</w:t>
      </w:r>
      <w:r>
        <w:rPr>
          <w:spacing w:val="-83"/>
        </w:rPr>
        <w:t> </w:t>
      </w:r>
      <w:r>
        <w:rPr>
          <w:spacing w:val="-83"/>
        </w:rPr>
      </w:r>
      <w:r>
        <w:rPr/>
        <w:t>取的坏账准备。应收款项中与关联公司的往来一般不计提坏账准备。</w:t>
      </w:r>
    </w:p>
    <w:p>
      <w:pPr>
        <w:pStyle w:val="BodyText"/>
        <w:spacing w:line="240" w:lineRule="auto" w:before="85"/>
        <w:ind w:left="573" w:right="1135"/>
        <w:jc w:val="left"/>
      </w:pPr>
      <w:r>
        <w:rPr/>
        <w:t>（</w:t>
      </w:r>
      <w:r>
        <w:rPr>
          <w:rFonts w:ascii="宋体" w:hAnsi="宋体" w:cs="宋体" w:eastAsia="宋体" w:hint="default"/>
        </w:rPr>
        <w:t>1</w:t>
      </w:r>
      <w:r>
        <w:rPr/>
        <w:t>）单项金额重大并单项计提坏账准备的应收款项</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829"/>
        <w:gridCol w:w="5670"/>
      </w:tblGrid>
      <w:tr>
        <w:trPr>
          <w:trHeight w:val="475" w:hRule="exact"/>
        </w:trPr>
        <w:tc>
          <w:tcPr>
            <w:tcW w:w="382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2"/>
              <w:ind w:left="9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7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z w:val="18"/>
                <w:szCs w:val="18"/>
              </w:rPr>
              <w:t>500</w:t>
            </w:r>
            <w:r>
              <w:rPr>
                <w:rFonts w:ascii="宋体" w:hAnsi="宋体" w:cs="宋体" w:eastAsia="宋体" w:hint="default"/>
                <w:sz w:val="18"/>
                <w:szCs w:val="18"/>
              </w:rPr>
              <w:t>万元的应收款项视为重大应收款项</w:t>
            </w:r>
          </w:p>
        </w:tc>
      </w:tr>
      <w:tr>
        <w:trPr>
          <w:trHeight w:val="473" w:hRule="exact"/>
        </w:trPr>
        <w:tc>
          <w:tcPr>
            <w:tcW w:w="382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12"/>
              <w:ind w:left="9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3"/>
        <w:rPr>
          <w:rFonts w:ascii="宋体" w:hAnsi="宋体" w:cs="宋体" w:eastAsia="宋体" w:hint="default"/>
          <w:sz w:val="5"/>
          <w:szCs w:val="5"/>
        </w:rPr>
      </w:pPr>
    </w:p>
    <w:p>
      <w:pPr>
        <w:pStyle w:val="BodyText"/>
        <w:spacing w:line="240" w:lineRule="auto" w:before="35"/>
        <w:ind w:left="574" w:right="1135"/>
        <w:jc w:val="left"/>
      </w:pPr>
      <w:r>
        <w:rPr/>
        <w:t>（</w:t>
      </w:r>
      <w:r>
        <w:rPr>
          <w:rFonts w:ascii="宋体" w:hAnsi="宋体" w:cs="宋体" w:eastAsia="宋体" w:hint="default"/>
        </w:rPr>
        <w:t>2</w:t>
      </w:r>
      <w:r>
        <w:rPr/>
        <w:t>）按组合计提坏账准备应收款项</w:t>
      </w:r>
    </w:p>
    <w:p>
      <w:pPr>
        <w:spacing w:line="240" w:lineRule="auto" w:before="13"/>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303"/>
        <w:gridCol w:w="7197"/>
      </w:tblGrid>
      <w:tr>
        <w:trPr>
          <w:trHeight w:val="473" w:hRule="exact"/>
        </w:trPr>
        <w:tc>
          <w:tcPr>
            <w:tcW w:w="9499" w:type="dxa"/>
            <w:gridSpan w:val="2"/>
            <w:tcBorders>
              <w:top w:val="single" w:sz="12"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确定组合的依据及方法</w:t>
            </w:r>
          </w:p>
        </w:tc>
      </w:tr>
      <w:tr>
        <w:trPr>
          <w:trHeight w:val="1026"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w:t>
            </w:r>
          </w:p>
        </w:tc>
        <w:tc>
          <w:tcPr>
            <w:tcW w:w="7197"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103" w:right="90"/>
              <w:jc w:val="both"/>
              <w:rPr>
                <w:rFonts w:ascii="宋体" w:hAnsi="宋体" w:cs="宋体" w:eastAsia="宋体" w:hint="default"/>
                <w:sz w:val="18"/>
                <w:szCs w:val="18"/>
              </w:rPr>
            </w:pPr>
            <w:r>
              <w:rPr>
                <w:rFonts w:ascii="宋体" w:hAnsi="宋体" w:cs="宋体" w:eastAsia="宋体" w:hint="default"/>
                <w:spacing w:val="-1"/>
                <w:sz w:val="18"/>
                <w:szCs w:val="18"/>
              </w:rPr>
              <w:t>对于同一个项目，将超期账龄在</w:t>
            </w:r>
            <w:r>
              <w:rPr>
                <w:rFonts w:ascii="宋体" w:hAnsi="宋体" w:cs="宋体" w:eastAsia="宋体" w:hint="default"/>
                <w:spacing w:val="-1"/>
                <w:sz w:val="18"/>
                <w:szCs w:val="18"/>
              </w:rPr>
              <w:t>180</w:t>
            </w:r>
            <w:r>
              <w:rPr>
                <w:rFonts w:ascii="宋体" w:hAnsi="宋体" w:cs="宋体" w:eastAsia="宋体" w:hint="default"/>
                <w:spacing w:val="-1"/>
                <w:sz w:val="18"/>
                <w:szCs w:val="18"/>
              </w:rPr>
              <w:t>天以上或者欠款账龄在</w:t>
            </w:r>
            <w:r>
              <w:rPr>
                <w:rFonts w:ascii="宋体" w:hAnsi="宋体" w:cs="宋体" w:eastAsia="宋体" w:hint="default"/>
                <w:spacing w:val="-1"/>
                <w:sz w:val="18"/>
                <w:szCs w:val="18"/>
              </w:rPr>
              <w:t>720</w:t>
            </w:r>
            <w:r>
              <w:rPr>
                <w:rFonts w:ascii="宋体" w:hAnsi="宋体" w:cs="宋体" w:eastAsia="宋体" w:hint="default"/>
                <w:spacing w:val="-1"/>
                <w:sz w:val="18"/>
                <w:szCs w:val="18"/>
              </w:rPr>
              <w:t>天以上的应收账款原值进行</w:t>
            </w:r>
            <w:r>
              <w:rPr>
                <w:rFonts w:ascii="宋体" w:hAnsi="宋体" w:cs="宋体" w:eastAsia="宋体" w:hint="default"/>
                <w:spacing w:val="-88"/>
                <w:sz w:val="18"/>
                <w:szCs w:val="18"/>
              </w:rPr>
              <w:t> </w:t>
            </w:r>
            <w:r>
              <w:rPr>
                <w:rFonts w:ascii="宋体" w:hAnsi="宋体" w:cs="宋体" w:eastAsia="宋体" w:hint="default"/>
                <w:sz w:val="18"/>
                <w:szCs w:val="18"/>
              </w:rPr>
              <w:t>汇总，如果汇总金额在</w:t>
            </w:r>
            <w:r>
              <w:rPr>
                <w:rFonts w:ascii="宋体" w:hAnsi="宋体" w:cs="宋体" w:eastAsia="宋体" w:hint="default"/>
                <w:sz w:val="18"/>
                <w:szCs w:val="18"/>
              </w:rPr>
              <w:t>100</w:t>
            </w:r>
            <w:r>
              <w:rPr>
                <w:rFonts w:ascii="宋体" w:hAnsi="宋体" w:cs="宋体" w:eastAsia="宋体" w:hint="default"/>
                <w:sz w:val="18"/>
                <w:szCs w:val="18"/>
              </w:rPr>
              <w:t>万元以上，对该项目所有的应收账款全额计提坏账准备；如果</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取得客户回款证明，则按照账期组合</w:t>
            </w:r>
            <w:r>
              <w:rPr>
                <w:rFonts w:ascii="宋体" w:hAnsi="宋体" w:cs="宋体" w:eastAsia="宋体" w:hint="default"/>
                <w:sz w:val="18"/>
                <w:szCs w:val="18"/>
              </w:rPr>
              <w:t>II</w:t>
            </w:r>
            <w:r>
              <w:rPr>
                <w:rFonts w:ascii="宋体" w:hAnsi="宋体" w:cs="宋体" w:eastAsia="宋体" w:hint="default"/>
                <w:sz w:val="18"/>
                <w:szCs w:val="18"/>
              </w:rPr>
              <w:t>计提坏账准备</w:t>
            </w:r>
          </w:p>
        </w:tc>
      </w:tr>
      <w:tr>
        <w:trPr>
          <w:trHeight w:val="464"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II</w:t>
            </w:r>
          </w:p>
        </w:tc>
        <w:tc>
          <w:tcPr>
            <w:tcW w:w="7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以应收账款的信用期限为风险特征划分组合，按账期分析法计提坏账准备</w:t>
            </w:r>
          </w:p>
        </w:tc>
      </w:tr>
      <w:tr>
        <w:trPr>
          <w:trHeight w:val="463"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7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以关联方往来款划分组合，不计提坏账准备</w:t>
            </w:r>
          </w:p>
        </w:tc>
      </w:tr>
      <w:tr>
        <w:trPr>
          <w:trHeight w:val="475" w:hRule="exact"/>
        </w:trPr>
        <w:tc>
          <w:tcPr>
            <w:tcW w:w="23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71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spacing w:line="240" w:lineRule="auto" w:before="3"/>
        <w:rPr>
          <w:rFonts w:ascii="宋体" w:hAnsi="宋体" w:cs="宋体" w:eastAsia="宋体" w:hint="default"/>
          <w:sz w:val="5"/>
          <w:szCs w:val="5"/>
        </w:rPr>
      </w:pPr>
    </w:p>
    <w:p>
      <w:pPr>
        <w:pStyle w:val="BodyText"/>
        <w:spacing w:line="444" w:lineRule="auto" w:before="35"/>
        <w:ind w:left="574" w:right="0"/>
        <w:jc w:val="left"/>
      </w:pPr>
      <w:r>
        <w:rPr>
          <w:rFonts w:ascii="宋体" w:hAnsi="宋体" w:cs="宋体" w:eastAsia="宋体" w:hint="default"/>
        </w:rPr>
        <w:t>1</w:t>
      </w:r>
      <w:r>
        <w:rPr/>
        <w:t>）账期组合的应收账款坏账准备计提方法如下： </w:t>
      </w:r>
      <w:r>
        <w:rPr>
          <w:spacing w:val="-1"/>
        </w:rPr>
        <w:t>本公司根据以前年度的实际损失率为基础，依据合同约定付款条款，结合客户现时情况，制定对不同</w:t>
      </w:r>
    </w:p>
    <w:p>
      <w:pPr>
        <w:pStyle w:val="BodyText"/>
        <w:tabs>
          <w:tab w:pos="994" w:val="left" w:leader="none"/>
        </w:tabs>
        <w:spacing w:line="444" w:lineRule="auto" w:before="16"/>
        <w:ind w:left="574" w:right="2790" w:hanging="420"/>
        <w:jc w:val="left"/>
        <w:rPr>
          <w:rFonts w:ascii="宋体" w:hAnsi="宋体" w:cs="宋体" w:eastAsia="宋体" w:hint="default"/>
        </w:rPr>
      </w:pPr>
      <w:r>
        <w:rPr/>
        <w:t>客户的应收账款账期及各账期对应的坏账准备计提比例，据此计算应计提的坏账准备。 </w:t>
      </w:r>
      <w:r>
        <w:rPr>
          <w:rFonts w:ascii="宋体" w:hAnsi="宋体" w:cs="宋体" w:eastAsia="宋体" w:hint="default"/>
        </w:rPr>
        <w:t>i.</w:t>
        <w:tab/>
      </w:r>
      <w:r>
        <w:rPr/>
        <w:t>账期组合</w:t>
      </w:r>
      <w:r>
        <w:rPr>
          <w:rFonts w:ascii="宋体" w:hAnsi="宋体" w:cs="宋体" w:eastAsia="宋体" w:hint="default"/>
        </w:rPr>
        <w:t>I</w:t>
      </w:r>
    </w:p>
    <w:p>
      <w:pPr>
        <w:pStyle w:val="BodyText"/>
        <w:spacing w:line="410" w:lineRule="auto" w:before="53"/>
        <w:ind w:right="1127" w:firstLine="420"/>
        <w:jc w:val="both"/>
      </w:pPr>
      <w:r>
        <w:rPr/>
        <w:t>本公司根据合同付款条件将付款期限延伸</w:t>
      </w:r>
      <w:r>
        <w:rPr>
          <w:rFonts w:ascii="宋体" w:hAnsi="宋体" w:cs="宋体" w:eastAsia="宋体" w:hint="default"/>
        </w:rPr>
        <w:t>60</w:t>
      </w:r>
      <w:r>
        <w:rPr/>
        <w:t>天为信用账期，对于一个项目，将超账期账龄在</w:t>
      </w:r>
      <w:r>
        <w:rPr>
          <w:rFonts w:ascii="宋体" w:hAnsi="宋体" w:cs="宋体" w:eastAsia="宋体" w:hint="default"/>
        </w:rPr>
        <w:t>180</w:t>
      </w:r>
      <w:r>
        <w:rPr/>
        <w:t>天以</w:t>
      </w:r>
      <w:r>
        <w:rPr>
          <w:spacing w:val="3"/>
        </w:rPr>
        <w:t> </w:t>
      </w:r>
      <w:r>
        <w:rPr>
          <w:spacing w:val="-1"/>
        </w:rPr>
        <w:t>上或者欠款账龄在</w:t>
      </w:r>
      <w:r>
        <w:rPr>
          <w:rFonts w:ascii="宋体" w:hAnsi="宋体" w:cs="宋体" w:eastAsia="宋体" w:hint="default"/>
          <w:spacing w:val="-1"/>
        </w:rPr>
        <w:t>720</w:t>
      </w:r>
      <w:r>
        <w:rPr>
          <w:spacing w:val="-1"/>
        </w:rPr>
        <w:t>天以上的应收账款原值进行汇总，如果汇总金额在</w:t>
      </w:r>
      <w:r>
        <w:rPr>
          <w:rFonts w:ascii="宋体" w:hAnsi="宋体" w:cs="宋体" w:eastAsia="宋体" w:hint="default"/>
          <w:spacing w:val="-1"/>
        </w:rPr>
        <w:t>100</w:t>
      </w:r>
      <w:r>
        <w:rPr>
          <w:spacing w:val="-1"/>
        </w:rPr>
        <w:t>万元以上，对该项目所有的应</w:t>
      </w:r>
      <w:r>
        <w:rPr>
          <w:spacing w:val="-82"/>
        </w:rPr>
        <w:t> </w:t>
      </w:r>
      <w:r>
        <w:rPr>
          <w:spacing w:val="-82"/>
        </w:rPr>
      </w:r>
      <w:r>
        <w:rPr/>
        <w:t>收账款全额计提坏账准备，如果取得客户回款证明，则按照账期组合</w:t>
      </w:r>
      <w:r>
        <w:rPr>
          <w:rFonts w:ascii="宋体" w:hAnsi="宋体" w:cs="宋体" w:eastAsia="宋体" w:hint="default"/>
        </w:rPr>
        <w:t>II</w:t>
      </w:r>
      <w:r>
        <w:rPr/>
        <w:t>计提坏账准备。</w:t>
      </w:r>
    </w:p>
    <w:p>
      <w:pPr>
        <w:spacing w:after="0" w:line="410" w:lineRule="auto"/>
        <w:jc w:val="both"/>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4" w:lineRule="auto" w:before="35"/>
        <w:ind w:left="574" w:right="8442"/>
        <w:jc w:val="left"/>
      </w:pPr>
      <w:r>
        <w:rPr>
          <w:rFonts w:ascii="宋体" w:hAnsi="宋体" w:cs="宋体" w:eastAsia="宋体" w:hint="default"/>
        </w:rPr>
        <w:t>ii. </w:t>
      </w:r>
      <w:r>
        <w:rPr/>
        <w:t>账期组合</w:t>
      </w:r>
      <w:r>
        <w:rPr>
          <w:rFonts w:ascii="宋体" w:hAnsi="宋体" w:cs="宋体" w:eastAsia="宋体" w:hint="default"/>
        </w:rPr>
        <w:t>II </w:t>
      </w:r>
      <w:r>
        <w:rPr/>
        <w:t>具体计提比例如下：</w:t>
      </w:r>
    </w:p>
    <w:tbl>
      <w:tblPr>
        <w:tblW w:w="0" w:type="auto"/>
        <w:jc w:val="left"/>
        <w:tblInd w:w="138" w:type="dxa"/>
        <w:tblLayout w:type="fixed"/>
        <w:tblCellMar>
          <w:top w:w="0" w:type="dxa"/>
          <w:left w:w="0" w:type="dxa"/>
          <w:bottom w:w="0" w:type="dxa"/>
          <w:right w:w="0" w:type="dxa"/>
        </w:tblCellMar>
        <w:tblLook w:val="01E0"/>
      </w:tblPr>
      <w:tblGrid>
        <w:gridCol w:w="3684"/>
        <w:gridCol w:w="5712"/>
      </w:tblGrid>
      <w:tr>
        <w:trPr>
          <w:trHeight w:val="449" w:hRule="exact"/>
        </w:trPr>
        <w:tc>
          <w:tcPr>
            <w:tcW w:w="368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8"/>
              <w:jc w:val="center"/>
              <w:rPr>
                <w:rFonts w:ascii="宋体" w:hAnsi="宋体" w:cs="宋体" w:eastAsia="宋体" w:hint="default"/>
                <w:sz w:val="18"/>
                <w:szCs w:val="18"/>
              </w:rPr>
            </w:pPr>
            <w:r>
              <w:rPr>
                <w:rFonts w:ascii="宋体" w:hAnsi="宋体" w:cs="宋体" w:eastAsia="宋体" w:hint="default"/>
                <w:sz w:val="18"/>
                <w:szCs w:val="18"/>
              </w:rPr>
              <w:t>超期账龄</w:t>
            </w:r>
          </w:p>
        </w:tc>
        <w:tc>
          <w:tcPr>
            <w:tcW w:w="571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0"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94" w:hRule="exact"/>
        </w:trPr>
        <w:tc>
          <w:tcPr>
            <w:tcW w:w="36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未超账期</w:t>
            </w:r>
          </w:p>
        </w:tc>
        <w:tc>
          <w:tcPr>
            <w:tcW w:w="5712"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86"/>
              <w:ind w:left="8" w:right="0"/>
              <w:jc w:val="center"/>
              <w:rPr>
                <w:rFonts w:ascii="宋体" w:hAnsi="宋体" w:cs="宋体" w:eastAsia="宋体" w:hint="default"/>
                <w:sz w:val="18"/>
                <w:szCs w:val="18"/>
              </w:rPr>
            </w:pPr>
            <w:r>
              <w:rPr>
                <w:rFonts w:ascii="宋体"/>
                <w:sz w:val="18"/>
              </w:rPr>
              <w:t>0%</w:t>
            </w:r>
          </w:p>
        </w:tc>
      </w:tr>
      <w:tr>
        <w:trPr>
          <w:trHeight w:val="484" w:hRule="exact"/>
        </w:trPr>
        <w:tc>
          <w:tcPr>
            <w:tcW w:w="36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z w:val="18"/>
                <w:szCs w:val="18"/>
              </w:rPr>
              <w:t>天</w:t>
            </w:r>
          </w:p>
        </w:tc>
        <w:tc>
          <w:tcPr>
            <w:tcW w:w="57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8" w:right="0"/>
              <w:jc w:val="center"/>
              <w:rPr>
                <w:rFonts w:ascii="宋体" w:hAnsi="宋体" w:cs="宋体" w:eastAsia="宋体" w:hint="default"/>
                <w:sz w:val="18"/>
                <w:szCs w:val="18"/>
              </w:rPr>
            </w:pPr>
            <w:r>
              <w:rPr>
                <w:rFonts w:ascii="宋体"/>
                <w:sz w:val="18"/>
              </w:rPr>
              <w:t>5%</w:t>
            </w:r>
          </w:p>
        </w:tc>
      </w:tr>
      <w:tr>
        <w:trPr>
          <w:trHeight w:val="484" w:hRule="exact"/>
        </w:trPr>
        <w:tc>
          <w:tcPr>
            <w:tcW w:w="36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91-180</w:t>
            </w:r>
            <w:r>
              <w:rPr>
                <w:rFonts w:ascii="宋体" w:hAnsi="宋体" w:cs="宋体" w:eastAsia="宋体" w:hint="default"/>
                <w:sz w:val="18"/>
                <w:szCs w:val="18"/>
              </w:rPr>
              <w:t>天</w:t>
            </w:r>
          </w:p>
        </w:tc>
        <w:tc>
          <w:tcPr>
            <w:tcW w:w="57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z w:val="18"/>
              </w:rPr>
              <w:t>10%</w:t>
            </w:r>
          </w:p>
        </w:tc>
      </w:tr>
      <w:tr>
        <w:trPr>
          <w:trHeight w:val="484" w:hRule="exact"/>
        </w:trPr>
        <w:tc>
          <w:tcPr>
            <w:tcW w:w="36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181-270</w:t>
            </w:r>
            <w:r>
              <w:rPr>
                <w:rFonts w:ascii="宋体" w:hAnsi="宋体" w:cs="宋体" w:eastAsia="宋体" w:hint="default"/>
                <w:sz w:val="18"/>
                <w:szCs w:val="18"/>
              </w:rPr>
              <w:t>天</w:t>
            </w:r>
          </w:p>
        </w:tc>
        <w:tc>
          <w:tcPr>
            <w:tcW w:w="57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z w:val="18"/>
              </w:rPr>
              <w:t>20%</w:t>
            </w:r>
          </w:p>
        </w:tc>
      </w:tr>
      <w:tr>
        <w:trPr>
          <w:trHeight w:val="484" w:hRule="exact"/>
        </w:trPr>
        <w:tc>
          <w:tcPr>
            <w:tcW w:w="36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271-360</w:t>
            </w:r>
            <w:r>
              <w:rPr>
                <w:rFonts w:ascii="宋体" w:hAnsi="宋体" w:cs="宋体" w:eastAsia="宋体" w:hint="default"/>
                <w:sz w:val="18"/>
                <w:szCs w:val="18"/>
              </w:rPr>
              <w:t>天</w:t>
            </w:r>
          </w:p>
        </w:tc>
        <w:tc>
          <w:tcPr>
            <w:tcW w:w="57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z w:val="18"/>
              </w:rPr>
              <w:t>50%</w:t>
            </w:r>
          </w:p>
        </w:tc>
      </w:tr>
      <w:tr>
        <w:trPr>
          <w:trHeight w:val="494" w:hRule="exact"/>
        </w:trPr>
        <w:tc>
          <w:tcPr>
            <w:tcW w:w="368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361</w:t>
            </w:r>
            <w:r>
              <w:rPr>
                <w:rFonts w:ascii="宋体" w:hAnsi="宋体" w:cs="宋体" w:eastAsia="宋体" w:hint="default"/>
                <w:sz w:val="18"/>
                <w:szCs w:val="18"/>
              </w:rPr>
              <w:t>天以上</w:t>
            </w:r>
          </w:p>
        </w:tc>
        <w:tc>
          <w:tcPr>
            <w:tcW w:w="57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left="8" w:right="0"/>
              <w:jc w:val="center"/>
              <w:rPr>
                <w:rFonts w:ascii="宋体" w:hAnsi="宋体" w:cs="宋体" w:eastAsia="宋体" w:hint="default"/>
                <w:sz w:val="18"/>
                <w:szCs w:val="18"/>
              </w:rPr>
            </w:pPr>
            <w:r>
              <w:rPr>
                <w:rFonts w:ascii="宋体"/>
                <w:sz w:val="18"/>
              </w:rPr>
              <w:t>100%</w:t>
            </w:r>
          </w:p>
        </w:tc>
      </w:tr>
    </w:tbl>
    <w:p>
      <w:pPr>
        <w:spacing w:line="240" w:lineRule="auto" w:before="9"/>
        <w:rPr>
          <w:rFonts w:ascii="宋体" w:hAnsi="宋体" w:cs="宋体" w:eastAsia="宋体" w:hint="default"/>
          <w:sz w:val="5"/>
          <w:szCs w:val="5"/>
        </w:rPr>
      </w:pPr>
    </w:p>
    <w:p>
      <w:pPr>
        <w:pStyle w:val="BodyText"/>
        <w:spacing w:line="408" w:lineRule="auto" w:before="35"/>
        <w:ind w:left="154" w:right="0" w:firstLine="420"/>
        <w:jc w:val="left"/>
      </w:pPr>
      <w:r>
        <w:rPr>
          <w:spacing w:val="-1"/>
        </w:rPr>
        <w:t>其他应收款主要为投标和保函保证金、房租押金和个人借款等，不适用账期组合，按照款项性质组合</w:t>
      </w:r>
      <w:r>
        <w:rPr/>
        <w:t> 不计提坏账准备。</w:t>
      </w:r>
    </w:p>
    <w:p>
      <w:pPr>
        <w:pStyle w:val="BodyText"/>
        <w:spacing w:line="240" w:lineRule="auto" w:before="87"/>
        <w:ind w:left="573" w:right="1135"/>
        <w:jc w:val="left"/>
      </w:pPr>
      <w:r>
        <w:rPr>
          <w:rFonts w:ascii="宋体" w:hAnsi="宋体" w:cs="宋体" w:eastAsia="宋体" w:hint="default"/>
        </w:rPr>
        <w:t>iii.</w:t>
      </w:r>
      <w:r>
        <w:rPr/>
        <w:t>采用其他方法计提应收款项坏账准备的计提方法如下：</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592"/>
        <w:gridCol w:w="6804"/>
      </w:tblGrid>
      <w:tr>
        <w:trPr>
          <w:trHeight w:val="473" w:hRule="exact"/>
        </w:trPr>
        <w:tc>
          <w:tcPr>
            <w:tcW w:w="2592"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680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w:t>
            </w:r>
          </w:p>
        </w:tc>
      </w:tr>
      <w:tr>
        <w:trPr>
          <w:trHeight w:val="475" w:hRule="exact"/>
        </w:trPr>
        <w:tc>
          <w:tcPr>
            <w:tcW w:w="2592"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680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spacing w:line="240" w:lineRule="auto" w:before="4"/>
        <w:rPr>
          <w:rFonts w:ascii="宋体" w:hAnsi="宋体" w:cs="宋体" w:eastAsia="宋体" w:hint="default"/>
          <w:sz w:val="5"/>
          <w:szCs w:val="5"/>
        </w:rPr>
      </w:pPr>
    </w:p>
    <w:p>
      <w:pPr>
        <w:pStyle w:val="BodyText"/>
        <w:spacing w:line="240" w:lineRule="auto" w:before="35"/>
        <w:ind w:left="574" w:right="1135"/>
        <w:jc w:val="left"/>
      </w:pPr>
      <w:r>
        <w:rPr/>
        <w:t>（</w:t>
      </w:r>
      <w:r>
        <w:rPr>
          <w:rFonts w:ascii="宋体" w:hAnsi="宋体" w:cs="宋体" w:eastAsia="宋体" w:hint="default"/>
        </w:rPr>
        <w:t>3</w:t>
      </w:r>
      <w:r>
        <w:rPr/>
        <w:t>）单项金额虽不重大但单项计提坏账准备的应收款项</w:t>
      </w:r>
    </w:p>
    <w:p>
      <w:pPr>
        <w:spacing w:line="240" w:lineRule="auto" w:before="13"/>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601"/>
        <w:gridCol w:w="6795"/>
      </w:tblGrid>
      <w:tr>
        <w:trPr>
          <w:trHeight w:val="473" w:hRule="exact"/>
        </w:trPr>
        <w:tc>
          <w:tcPr>
            <w:tcW w:w="260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1"/>
              <w:ind w:left="9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9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75" w:hRule="exact"/>
        </w:trPr>
        <w:tc>
          <w:tcPr>
            <w:tcW w:w="260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sz w:val="19"/>
          <w:szCs w:val="19"/>
        </w:rPr>
      </w:pPr>
    </w:p>
    <w:p>
      <w:pPr>
        <w:pStyle w:val="Heading6"/>
        <w:spacing w:line="240" w:lineRule="auto" w:before="35"/>
        <w:ind w:right="0"/>
        <w:jc w:val="both"/>
        <w:rPr>
          <w:b w:val="0"/>
          <w:bCs w:val="0"/>
        </w:rPr>
      </w:pPr>
      <w:bookmarkStart w:name="11、存货" w:id="179"/>
      <w:bookmarkEnd w:id="179"/>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left="574" w:right="0"/>
        <w:jc w:val="left"/>
      </w:pPr>
      <w:r>
        <w:rPr/>
        <w:t>本公司存货主要包括库存商品、在产品、在途物资等。 </w:t>
      </w:r>
      <w:r>
        <w:rPr>
          <w:spacing w:val="-1"/>
        </w:rPr>
        <w:t>存货实行永续盘存制。存货在取得时按实际成本计价；领用或发出存货，采用按照项目单独核算的移</w:t>
      </w:r>
    </w:p>
    <w:p>
      <w:pPr>
        <w:pStyle w:val="BodyText"/>
        <w:spacing w:line="441" w:lineRule="auto" w:before="18"/>
        <w:ind w:left="573" w:right="0" w:hanging="420"/>
        <w:jc w:val="left"/>
      </w:pPr>
      <w:r>
        <w:rPr/>
        <w:t>动加权平均法确定其实际成本。低值易耗品采用一次转销法进行摊销。 </w:t>
      </w:r>
      <w:r>
        <w:rPr>
          <w:spacing w:val="-1"/>
        </w:rPr>
        <w:t>年末存货按成本与可变现净值孰低原则计价，对于存货因遭受毁损、全部或部分陈旧过时或销售价格</w:t>
      </w:r>
    </w:p>
    <w:p>
      <w:pPr>
        <w:pStyle w:val="BodyText"/>
        <w:spacing w:line="410" w:lineRule="auto" w:before="16"/>
        <w:ind w:right="1131"/>
        <w:jc w:val="both"/>
      </w:pPr>
      <w:r>
        <w:rPr>
          <w:spacing w:val="-1"/>
        </w:rPr>
        <w:t>低于成本等原因，预计其成本不可收回的部分，提取存货跌价准备。库存商品及大宗原材料的存货跌价准</w:t>
      </w:r>
      <w:r>
        <w:rPr>
          <w:spacing w:val="-83"/>
        </w:rPr>
        <w:t> </w:t>
      </w:r>
      <w:r>
        <w:rPr>
          <w:spacing w:val="-83"/>
        </w:rPr>
      </w:r>
      <w:r>
        <w:rPr>
          <w:spacing w:val="-1"/>
        </w:rPr>
        <w:t>备按单个存货项目的成本高于其可变现净值的差额提取；其他数量繁多、单价较低的原辅材料按类别提取</w:t>
      </w:r>
      <w:r>
        <w:rPr>
          <w:spacing w:val="-81"/>
        </w:rPr>
        <w:t> </w:t>
      </w:r>
      <w:r>
        <w:rPr>
          <w:spacing w:val="-81"/>
        </w:rPr>
      </w:r>
      <w:r>
        <w:rPr/>
        <w:t>存货跌价准备。</w:t>
      </w:r>
    </w:p>
    <w:p>
      <w:pPr>
        <w:pStyle w:val="BodyText"/>
        <w:spacing w:line="408" w:lineRule="auto" w:before="84"/>
        <w:ind w:right="0" w:firstLine="420"/>
        <w:jc w:val="left"/>
      </w:pPr>
      <w:r>
        <w:rPr>
          <w:spacing w:val="-1"/>
        </w:rPr>
        <w:t>库存商品、在产品和用于出售的材料等直接用于出售的商品存货，其可变现净值按该存货的估计售价</w:t>
      </w:r>
      <w:r>
        <w:rPr/>
        <w:t> </w:t>
      </w:r>
      <w:r>
        <w:rPr>
          <w:spacing w:val="-1"/>
        </w:rPr>
        <w:t>减去估计的销售费用和相关税费后的金额确定；用于生产而持有的材料存货，其可变现净值按所生产的产</w:t>
      </w:r>
    </w:p>
    <w:p>
      <w:pPr>
        <w:spacing w:after="0" w:line="408"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154" w:right="1135"/>
        <w:jc w:val="left"/>
      </w:pPr>
      <w:r>
        <w:rPr/>
        <w:t>成品的估计售价减去至完工时估计将要发生的成本、估计的销售费用和相关税费后的金额确定。</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12、长期股权投资" w:id="180"/>
      <w:bookmarkEnd w:id="180"/>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left="573" w:right="0"/>
        <w:jc w:val="left"/>
      </w:pPr>
      <w:r>
        <w:rPr/>
        <w:t>本公司长期股权投资主要是对子公司的投资、对联营企业的投资和对合营企业的投资。 </w:t>
      </w:r>
      <w:r>
        <w:rPr>
          <w:spacing w:val="-1"/>
        </w:rPr>
        <w:t>本公司对共同控制的判断依据是所有参与方或参与方组合集体控制该安排，并且该安排相关活动的政</w:t>
      </w:r>
    </w:p>
    <w:p>
      <w:pPr>
        <w:pStyle w:val="BodyText"/>
        <w:spacing w:line="444" w:lineRule="auto" w:before="18"/>
        <w:ind w:left="574" w:right="0" w:hanging="420"/>
        <w:jc w:val="left"/>
      </w:pPr>
      <w:r>
        <w:rPr/>
        <w:t>策必须经过这些集体控制该安排的参与方一致同意。 </w:t>
      </w:r>
      <w:r>
        <w:rPr>
          <w:spacing w:val="-1"/>
        </w:rPr>
        <w:t>本公司直接或通过子公司间接拥有被投资单位</w:t>
      </w:r>
      <w:r>
        <w:rPr>
          <w:rFonts w:ascii="宋体" w:hAnsi="宋体" w:cs="宋体" w:eastAsia="宋体" w:hint="default"/>
          <w:spacing w:val="-1"/>
        </w:rPr>
        <w:t>20</w:t>
      </w:r>
      <w:r>
        <w:rPr>
          <w:spacing w:val="-1"/>
        </w:rPr>
        <w:t>％（含）以上但低于</w:t>
      </w:r>
      <w:r>
        <w:rPr>
          <w:rFonts w:ascii="宋体" w:hAnsi="宋体" w:cs="宋体" w:eastAsia="宋体" w:hint="default"/>
          <w:spacing w:val="-1"/>
        </w:rPr>
        <w:t>50</w:t>
      </w:r>
      <w:r>
        <w:rPr>
          <w:spacing w:val="-1"/>
        </w:rPr>
        <w:t>％的表决权时，通常认为对被</w:t>
      </w:r>
    </w:p>
    <w:p>
      <w:pPr>
        <w:pStyle w:val="BodyText"/>
        <w:spacing w:line="408" w:lineRule="auto" w:before="14"/>
        <w:ind w:left="154" w:right="1023"/>
        <w:jc w:val="left"/>
      </w:pPr>
      <w:r>
        <w:rPr/>
        <w:t>投资单位具有重大影响。持有被投资单位</w:t>
      </w:r>
      <w:r>
        <w:rPr>
          <w:rFonts w:ascii="宋体" w:hAnsi="宋体" w:cs="宋体" w:eastAsia="宋体" w:hint="default"/>
        </w:rPr>
        <w:t>20%</w:t>
      </w:r>
      <w:r>
        <w:rPr/>
        <w:t>以下表决权的，还需要综合考虑在被投资单位的董事会或类</w:t>
      </w:r>
      <w:r>
        <w:rPr>
          <w:spacing w:val="-31"/>
        </w:rPr>
        <w:t> </w:t>
      </w:r>
      <w:r>
        <w:rPr>
          <w:spacing w:val="-31"/>
        </w:rPr>
      </w:r>
      <w:r>
        <w:rPr>
          <w:spacing w:val="-3"/>
        </w:rPr>
        <w:t>似权力机构中派有代表、或参与被投资单位财务和经营政策制定过程、或与被投资单位之间发生重要交易、</w:t>
      </w:r>
      <w:r>
        <w:rPr>
          <w:spacing w:val="-92"/>
        </w:rPr>
        <w:t> </w:t>
      </w:r>
      <w:r>
        <w:rPr>
          <w:spacing w:val="-92"/>
        </w:rPr>
      </w:r>
      <w:r>
        <w:rPr/>
        <w:t>或向被投资单位派出管理人员、或向被投资单位提供关键技术资料等事实和情况判断对被投资单位具有重</w:t>
      </w:r>
      <w:r>
        <w:rPr/>
        <w:t> 大影响。</w:t>
      </w:r>
    </w:p>
    <w:p>
      <w:pPr>
        <w:pStyle w:val="BodyText"/>
        <w:spacing w:line="408" w:lineRule="auto" w:before="84"/>
        <w:ind w:left="154" w:right="1131" w:firstLine="420"/>
        <w:jc w:val="both"/>
      </w:pPr>
      <w:r>
        <w:rPr>
          <w:spacing w:val="-1"/>
        </w:rPr>
        <w:t>对被投资单位形成控制的，为本公司的子公司。通过同一控制下的企业合并取得的长期股权投资，在</w:t>
      </w:r>
      <w:r>
        <w:rPr/>
        <w:t> </w:t>
      </w:r>
      <w:r>
        <w:rPr>
          <w:spacing w:val="3"/>
        </w:rPr>
        <w:t>合并日按照取得被合并方在最终控制方合并报表中净资产的账面价值的份额作为长期股权投资的初始投</w:t>
      </w:r>
      <w:r>
        <w:rPr>
          <w:spacing w:val="-82"/>
        </w:rPr>
        <w:t> </w:t>
      </w:r>
      <w:r>
        <w:rPr>
          <w:spacing w:val="-82"/>
        </w:rPr>
      </w:r>
      <w:r>
        <w:rPr>
          <w:spacing w:val="-1"/>
        </w:rPr>
        <w:t>资成本。被合并方在合并日的净资产账面价值为负数的，长期股权投资成本按零确定。通过非同一控制下</w:t>
      </w:r>
      <w:r>
        <w:rPr>
          <w:spacing w:val="-83"/>
        </w:rPr>
        <w:t> </w:t>
      </w:r>
      <w:r>
        <w:rPr>
          <w:spacing w:val="-83"/>
        </w:rPr>
      </w:r>
      <w:r>
        <w:rPr/>
        <w:t>的企业合并取得的长期股权投资，以合并成本作为初始投资成本。</w:t>
      </w:r>
    </w:p>
    <w:p>
      <w:pPr>
        <w:pStyle w:val="BodyText"/>
        <w:spacing w:line="408" w:lineRule="auto" w:before="85"/>
        <w:ind w:left="154" w:right="1130" w:firstLine="420"/>
        <w:jc w:val="both"/>
      </w:pPr>
      <w:r>
        <w:rPr>
          <w:spacing w:val="-1"/>
        </w:rPr>
        <w:t>除上述通过企业合并取得的长期股权投资外，以支付现金取得的长期股权投资，按照实际支付的购买</w:t>
      </w:r>
      <w:r>
        <w:rPr/>
        <w:t> </w:t>
      </w:r>
      <w:r>
        <w:rPr>
          <w:spacing w:val="-1"/>
        </w:rPr>
        <w:t>价款作为投资成本；以发行权益性证券取得的长期股权投资，按照发行权益性证券的公允价值作为投资成</w:t>
      </w:r>
      <w:r>
        <w:rPr>
          <w:spacing w:val="-81"/>
        </w:rPr>
        <w:t> </w:t>
      </w:r>
      <w:r>
        <w:rPr>
          <w:spacing w:val="-81"/>
        </w:rPr>
      </w:r>
      <w:r>
        <w:rPr>
          <w:spacing w:val="-1"/>
        </w:rPr>
        <w:t>本；投资者投入的长期股权投资，按照投资合同或协议约定的价值作为投资成本；以债务重组、非货币性</w:t>
      </w:r>
      <w:r>
        <w:rPr>
          <w:spacing w:val="-86"/>
        </w:rPr>
        <w:t> </w:t>
      </w:r>
      <w:r>
        <w:rPr>
          <w:spacing w:val="-86"/>
        </w:rPr>
      </w:r>
      <w:r>
        <w:rPr/>
        <w:t>资产交换等方式取得的长期股权投资，按相关会计准则的规定确定初始投资成本。</w:t>
      </w:r>
    </w:p>
    <w:p>
      <w:pPr>
        <w:pStyle w:val="BodyText"/>
        <w:spacing w:line="441" w:lineRule="auto" w:before="87"/>
        <w:ind w:left="574" w:right="0"/>
        <w:jc w:val="left"/>
      </w:pPr>
      <w:r>
        <w:rPr/>
        <w:t>本公司对子公司投资采用成本法核算，对合营企业及联营企业投资采用权益法核算。 </w:t>
      </w:r>
      <w:r>
        <w:rPr>
          <w:spacing w:val="-1"/>
        </w:rPr>
        <w:t>后续计量采用成本法核算的长期股权投资，在追加投资时，按照追加投资支付的成本额公允价值及发</w:t>
      </w:r>
    </w:p>
    <w:p>
      <w:pPr>
        <w:pStyle w:val="BodyText"/>
        <w:spacing w:line="410" w:lineRule="auto" w:before="16"/>
        <w:ind w:left="154" w:right="0"/>
        <w:jc w:val="left"/>
      </w:pPr>
      <w:r>
        <w:rPr>
          <w:spacing w:val="-1"/>
        </w:rPr>
        <w:t>生的相关交易费用增加长期股权投资成本的账面价值。被投资单位宣告分派的现金股利或利润，按照应享</w:t>
      </w:r>
      <w:r>
        <w:rPr>
          <w:spacing w:val="-81"/>
        </w:rPr>
        <w:t> </w:t>
      </w:r>
      <w:r>
        <w:rPr>
          <w:spacing w:val="-81"/>
        </w:rPr>
      </w:r>
      <w:r>
        <w:rPr/>
        <w:t>有的金额确认为当期投资收益。</w:t>
      </w:r>
    </w:p>
    <w:p>
      <w:pPr>
        <w:pStyle w:val="BodyText"/>
        <w:spacing w:line="408" w:lineRule="auto" w:before="82"/>
        <w:ind w:left="154" w:right="1032" w:firstLine="420"/>
        <w:jc w:val="both"/>
      </w:pPr>
      <w:r>
        <w:rPr/>
        <w:t>后续计量采用权益法核算的长期股权投资，随着被他投资单位所有者权益的变动相应调整增加或减少 长期股权投资的账面价值。其中在确认应享有被投资单位净损益的份额时，以取得投资时被投资单位各项 可辨认资产等的公允价值为基础，按照本公司的会计政策及会计期间，并抵销与联营企业及合营企业之间 发生的内部交易损益按照持股比例计算归属于投资企业的部分，对被投资单位的净利润进行调整后确认。</w:t>
      </w:r>
    </w:p>
    <w:p>
      <w:pPr>
        <w:pStyle w:val="BodyText"/>
        <w:spacing w:line="408" w:lineRule="auto" w:before="85"/>
        <w:ind w:left="154" w:right="1131" w:firstLine="420"/>
        <w:jc w:val="both"/>
      </w:pPr>
      <w:r>
        <w:rPr>
          <w:spacing w:val="-1"/>
        </w:rPr>
        <w:t>处置长期股权投资，其账面价值与实际取得价款的差额，计入当期投资收益。采用权益法核算的长期</w:t>
      </w:r>
      <w:r>
        <w:rPr/>
        <w:t> </w:t>
      </w:r>
      <w:r>
        <w:rPr>
          <w:spacing w:val="-1"/>
        </w:rPr>
        <w:t>股权投资，因被投资单位除净损益以外所有者权益的其他变动而计入所有者权益的，处置该项投资时将原</w:t>
      </w:r>
    </w:p>
    <w:p>
      <w:pPr>
        <w:spacing w:after="0" w:line="408" w:lineRule="auto"/>
        <w:jc w:val="both"/>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1" w:lineRule="auto" w:before="35"/>
        <w:ind w:left="574" w:right="0" w:hanging="420"/>
        <w:jc w:val="left"/>
      </w:pPr>
      <w:r>
        <w:rPr/>
        <w:t>计入所有者权益的部分按相应比例转入当期投资损益。 </w:t>
      </w:r>
      <w:r>
        <w:rPr>
          <w:spacing w:val="-1"/>
        </w:rPr>
        <w:t>因处置部分股权投资等原因丧失了对被投资单位的共同控制或重大影响的，处置后的剩余股权改按可</w:t>
      </w:r>
    </w:p>
    <w:p>
      <w:pPr>
        <w:pStyle w:val="BodyText"/>
        <w:spacing w:line="410" w:lineRule="auto" w:before="16"/>
        <w:ind w:left="154" w:right="1131"/>
        <w:jc w:val="both"/>
      </w:pPr>
      <w:r>
        <w:rPr>
          <w:spacing w:val="-1"/>
        </w:rPr>
        <w:t>供出售金融资产核算，剩余股权在丧失共同控制或重大影响之日的公允价值与账面价值之间的差额计入当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t>位直接处置相关资产或负债相同的基础进行会计处理。</w:t>
      </w:r>
    </w:p>
    <w:p>
      <w:pPr>
        <w:pStyle w:val="BodyText"/>
        <w:spacing w:line="408" w:lineRule="auto" w:before="83"/>
        <w:ind w:right="1131" w:firstLine="420"/>
        <w:jc w:val="both"/>
      </w:pPr>
      <w:r>
        <w:rPr>
          <w:spacing w:val="-1"/>
        </w:rPr>
        <w:t>因处置部分长期股权投资丧失了对被投资单位控制的，处置后的剩余股权能够对被投资单位实施共同</w:t>
      </w:r>
      <w:r>
        <w:rPr/>
        <w:t> </w:t>
      </w:r>
      <w:r>
        <w:rPr>
          <w:spacing w:val="-1"/>
        </w:rPr>
        <w:t>控制或施加重大影响的，改按权益法核算，处置股权账面价值和处置对价的差额计入投资收益，并对该剩</w:t>
      </w:r>
      <w:r>
        <w:rPr>
          <w:spacing w:val="-83"/>
        </w:rPr>
        <w:t> </w:t>
      </w:r>
      <w:r>
        <w:rPr>
          <w:spacing w:val="-83"/>
        </w:rPr>
      </w:r>
      <w:r>
        <w:rPr>
          <w:spacing w:val="-1"/>
        </w:rPr>
        <w:t>余股权视同自取得时即采用权益法核算进行调整；处置后的剩余股权不能对被投资单位实施共同控制或施</w:t>
      </w:r>
      <w:r>
        <w:rPr>
          <w:spacing w:val="-81"/>
        </w:rPr>
        <w:t> </w:t>
      </w:r>
      <w:r>
        <w:rPr>
          <w:spacing w:val="-81"/>
        </w:rPr>
      </w:r>
      <w:r>
        <w:rPr>
          <w:spacing w:val="-1"/>
        </w:rPr>
        <w:t>加重大影响的，改按可供出售金融资产的有关规定进行会计处理，处置股权账面价值和处置对价的差额计</w:t>
      </w:r>
      <w:r>
        <w:rPr>
          <w:spacing w:val="-81"/>
        </w:rPr>
        <w:t> </w:t>
      </w:r>
      <w:r>
        <w:rPr>
          <w:spacing w:val="-81"/>
        </w:rPr>
      </w:r>
      <w:r>
        <w:rPr/>
        <w:t>入投资收益，剩余股权在丧失控制之日的公允价值与账面价值间的差额计入当期投资损益。</w:t>
      </w:r>
    </w:p>
    <w:p>
      <w:pPr>
        <w:spacing w:line="240" w:lineRule="auto" w:before="5"/>
        <w:rPr>
          <w:rFonts w:ascii="宋体" w:hAnsi="宋体" w:cs="宋体" w:eastAsia="宋体" w:hint="default"/>
          <w:sz w:val="20"/>
          <w:szCs w:val="20"/>
        </w:rPr>
      </w:pPr>
    </w:p>
    <w:p>
      <w:pPr>
        <w:pStyle w:val="Heading6"/>
        <w:spacing w:line="240" w:lineRule="auto"/>
        <w:ind w:left="153" w:right="0"/>
        <w:jc w:val="both"/>
        <w:rPr>
          <w:b w:val="0"/>
          <w:bCs w:val="0"/>
        </w:rPr>
      </w:pPr>
      <w:bookmarkStart w:name="13、固定资产" w:id="181"/>
      <w:bookmarkEnd w:id="181"/>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0" w:firstLine="420"/>
        <w:jc w:val="left"/>
      </w:pPr>
      <w:r>
        <w:rPr/>
        <w:t>本公司固定资产是指公司所拥有或控制的、使用年限在一年以上的，并在使用过程中保持原有实物形 态的资产，包括房屋建筑物、机器设备、运输设备、办公设备。固定资产按其取得时的成本作为入账的价 值，其中，外购的固定资产成本包括买价、相关税费，以及为使固定资产达到预定可使用状态前所发生的 可直接归属于该资产的其他支出；自行建造固定资产的成本，由建造该项资产达到预定可使用状态前所发 生的必要支出构成；投资者投入的固定资产，按投资合同或协议约定的价值作为入账价值，但合同或协议 约定价值不公允的按公允价值入账；融资租赁租入的固定资产，按租赁开始日租赁资产公允价值与最低租 </w:t>
      </w:r>
      <w:r>
        <w:rPr>
          <w:spacing w:val="-5"/>
        </w:rPr>
        <w:t>赁付款额现值两者中较低者作为入账价值。与固定资产有关的后续支出，包括修理支出、更新改造支出等，</w:t>
      </w:r>
      <w:r>
        <w:rPr>
          <w:spacing w:val="-101"/>
        </w:rPr>
        <w:t> </w:t>
      </w:r>
      <w:r>
        <w:rPr>
          <w:spacing w:val="-101"/>
        </w:rPr>
      </w:r>
      <w:r>
        <w:rPr/>
        <w:t>符合固定资产确认条件的，计入固定资产成本，对于被替换的部分，终止确认其账面价值；不符合固定资</w:t>
      </w:r>
      <w:r>
        <w:rPr/>
        <w:t> 产确认条件的，于发生时计入当期损益。除已提足折旧仍继续使用的固定资产和单独计价入账的土地外，</w:t>
      </w:r>
      <w:r>
        <w:rPr>
          <w:spacing w:val="-35"/>
        </w:rPr>
        <w:t> </w:t>
      </w:r>
      <w:r>
        <w:rPr>
          <w:spacing w:val="-35"/>
        </w:rPr>
      </w:r>
      <w:r>
        <w:rPr/>
        <w:t>本公司对所有固定资产计提折旧。计提折旧时采用平均年限法，并根据用途分别计入相关资产的成本或当</w:t>
      </w:r>
      <w:r>
        <w:rPr/>
        <w:t> 期费用。本公司于每年年度终了，对固定资产的预计使用寿命、预计净残值和折旧方法进行复核，如发生 改变，则作为会计估计变更处理。当固定资产被处置、或者预期通过使用或处置不能产生经济利益时，终 止确认该固定资产。固定资产出售、转让、报废或毁损的处置收入扣除其账面价值和相关税费后的金额计 入当期损益。</w:t>
      </w:r>
    </w:p>
    <w:p>
      <w:pPr>
        <w:spacing w:after="0" w:line="408" w:lineRule="auto"/>
        <w:jc w:val="left"/>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39" w:hRule="exact"/>
        </w:trPr>
        <w:tc>
          <w:tcPr>
            <w:tcW w:w="191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500" w:hRule="exact"/>
        </w:trPr>
        <w:tc>
          <w:tcPr>
            <w:tcW w:w="1915"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104"/>
              <w:ind w:left="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sz w:val="18"/>
              </w:rPr>
              <w:t>40</w:t>
            </w:r>
          </w:p>
        </w:tc>
        <w:tc>
          <w:tcPr>
            <w:tcW w:w="191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10%</w:t>
            </w:r>
          </w:p>
        </w:tc>
        <w:tc>
          <w:tcPr>
            <w:tcW w:w="1913"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04"/>
              <w:ind w:left="8" w:right="0"/>
              <w:jc w:val="center"/>
              <w:rPr>
                <w:rFonts w:ascii="宋体" w:hAnsi="宋体" w:cs="宋体" w:eastAsia="宋体" w:hint="default"/>
                <w:sz w:val="18"/>
                <w:szCs w:val="18"/>
              </w:rPr>
            </w:pPr>
            <w:r>
              <w:rPr>
                <w:rFonts w:ascii="宋体"/>
                <w:sz w:val="18"/>
              </w:rPr>
              <w:t>2.25%</w:t>
            </w:r>
          </w:p>
        </w:tc>
      </w:tr>
      <w:tr>
        <w:trPr>
          <w:trHeight w:val="464" w:hRule="exact"/>
        </w:trPr>
        <w:tc>
          <w:tcPr>
            <w:tcW w:w="191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0%-10%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8"/>
                <w:szCs w:val="18"/>
              </w:rPr>
            </w:pPr>
            <w:r>
              <w:rPr>
                <w:rFonts w:ascii="宋体"/>
                <w:sz w:val="18"/>
              </w:rPr>
              <w:t>18%-20%</w:t>
            </w:r>
          </w:p>
        </w:tc>
      </w:tr>
      <w:tr>
        <w:trPr>
          <w:trHeight w:val="463" w:hRule="exact"/>
        </w:trPr>
        <w:tc>
          <w:tcPr>
            <w:tcW w:w="191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0%-10%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8" w:right="0"/>
              <w:jc w:val="center"/>
              <w:rPr>
                <w:rFonts w:ascii="宋体" w:hAnsi="宋体" w:cs="宋体" w:eastAsia="宋体" w:hint="default"/>
                <w:sz w:val="18"/>
                <w:szCs w:val="18"/>
              </w:rPr>
            </w:pPr>
            <w:r>
              <w:rPr>
                <w:rFonts w:ascii="宋体"/>
                <w:sz w:val="18"/>
              </w:rPr>
              <w:t>18%-20%</w:t>
            </w:r>
          </w:p>
        </w:tc>
      </w:tr>
      <w:tr>
        <w:trPr>
          <w:trHeight w:val="475" w:hRule="exact"/>
        </w:trPr>
        <w:tc>
          <w:tcPr>
            <w:tcW w:w="191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3"/>
              <w:ind w:left="1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sz w:val="18"/>
              </w:rPr>
              <w:t>0%-10%</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3"/>
              <w:ind w:left="8" w:right="0"/>
              <w:jc w:val="center"/>
              <w:rPr>
                <w:rFonts w:ascii="宋体" w:hAnsi="宋体" w:cs="宋体" w:eastAsia="宋体" w:hint="default"/>
                <w:sz w:val="18"/>
                <w:szCs w:val="18"/>
              </w:rPr>
            </w:pPr>
            <w:r>
              <w:rPr>
                <w:rFonts w:ascii="宋体"/>
                <w:sz w:val="18"/>
              </w:rPr>
              <w:t>18%-20%</w:t>
            </w:r>
          </w:p>
        </w:tc>
      </w:tr>
    </w:tbl>
    <w:p>
      <w:pPr>
        <w:spacing w:line="240" w:lineRule="auto" w:before="2"/>
        <w:rPr>
          <w:rFonts w:ascii="宋体" w:hAnsi="宋体" w:cs="宋体" w:eastAsia="宋体" w:hint="default"/>
          <w:b/>
          <w:bCs/>
          <w:sz w:val="19"/>
          <w:szCs w:val="19"/>
        </w:rPr>
      </w:pPr>
    </w:p>
    <w:p>
      <w:pPr>
        <w:pStyle w:val="Heading6"/>
        <w:spacing w:line="240" w:lineRule="auto" w:before="35"/>
        <w:ind w:right="1135"/>
        <w:jc w:val="left"/>
        <w:rPr>
          <w:b w:val="0"/>
          <w:bCs w:val="0"/>
        </w:rPr>
      </w:pPr>
      <w:bookmarkStart w:name="14、在建工程" w:id="184"/>
      <w:bookmarkEnd w:id="184"/>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right="1131" w:firstLine="420"/>
        <w:jc w:val="both"/>
      </w:pPr>
      <w:r>
        <w:rPr>
          <w:spacing w:val="-1"/>
        </w:rPr>
        <w:t>在建工程在达到预定可使用状态之日起，根据工程预算、造价或工程实际成本等，按估计的价值结转</w:t>
      </w:r>
      <w:r>
        <w:rPr/>
        <w:t> 固定资产，次月起开始计提折旧，待办理了竣工决算手续后再对固定资产原值差异作调整。</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15、借款费用" w:id="185"/>
      <w:bookmarkEnd w:id="185"/>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026" w:firstLine="420"/>
        <w:jc w:val="both"/>
      </w:pPr>
      <w:r>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使资产达到预定可使用或可销售状态所必要的购建或生产活动已经开始时，开始资本化；当购建或生产符 </w:t>
      </w:r>
      <w:r>
        <w:rPr>
          <w:spacing w:val="-3"/>
        </w:rPr>
        <w:t>合资本化条件的资产达到预定可使用或可销售状态时，停止资本化。其余借款费用在发生当期确认为费用。</w:t>
      </w:r>
    </w:p>
    <w:p>
      <w:pPr>
        <w:pStyle w:val="BodyText"/>
        <w:spacing w:line="410" w:lineRule="auto" w:before="85"/>
        <w:ind w:left="154" w:right="1132" w:firstLine="420"/>
        <w:jc w:val="both"/>
      </w:pPr>
      <w:r>
        <w:rPr>
          <w:spacing w:val="-1"/>
        </w:rPr>
        <w:t>专门借款当期实际发生的利息费用，扣除尚未动用的借款资金存入银行取得的利息收入或进行暂时性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t>平均数乘以所占用一般借款的加权平均利率，确定资本化金额。</w:t>
      </w:r>
    </w:p>
    <w:p>
      <w:pPr>
        <w:pStyle w:val="BodyText"/>
        <w:spacing w:line="410" w:lineRule="auto" w:before="82"/>
        <w:ind w:left="154" w:right="1135" w:firstLine="420"/>
        <w:jc w:val="both"/>
      </w:pPr>
      <w:r>
        <w:rPr/>
        <w:t>符合资本化条件的资产，是指需要经过相当长时间（通常指</w:t>
      </w:r>
      <w:r>
        <w:rPr>
          <w:rFonts w:ascii="宋体" w:hAnsi="宋体" w:cs="宋体" w:eastAsia="宋体" w:hint="default"/>
        </w:rPr>
        <w:t>1</w:t>
      </w:r>
      <w:r>
        <w:rPr/>
        <w:t>年以上）的购建或者生产活动才能达到 预定可使用或者可销售状态的固定资产、投资性房地产和存货等资产。</w:t>
      </w:r>
    </w:p>
    <w:p>
      <w:pPr>
        <w:pStyle w:val="BodyText"/>
        <w:spacing w:line="410" w:lineRule="auto" w:before="82"/>
        <w:ind w:right="1131" w:firstLine="420"/>
        <w:jc w:val="both"/>
      </w:pPr>
      <w:r>
        <w:rPr/>
        <w:t>如果符合资本化条件的资产在购建或者生产过程中发生非正常中断、且中断时间连续超过</w:t>
      </w:r>
      <w:r>
        <w:rPr>
          <w:rFonts w:ascii="宋体" w:hAnsi="宋体" w:cs="宋体" w:eastAsia="宋体" w:hint="default"/>
        </w:rPr>
        <w:t>3</w:t>
      </w:r>
      <w:r>
        <w:rPr/>
        <w:t>个月，暂 停借款费用的资本化，直至资产的购建或生产活动重新开始。</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16、无形资产" w:id="186"/>
      <w:bookmarkEnd w:id="186"/>
      <w:r>
        <w:rPr>
          <w:b w:val="0"/>
          <w:bCs w:val="0"/>
        </w:rPr>
      </w:r>
      <w:r>
        <w:rPr>
          <w:rFonts w:ascii="Times New Roman" w:hAnsi="Times New Roman" w:cs="Times New Roman" w:eastAsia="Times New Roman" w:hint="default"/>
        </w:rPr>
        <w:t>16</w:t>
      </w:r>
      <w:r>
        <w:rPr/>
        <w:t>、无形资产</w:t>
      </w:r>
      <w:r>
        <w:rPr>
          <w:b w:val="0"/>
          <w:bCs w:val="0"/>
        </w:rPr>
      </w:r>
    </w:p>
    <w:p>
      <w:pPr>
        <w:spacing w:line="690" w:lineRule="exact" w:before="17"/>
        <w:ind w:left="574" w:right="0" w:hanging="420"/>
        <w:jc w:val="left"/>
        <w:rPr>
          <w:rFonts w:ascii="宋体" w:hAnsi="宋体" w:cs="宋体" w:eastAsia="宋体" w:hint="default"/>
          <w:sz w:val="21"/>
          <w:szCs w:val="21"/>
        </w:rPr>
      </w:pPr>
      <w:bookmarkStart w:name="（1）计价方法、使用寿命、减值测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本公司无形资产包括专利技术、软件等，按取得时的实际成本计量，其中，购入的无形资产，按实际</w:t>
      </w:r>
    </w:p>
    <w:p>
      <w:pPr>
        <w:pStyle w:val="BodyText"/>
        <w:spacing w:line="240" w:lineRule="auto" w:before="84"/>
        <w:ind w:left="154" w:right="0"/>
        <w:jc w:val="left"/>
      </w:pPr>
      <w:r>
        <w:rPr/>
        <w:t>支付的价款和相关的其他支出作为实际成本；投资者投入的无形资产，按投资合同或协议约定的价值确定</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实际成本，但合同或协议约定价值不公允的，按公允价值确定实际成本；对非同一控制下合并中取得被购</w:t>
      </w:r>
    </w:p>
    <w:p>
      <w:pPr>
        <w:spacing w:after="0" w:line="240" w:lineRule="auto"/>
        <w:jc w:val="left"/>
        <w:sectPr>
          <w:pgSz w:w="11910" w:h="16840"/>
          <w:pgMar w:header="918" w:footer="1266" w:top="1160" w:bottom="1460" w:left="980" w:right="0"/>
        </w:sectPr>
      </w:pPr>
    </w:p>
    <w:p>
      <w:pPr>
        <w:spacing w:line="240" w:lineRule="auto" w:before="7"/>
        <w:rPr>
          <w:rFonts w:ascii="宋体" w:hAnsi="宋体" w:cs="宋体" w:eastAsia="宋体" w:hint="default"/>
          <w:sz w:val="23"/>
          <w:szCs w:val="23"/>
        </w:rPr>
      </w:pPr>
    </w:p>
    <w:p>
      <w:pPr>
        <w:pStyle w:val="BodyText"/>
        <w:spacing w:line="410" w:lineRule="auto" w:before="35"/>
        <w:ind w:left="154" w:right="0"/>
        <w:jc w:val="left"/>
      </w:pPr>
      <w:r>
        <w:rPr>
          <w:spacing w:val="-1"/>
        </w:rPr>
        <w:t>买方拥有的但在其财务报表中未确认的软件无形资产，在对被购买方资产进行初始确认时，按公允价值确</w:t>
      </w:r>
      <w:r>
        <w:rPr>
          <w:spacing w:val="-81"/>
        </w:rPr>
        <w:t> </w:t>
      </w:r>
      <w:r>
        <w:rPr>
          <w:spacing w:val="-81"/>
        </w:rPr>
      </w:r>
      <w:r>
        <w:rPr/>
        <w:t>认为无形资产。</w:t>
      </w:r>
    </w:p>
    <w:p>
      <w:pPr>
        <w:pStyle w:val="BodyText"/>
        <w:spacing w:line="410" w:lineRule="auto" w:before="82"/>
        <w:ind w:left="154" w:right="1131" w:firstLine="420"/>
        <w:jc w:val="both"/>
      </w:pPr>
      <w:r>
        <w:rPr>
          <w:spacing w:val="-1"/>
        </w:rPr>
        <w:t>专利技术、软件和其他无形资产按预计使用年限、合同规定的受益年限和法律规定的有效年限三者中</w:t>
      </w:r>
      <w:r>
        <w:rPr/>
        <w:t> 最短者分期平均摊销。摊销金额按其受益对象计入相关资产成本和当期损益。</w:t>
      </w:r>
    </w:p>
    <w:p>
      <w:pPr>
        <w:pStyle w:val="BodyText"/>
        <w:spacing w:line="410" w:lineRule="auto" w:before="83"/>
        <w:ind w:right="1132" w:firstLine="420"/>
        <w:jc w:val="both"/>
      </w:pPr>
      <w:r>
        <w:rPr>
          <w:spacing w:val="-1"/>
        </w:rPr>
        <w:t>对使用寿命有限的无形资产的预计使用寿命及摊销方法于每年年度终了进行复核并作适当调整。在每</w:t>
      </w:r>
      <w:r>
        <w:rPr/>
        <w:t> </w:t>
      </w:r>
      <w:r>
        <w:rPr>
          <w:spacing w:val="-1"/>
        </w:rPr>
        <w:t>个会计期间对使用寿命不确定的无形资产的预计使用寿命进行复核，如果有证据表明无形资产的使用寿命</w:t>
      </w:r>
      <w:r>
        <w:rPr>
          <w:spacing w:val="-81"/>
        </w:rPr>
        <w:t> </w:t>
      </w:r>
      <w:r>
        <w:rPr>
          <w:spacing w:val="-81"/>
        </w:rPr>
      </w:r>
      <w:r>
        <w:rPr/>
        <w:t>是有限的，则估计其使用寿命并在预计使用寿命内摊销。</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132" w:firstLine="420"/>
        <w:jc w:val="both"/>
      </w:pPr>
      <w:r>
        <w:rPr>
          <w:spacing w:val="-1"/>
        </w:rPr>
        <w:t>本公司内部研究开发项目支出根据其性质以及研发活动最终形成无形资产是否具有较大不确定性，分</w:t>
      </w:r>
      <w:r>
        <w:rPr/>
        <w:t> 为研究阶段支出和开发阶段支出。</w:t>
      </w:r>
    </w:p>
    <w:p>
      <w:pPr>
        <w:pStyle w:val="BodyText"/>
        <w:spacing w:line="410" w:lineRule="auto" w:before="82"/>
        <w:ind w:right="1133" w:firstLine="420"/>
        <w:jc w:val="both"/>
      </w:pPr>
      <w:r>
        <w:rPr>
          <w:spacing w:val="-1"/>
        </w:rPr>
        <w:t>自行研究开发的无形资产，其研究阶段的支出，于发生时计入当期损益；其开发阶段的支出，同时满</w:t>
      </w:r>
      <w:r>
        <w:rPr/>
        <w:t> 足下列条件的，确认为无形资产：</w:t>
      </w:r>
    </w:p>
    <w:p>
      <w:pPr>
        <w:pStyle w:val="BodyText"/>
        <w:spacing w:line="240" w:lineRule="auto" w:before="83"/>
        <w:ind w:left="573" w:right="1135"/>
        <w:jc w:val="left"/>
      </w:pPr>
      <w:r>
        <w:rPr/>
        <w:t>（</w:t>
      </w:r>
      <w:r>
        <w:rPr>
          <w:rFonts w:ascii="宋体" w:hAnsi="宋体" w:cs="宋体" w:eastAsia="宋体" w:hint="default"/>
        </w:rPr>
        <w:t>1</w:t>
      </w:r>
      <w:r>
        <w:rPr/>
        <w:t>）完成该无形资产以使其能够使用或出售在技术上具有可行性；</w:t>
      </w:r>
    </w:p>
    <w:p>
      <w:pPr>
        <w:spacing w:line="240" w:lineRule="auto" w:before="12"/>
        <w:rPr>
          <w:rFonts w:ascii="宋体" w:hAnsi="宋体" w:cs="宋体" w:eastAsia="宋体" w:hint="default"/>
          <w:sz w:val="17"/>
          <w:szCs w:val="17"/>
        </w:rPr>
      </w:pPr>
    </w:p>
    <w:p>
      <w:pPr>
        <w:pStyle w:val="BodyText"/>
        <w:spacing w:line="240" w:lineRule="auto"/>
        <w:ind w:left="573" w:right="1135"/>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240" w:lineRule="auto"/>
        <w:ind w:left="573" w:right="1135"/>
        <w:jc w:val="left"/>
      </w:pPr>
      <w:r>
        <w:rPr/>
        <w:t>（</w:t>
      </w:r>
      <w:r>
        <w:rPr>
          <w:rFonts w:ascii="宋体" w:hAnsi="宋体" w:cs="宋体" w:eastAsia="宋体" w:hint="default"/>
        </w:rPr>
        <w:t>3</w:t>
      </w:r>
      <w:r>
        <w:rPr/>
        <w:t>）运用该无形资产生产的产品存在市场或无形资产自身存在市场；</w:t>
      </w:r>
    </w:p>
    <w:p>
      <w:pPr>
        <w:spacing w:line="240" w:lineRule="auto" w:before="9"/>
        <w:rPr>
          <w:rFonts w:ascii="宋体" w:hAnsi="宋体" w:cs="宋体" w:eastAsia="宋体" w:hint="default"/>
          <w:sz w:val="17"/>
          <w:szCs w:val="17"/>
        </w:rPr>
      </w:pPr>
    </w:p>
    <w:p>
      <w:pPr>
        <w:pStyle w:val="BodyText"/>
        <w:spacing w:line="410" w:lineRule="auto"/>
        <w:ind w:right="1141" w:firstLine="420"/>
        <w:jc w:val="both"/>
      </w:pPr>
      <w:r>
        <w:rPr/>
        <w:t>（</w:t>
      </w:r>
      <w:r>
        <w:rPr>
          <w:rFonts w:ascii="宋体" w:hAnsi="宋体" w:cs="宋体" w:eastAsia="宋体" w:hint="default"/>
        </w:rPr>
        <w:t>4</w:t>
      </w:r>
      <w:r>
        <w:rPr/>
        <w:t>）有足够的技术、财务资源和其他资源支持，以完成该无形资产的开发，并有能力使用或出售该 无形资产；</w:t>
      </w:r>
    </w:p>
    <w:p>
      <w:pPr>
        <w:pStyle w:val="BodyText"/>
        <w:spacing w:line="441" w:lineRule="auto" w:before="85"/>
        <w:ind w:left="574" w:right="0"/>
        <w:jc w:val="left"/>
      </w:pPr>
      <w:r>
        <w:rPr/>
        <w:t>（</w:t>
      </w: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pStyle w:val="BodyText"/>
        <w:spacing w:line="410" w:lineRule="auto" w:before="16"/>
        <w:ind w:left="154" w:right="0"/>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240" w:lineRule="auto" w:before="3"/>
        <w:rPr>
          <w:rFonts w:ascii="宋体" w:hAnsi="宋体" w:cs="宋体" w:eastAsia="宋体" w:hint="default"/>
          <w:sz w:val="20"/>
          <w:szCs w:val="20"/>
        </w:rPr>
      </w:pPr>
    </w:p>
    <w:p>
      <w:pPr>
        <w:pStyle w:val="Heading6"/>
        <w:spacing w:line="240" w:lineRule="auto"/>
        <w:ind w:right="1135"/>
        <w:jc w:val="left"/>
        <w:rPr>
          <w:b w:val="0"/>
          <w:bCs w:val="0"/>
        </w:rPr>
      </w:pPr>
      <w:bookmarkStart w:name="17、长期资产减值" w:id="189"/>
      <w:bookmarkEnd w:id="189"/>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131" w:firstLine="420"/>
        <w:jc w:val="both"/>
      </w:pPr>
      <w:r>
        <w:rPr>
          <w:spacing w:val="-1"/>
        </w:rPr>
        <w:t>本公司于每一资产负债表日对长期股权投资、固定资产、在建工程、使用寿命有限的无形资产等项目</w:t>
      </w:r>
      <w:r>
        <w:rPr/>
        <w:t> </w:t>
      </w:r>
      <w:r>
        <w:rPr>
          <w:spacing w:val="-1"/>
        </w:rPr>
        <w:t>进行检查，当存在下列迹象时，表明资产可能发生了减值，本公司将进行减值测试。对商誉和使用寿命不</w:t>
      </w:r>
      <w:r>
        <w:rPr>
          <w:spacing w:val="-86"/>
        </w:rPr>
        <w:t> </w:t>
      </w:r>
      <w:r>
        <w:rPr>
          <w:spacing w:val="-86"/>
        </w:rPr>
      </w:r>
      <w:r>
        <w:rPr>
          <w:spacing w:val="-1"/>
        </w:rPr>
        <w:t>确定的无形资产，无论是否存在减值迹象，每年末均进行减值测试。难以对单项资产的可收回金额进行测</w:t>
      </w:r>
      <w:r>
        <w:rPr>
          <w:spacing w:val="-83"/>
        </w:rPr>
        <w:t> </w:t>
      </w:r>
      <w:r>
        <w:rPr>
          <w:spacing w:val="-83"/>
        </w:rPr>
      </w:r>
      <w:r>
        <w:rPr/>
        <w:t>试的，以该资产所属的资产组或资产组组合为基础测试。</w:t>
      </w:r>
    </w:p>
    <w:p>
      <w:pPr>
        <w:pStyle w:val="BodyText"/>
        <w:spacing w:line="240" w:lineRule="auto" w:before="84"/>
        <w:ind w:left="574" w:right="0"/>
        <w:jc w:val="left"/>
      </w:pPr>
      <w:r>
        <w:rPr/>
        <w:t>减值测试后，若该资产的账面价值超过其可收回金额，其差额确认为减值损失，上述资产的减值损失</w:t>
      </w:r>
    </w:p>
    <w:p>
      <w:pPr>
        <w:spacing w:after="0" w:line="240" w:lineRule="auto"/>
        <w:jc w:val="left"/>
        <w:sectPr>
          <w:footerReference w:type="default" r:id="rId57"/>
          <w:pgSz w:w="11910" w:h="16840"/>
          <w:pgMar w:footer="1266" w:header="918" w:top="1160" w:bottom="1460" w:left="980" w:right="0"/>
          <w:pgNumType w:start="132"/>
        </w:sectPr>
      </w:pPr>
    </w:p>
    <w:p>
      <w:pPr>
        <w:spacing w:line="240" w:lineRule="auto" w:before="7"/>
        <w:rPr>
          <w:rFonts w:ascii="宋体" w:hAnsi="宋体" w:cs="宋体" w:eastAsia="宋体" w:hint="default"/>
          <w:sz w:val="23"/>
          <w:szCs w:val="23"/>
        </w:rPr>
      </w:pPr>
    </w:p>
    <w:p>
      <w:pPr>
        <w:pStyle w:val="BodyText"/>
        <w:spacing w:line="410" w:lineRule="auto" w:before="35"/>
        <w:ind w:left="154" w:right="0"/>
        <w:jc w:val="left"/>
      </w:pPr>
      <w:r>
        <w:rPr>
          <w:spacing w:val="-1"/>
        </w:rPr>
        <w:t>一经确认，在以后会计期间不予转回。资产的可收回金额是指资产的公允价值减去处置费用后的净额与资</w:t>
      </w:r>
      <w:r>
        <w:rPr>
          <w:spacing w:val="-81"/>
        </w:rPr>
        <w:t> </w:t>
      </w:r>
      <w:r>
        <w:rPr>
          <w:spacing w:val="-81"/>
        </w:rPr>
      </w:r>
      <w:r>
        <w:rPr/>
        <w:t>产预计未来现金流量的现值两者之间的较高者。</w:t>
      </w:r>
    </w:p>
    <w:p>
      <w:pPr>
        <w:pStyle w:val="BodyText"/>
        <w:spacing w:line="240" w:lineRule="auto" w:before="83"/>
        <w:ind w:left="574" w:right="1135"/>
        <w:jc w:val="left"/>
      </w:pPr>
      <w:r>
        <w:rPr/>
        <w:t>出现减值的迹象如下：</w:t>
      </w:r>
    </w:p>
    <w:p>
      <w:pPr>
        <w:spacing w:line="240" w:lineRule="auto" w:before="12"/>
        <w:rPr>
          <w:rFonts w:ascii="宋体" w:hAnsi="宋体" w:cs="宋体" w:eastAsia="宋体" w:hint="default"/>
          <w:sz w:val="17"/>
          <w:szCs w:val="17"/>
        </w:rPr>
      </w:pPr>
    </w:p>
    <w:p>
      <w:pPr>
        <w:pStyle w:val="BodyText"/>
        <w:spacing w:line="240" w:lineRule="auto"/>
        <w:ind w:left="574" w:right="1135"/>
        <w:jc w:val="left"/>
      </w:pPr>
      <w:r>
        <w:rPr/>
        <w:t>（</w:t>
      </w:r>
      <w:r>
        <w:rPr>
          <w:rFonts w:ascii="宋体" w:hAnsi="宋体" w:cs="宋体" w:eastAsia="宋体" w:hint="default"/>
        </w:rPr>
        <w:t>1</w:t>
      </w:r>
      <w:r>
        <w:rPr/>
        <w:t>）资产的市价当期大幅度下跌，其跌幅明显高于因时间的推移或者正常使用而预计的下跌。</w:t>
      </w:r>
    </w:p>
    <w:p>
      <w:pPr>
        <w:spacing w:line="240" w:lineRule="auto" w:before="9"/>
        <w:rPr>
          <w:rFonts w:ascii="宋体" w:hAnsi="宋体" w:cs="宋体" w:eastAsia="宋体" w:hint="default"/>
          <w:sz w:val="17"/>
          <w:szCs w:val="17"/>
        </w:rPr>
      </w:pPr>
    </w:p>
    <w:p>
      <w:pPr>
        <w:pStyle w:val="BodyText"/>
        <w:spacing w:line="410" w:lineRule="auto"/>
        <w:ind w:left="154" w:right="1135" w:firstLine="420"/>
        <w:jc w:val="left"/>
      </w:pPr>
      <w:r>
        <w:rPr/>
        <w:t>（</w:t>
      </w:r>
      <w:r>
        <w:rPr>
          <w:rFonts w:ascii="宋体" w:hAnsi="宋体" w:cs="宋体" w:eastAsia="宋体" w:hint="default"/>
        </w:rPr>
        <w:t>2</w:t>
      </w:r>
      <w:r>
        <w:rPr/>
        <w:t>）企业经营所处的经济、技术或者法律等环境以及资产所处的市场在当期或者将在近期发生重大 变化，从而对企业产生不利影响。</w:t>
      </w:r>
    </w:p>
    <w:p>
      <w:pPr>
        <w:pStyle w:val="BodyText"/>
        <w:spacing w:line="410" w:lineRule="auto" w:before="82"/>
        <w:ind w:left="154" w:right="1135" w:firstLine="420"/>
        <w:jc w:val="left"/>
      </w:pPr>
      <w:r>
        <w:rPr/>
        <w:t>（</w:t>
      </w:r>
      <w:r>
        <w:rPr>
          <w:rFonts w:ascii="宋体" w:hAnsi="宋体" w:cs="宋体" w:eastAsia="宋体" w:hint="default"/>
        </w:rPr>
        <w:t>3</w:t>
      </w:r>
      <w:r>
        <w:rPr/>
        <w:t>）市场利率或者其他市场投资报酬率在当期已经提高，从而影响企业计算资产预计未来现金流量 现值的折现率，导致资产可收回金额大幅度降低。</w:t>
      </w:r>
    </w:p>
    <w:p>
      <w:pPr>
        <w:pStyle w:val="BodyText"/>
        <w:spacing w:line="240" w:lineRule="auto" w:before="85"/>
        <w:ind w:left="574" w:right="1135"/>
        <w:jc w:val="left"/>
      </w:pPr>
      <w:r>
        <w:rPr/>
        <w:t>（</w:t>
      </w:r>
      <w:r>
        <w:rPr>
          <w:rFonts w:ascii="宋体" w:hAnsi="宋体" w:cs="宋体" w:eastAsia="宋体" w:hint="default"/>
        </w:rPr>
        <w:t>4</w:t>
      </w:r>
      <w:r>
        <w:rPr/>
        <w:t>）有证据表明资产已经陈旧过时或者其实体已经损坏。</w:t>
      </w:r>
    </w:p>
    <w:p>
      <w:pPr>
        <w:spacing w:line="240" w:lineRule="auto" w:before="10"/>
        <w:rPr>
          <w:rFonts w:ascii="宋体" w:hAnsi="宋体" w:cs="宋体" w:eastAsia="宋体" w:hint="default"/>
          <w:sz w:val="17"/>
          <w:szCs w:val="17"/>
        </w:rPr>
      </w:pPr>
    </w:p>
    <w:p>
      <w:pPr>
        <w:pStyle w:val="BodyText"/>
        <w:spacing w:line="240" w:lineRule="auto"/>
        <w:ind w:left="574" w:right="1135"/>
        <w:jc w:val="left"/>
      </w:pPr>
      <w:r>
        <w:rPr/>
        <w:t>（</w:t>
      </w:r>
      <w:r>
        <w:rPr>
          <w:rFonts w:ascii="宋体" w:hAnsi="宋体" w:cs="宋体" w:eastAsia="宋体" w:hint="default"/>
        </w:rPr>
        <w:t>5</w:t>
      </w:r>
      <w:r>
        <w:rPr/>
        <w:t>）资产已经或者将被闲置、终止使用或者计划提前处置。</w:t>
      </w:r>
    </w:p>
    <w:p>
      <w:pPr>
        <w:spacing w:line="240" w:lineRule="auto" w:before="9"/>
        <w:rPr>
          <w:rFonts w:ascii="宋体" w:hAnsi="宋体" w:cs="宋体" w:eastAsia="宋体" w:hint="default"/>
          <w:sz w:val="17"/>
          <w:szCs w:val="17"/>
        </w:rPr>
      </w:pPr>
    </w:p>
    <w:p>
      <w:pPr>
        <w:pStyle w:val="BodyText"/>
        <w:spacing w:line="410" w:lineRule="auto"/>
        <w:ind w:left="154" w:right="1135" w:firstLine="420"/>
        <w:jc w:val="left"/>
      </w:pPr>
      <w:r>
        <w:rPr/>
        <w:t>（</w:t>
      </w:r>
      <w:r>
        <w:rPr>
          <w:rFonts w:ascii="宋体" w:hAnsi="宋体" w:cs="宋体" w:eastAsia="宋体" w:hint="default"/>
        </w:rPr>
        <w:t>6</w:t>
      </w:r>
      <w:r>
        <w:rPr/>
        <w:t>）企业内部报告的证据表明资产的经济绩效已经低于或者将低于预期，如资产所创造的净现金流 量或者实现的营业利润（或者亏损）远远低于（或者高于）预计金额等。</w:t>
      </w:r>
    </w:p>
    <w:p>
      <w:pPr>
        <w:pStyle w:val="BodyText"/>
        <w:spacing w:line="240" w:lineRule="auto" w:before="85"/>
        <w:ind w:left="574" w:right="1135"/>
        <w:jc w:val="left"/>
      </w:pPr>
      <w:r>
        <w:rPr/>
        <w:t>（</w:t>
      </w:r>
      <w:r>
        <w:rPr>
          <w:rFonts w:ascii="宋体" w:hAnsi="宋体" w:cs="宋体" w:eastAsia="宋体" w:hint="default"/>
        </w:rPr>
        <w:t>7</w:t>
      </w:r>
      <w:r>
        <w:rPr/>
        <w:t>）其他表明资产可能已经发生减值的迹象。</w:t>
      </w:r>
    </w:p>
    <w:p>
      <w:pPr>
        <w:pStyle w:val="BodyText"/>
        <w:spacing w:line="670" w:lineRule="atLeast" w:before="34"/>
        <w:ind w:left="574" w:right="0" w:hanging="420"/>
        <w:jc w:val="left"/>
      </w:pPr>
      <w:bookmarkStart w:name="18、长期待摊费用" w:id="190"/>
      <w:bookmarkEnd w:id="190"/>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本公司长期待摊费用是指已经支出，但应由当期及以后各期承担的摊销期限在</w:t>
      </w:r>
      <w:r>
        <w:rPr>
          <w:rFonts w:ascii="宋体" w:hAnsi="宋体" w:cs="宋体" w:eastAsia="宋体" w:hint="default"/>
          <w:spacing w:val="-1"/>
        </w:rPr>
        <w:t>1</w:t>
      </w:r>
      <w:r>
        <w:rPr>
          <w:spacing w:val="-1"/>
        </w:rPr>
        <w:t>年以上</w:t>
      </w:r>
      <w:r>
        <w:rPr>
          <w:rFonts w:ascii="宋体" w:hAnsi="宋体" w:cs="宋体" w:eastAsia="宋体" w:hint="default"/>
          <w:spacing w:val="-1"/>
        </w:rPr>
        <w:t>(</w:t>
      </w:r>
      <w:r>
        <w:rPr>
          <w:spacing w:val="-1"/>
        </w:rPr>
        <w:t>不含</w:t>
      </w:r>
      <w:r>
        <w:rPr>
          <w:rFonts w:ascii="宋体" w:hAnsi="宋体" w:cs="宋体" w:eastAsia="宋体" w:hint="default"/>
          <w:spacing w:val="-1"/>
        </w:rPr>
        <w:t>1</w:t>
      </w:r>
      <w:r>
        <w:rPr>
          <w:spacing w:val="-1"/>
        </w:rPr>
        <w:t>年</w:t>
      </w:r>
      <w:r>
        <w:rPr>
          <w:rFonts w:ascii="宋体" w:hAnsi="宋体" w:cs="宋体" w:eastAsia="宋体" w:hint="default"/>
          <w:spacing w:val="-1"/>
        </w:rPr>
        <w:t>)</w:t>
      </w:r>
      <w:r>
        <w:rPr>
          <w:spacing w:val="-1"/>
        </w:rPr>
        <w:t>的各</w:t>
      </w:r>
    </w:p>
    <w:p>
      <w:pPr>
        <w:spacing w:line="240" w:lineRule="auto" w:before="10"/>
        <w:rPr>
          <w:rFonts w:ascii="宋体" w:hAnsi="宋体" w:cs="宋体" w:eastAsia="宋体" w:hint="default"/>
          <w:sz w:val="14"/>
          <w:szCs w:val="14"/>
        </w:rPr>
      </w:pPr>
    </w:p>
    <w:p>
      <w:pPr>
        <w:pStyle w:val="BodyText"/>
        <w:spacing w:line="410" w:lineRule="auto"/>
        <w:ind w:right="0"/>
        <w:jc w:val="left"/>
      </w:pPr>
      <w:r>
        <w:rPr>
          <w:spacing w:val="-1"/>
        </w:rPr>
        <w:t>项费用，该等费用在受益期内平均摊销。如果长期待摊费用项目不能使以后会计期间受益，则将尚未摊销</w:t>
      </w:r>
      <w:r>
        <w:rPr>
          <w:spacing w:val="-83"/>
        </w:rPr>
        <w:t> </w:t>
      </w:r>
      <w:r>
        <w:rPr>
          <w:spacing w:val="-83"/>
        </w:rPr>
      </w:r>
      <w:r>
        <w:rPr/>
        <w:t>的该项目的摊余价值全部转入当期损益。</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19、职工薪酬" w:id="191"/>
      <w:bookmarkEnd w:id="191"/>
      <w:r>
        <w:rPr>
          <w:b w:val="0"/>
          <w:bCs w:val="0"/>
        </w:rPr>
      </w:r>
      <w:r>
        <w:rPr>
          <w:rFonts w:ascii="Times New Roman" w:hAnsi="Times New Roman" w:cs="Times New Roman" w:eastAsia="Times New Roman" w:hint="default"/>
        </w:rPr>
        <w:t>19</w:t>
      </w:r>
      <w:r>
        <w:rPr/>
        <w:t>、职工薪酬</w:t>
      </w:r>
      <w:r>
        <w:rPr>
          <w:b w:val="0"/>
          <w:bCs w:val="0"/>
        </w:rPr>
      </w:r>
    </w:p>
    <w:p>
      <w:pPr>
        <w:spacing w:line="690" w:lineRule="exact" w:before="17"/>
        <w:ind w:left="574" w:right="0" w:hanging="420"/>
        <w:jc w:val="left"/>
        <w:rPr>
          <w:rFonts w:ascii="宋体" w:hAnsi="宋体" w:cs="宋体" w:eastAsia="宋体" w:hint="default"/>
          <w:sz w:val="21"/>
          <w:szCs w:val="21"/>
        </w:rPr>
      </w:pPr>
      <w:bookmarkStart w:name="（1）短期薪酬的会计处理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短期薪酬主要包括工资、奖金、津贴和补贴、职工福利费、社会保险费及住房公积金、工会经费和职</w:t>
      </w:r>
    </w:p>
    <w:p>
      <w:pPr>
        <w:pStyle w:val="BodyText"/>
        <w:spacing w:line="410" w:lineRule="auto" w:before="84"/>
        <w:ind w:left="154" w:right="0"/>
        <w:jc w:val="left"/>
      </w:pPr>
      <w:r>
        <w:rPr>
          <w:spacing w:val="-1"/>
        </w:rPr>
        <w:t>工教育经费等与获得职工提供的服务相关的支出，在职工提供服务的会计期间，将实际发生的短期薪酬确</w:t>
      </w:r>
      <w:r>
        <w:rPr>
          <w:spacing w:val="-81"/>
        </w:rPr>
        <w:t> </w:t>
      </w:r>
      <w:r>
        <w:rPr>
          <w:spacing w:val="-81"/>
        </w:rPr>
      </w:r>
      <w:r>
        <w:rPr/>
        <w:t>认为负债，并按照受益对象计入当期损益或相关资产成本。</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1"/>
        </w:rPr>
        <w:t>离职后福利主要包括基本养老保险、失业保险、补充养老保险等，按照公司承担的风险和义务，分类</w:t>
      </w:r>
      <w:r>
        <w:rPr/>
        <w:t> </w:t>
      </w:r>
      <w:r>
        <w:rPr>
          <w:spacing w:val="-1"/>
        </w:rPr>
        <w:t>为设定提存计划。对于设定提存计划根据在资产负债日为换取职工在会计期间提供的服务而单独通过主体</w:t>
      </w:r>
    </w:p>
    <w:p>
      <w:pPr>
        <w:pStyle w:val="BodyText"/>
        <w:spacing w:line="240" w:lineRule="auto" w:before="47"/>
        <w:ind w:right="1135"/>
        <w:jc w:val="left"/>
      </w:pPr>
      <w:r>
        <w:rPr/>
        <w:t>缴存的提存金额确认为负债，并按照受益对象计入当期损益或相关资产成本。</w:t>
      </w:r>
    </w:p>
    <w:p>
      <w:pPr>
        <w:spacing w:after="0" w:line="240" w:lineRule="auto"/>
        <w:jc w:val="left"/>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0" w:firstLine="420"/>
        <w:jc w:val="left"/>
      </w:pPr>
      <w:r>
        <w:rPr/>
        <w:t>辞退福利是指如在职工劳动合同到期之前决定解除与职工的劳动关系，或为鼓励职工自愿接受裁减而 提出给予补偿的建议，如果本公司已经制定正式的解除劳动关系计划或提出自愿裁减建议，并即将实施，</w:t>
      </w:r>
      <w:r>
        <w:rPr>
          <w:spacing w:val="-35"/>
        </w:rPr>
        <w:t> </w:t>
      </w:r>
      <w:r>
        <w:rPr>
          <w:spacing w:val="-35"/>
        </w:rPr>
      </w:r>
      <w:r>
        <w:rPr/>
        <w:t>同时本公司不能单方面撤回解除劳动关系计划或裁减建议的，确认因解除与职工劳动关系给予补偿产生的</w:t>
      </w:r>
      <w:r>
        <w:rPr/>
        <w:t> 预计负债，计入当期损益。</w:t>
      </w:r>
    </w:p>
    <w:p>
      <w:pPr>
        <w:spacing w:line="240" w:lineRule="auto" w:before="5"/>
        <w:rPr>
          <w:rFonts w:ascii="宋体" w:hAnsi="宋体" w:cs="宋体" w:eastAsia="宋体" w:hint="default"/>
          <w:sz w:val="20"/>
          <w:szCs w:val="20"/>
        </w:rPr>
      </w:pPr>
    </w:p>
    <w:p>
      <w:pPr>
        <w:pStyle w:val="Heading6"/>
        <w:spacing w:line="240" w:lineRule="auto"/>
        <w:ind w:right="1135"/>
        <w:jc w:val="left"/>
        <w:rPr>
          <w:b w:val="0"/>
          <w:bCs w:val="0"/>
        </w:rPr>
      </w:pPr>
      <w:bookmarkStart w:name="20、预计负债" w:id="195"/>
      <w:bookmarkEnd w:id="195"/>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1131" w:firstLine="420"/>
        <w:jc w:val="both"/>
      </w:pPr>
      <w:r>
        <w:rPr>
          <w:spacing w:val="-1"/>
        </w:rPr>
        <w:t>当与对外担保、商业承兑汇票贴现、未决诉讼或仲裁、产品质量保证等或有事项相关的业务同时符合</w:t>
      </w:r>
      <w:r>
        <w:rPr/>
        <w:t> </w:t>
      </w:r>
      <w:r>
        <w:rPr>
          <w:spacing w:val="-1"/>
        </w:rPr>
        <w:t>以下条件时，本公司将其确认为负债：该义务是本公司承担的现时义务；该义务的履行很可能导致经济利</w:t>
      </w:r>
      <w:r>
        <w:rPr>
          <w:spacing w:val="-83"/>
        </w:rPr>
        <w:t> </w:t>
      </w:r>
      <w:r>
        <w:rPr>
          <w:spacing w:val="-83"/>
        </w:rPr>
      </w:r>
      <w:r>
        <w:rPr/>
        <w:t>益流出企业；该义务的金额能够可靠地计量。</w:t>
      </w:r>
    </w:p>
    <w:p>
      <w:pPr>
        <w:pStyle w:val="BodyText"/>
        <w:spacing w:line="408" w:lineRule="auto" w:before="82"/>
        <w:ind w:left="154" w:right="113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确定最佳估计数。每个资产负债表日对预计负债的账面价值进行复核，如有改变则对账面价值进行调整以</w:t>
      </w:r>
      <w:r>
        <w:rPr>
          <w:spacing w:val="-81"/>
        </w:rPr>
        <w:t> </w:t>
      </w:r>
      <w:r>
        <w:rPr>
          <w:spacing w:val="-81"/>
        </w:rPr>
      </w:r>
      <w:r>
        <w:rPr/>
        <w:t>反映当前最佳估计数。</w:t>
      </w:r>
    </w:p>
    <w:p>
      <w:pPr>
        <w:spacing w:line="240" w:lineRule="auto" w:before="7"/>
        <w:rPr>
          <w:rFonts w:ascii="宋体" w:hAnsi="宋体" w:cs="宋体" w:eastAsia="宋体" w:hint="default"/>
          <w:sz w:val="20"/>
          <w:szCs w:val="20"/>
        </w:rPr>
      </w:pPr>
    </w:p>
    <w:p>
      <w:pPr>
        <w:pStyle w:val="Heading6"/>
        <w:spacing w:line="240" w:lineRule="auto"/>
        <w:ind w:right="1135"/>
        <w:jc w:val="left"/>
        <w:rPr>
          <w:b w:val="0"/>
          <w:bCs w:val="0"/>
        </w:rPr>
      </w:pPr>
      <w:bookmarkStart w:name="21、收入" w:id="196"/>
      <w:bookmarkEnd w:id="196"/>
      <w:r>
        <w:rPr>
          <w:b w:val="0"/>
          <w:bCs w:val="0"/>
        </w:rPr>
      </w:r>
      <w:r>
        <w:rPr>
          <w:rFonts w:ascii="Times New Roman" w:hAnsi="Times New Roman" w:cs="Times New Roman" w:eastAsia="Times New Roman" w:hint="default"/>
        </w:rPr>
        <w:t>21</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1133" w:firstLine="420"/>
        <w:jc w:val="both"/>
      </w:pPr>
      <w:r>
        <w:rPr>
          <w:spacing w:val="-1"/>
        </w:rPr>
        <w:t>本公司的营业收入主要包括系统集成收入、技术服务收入、应用软件开发、金融专用设备相关、农村</w:t>
      </w:r>
      <w:r>
        <w:rPr/>
        <w:t> 地理信息服务等，收入确认原则如下：</w:t>
      </w:r>
    </w:p>
    <w:p>
      <w:pPr>
        <w:pStyle w:val="BodyText"/>
        <w:spacing w:line="410" w:lineRule="auto" w:before="82"/>
        <w:ind w:left="154" w:right="1131" w:firstLine="420"/>
        <w:jc w:val="both"/>
      </w:pPr>
      <w:r>
        <w:rPr>
          <w:spacing w:val="-1"/>
        </w:rPr>
        <w:t>本公司在已将商品所有权上的主要风险和报酬转移给购货方、本公司既没有保留通常与所有权相联系</w:t>
      </w:r>
      <w:r>
        <w:rPr/>
        <w:t> </w:t>
      </w:r>
      <w:r>
        <w:rPr>
          <w:spacing w:val="-1"/>
        </w:rPr>
        <w:t>的继续管理权、也没有对已售出的商品实施有效控制、收入的金额能够可靠地计量、相关的经济利益很可</w:t>
      </w:r>
      <w:r>
        <w:rPr>
          <w:spacing w:val="-83"/>
        </w:rPr>
        <w:t> </w:t>
      </w:r>
      <w:r>
        <w:rPr>
          <w:spacing w:val="-83"/>
        </w:rPr>
      </w:r>
      <w:r>
        <w:rPr/>
        <w:t>能流入企业、相关的已发生或将发生的成本能够可靠地计量时，确认销售商品收入的实现。</w:t>
      </w:r>
    </w:p>
    <w:p>
      <w:pPr>
        <w:pStyle w:val="BodyText"/>
        <w:spacing w:line="408" w:lineRule="auto" w:before="82"/>
        <w:ind w:right="1130" w:firstLine="420"/>
        <w:jc w:val="both"/>
      </w:pPr>
      <w:r>
        <w:rPr>
          <w:spacing w:val="-1"/>
        </w:rPr>
        <w:t>本公司在劳务总收入和总成本能够可靠地计量、与劳务相关的经济利益很可能流入本公司、劳务的完</w:t>
      </w:r>
      <w:r>
        <w:rPr/>
        <w:t> </w:t>
      </w:r>
      <w:r>
        <w:rPr>
          <w:spacing w:val="-5"/>
        </w:rPr>
        <w:t>成进度能够可靠地确定时，确认劳务收入的实现。在资产负债表日，提供劳务交易的结果能够可靠估计的，</w:t>
      </w:r>
      <w:r>
        <w:rPr>
          <w:spacing w:val="-101"/>
        </w:rPr>
        <w:t> </w:t>
      </w:r>
      <w:r>
        <w:rPr>
          <w:spacing w:val="-101"/>
        </w:rPr>
      </w:r>
      <w:r>
        <w:rPr>
          <w:spacing w:val="-1"/>
        </w:rPr>
        <w:t>依据外部阶段证明，按完工百分比法确认相关的劳务收入。完工百分比按已经发生的成本占估计总成本的</w:t>
      </w:r>
      <w:r>
        <w:rPr>
          <w:spacing w:val="-81"/>
        </w:rPr>
        <w:t> </w:t>
      </w:r>
      <w:r>
        <w:rPr>
          <w:spacing w:val="-81"/>
        </w:rPr>
      </w:r>
      <w:r>
        <w:rPr>
          <w:spacing w:val="-1"/>
        </w:rPr>
        <w:t>比例确认；提供劳务交易结果不能够可靠估计、已经发生的劳务成本预计能够得到补偿的，按已经发生的</w:t>
      </w:r>
      <w:r>
        <w:rPr>
          <w:spacing w:val="-83"/>
        </w:rPr>
        <w:t> </w:t>
      </w:r>
      <w:r>
        <w:rPr>
          <w:spacing w:val="-83"/>
        </w:rPr>
      </w:r>
      <w:r>
        <w:rPr>
          <w:spacing w:val="-1"/>
        </w:rPr>
        <w:t>能够得到补偿的劳务成本金额确认提供劳务收入，并结转已经发生的劳务成本；提供劳务交易结果不能够</w:t>
      </w:r>
      <w:r>
        <w:rPr>
          <w:spacing w:val="-81"/>
        </w:rPr>
        <w:t> </w:t>
      </w:r>
      <w:r>
        <w:rPr>
          <w:spacing w:val="-81"/>
        </w:rPr>
      </w:r>
      <w:r>
        <w:rPr>
          <w:spacing w:val="-1"/>
        </w:rPr>
        <w:t>可靠估计、已经发生的劳务成本预计全部不能得到补偿的，将已经发生的劳务成本计入当期损益，不确认</w:t>
      </w:r>
      <w:r>
        <w:rPr>
          <w:spacing w:val="-83"/>
        </w:rPr>
        <w:t> </w:t>
      </w:r>
      <w:r>
        <w:rPr>
          <w:spacing w:val="-83"/>
        </w:rPr>
      </w:r>
      <w:r>
        <w:rPr/>
        <w:t>提供劳务收入。</w:t>
      </w:r>
    </w:p>
    <w:p>
      <w:pPr>
        <w:pStyle w:val="BodyText"/>
        <w:spacing w:line="240" w:lineRule="auto" w:before="84"/>
        <w:ind w:left="573" w:right="0"/>
        <w:jc w:val="left"/>
      </w:pPr>
      <w:r>
        <w:rPr/>
        <w:t>与交易相关的经济利益很可能流入本公司、收入的金额能够可靠地计量时，确认让渡资产使用权收入</w:t>
      </w:r>
    </w:p>
    <w:p>
      <w:pPr>
        <w:spacing w:after="0" w:line="240"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154" w:right="0"/>
        <w:jc w:val="both"/>
      </w:pPr>
      <w:r>
        <w:rPr/>
        <w:t>的实现。</w:t>
      </w:r>
    </w:p>
    <w:p>
      <w:pPr>
        <w:spacing w:line="240" w:lineRule="auto" w:before="10"/>
        <w:rPr>
          <w:rFonts w:ascii="宋体" w:hAnsi="宋体" w:cs="宋体" w:eastAsia="宋体" w:hint="default"/>
          <w:sz w:val="17"/>
          <w:szCs w:val="17"/>
        </w:rPr>
      </w:pPr>
    </w:p>
    <w:p>
      <w:pPr>
        <w:pStyle w:val="BodyText"/>
        <w:spacing w:line="240" w:lineRule="auto"/>
        <w:ind w:left="574" w:right="1135"/>
        <w:jc w:val="left"/>
      </w:pPr>
      <w:r>
        <w:rPr/>
        <w:t>收入确认的具体处理方法：</w:t>
      </w:r>
    </w:p>
    <w:p>
      <w:pPr>
        <w:spacing w:line="240" w:lineRule="auto" w:before="12"/>
        <w:rPr>
          <w:rFonts w:ascii="宋体" w:hAnsi="宋体" w:cs="宋体" w:eastAsia="宋体" w:hint="default"/>
          <w:sz w:val="17"/>
          <w:szCs w:val="17"/>
        </w:rPr>
      </w:pPr>
    </w:p>
    <w:p>
      <w:pPr>
        <w:pStyle w:val="BodyText"/>
        <w:spacing w:line="441" w:lineRule="auto"/>
        <w:ind w:left="574" w:right="0"/>
        <w:jc w:val="left"/>
      </w:pPr>
      <w:r>
        <w:rPr/>
        <w:t>（</w:t>
      </w:r>
      <w:r>
        <w:rPr>
          <w:rFonts w:ascii="宋体" w:hAnsi="宋体" w:cs="宋体" w:eastAsia="宋体" w:hint="default"/>
        </w:rPr>
        <w:t>1</w:t>
      </w:r>
      <w:r>
        <w:rPr/>
        <w:t>）系统集成收入 </w:t>
      </w:r>
      <w:r>
        <w:rPr>
          <w:spacing w:val="-1"/>
        </w:rPr>
        <w:t>若系统集成业务所涉及的销售商品部分与提供劳务部分能分开且单独计量时，则销售商品收入在发货</w:t>
      </w:r>
    </w:p>
    <w:p>
      <w:pPr>
        <w:pStyle w:val="BodyText"/>
        <w:spacing w:line="408" w:lineRule="auto" w:before="16"/>
        <w:ind w:left="154" w:right="1130"/>
        <w:jc w:val="both"/>
      </w:pPr>
      <w:r>
        <w:rPr>
          <w:spacing w:val="-1"/>
        </w:rPr>
        <w:t>后并得到客户的收货证明时确认收入；对于能区分并能单独计量的劳务收入在资产负债表日，提供劳务交</w:t>
      </w:r>
      <w:r>
        <w:rPr>
          <w:spacing w:val="-81"/>
        </w:rPr>
        <w:t> </w:t>
      </w:r>
      <w:r>
        <w:rPr>
          <w:spacing w:val="-81"/>
        </w:rPr>
      </w:r>
      <w:r>
        <w:rPr>
          <w:spacing w:val="-1"/>
        </w:rPr>
        <w:t>易的结果能够可靠估计的，按完工百分比法确认相关的劳务收入；若由于业务特点销售商品部分与提供劳</w:t>
      </w:r>
      <w:r>
        <w:rPr>
          <w:spacing w:val="-81"/>
        </w:rPr>
        <w:t> </w:t>
      </w:r>
      <w:r>
        <w:rPr>
          <w:spacing w:val="-81"/>
        </w:rPr>
      </w:r>
      <w:r>
        <w:rPr>
          <w:spacing w:val="-1"/>
        </w:rPr>
        <w:t>务部分不能区分的，对于在同一个会计年度开始并完成的系统集成业务，系统集成收入在项目完工，并收</w:t>
      </w:r>
      <w:r>
        <w:rPr>
          <w:spacing w:val="-83"/>
        </w:rPr>
        <w:t> </w:t>
      </w:r>
      <w:r>
        <w:rPr>
          <w:spacing w:val="-83"/>
        </w:rPr>
      </w:r>
      <w:r>
        <w:rPr>
          <w:spacing w:val="-1"/>
        </w:rPr>
        <w:t>到客户的项目完工验收单时确认，对于系统集成业务的开始和完工分属不同的会计年度，且在资产负债表</w:t>
      </w:r>
      <w:r>
        <w:rPr>
          <w:spacing w:val="-81"/>
        </w:rPr>
        <w:t> </w:t>
      </w:r>
      <w:r>
        <w:rPr>
          <w:spacing w:val="-81"/>
        </w:rPr>
      </w:r>
      <w:r>
        <w:rPr/>
        <w:t>日，提供劳务交易的结果能够可靠估计的，按完工百分比法确认相关的劳务收入。</w:t>
      </w:r>
    </w:p>
    <w:p>
      <w:pPr>
        <w:pStyle w:val="BodyText"/>
        <w:spacing w:line="444" w:lineRule="auto" w:before="85"/>
        <w:ind w:left="574" w:right="0"/>
        <w:jc w:val="left"/>
      </w:pPr>
      <w:r>
        <w:rPr/>
        <w:t>（</w:t>
      </w:r>
      <w:r>
        <w:rPr>
          <w:rFonts w:ascii="宋体" w:hAnsi="宋体" w:cs="宋体" w:eastAsia="宋体" w:hint="default"/>
        </w:rPr>
        <w:t>2</w:t>
      </w:r>
      <w:r>
        <w:rPr/>
        <w:t>）技术服务、应用软件开发收入 </w:t>
      </w:r>
      <w:r>
        <w:rPr>
          <w:spacing w:val="-1"/>
        </w:rPr>
        <w:t>依据外部阶段证明，按照完工百分比法确认收入。对于在同一个会计年度开始并完成的业务，其收入</w:t>
      </w:r>
    </w:p>
    <w:p>
      <w:pPr>
        <w:pStyle w:val="BodyText"/>
        <w:spacing w:line="410" w:lineRule="auto" w:before="14"/>
        <w:ind w:left="154" w:right="1130"/>
        <w:jc w:val="both"/>
      </w:pPr>
      <w:r>
        <w:rPr>
          <w:spacing w:val="-1"/>
        </w:rPr>
        <w:t>在项目完工，并收到客户的项目完工验收单时确认，对于业务的开始和完工分属不同的会计年度，且在资</w:t>
      </w:r>
      <w:r>
        <w:rPr>
          <w:spacing w:val="-83"/>
        </w:rPr>
        <w:t> </w:t>
      </w:r>
      <w:r>
        <w:rPr>
          <w:spacing w:val="-83"/>
        </w:rPr>
      </w:r>
      <w:r>
        <w:rPr>
          <w:spacing w:val="-1"/>
        </w:rPr>
        <w:t>产负债表日，提供劳务交易的结果能够可靠估计的，按完工百分比法确认相关的劳务收入；对于软件产品</w:t>
      </w:r>
      <w:r>
        <w:rPr>
          <w:spacing w:val="-82"/>
        </w:rPr>
        <w:t> </w:t>
      </w:r>
      <w:r>
        <w:rPr>
          <w:spacing w:val="-82"/>
        </w:rPr>
      </w:r>
      <w:r>
        <w:rPr/>
        <w:t>的销售，以客户验收确认，作为销售收入的实现。</w:t>
      </w:r>
    </w:p>
    <w:p>
      <w:pPr>
        <w:pStyle w:val="BodyText"/>
        <w:spacing w:line="408" w:lineRule="auto" w:before="83"/>
        <w:ind w:left="154" w:right="1131" w:firstLine="420"/>
        <w:jc w:val="both"/>
      </w:pPr>
      <w:r>
        <w:rPr/>
        <w:t>（</w:t>
      </w:r>
      <w:r>
        <w:rPr>
          <w:rFonts w:ascii="宋体" w:hAnsi="宋体" w:cs="宋体" w:eastAsia="宋体" w:hint="default"/>
        </w:rPr>
        <w:t>3</w:t>
      </w:r>
      <w:r>
        <w:rPr/>
        <w:t>）金融专用设备相关业务收入：本公司在已将金融专用设备所有权上的主要风险和报酬转移给购 </w:t>
      </w:r>
      <w:r>
        <w:rPr>
          <w:spacing w:val="-1"/>
        </w:rPr>
        <w:t>货方、本公司既没有保留通常与所有权相联系的继续管理权、也没有对已售出的金融专用设备实施有效控</w:t>
      </w:r>
      <w:r>
        <w:rPr>
          <w:spacing w:val="-81"/>
        </w:rPr>
        <w:t> </w:t>
      </w:r>
      <w:r>
        <w:rPr>
          <w:spacing w:val="-81"/>
        </w:rPr>
      </w:r>
      <w:r>
        <w:rPr>
          <w:spacing w:val="-1"/>
        </w:rPr>
        <w:t>制、收入的金额能够可靠地计量、相关的经济利益很可能流入企业、相关的已发生或将发生的成本能够可</w:t>
      </w:r>
      <w:r>
        <w:rPr>
          <w:spacing w:val="-83"/>
        </w:rPr>
        <w:t> </w:t>
      </w:r>
      <w:r>
        <w:rPr>
          <w:spacing w:val="-83"/>
        </w:rPr>
      </w:r>
      <w:r>
        <w:rPr/>
        <w:t>靠地计量时，即发货时确认销售金融专用设备收入的实现。</w:t>
      </w:r>
    </w:p>
    <w:p>
      <w:pPr>
        <w:pStyle w:val="BodyText"/>
        <w:spacing w:line="444" w:lineRule="auto" w:before="85"/>
        <w:ind w:left="574" w:right="0"/>
        <w:jc w:val="left"/>
      </w:pPr>
      <w:r>
        <w:rPr/>
        <w:t>（</w:t>
      </w:r>
      <w:r>
        <w:rPr>
          <w:rFonts w:ascii="宋体" w:hAnsi="宋体" w:cs="宋体" w:eastAsia="宋体" w:hint="default"/>
        </w:rPr>
        <w:t>4</w:t>
      </w:r>
      <w:r>
        <w:rPr/>
        <w:t>）农村地理信息服务业务收入 </w:t>
      </w:r>
      <w:r>
        <w:rPr>
          <w:spacing w:val="-1"/>
        </w:rPr>
        <w:t>农村地理信息服务收入是指为用户采集、加工、提供或管理农村地理信息的服务，目前主要业务为农</w:t>
      </w:r>
    </w:p>
    <w:p>
      <w:pPr>
        <w:pStyle w:val="BodyText"/>
        <w:spacing w:line="444" w:lineRule="auto" w:before="16"/>
        <w:ind w:left="574" w:right="0" w:hanging="420"/>
        <w:jc w:val="left"/>
      </w:pPr>
      <w:r>
        <w:rPr/>
        <w:t>村土地承包经营权确权业务，该业务涉及电子政务和辅助支持决策的地理信息服务领域。 此类业务按照完工百分比法确认收入。完工百分比按照实际成本支出与预算成本支出的比例来确定。</w:t>
      </w:r>
    </w:p>
    <w:p>
      <w:pPr>
        <w:spacing w:line="240" w:lineRule="auto" w:before="13"/>
        <w:rPr>
          <w:rFonts w:ascii="宋体" w:hAnsi="宋体" w:cs="宋体" w:eastAsia="宋体" w:hint="default"/>
          <w:sz w:val="17"/>
          <w:szCs w:val="17"/>
        </w:rPr>
      </w:pPr>
    </w:p>
    <w:p>
      <w:pPr>
        <w:pStyle w:val="Heading6"/>
        <w:spacing w:line="240" w:lineRule="auto"/>
        <w:ind w:right="0"/>
        <w:jc w:val="both"/>
        <w:rPr>
          <w:b w:val="0"/>
          <w:bCs w:val="0"/>
        </w:rPr>
      </w:pPr>
      <w:bookmarkStart w:name="22、政府补助" w:id="197"/>
      <w:bookmarkEnd w:id="197"/>
      <w:r>
        <w:rPr>
          <w:b w:val="0"/>
          <w:bCs w:val="0"/>
        </w:rPr>
      </w:r>
      <w:r>
        <w:rPr>
          <w:rFonts w:ascii="Times New Roman" w:hAnsi="Times New Roman" w:cs="Times New Roman" w:eastAsia="Times New Roman" w:hint="default"/>
        </w:rPr>
        <w:t>22</w:t>
      </w:r>
      <w:r>
        <w:rPr/>
        <w:t>、政府补助</w:t>
      </w:r>
      <w:r>
        <w:rPr>
          <w:b w:val="0"/>
          <w:bCs w:val="0"/>
        </w:rPr>
      </w:r>
    </w:p>
    <w:p>
      <w:pPr>
        <w:spacing w:line="690" w:lineRule="exact" w:before="17"/>
        <w:ind w:left="574" w:right="0" w:hanging="420"/>
        <w:jc w:val="left"/>
        <w:rPr>
          <w:rFonts w:ascii="宋体" w:hAnsi="宋体" w:cs="宋体" w:eastAsia="宋体" w:hint="default"/>
          <w:sz w:val="21"/>
          <w:szCs w:val="21"/>
        </w:rPr>
      </w:pPr>
      <w:bookmarkStart w:name="（1）与资产相关的政府补助判断依据及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政府补助在本公司能够满足其所附的条件以及能够收到时予以确认。政府补助为货币性资产的，按照</w:t>
      </w:r>
    </w:p>
    <w:p>
      <w:pPr>
        <w:pStyle w:val="BodyText"/>
        <w:spacing w:line="410" w:lineRule="auto" w:before="85"/>
        <w:ind w:left="154" w:right="1131"/>
        <w:jc w:val="both"/>
      </w:pPr>
      <w:r>
        <w:rPr>
          <w:spacing w:val="-1"/>
        </w:rPr>
        <w:t>实际收到的金额计量，对于按照固定的定额标准拨付的补助，按照应收的金额计量；政府补助为非货币性</w:t>
      </w:r>
      <w:r>
        <w:rPr>
          <w:spacing w:val="-83"/>
        </w:rPr>
        <w:t> </w:t>
      </w:r>
      <w:r>
        <w:rPr>
          <w:spacing w:val="-83"/>
        </w:rPr>
      </w:r>
      <w:r>
        <w:rPr/>
        <w:t>资产的，按照公允价值计量，公允价值不能可靠取得的，按照名义金额</w:t>
      </w:r>
      <w:r>
        <w:rPr>
          <w:rFonts w:ascii="宋体" w:hAnsi="宋体" w:cs="宋体" w:eastAsia="宋体" w:hint="default"/>
        </w:rPr>
        <w:t>(1</w:t>
      </w:r>
      <w:r>
        <w:rPr/>
        <w:t>元</w:t>
      </w:r>
      <w:r>
        <w:rPr>
          <w:rFonts w:ascii="宋体" w:hAnsi="宋体" w:cs="宋体" w:eastAsia="宋体" w:hint="default"/>
        </w:rPr>
        <w:t>)</w:t>
      </w:r>
      <w:r>
        <w:rPr/>
        <w:t>计量。</w:t>
      </w:r>
    </w:p>
    <w:p>
      <w:pPr>
        <w:spacing w:after="0" w:line="410" w:lineRule="auto"/>
        <w:jc w:val="both"/>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574" w:right="1135"/>
        <w:jc w:val="left"/>
      </w:pPr>
      <w:r>
        <w:rPr/>
        <w:t>与资产相关的政府补助确认为递延收益，并在相关资产使用寿命内平均分配计入当期损益。</w:t>
      </w:r>
    </w:p>
    <w:p>
      <w:pPr>
        <w:spacing w:line="670" w:lineRule="atLeast" w:before="34"/>
        <w:ind w:left="574" w:right="0" w:hanging="420"/>
        <w:jc w:val="left"/>
        <w:rPr>
          <w:rFonts w:ascii="宋体" w:hAnsi="宋体" w:cs="宋体" w:eastAsia="宋体" w:hint="default"/>
          <w:sz w:val="21"/>
          <w:szCs w:val="21"/>
        </w:rPr>
      </w:pPr>
      <w:bookmarkStart w:name="（2）与收益相关的政府补助判断依据及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与收益相关的政府补助，用于补偿以后期间的相关费用或损失的，确认为递延收益，并在确认相关费</w:t>
      </w:r>
    </w:p>
    <w:p>
      <w:pPr>
        <w:spacing w:line="240" w:lineRule="auto" w:before="11"/>
        <w:rPr>
          <w:rFonts w:ascii="宋体" w:hAnsi="宋体" w:cs="宋体" w:eastAsia="宋体" w:hint="default"/>
          <w:sz w:val="14"/>
          <w:szCs w:val="14"/>
        </w:rPr>
      </w:pPr>
    </w:p>
    <w:p>
      <w:pPr>
        <w:pStyle w:val="BodyText"/>
        <w:spacing w:line="240" w:lineRule="auto"/>
        <w:ind w:left="154" w:right="1135"/>
        <w:jc w:val="left"/>
      </w:pPr>
      <w:r>
        <w:rPr/>
        <w:t>用的期间计入当期损益；用于补偿已发生的相关费用或损失的，直接计入当期损益。</w:t>
      </w:r>
    </w:p>
    <w:p>
      <w:pPr>
        <w:spacing w:line="670" w:lineRule="atLeast" w:before="34"/>
        <w:ind w:left="573" w:right="1135" w:hanging="420"/>
        <w:jc w:val="left"/>
        <w:rPr>
          <w:rFonts w:ascii="宋体" w:hAnsi="宋体" w:cs="宋体" w:eastAsia="宋体" w:hint="default"/>
          <w:sz w:val="21"/>
          <w:szCs w:val="21"/>
        </w:rPr>
      </w:pPr>
      <w:bookmarkStart w:name="23、递延所得税资产/递延所得税负债" w:id="200"/>
      <w:bookmarkEnd w:id="20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3"/>
          <w:sz w:val="21"/>
          <w:szCs w:val="21"/>
        </w:rPr>
        <w:t>递延所得税资产和递延所得税负债根据资产和负债的计税基础与其账面价值的差额</w:t>
      </w:r>
      <w:r>
        <w:rPr>
          <w:rFonts w:ascii="宋体" w:hAnsi="宋体" w:cs="宋体" w:eastAsia="宋体" w:hint="default"/>
          <w:spacing w:val="3"/>
          <w:sz w:val="21"/>
          <w:szCs w:val="21"/>
        </w:rPr>
        <w:t>(</w:t>
      </w:r>
      <w:r>
        <w:rPr>
          <w:rFonts w:ascii="宋体" w:hAnsi="宋体" w:cs="宋体" w:eastAsia="宋体" w:hint="default"/>
          <w:spacing w:val="3"/>
          <w:sz w:val="21"/>
          <w:szCs w:val="21"/>
        </w:rPr>
        <w:t>暂时性差异</w:t>
      </w:r>
      <w:r>
        <w:rPr>
          <w:rFonts w:ascii="宋体" w:hAnsi="宋体" w:cs="宋体" w:eastAsia="宋体" w:hint="default"/>
          <w:spacing w:val="3"/>
          <w:sz w:val="21"/>
          <w:szCs w:val="21"/>
        </w:rPr>
        <w:t>)</w:t>
      </w:r>
      <w:r>
        <w:rPr>
          <w:rFonts w:ascii="宋体" w:hAnsi="宋体" w:cs="宋体" w:eastAsia="宋体" w:hint="default"/>
          <w:spacing w:val="3"/>
          <w:sz w:val="21"/>
          <w:szCs w:val="21"/>
        </w:rPr>
        <w:t>计</w:t>
      </w:r>
    </w:p>
    <w:p>
      <w:pPr>
        <w:spacing w:line="240" w:lineRule="auto" w:before="10"/>
        <w:rPr>
          <w:rFonts w:ascii="宋体" w:hAnsi="宋体" w:cs="宋体" w:eastAsia="宋体" w:hint="default"/>
          <w:sz w:val="14"/>
          <w:szCs w:val="14"/>
        </w:rPr>
      </w:pPr>
    </w:p>
    <w:p>
      <w:pPr>
        <w:pStyle w:val="BodyText"/>
        <w:spacing w:line="410" w:lineRule="auto"/>
        <w:ind w:left="154" w:right="1131"/>
        <w:jc w:val="both"/>
      </w:pPr>
      <w:r>
        <w:rPr>
          <w:spacing w:val="-1"/>
        </w:rPr>
        <w:t>算确认。对于按照税法规定能够于以后年度抵减应纳税所得额的可抵扣亏损和税款抵减，视同暂时性差异</w:t>
      </w:r>
      <w:r>
        <w:rPr>
          <w:spacing w:val="-81"/>
        </w:rPr>
        <w:t> </w:t>
      </w:r>
      <w:r>
        <w:rPr>
          <w:spacing w:val="-81"/>
        </w:rPr>
      </w:r>
      <w:r>
        <w:rPr>
          <w:spacing w:val="-1"/>
        </w:rPr>
        <w:t>确认相应的递延所得税资产。于资产负债表日，递延所得税资产和递延所得税负债，按照预期收回该资产</w:t>
      </w:r>
      <w:r>
        <w:rPr>
          <w:spacing w:val="-83"/>
        </w:rPr>
        <w:t> </w:t>
      </w:r>
      <w:r>
        <w:rPr>
          <w:spacing w:val="-83"/>
        </w:rPr>
      </w:r>
      <w:r>
        <w:rPr/>
        <w:t>或清偿该负债期间的适用税率计量。</w:t>
      </w:r>
    </w:p>
    <w:p>
      <w:pPr>
        <w:pStyle w:val="BodyText"/>
        <w:spacing w:line="408" w:lineRule="auto" w:before="82"/>
        <w:ind w:left="154" w:right="1023" w:firstLine="420"/>
        <w:jc w:val="left"/>
      </w:pPr>
      <w:r>
        <w:rPr/>
        <w:t>本公司以很可能取得用来抵扣可抵扣暂时性差异的应纳税所得额为限，确认由可抵扣暂时性差异产生 的递延所得税资产。对已确认的递延所得税资产，当预计到未来期间很可能无法获得足够的应纳税所得额 </w:t>
      </w:r>
      <w:r>
        <w:rPr>
          <w:spacing w:val="-3"/>
        </w:rPr>
        <w:t>用以抵扣递延所得税资产时，应当减记递延所得税资产的账面价值。在很可能获得足够的应纳税所得额时，</w:t>
      </w:r>
      <w:r>
        <w:rPr>
          <w:spacing w:val="-92"/>
        </w:rPr>
        <w:t> </w:t>
      </w:r>
      <w:r>
        <w:rPr>
          <w:spacing w:val="-92"/>
        </w:rPr>
      </w:r>
      <w:r>
        <w:rPr/>
        <w:t>减记的金额予以转回。</w:t>
      </w:r>
    </w:p>
    <w:p>
      <w:pPr>
        <w:spacing w:line="240" w:lineRule="auto" w:before="7"/>
        <w:rPr>
          <w:rFonts w:ascii="宋体" w:hAnsi="宋体" w:cs="宋体" w:eastAsia="宋体" w:hint="default"/>
          <w:sz w:val="20"/>
          <w:szCs w:val="20"/>
        </w:rPr>
      </w:pPr>
    </w:p>
    <w:p>
      <w:pPr>
        <w:pStyle w:val="Heading6"/>
        <w:spacing w:line="240" w:lineRule="auto"/>
        <w:ind w:right="1135"/>
        <w:jc w:val="left"/>
        <w:rPr>
          <w:b w:val="0"/>
          <w:bCs w:val="0"/>
        </w:rPr>
      </w:pPr>
      <w:bookmarkStart w:name="24、租赁" w:id="201"/>
      <w:bookmarkEnd w:id="201"/>
      <w:r>
        <w:rPr>
          <w:b w:val="0"/>
          <w:bCs w:val="0"/>
        </w:rPr>
      </w:r>
      <w:r>
        <w:rPr>
          <w:rFonts w:ascii="Times New Roman" w:hAnsi="Times New Roman" w:cs="Times New Roman" w:eastAsia="Times New Roman" w:hint="default"/>
        </w:rPr>
        <w:t>24</w:t>
      </w:r>
      <w:r>
        <w:rPr/>
        <w:t>、租赁</w:t>
      </w:r>
      <w:r>
        <w:rPr>
          <w:b w:val="0"/>
          <w:bCs w:val="0"/>
        </w:rPr>
      </w:r>
    </w:p>
    <w:p>
      <w:pPr>
        <w:spacing w:line="692" w:lineRule="exact" w:before="15"/>
        <w:ind w:left="574" w:right="5292" w:hanging="420"/>
        <w:jc w:val="left"/>
        <w:rPr>
          <w:rFonts w:ascii="宋体" w:hAnsi="宋体" w:cs="宋体" w:eastAsia="宋体" w:hint="default"/>
          <w:sz w:val="21"/>
          <w:szCs w:val="21"/>
        </w:rPr>
      </w:pPr>
      <w:bookmarkStart w:name="（1）经营租赁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本公司在租赁开始日将租赁分为融资租赁和经营租赁。</w:t>
      </w:r>
    </w:p>
    <w:p>
      <w:pPr>
        <w:pStyle w:val="BodyText"/>
        <w:spacing w:line="410" w:lineRule="auto" w:before="122"/>
        <w:ind w:left="154" w:right="0" w:firstLine="420"/>
        <w:jc w:val="left"/>
      </w:pPr>
      <w:r>
        <w:rPr>
          <w:spacing w:val="-1"/>
        </w:rPr>
        <w:t>经营租赁是指除融资租赁以外的其他租赁。本公司作为承租方的租金在租赁期内的各个期间按直线法</w:t>
      </w:r>
      <w:r>
        <w:rPr/>
        <w:t> 计入相关资产成本或当期损益，本公司作为出租方的租金在租赁期内的各个期间按直线法确认为收入。</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131" w:firstLine="420"/>
        <w:jc w:val="both"/>
      </w:pPr>
      <w:r>
        <w:rPr>
          <w:spacing w:val="-1"/>
        </w:rPr>
        <w:t>融资租赁是指实质上转移了与资产所有权有关的全部风险和报酬的租赁。本公司作为承租方，在租赁</w:t>
      </w:r>
      <w:r>
        <w:rPr/>
        <w:t> </w:t>
      </w:r>
      <w:r>
        <w:rPr>
          <w:spacing w:val="-1"/>
        </w:rPr>
        <w:t>开始日，按租赁开始日租赁资产的公允价值与最低租赁付款额的现值两者中较低者，作为融资租入固定资</w:t>
      </w:r>
      <w:r>
        <w:rPr>
          <w:spacing w:val="-81"/>
        </w:rPr>
        <w:t> </w:t>
      </w:r>
      <w:r>
        <w:rPr>
          <w:spacing w:val="-81"/>
        </w:rPr>
      </w:r>
      <w:r>
        <w:rPr/>
        <w:t>产的入账价值，将最低租赁付款额作为长期应付款的入账价值，将两者的差额记录为未确认融资费用。</w:t>
      </w:r>
    </w:p>
    <w:p>
      <w:pPr>
        <w:spacing w:line="240" w:lineRule="auto" w:before="4"/>
        <w:rPr>
          <w:rFonts w:ascii="宋体" w:hAnsi="宋体" w:cs="宋体" w:eastAsia="宋体" w:hint="default"/>
          <w:sz w:val="20"/>
          <w:szCs w:val="20"/>
        </w:rPr>
      </w:pPr>
    </w:p>
    <w:p>
      <w:pPr>
        <w:pStyle w:val="Heading6"/>
        <w:spacing w:line="240" w:lineRule="auto"/>
        <w:ind w:left="153" w:right="1135"/>
        <w:jc w:val="left"/>
        <w:rPr>
          <w:b w:val="0"/>
          <w:bCs w:val="0"/>
        </w:rPr>
      </w:pPr>
      <w:bookmarkStart w:name="25、其他重要的会计政策和会计估计" w:id="204"/>
      <w:bookmarkEnd w:id="204"/>
      <w:r>
        <w:rPr>
          <w:b w:val="0"/>
          <w:bCs w:val="0"/>
        </w:rPr>
      </w:r>
      <w:r>
        <w:rPr>
          <w:rFonts w:ascii="Times New Roman" w:hAnsi="Times New Roman" w:cs="Times New Roman" w:eastAsia="Times New Roman" w:hint="default"/>
        </w:rPr>
        <w:t>25</w:t>
      </w:r>
      <w:r>
        <w:rPr/>
        <w:t>、其他重要的会计政策和会计估计</w:t>
      </w:r>
      <w:r>
        <w:rPr>
          <w:b w:val="0"/>
          <w:bCs w:val="0"/>
        </w:rPr>
      </w:r>
    </w:p>
    <w:p>
      <w:pPr>
        <w:spacing w:line="240" w:lineRule="auto" w:before="1"/>
        <w:rPr>
          <w:rFonts w:ascii="宋体" w:hAnsi="宋体" w:cs="宋体" w:eastAsia="宋体" w:hint="default"/>
          <w:b/>
          <w:bCs/>
          <w:sz w:val="30"/>
          <w:szCs w:val="30"/>
        </w:rPr>
      </w:pPr>
    </w:p>
    <w:p>
      <w:pPr>
        <w:pStyle w:val="Heading5"/>
        <w:spacing w:line="240" w:lineRule="auto"/>
        <w:ind w:left="594" w:right="1135"/>
        <w:jc w:val="left"/>
      </w:pPr>
      <w:r>
        <w:rPr/>
        <w:t>（</w:t>
      </w:r>
      <w:r>
        <w:rPr>
          <w:rFonts w:ascii="宋体" w:hAnsi="宋体" w:cs="宋体" w:eastAsia="宋体" w:hint="default"/>
        </w:rPr>
        <w:t>1</w:t>
      </w:r>
      <w:r>
        <w:rPr/>
        <w:t>）所得税的会计核算</w:t>
      </w:r>
    </w:p>
    <w:p>
      <w:pPr>
        <w:spacing w:after="0" w:line="240" w:lineRule="auto"/>
        <w:jc w:val="left"/>
        <w:sectPr>
          <w:pgSz w:w="11910" w:h="16840"/>
          <w:pgMar w:header="918" w:footer="1266" w:top="1160" w:bottom="1460" w:left="980" w:right="0"/>
        </w:sectPr>
      </w:pPr>
    </w:p>
    <w:p>
      <w:pPr>
        <w:spacing w:line="240" w:lineRule="auto" w:before="7"/>
        <w:rPr>
          <w:rFonts w:ascii="宋体" w:hAnsi="宋体" w:cs="宋体" w:eastAsia="宋体" w:hint="default"/>
          <w:sz w:val="23"/>
          <w:szCs w:val="23"/>
        </w:rPr>
      </w:pPr>
    </w:p>
    <w:p>
      <w:pPr>
        <w:pStyle w:val="BodyText"/>
        <w:spacing w:line="410" w:lineRule="auto" w:before="35"/>
        <w:ind w:left="154" w:right="1131" w:firstLine="420"/>
        <w:jc w:val="both"/>
      </w:pPr>
      <w:r>
        <w:rPr>
          <w:spacing w:val="-1"/>
        </w:rPr>
        <w:t>所得税的会计核算采用资产负债表债务法。所得税费用包括当期所得税和递延所得税。除将与直接计</w:t>
      </w:r>
      <w:r>
        <w:rPr/>
        <w:t> </w:t>
      </w:r>
      <w:r>
        <w:rPr>
          <w:spacing w:val="-1"/>
        </w:rPr>
        <w:t>入股东权益的交易和事项相关的当期所得税和递延所得税计入股东权益，以及企业合并产生的递延所得税</w:t>
      </w:r>
      <w:r>
        <w:rPr>
          <w:spacing w:val="-81"/>
        </w:rPr>
        <w:t> </w:t>
      </w:r>
      <w:r>
        <w:rPr>
          <w:spacing w:val="-81"/>
        </w:rPr>
      </w:r>
      <w:r>
        <w:rPr/>
        <w:t>调整商誉的账面价值外，其余的当期所得税和递延所得税费用或收益计入当期损益。</w:t>
      </w:r>
    </w:p>
    <w:p>
      <w:pPr>
        <w:pStyle w:val="BodyText"/>
        <w:spacing w:line="410" w:lineRule="auto" w:before="83"/>
        <w:ind w:right="0" w:firstLine="420"/>
        <w:jc w:val="left"/>
      </w:pPr>
      <w:r>
        <w:rPr/>
        <w:t>当期所得税是指企业按照税务规定计算确定的针对当期发生的交易和事项，应纳给税务部门的金额， 即应交所得税；递延所得税是指按照资产负债表债务法应予确认的递延所得税资产和递延所得税负债在年 末应有的金额相对于原已确认金额之间的差额。</w:t>
      </w:r>
    </w:p>
    <w:p>
      <w:pPr>
        <w:pStyle w:val="Heading5"/>
        <w:spacing w:line="240" w:lineRule="auto" w:before="77"/>
        <w:ind w:left="594" w:right="1135"/>
        <w:jc w:val="left"/>
      </w:pPr>
      <w:r>
        <w:rPr/>
        <w:t>（</w:t>
      </w:r>
      <w:r>
        <w:rPr>
          <w:rFonts w:ascii="Times New Roman" w:hAnsi="Times New Roman" w:cs="Times New Roman" w:eastAsia="Times New Roman" w:hint="default"/>
        </w:rPr>
        <w:t>2</w:t>
      </w:r>
      <w:r>
        <w:rPr/>
        <w:t>）终止经营</w:t>
      </w:r>
    </w:p>
    <w:p>
      <w:pPr>
        <w:spacing w:line="240" w:lineRule="auto" w:before="1"/>
        <w:rPr>
          <w:rFonts w:ascii="宋体" w:hAnsi="宋体" w:cs="宋体" w:eastAsia="宋体" w:hint="default"/>
          <w:sz w:val="16"/>
          <w:szCs w:val="16"/>
        </w:rPr>
      </w:pPr>
    </w:p>
    <w:p>
      <w:pPr>
        <w:pStyle w:val="BodyText"/>
        <w:spacing w:line="408" w:lineRule="auto"/>
        <w:ind w:right="1131" w:firstLine="420"/>
        <w:jc w:val="both"/>
      </w:pPr>
      <w:r>
        <w:rPr>
          <w:spacing w:val="-1"/>
        </w:rPr>
        <w:t>终止经营是指本公司已被处置或被划归为持有待售的、在经营和编制财务报表时能够单独区分的组成</w:t>
      </w:r>
      <w:r>
        <w:rPr/>
        <w:t> </w:t>
      </w:r>
      <w:r>
        <w:rPr>
          <w:spacing w:val="-1"/>
        </w:rPr>
        <w:t>部分，该组成部分按照本公司计划将整体或部分进行处置。同时满足下列条件的本公司组成部分被划归为</w:t>
      </w:r>
      <w:r>
        <w:rPr>
          <w:spacing w:val="-81"/>
        </w:rPr>
        <w:t> </w:t>
      </w:r>
      <w:r>
        <w:rPr>
          <w:spacing w:val="-81"/>
        </w:rPr>
      </w:r>
      <w:r>
        <w:rPr>
          <w:spacing w:val="-1"/>
        </w:rPr>
        <w:t>持有待售：本公司已经就处置该组成部分作出决议、本公司已经与受让方签订了不可撤销的转让协议以及</w:t>
      </w:r>
      <w:r>
        <w:rPr>
          <w:spacing w:val="-81"/>
        </w:rPr>
        <w:t> </w:t>
      </w:r>
      <w:r>
        <w:rPr>
          <w:spacing w:val="-81"/>
        </w:rPr>
      </w:r>
      <w:r>
        <w:rPr/>
        <w:t>该项转让将在一年内完成。</w:t>
      </w:r>
    </w:p>
    <w:p>
      <w:pPr>
        <w:spacing w:line="240" w:lineRule="auto" w:before="8"/>
        <w:rPr>
          <w:rFonts w:ascii="宋体" w:hAnsi="宋体" w:cs="宋体" w:eastAsia="宋体" w:hint="default"/>
          <w:sz w:val="18"/>
          <w:szCs w:val="18"/>
        </w:rPr>
      </w:pPr>
    </w:p>
    <w:p>
      <w:pPr>
        <w:pStyle w:val="Heading2"/>
        <w:spacing w:line="240" w:lineRule="auto"/>
        <w:ind w:right="1135"/>
        <w:jc w:val="left"/>
        <w:rPr>
          <w:b w:val="0"/>
          <w:bCs w:val="0"/>
        </w:rPr>
      </w:pPr>
      <w:bookmarkStart w:name="六、税项" w:id="205"/>
      <w:bookmarkEnd w:id="205"/>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主要税种及税率" w:id="206"/>
      <w:bookmarkEnd w:id="20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703"/>
        <w:gridCol w:w="4962"/>
        <w:gridCol w:w="2873"/>
      </w:tblGrid>
      <w:tr>
        <w:trPr>
          <w:trHeight w:val="438" w:hRule="exact"/>
        </w:trPr>
        <w:tc>
          <w:tcPr>
            <w:tcW w:w="17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right="7"/>
              <w:jc w:val="center"/>
              <w:rPr>
                <w:rFonts w:ascii="宋体" w:hAnsi="宋体" w:cs="宋体" w:eastAsia="宋体" w:hint="default"/>
                <w:sz w:val="18"/>
                <w:szCs w:val="18"/>
              </w:rPr>
            </w:pPr>
            <w:r>
              <w:rPr>
                <w:rFonts w:ascii="宋体" w:hAnsi="宋体" w:cs="宋体" w:eastAsia="宋体" w:hint="default"/>
                <w:sz w:val="18"/>
                <w:szCs w:val="18"/>
              </w:rPr>
              <w:t>税种</w:t>
            </w:r>
          </w:p>
        </w:tc>
        <w:tc>
          <w:tcPr>
            <w:tcW w:w="496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7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8"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54"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962" w:type="dxa"/>
            <w:tcBorders>
              <w:top w:val="single" w:sz="16" w:space="0" w:color="D9D9D9"/>
              <w:left w:val="single" w:sz="4" w:space="0" w:color="000000"/>
              <w:bottom w:val="single" w:sz="4" w:space="0" w:color="000000"/>
              <w:right w:val="single" w:sz="4" w:space="0" w:color="000000"/>
            </w:tcBorders>
          </w:tcPr>
          <w:p>
            <w:pPr>
              <w:pStyle w:val="TableParagraph"/>
              <w:spacing w:line="316" w:lineRule="auto" w:before="67"/>
              <w:ind w:left="4" w:right="7"/>
              <w:jc w:val="left"/>
              <w:rPr>
                <w:rFonts w:ascii="宋体" w:hAnsi="宋体" w:cs="宋体" w:eastAsia="宋体" w:hint="default"/>
                <w:sz w:val="18"/>
                <w:szCs w:val="18"/>
              </w:rPr>
            </w:pPr>
            <w:r>
              <w:rPr>
                <w:rFonts w:ascii="宋体" w:hAnsi="宋体" w:cs="宋体" w:eastAsia="宋体" w:hint="default"/>
                <w:spacing w:val="5"/>
                <w:sz w:val="18"/>
                <w:szCs w:val="18"/>
              </w:rPr>
              <w:t>应纳税增值额</w:t>
            </w:r>
            <w:r>
              <w:rPr>
                <w:rFonts w:ascii="宋体" w:hAnsi="宋体" w:cs="宋体" w:eastAsia="宋体" w:hint="default"/>
                <w:spacing w:val="5"/>
                <w:sz w:val="18"/>
                <w:szCs w:val="18"/>
              </w:rPr>
              <w:t>(</w:t>
            </w:r>
            <w:r>
              <w:rPr>
                <w:rFonts w:ascii="宋体" w:hAnsi="宋体" w:cs="宋体" w:eastAsia="宋体" w:hint="default"/>
                <w:spacing w:val="5"/>
                <w:sz w:val="18"/>
                <w:szCs w:val="18"/>
              </w:rPr>
              <w:t>应纳税额按应纳税销售额乘以适用税率扣除当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期允许抵扣的进项税后的余额计算</w:t>
            </w:r>
            <w:r>
              <w:rPr>
                <w:rFonts w:ascii="宋体" w:hAnsi="宋体" w:cs="宋体" w:eastAsia="宋体" w:hint="default"/>
                <w:sz w:val="18"/>
                <w:szCs w:val="18"/>
              </w:rPr>
              <w:t>)</w:t>
            </w:r>
          </w:p>
        </w:tc>
        <w:tc>
          <w:tcPr>
            <w:tcW w:w="2873"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3%</w:t>
            </w:r>
          </w:p>
        </w:tc>
      </w:tr>
      <w:tr>
        <w:trPr>
          <w:trHeight w:val="484"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3"/>
              <w:ind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2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85"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3"/>
              <w:ind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2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84"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2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sz w:val="18"/>
              </w:rPr>
              <w:t>3%</w:t>
            </w:r>
          </w:p>
        </w:tc>
      </w:tr>
      <w:tr>
        <w:trPr>
          <w:trHeight w:val="484"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3"/>
              <w:ind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28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sz w:val="18"/>
              </w:rPr>
              <w:t>2%</w:t>
            </w:r>
          </w:p>
        </w:tc>
      </w:tr>
      <w:tr>
        <w:trPr>
          <w:trHeight w:val="495" w:hRule="exact"/>
        </w:trPr>
        <w:tc>
          <w:tcPr>
            <w:tcW w:w="17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93"/>
              <w:ind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*1</w:t>
            </w:r>
          </w:p>
        </w:tc>
        <w:tc>
          <w:tcPr>
            <w:tcW w:w="4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16.5%</w:t>
            </w:r>
            <w:r>
              <w:rPr>
                <w:rFonts w:ascii="宋体" w:hAnsi="宋体" w:cs="宋体" w:eastAsia="宋体" w:hint="default"/>
                <w:sz w:val="18"/>
                <w:szCs w:val="18"/>
              </w:rPr>
              <w:t>、</w:t>
            </w:r>
            <w:r>
              <w:rPr>
                <w:rFonts w:ascii="宋体" w:hAnsi="宋体" w:cs="宋体" w:eastAsia="宋体" w:hint="default"/>
                <w:sz w:val="18"/>
                <w:szCs w:val="18"/>
              </w:rPr>
              <w:t>25%</w:t>
            </w:r>
          </w:p>
        </w:tc>
      </w:tr>
    </w:tbl>
    <w:p>
      <w:pPr>
        <w:spacing w:line="240" w:lineRule="auto" w:before="12"/>
        <w:rPr>
          <w:rFonts w:ascii="宋体" w:hAnsi="宋体" w:cs="宋体" w:eastAsia="宋体" w:hint="default"/>
          <w:b/>
          <w:bCs/>
          <w:sz w:val="4"/>
          <w:szCs w:val="4"/>
        </w:rPr>
      </w:pPr>
    </w:p>
    <w:p>
      <w:pPr>
        <w:spacing w:line="369" w:lineRule="auto" w:before="31"/>
        <w:ind w:left="153" w:right="1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、神州数码系统集成服务有限公司之子公司</w:t>
      </w:r>
      <w:r>
        <w:rPr>
          <w:rFonts w:ascii="宋体" w:hAnsi="宋体" w:cs="宋体" w:eastAsia="宋体" w:hint="default"/>
          <w:sz w:val="21"/>
          <w:szCs w:val="21"/>
        </w:rPr>
        <w:t>Digital</w:t>
      </w:r>
      <w:r>
        <w:rPr>
          <w:rFonts w:ascii="宋体" w:hAnsi="宋体" w:cs="宋体" w:eastAsia="宋体" w:hint="default"/>
          <w:spacing w:val="-25"/>
          <w:sz w:val="21"/>
          <w:szCs w:val="21"/>
        </w:rPr>
        <w:t> </w:t>
      </w:r>
      <w:r>
        <w:rPr>
          <w:rFonts w:ascii="宋体" w:hAnsi="宋体" w:cs="宋体" w:eastAsia="宋体" w:hint="default"/>
          <w:sz w:val="21"/>
          <w:szCs w:val="21"/>
        </w:rPr>
        <w:t>China</w:t>
      </w:r>
      <w:r>
        <w:rPr>
          <w:rFonts w:ascii="宋体" w:hAnsi="宋体" w:cs="宋体" w:eastAsia="宋体" w:hint="default"/>
          <w:spacing w:val="-25"/>
          <w:sz w:val="21"/>
          <w:szCs w:val="21"/>
        </w:rPr>
        <w:t> </w:t>
      </w:r>
      <w:r>
        <w:rPr>
          <w:rFonts w:ascii="宋体" w:hAnsi="宋体" w:cs="宋体" w:eastAsia="宋体" w:hint="default"/>
          <w:sz w:val="21"/>
          <w:szCs w:val="21"/>
        </w:rPr>
        <w:t>Software</w:t>
      </w:r>
      <w:r>
        <w:rPr>
          <w:rFonts w:ascii="宋体" w:hAnsi="宋体" w:cs="宋体" w:eastAsia="宋体" w:hint="default"/>
          <w:spacing w:val="-25"/>
          <w:sz w:val="21"/>
          <w:szCs w:val="21"/>
        </w:rPr>
        <w:t> </w:t>
      </w:r>
      <w:r>
        <w:rPr>
          <w:rFonts w:ascii="宋体" w:hAnsi="宋体" w:cs="宋体" w:eastAsia="宋体" w:hint="default"/>
          <w:sz w:val="21"/>
          <w:szCs w:val="21"/>
        </w:rPr>
        <w:t>(BVI)</w:t>
      </w:r>
      <w:r>
        <w:rPr>
          <w:rFonts w:ascii="宋体" w:hAnsi="宋体" w:cs="宋体" w:eastAsia="宋体" w:hint="default"/>
          <w:spacing w:val="-25"/>
          <w:sz w:val="21"/>
          <w:szCs w:val="21"/>
        </w:rPr>
        <w:t> </w:t>
      </w:r>
      <w:r>
        <w:rPr>
          <w:rFonts w:ascii="宋体" w:hAnsi="宋体" w:cs="宋体" w:eastAsia="宋体" w:hint="default"/>
          <w:sz w:val="21"/>
          <w:szCs w:val="21"/>
        </w:rPr>
        <w:t>Ltd.</w:t>
      </w:r>
      <w:r>
        <w:rPr>
          <w:rFonts w:ascii="宋体" w:hAnsi="宋体" w:cs="宋体" w:eastAsia="宋体" w:hint="default"/>
          <w:spacing w:val="-2"/>
          <w:sz w:val="21"/>
          <w:szCs w:val="21"/>
        </w:rPr>
        <w:t> </w:t>
      </w:r>
      <w:r>
        <w:rPr>
          <w:rFonts w:ascii="宋体" w:hAnsi="宋体" w:cs="宋体" w:eastAsia="宋体" w:hint="default"/>
          <w:sz w:val="22"/>
          <w:szCs w:val="22"/>
        </w:rPr>
        <w:t>为注册在英属</w:t>
      </w:r>
      <w:r>
        <w:rPr>
          <w:rFonts w:ascii="宋体" w:hAnsi="宋体" w:cs="宋体" w:eastAsia="宋体" w:hint="default"/>
          <w:w w:val="99"/>
          <w:sz w:val="22"/>
          <w:szCs w:val="22"/>
        </w:rPr>
        <w:t> </w:t>
      </w:r>
      <w:r>
        <w:rPr>
          <w:rFonts w:ascii="宋体" w:hAnsi="宋体" w:cs="宋体" w:eastAsia="宋体" w:hint="default"/>
          <w:sz w:val="22"/>
          <w:szCs w:val="22"/>
        </w:rPr>
        <w:t>维尔京群岛的离岸企业。按照当地税务法例，非当地经营所得利润以及资本利得，不缴纳利得税；</w:t>
      </w:r>
    </w:p>
    <w:p>
      <w:pPr>
        <w:pStyle w:val="BodyText"/>
        <w:spacing w:line="410" w:lineRule="auto" w:before="107"/>
        <w:ind w:right="1132" w:firstLine="420"/>
        <w:jc w:val="both"/>
      </w:pPr>
      <w:r>
        <w:rPr>
          <w:rFonts w:ascii="宋体" w:hAnsi="宋体" w:cs="宋体" w:eastAsia="宋体" w:hint="default"/>
        </w:rPr>
        <w:t>Digital</w:t>
      </w:r>
      <w:r>
        <w:rPr>
          <w:rFonts w:ascii="宋体" w:hAnsi="宋体" w:cs="宋体" w:eastAsia="宋体" w:hint="default"/>
          <w:spacing w:val="-27"/>
        </w:rPr>
        <w:t> </w:t>
      </w:r>
      <w:r>
        <w:rPr>
          <w:rFonts w:ascii="宋体" w:hAnsi="宋体" w:cs="宋体" w:eastAsia="宋体" w:hint="default"/>
        </w:rPr>
        <w:t>China</w:t>
      </w:r>
      <w:r>
        <w:rPr>
          <w:rFonts w:ascii="宋体" w:hAnsi="宋体" w:cs="宋体" w:eastAsia="宋体" w:hint="default"/>
          <w:spacing w:val="-27"/>
        </w:rPr>
        <w:t> </w:t>
      </w:r>
      <w:r>
        <w:rPr>
          <w:rFonts w:ascii="宋体" w:hAnsi="宋体" w:cs="宋体" w:eastAsia="宋体" w:hint="default"/>
        </w:rPr>
        <w:t>Software</w:t>
      </w:r>
      <w:r>
        <w:rPr>
          <w:rFonts w:ascii="宋体" w:hAnsi="宋体" w:cs="宋体" w:eastAsia="宋体" w:hint="default"/>
          <w:spacing w:val="-27"/>
        </w:rPr>
        <w:t> </w:t>
      </w:r>
      <w:r>
        <w:rPr>
          <w:rFonts w:ascii="宋体" w:hAnsi="宋体" w:cs="宋体" w:eastAsia="宋体" w:hint="default"/>
        </w:rPr>
        <w:t>(BVI)</w:t>
      </w:r>
      <w:r>
        <w:rPr>
          <w:rFonts w:ascii="宋体" w:hAnsi="宋体" w:cs="宋体" w:eastAsia="宋体" w:hint="default"/>
          <w:spacing w:val="-27"/>
        </w:rPr>
        <w:t> </w:t>
      </w:r>
      <w:r>
        <w:rPr>
          <w:rFonts w:ascii="宋体" w:hAnsi="宋体" w:cs="宋体" w:eastAsia="宋体" w:hint="default"/>
        </w:rPr>
        <w:t>Ltd.</w:t>
      </w:r>
      <w:r>
        <w:rPr/>
        <w:t>之子公司</w:t>
      </w:r>
      <w:r>
        <w:rPr>
          <w:rFonts w:ascii="宋体" w:hAnsi="宋体" w:cs="宋体" w:eastAsia="宋体" w:hint="default"/>
        </w:rPr>
        <w:t>Digital</w:t>
      </w:r>
      <w:r>
        <w:rPr>
          <w:rFonts w:ascii="宋体" w:hAnsi="宋体" w:cs="宋体" w:eastAsia="宋体" w:hint="default"/>
          <w:spacing w:val="-27"/>
        </w:rPr>
        <w:t> </w:t>
      </w:r>
      <w:r>
        <w:rPr>
          <w:rFonts w:ascii="宋体" w:hAnsi="宋体" w:cs="宋体" w:eastAsia="宋体" w:hint="default"/>
        </w:rPr>
        <w:t>China</w:t>
      </w:r>
      <w:r>
        <w:rPr>
          <w:rFonts w:ascii="宋体" w:hAnsi="宋体" w:cs="宋体" w:eastAsia="宋体" w:hint="default"/>
          <w:spacing w:val="-27"/>
        </w:rPr>
        <w:t> </w:t>
      </w:r>
      <w:r>
        <w:rPr>
          <w:rFonts w:ascii="宋体" w:hAnsi="宋体" w:cs="宋体" w:eastAsia="宋体" w:hint="default"/>
        </w:rPr>
        <w:t>Financial</w:t>
      </w:r>
      <w:r>
        <w:rPr>
          <w:rFonts w:ascii="宋体" w:hAnsi="宋体" w:cs="宋体" w:eastAsia="宋体" w:hint="default"/>
          <w:spacing w:val="-28"/>
        </w:rPr>
        <w:t> </w:t>
      </w:r>
      <w:r>
        <w:rPr>
          <w:rFonts w:ascii="宋体" w:hAnsi="宋体" w:cs="宋体" w:eastAsia="宋体" w:hint="default"/>
        </w:rPr>
        <w:t>Service</w:t>
      </w:r>
      <w:r>
        <w:rPr>
          <w:rFonts w:ascii="宋体" w:hAnsi="宋体" w:cs="宋体" w:eastAsia="宋体" w:hint="default"/>
          <w:spacing w:val="-27"/>
        </w:rPr>
        <w:t> </w:t>
      </w:r>
      <w:r>
        <w:rPr>
          <w:rFonts w:ascii="宋体" w:hAnsi="宋体" w:cs="宋体" w:eastAsia="宋体" w:hint="default"/>
        </w:rPr>
        <w:t>Holding</w:t>
      </w:r>
      <w:r>
        <w:rPr>
          <w:rFonts w:ascii="宋体" w:hAnsi="宋体" w:cs="宋体" w:eastAsia="宋体" w:hint="default"/>
          <w:spacing w:val="-27"/>
        </w:rPr>
        <w:t> </w:t>
      </w:r>
      <w:r>
        <w:rPr>
          <w:rFonts w:ascii="宋体" w:hAnsi="宋体" w:cs="宋体" w:eastAsia="宋体" w:hint="default"/>
        </w:rPr>
        <w:t>Limited</w:t>
      </w:r>
      <w:r>
        <w:rPr/>
        <w:t>、 </w:t>
      </w:r>
      <w:r>
        <w:rPr>
          <w:rFonts w:ascii="宋体" w:hAnsi="宋体" w:cs="宋体" w:eastAsia="宋体" w:hint="default"/>
        </w:rPr>
        <w:t>Digital China Guo Feng Holding</w:t>
      </w:r>
      <w:r>
        <w:rPr>
          <w:rFonts w:ascii="宋体" w:hAnsi="宋体" w:cs="宋体" w:eastAsia="宋体" w:hint="default"/>
          <w:spacing w:val="-26"/>
        </w:rPr>
        <w:t> </w:t>
      </w:r>
      <w:r>
        <w:rPr>
          <w:rFonts w:ascii="宋体" w:hAnsi="宋体" w:cs="宋体" w:eastAsia="宋体" w:hint="default"/>
        </w:rPr>
        <w:t>Limited</w:t>
      </w:r>
      <w:r>
        <w:rPr/>
        <w:t>为香港居民企业，其所得税适用香港税务法例。按照香港税务 法例，其适用利得税税率为</w:t>
      </w:r>
      <w:r>
        <w:rPr>
          <w:rFonts w:ascii="宋体" w:hAnsi="宋体" w:cs="宋体" w:eastAsia="宋体" w:hint="default"/>
        </w:rPr>
        <w:t>16.5%</w:t>
      </w:r>
      <w:r>
        <w:rPr/>
        <w:t>。</w:t>
      </w:r>
    </w:p>
    <w:p>
      <w:pPr>
        <w:spacing w:after="0" w:line="410" w:lineRule="auto"/>
        <w:jc w:val="both"/>
        <w:sectPr>
          <w:pgSz w:w="11910" w:h="16840"/>
          <w:pgMar w:header="918" w:footer="1266" w:top="1160" w:bottom="1460" w:left="980" w:right="0"/>
        </w:sectPr>
      </w:pPr>
    </w:p>
    <w:p>
      <w:pPr>
        <w:spacing w:line="240" w:lineRule="auto" w:before="3"/>
        <w:rPr>
          <w:rFonts w:ascii="宋体" w:hAnsi="宋体" w:cs="宋体" w:eastAsia="宋体" w:hint="default"/>
          <w:sz w:val="23"/>
          <w:szCs w:val="23"/>
        </w:rPr>
      </w:pPr>
    </w:p>
    <w:p>
      <w:pPr>
        <w:pStyle w:val="Heading5"/>
        <w:spacing w:line="240" w:lineRule="auto" w:before="31"/>
        <w:ind w:left="594" w:right="1135"/>
        <w:jc w:val="left"/>
      </w:pPr>
      <w:r>
        <w:rPr/>
        <w:t>不同企业所得税税率纳税主体说明：</w:t>
      </w:r>
    </w:p>
    <w:p>
      <w:pPr>
        <w:spacing w:line="240" w:lineRule="auto" w:before="6"/>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545"/>
        <w:gridCol w:w="4993"/>
      </w:tblGrid>
      <w:tr>
        <w:trPr>
          <w:trHeight w:val="459" w:hRule="exact"/>
        </w:trPr>
        <w:tc>
          <w:tcPr>
            <w:tcW w:w="454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纳税主体名称</w:t>
            </w:r>
          </w:p>
        </w:tc>
        <w:tc>
          <w:tcPr>
            <w:tcW w:w="499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所得税税率</w:t>
            </w:r>
          </w:p>
        </w:tc>
      </w:tr>
      <w:tr>
        <w:trPr>
          <w:trHeight w:val="520"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1"/>
              <w:ind w:right="0"/>
              <w:jc w:val="left"/>
              <w:rPr>
                <w:rFonts w:ascii="宋体" w:hAnsi="宋体" w:cs="宋体" w:eastAsia="宋体" w:hint="default"/>
                <w:sz w:val="20"/>
                <w:szCs w:val="20"/>
              </w:rPr>
            </w:pPr>
            <w:r>
              <w:rPr>
                <w:rFonts w:ascii="宋体" w:hAnsi="宋体" w:cs="宋体" w:eastAsia="宋体" w:hint="default"/>
                <w:sz w:val="20"/>
                <w:szCs w:val="20"/>
              </w:rPr>
              <w:t>神州数码系统集成服务有限公司</w:t>
            </w:r>
          </w:p>
        </w:tc>
        <w:tc>
          <w:tcPr>
            <w:tcW w:w="4993"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81"/>
              <w:ind w:left="9" w:right="0"/>
              <w:jc w:val="center"/>
              <w:rPr>
                <w:rFonts w:ascii="宋体" w:hAnsi="宋体" w:cs="宋体" w:eastAsia="宋体" w:hint="default"/>
                <w:sz w:val="20"/>
                <w:szCs w:val="20"/>
              </w:rPr>
            </w:pPr>
            <w:r>
              <w:rPr>
                <w:rFonts w:ascii="宋体"/>
                <w:sz w:val="20"/>
              </w:rPr>
              <w:t>15%</w:t>
            </w:r>
          </w:p>
        </w:tc>
      </w:tr>
      <w:tr>
        <w:trPr>
          <w:trHeight w:val="464"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5"/>
              <w:ind w:right="0"/>
              <w:jc w:val="left"/>
              <w:rPr>
                <w:rFonts w:ascii="宋体" w:hAnsi="宋体" w:cs="宋体" w:eastAsia="宋体" w:hint="default"/>
                <w:sz w:val="20"/>
                <w:szCs w:val="20"/>
              </w:rPr>
            </w:pPr>
            <w:r>
              <w:rPr>
                <w:rFonts w:ascii="宋体" w:hAnsi="宋体" w:cs="宋体" w:eastAsia="宋体" w:hint="default"/>
                <w:sz w:val="20"/>
                <w:szCs w:val="20"/>
              </w:rPr>
              <w:t>神州数码信息系统有限公司</w:t>
            </w:r>
          </w:p>
        </w:tc>
        <w:tc>
          <w:tcPr>
            <w:tcW w:w="4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left="9" w:right="0"/>
              <w:jc w:val="center"/>
              <w:rPr>
                <w:rFonts w:ascii="宋体" w:hAnsi="宋体" w:cs="宋体" w:eastAsia="宋体" w:hint="default"/>
                <w:sz w:val="20"/>
                <w:szCs w:val="20"/>
              </w:rPr>
            </w:pPr>
            <w:r>
              <w:rPr>
                <w:rFonts w:ascii="宋体"/>
                <w:sz w:val="20"/>
              </w:rPr>
              <w:t>15%</w:t>
            </w:r>
          </w:p>
        </w:tc>
      </w:tr>
      <w:tr>
        <w:trPr>
          <w:trHeight w:val="484"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hAnsi="宋体" w:cs="宋体" w:eastAsia="宋体" w:hint="default"/>
                <w:sz w:val="20"/>
                <w:szCs w:val="20"/>
              </w:rPr>
              <w:t>神州数码国信信息技术（苏州）有限公司</w:t>
            </w:r>
          </w:p>
        </w:tc>
        <w:tc>
          <w:tcPr>
            <w:tcW w:w="4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0"/>
                <w:szCs w:val="20"/>
              </w:rPr>
            </w:pPr>
            <w:r>
              <w:rPr>
                <w:rFonts w:ascii="宋体"/>
                <w:sz w:val="20"/>
              </w:rPr>
              <w:t>15%</w:t>
            </w:r>
          </w:p>
        </w:tc>
      </w:tr>
      <w:tr>
        <w:trPr>
          <w:trHeight w:val="484"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hAnsi="宋体" w:cs="宋体" w:eastAsia="宋体" w:hint="default"/>
                <w:sz w:val="20"/>
                <w:szCs w:val="20"/>
              </w:rPr>
              <w:t>神州数码融信软件有限公司</w:t>
            </w:r>
          </w:p>
        </w:tc>
        <w:tc>
          <w:tcPr>
            <w:tcW w:w="4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0"/>
                <w:szCs w:val="20"/>
              </w:rPr>
            </w:pPr>
            <w:r>
              <w:rPr>
                <w:rFonts w:ascii="宋体"/>
                <w:sz w:val="20"/>
              </w:rPr>
              <w:t>15%</w:t>
            </w:r>
          </w:p>
        </w:tc>
      </w:tr>
      <w:tr>
        <w:trPr>
          <w:trHeight w:val="484"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sz w:val="20"/>
              </w:rPr>
              <w:t>Digital China Advanced Systems</w:t>
            </w:r>
            <w:r>
              <w:rPr>
                <w:rFonts w:ascii="宋体"/>
                <w:spacing w:val="-5"/>
                <w:sz w:val="20"/>
              </w:rPr>
              <w:t> </w:t>
            </w:r>
            <w:r>
              <w:rPr>
                <w:rFonts w:ascii="宋体"/>
                <w:sz w:val="20"/>
              </w:rPr>
              <w:t>Limited</w:t>
            </w:r>
          </w:p>
        </w:tc>
        <w:tc>
          <w:tcPr>
            <w:tcW w:w="4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0"/>
                <w:szCs w:val="20"/>
              </w:rPr>
            </w:pPr>
            <w:r>
              <w:rPr>
                <w:rFonts w:ascii="宋体"/>
                <w:sz w:val="20"/>
              </w:rPr>
              <w:t>0%</w:t>
            </w:r>
          </w:p>
        </w:tc>
      </w:tr>
      <w:tr>
        <w:trPr>
          <w:trHeight w:val="484" w:hRule="exact"/>
        </w:trPr>
        <w:tc>
          <w:tcPr>
            <w:tcW w:w="4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hAnsi="宋体" w:cs="宋体" w:eastAsia="宋体" w:hint="default"/>
                <w:sz w:val="20"/>
                <w:szCs w:val="20"/>
              </w:rPr>
              <w:t>神州数码金信科技股份有限公司</w:t>
            </w:r>
          </w:p>
        </w:tc>
        <w:tc>
          <w:tcPr>
            <w:tcW w:w="4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0"/>
                <w:szCs w:val="20"/>
              </w:rPr>
            </w:pPr>
            <w:r>
              <w:rPr>
                <w:rFonts w:ascii="宋体"/>
                <w:sz w:val="20"/>
              </w:rPr>
              <w:t>15%</w:t>
            </w:r>
          </w:p>
        </w:tc>
      </w:tr>
      <w:tr>
        <w:trPr>
          <w:trHeight w:val="494" w:hRule="exact"/>
        </w:trPr>
        <w:tc>
          <w:tcPr>
            <w:tcW w:w="454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hAnsi="宋体" w:cs="宋体" w:eastAsia="宋体" w:hint="default"/>
                <w:sz w:val="20"/>
                <w:szCs w:val="20"/>
              </w:rPr>
              <w:t>北京中农信达信息技术有限公司</w:t>
            </w:r>
          </w:p>
        </w:tc>
        <w:tc>
          <w:tcPr>
            <w:tcW w:w="49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6"/>
              <w:ind w:left="9" w:right="0"/>
              <w:jc w:val="center"/>
              <w:rPr>
                <w:rFonts w:ascii="宋体" w:hAnsi="宋体" w:cs="宋体" w:eastAsia="宋体" w:hint="default"/>
                <w:sz w:val="20"/>
                <w:szCs w:val="20"/>
              </w:rPr>
            </w:pPr>
            <w:r>
              <w:rPr>
                <w:rFonts w:ascii="宋体"/>
                <w:sz w:val="20"/>
              </w:rPr>
              <w:t>15%</w:t>
            </w:r>
          </w:p>
        </w:tc>
      </w:tr>
    </w:tbl>
    <w:p>
      <w:pPr>
        <w:spacing w:line="240" w:lineRule="auto" w:before="12"/>
        <w:rPr>
          <w:rFonts w:ascii="宋体" w:hAnsi="宋体" w:cs="宋体" w:eastAsia="宋体" w:hint="default"/>
          <w:sz w:val="4"/>
          <w:szCs w:val="4"/>
        </w:rPr>
      </w:pPr>
    </w:p>
    <w:p>
      <w:pPr>
        <w:pStyle w:val="Heading5"/>
        <w:spacing w:line="240" w:lineRule="auto" w:before="31"/>
        <w:ind w:left="594" w:right="1135"/>
        <w:jc w:val="left"/>
      </w:pPr>
      <w:r>
        <w:rPr/>
        <w:t>注：本公司及除上表中的其他子公司适用所得税税率</w:t>
      </w:r>
      <w:r>
        <w:rPr>
          <w:rFonts w:ascii="Times New Roman" w:hAnsi="Times New Roman" w:cs="Times New Roman" w:eastAsia="Times New Roman" w:hint="default"/>
        </w:rPr>
        <w:t>25%</w:t>
      </w:r>
      <w:r>
        <w:rPr/>
        <w:t>。</w:t>
      </w:r>
    </w:p>
    <w:p>
      <w:pPr>
        <w:spacing w:line="240" w:lineRule="auto" w:before="1"/>
        <w:rPr>
          <w:rFonts w:ascii="宋体" w:hAnsi="宋体" w:cs="宋体" w:eastAsia="宋体" w:hint="default"/>
          <w:sz w:val="30"/>
          <w:szCs w:val="30"/>
        </w:rPr>
      </w:pPr>
    </w:p>
    <w:p>
      <w:pPr>
        <w:pStyle w:val="Heading6"/>
        <w:spacing w:line="240" w:lineRule="auto"/>
        <w:ind w:left="153" w:right="1135"/>
        <w:jc w:val="left"/>
        <w:rPr>
          <w:b w:val="0"/>
          <w:bCs w:val="0"/>
        </w:rPr>
      </w:pPr>
      <w:bookmarkStart w:name="2、税收优惠" w:id="207"/>
      <w:bookmarkEnd w:id="20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3"/>
        <w:rPr>
          <w:rFonts w:ascii="宋体" w:hAnsi="宋体" w:cs="宋体" w:eastAsia="宋体" w:hint="default"/>
          <w:b/>
          <w:bCs/>
          <w:sz w:val="29"/>
          <w:szCs w:val="29"/>
        </w:rPr>
      </w:pPr>
    </w:p>
    <w:p>
      <w:pPr>
        <w:pStyle w:val="Heading5"/>
        <w:spacing w:line="240" w:lineRule="auto"/>
        <w:ind w:left="594" w:right="1135"/>
        <w:jc w:val="left"/>
      </w:pPr>
      <w:r>
        <w:rPr/>
        <w:t>（</w:t>
      </w:r>
      <w:r>
        <w:rPr>
          <w:rFonts w:ascii="Times New Roman" w:hAnsi="Times New Roman" w:cs="Times New Roman" w:eastAsia="Times New Roman" w:hint="default"/>
        </w:rPr>
        <w:t>1</w:t>
      </w:r>
      <w:r>
        <w:rPr/>
        <w:t>）企业所得税</w:t>
      </w:r>
    </w:p>
    <w:p>
      <w:pPr>
        <w:spacing w:line="240" w:lineRule="auto" w:before="2"/>
        <w:rPr>
          <w:rFonts w:ascii="宋体" w:hAnsi="宋体" w:cs="宋体" w:eastAsia="宋体" w:hint="default"/>
          <w:sz w:val="16"/>
          <w:szCs w:val="16"/>
        </w:rPr>
      </w:pPr>
    </w:p>
    <w:p>
      <w:pPr>
        <w:pStyle w:val="BodyText"/>
        <w:spacing w:line="408" w:lineRule="auto"/>
        <w:ind w:right="1129" w:firstLine="420"/>
        <w:jc w:val="both"/>
      </w:pPr>
      <w:r>
        <w:rPr/>
        <w:t>本公司之子公司神州数码系统集成服务有限公司</w:t>
      </w:r>
      <w:r>
        <w:rPr>
          <w:rFonts w:ascii="宋体" w:hAnsi="宋体" w:cs="宋体" w:eastAsia="宋体" w:hint="default"/>
        </w:rPr>
        <w:t>2009</w:t>
      </w:r>
      <w:r>
        <w:rPr/>
        <w:t>年</w:t>
      </w:r>
      <w:r>
        <w:rPr>
          <w:rFonts w:ascii="宋体" w:hAnsi="宋体" w:cs="宋体" w:eastAsia="宋体" w:hint="default"/>
        </w:rPr>
        <w:t>6</w:t>
      </w:r>
      <w:r>
        <w:rPr/>
        <w:t>月取得高新技术企业认证</w:t>
      </w:r>
      <w:r>
        <w:rPr>
          <w:rFonts w:ascii="宋体" w:hAnsi="宋体" w:cs="宋体" w:eastAsia="宋体" w:hint="default"/>
        </w:rPr>
        <w:t>,</w:t>
      </w:r>
      <w:r>
        <w:rPr/>
        <w:t>并于</w:t>
      </w:r>
      <w:r>
        <w:rPr>
          <w:rFonts w:ascii="宋体" w:hAnsi="宋体" w:cs="宋体" w:eastAsia="宋体" w:hint="default"/>
        </w:rPr>
        <w:t>2012</w:t>
      </w:r>
      <w:r>
        <w:rPr/>
        <w:t>年</w:t>
      </w:r>
      <w:r>
        <w:rPr>
          <w:rFonts w:ascii="宋体" w:hAnsi="宋体" w:cs="宋体" w:eastAsia="宋体" w:hint="default"/>
        </w:rPr>
        <w:t>5</w:t>
      </w:r>
      <w:r>
        <w:rPr/>
        <w:t>月通</w:t>
      </w:r>
      <w:r>
        <w:rPr>
          <w:spacing w:val="2"/>
        </w:rPr>
        <w:t> </w:t>
      </w:r>
      <w:r>
        <w:rPr/>
        <w:t>过高新技术企业复审</w:t>
      </w:r>
      <w:r>
        <w:rPr>
          <w:rFonts w:ascii="宋体" w:hAnsi="宋体" w:cs="宋体" w:eastAsia="宋体" w:hint="default"/>
        </w:rPr>
        <w:t>,</w:t>
      </w:r>
      <w:r>
        <w:rPr>
          <w:rFonts w:ascii="宋体" w:hAnsi="宋体" w:cs="宋体" w:eastAsia="宋体" w:hint="default"/>
          <w:spacing w:val="-25"/>
        </w:rPr>
        <w:t> </w:t>
      </w:r>
      <w:r>
        <w:rPr>
          <w:rFonts w:ascii="宋体" w:hAnsi="宋体" w:cs="宋体" w:eastAsia="宋体" w:hint="default"/>
        </w:rPr>
        <w:t>2015</w:t>
      </w:r>
      <w:r>
        <w:rPr/>
        <w:t>年</w:t>
      </w:r>
      <w:r>
        <w:rPr>
          <w:rFonts w:ascii="宋体" w:hAnsi="宋体" w:cs="宋体" w:eastAsia="宋体" w:hint="default"/>
        </w:rPr>
        <w:t>11</w:t>
      </w:r>
      <w:r>
        <w:rPr/>
        <w:t>月通过高新技术企业重新认定。根据《中华人民共和国企业所得税法》规 定，自获得高新技术企业认定后三年内，将享受按</w:t>
      </w:r>
      <w:r>
        <w:rPr>
          <w:rFonts w:ascii="宋体" w:hAnsi="宋体" w:cs="宋体" w:eastAsia="宋体" w:hint="default"/>
        </w:rPr>
        <w:t>15%</w:t>
      </w:r>
      <w:r>
        <w:rPr/>
        <w:t>的税率征收企业所得税的税收优惠政策。</w:t>
      </w:r>
      <w:r>
        <w:rPr>
          <w:spacing w:val="-24"/>
        </w:rPr>
        <w:t> </w:t>
      </w:r>
      <w:r>
        <w:rPr>
          <w:rFonts w:ascii="宋体" w:hAnsi="宋体" w:cs="宋体" w:eastAsia="宋体" w:hint="default"/>
        </w:rPr>
        <w:t>2015</w:t>
      </w:r>
      <w:r>
        <w:rPr/>
        <w:t>年适 用所得税税率为</w:t>
      </w:r>
      <w:r>
        <w:rPr>
          <w:rFonts w:ascii="宋体" w:hAnsi="宋体" w:cs="宋体" w:eastAsia="宋体" w:hint="default"/>
        </w:rPr>
        <w:t>15%</w:t>
      </w:r>
      <w:r>
        <w:rPr/>
        <w:t>。</w:t>
      </w:r>
    </w:p>
    <w:p>
      <w:pPr>
        <w:pStyle w:val="BodyText"/>
        <w:spacing w:line="410" w:lineRule="auto" w:before="84"/>
        <w:ind w:right="1129" w:firstLine="420"/>
        <w:jc w:val="both"/>
      </w:pPr>
      <w:r>
        <w:rPr>
          <w:spacing w:val="3"/>
        </w:rPr>
        <w:t>神州数码系统集成服务有限公司之子公司神州数码信息系统有限公司于</w:t>
      </w: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月取得高新技术企</w:t>
      </w:r>
      <w:r>
        <w:rPr/>
        <w:t> 业认证。根据《中华人民共和国企业所得税法》规定，自获得高新技术企业认定后三年内，将享受按</w:t>
      </w:r>
      <w:r>
        <w:rPr>
          <w:rFonts w:ascii="宋体" w:hAnsi="宋体" w:cs="宋体" w:eastAsia="宋体" w:hint="default"/>
        </w:rPr>
        <w:t>15%</w:t>
      </w:r>
      <w:r>
        <w:rPr>
          <w:rFonts w:ascii="宋体" w:hAnsi="宋体" w:cs="宋体" w:eastAsia="宋体" w:hint="default"/>
          <w:spacing w:val="-24"/>
        </w:rPr>
        <w:t> </w:t>
      </w:r>
      <w:r>
        <w:rPr/>
        <w:t>的税率征收企业所得税的税收优惠政策。</w:t>
      </w:r>
      <w:r>
        <w:rPr>
          <w:rFonts w:ascii="宋体" w:hAnsi="宋体" w:cs="宋体" w:eastAsia="宋体" w:hint="default"/>
        </w:rPr>
        <w:t>2015</w:t>
      </w:r>
      <w:r>
        <w:rPr/>
        <w:t>年适用所得税税率为</w:t>
      </w:r>
      <w:r>
        <w:rPr>
          <w:rFonts w:ascii="宋体" w:hAnsi="宋体" w:cs="宋体" w:eastAsia="宋体" w:hint="default"/>
        </w:rPr>
        <w:t>15%</w:t>
      </w:r>
      <w:r>
        <w:rPr/>
        <w:t>。</w:t>
      </w:r>
    </w:p>
    <w:p>
      <w:pPr>
        <w:pStyle w:val="BodyText"/>
        <w:spacing w:line="408" w:lineRule="auto" w:before="82"/>
        <w:ind w:right="1131" w:firstLine="420"/>
        <w:jc w:val="both"/>
      </w:pPr>
      <w:r>
        <w:rPr/>
        <w:t>神州数码系统集成服务有限公司之子公司神州数码国信信息技术（苏州）有限公司自</w:t>
      </w:r>
      <w:r>
        <w:rPr>
          <w:rFonts w:ascii="宋体" w:hAnsi="宋体" w:cs="宋体" w:eastAsia="宋体" w:hint="default"/>
        </w:rPr>
        <w:t>2008</w:t>
      </w:r>
      <w:r>
        <w:rPr/>
        <w:t>年</w:t>
      </w:r>
      <w:r>
        <w:rPr>
          <w:rFonts w:ascii="宋体" w:hAnsi="宋体" w:cs="宋体" w:eastAsia="宋体" w:hint="default"/>
        </w:rPr>
        <w:t>9</w:t>
      </w:r>
      <w:r>
        <w:rPr/>
        <w:t>月取得 高新技术企业认证，</w:t>
      </w:r>
      <w:r>
        <w:rPr>
          <w:rFonts w:ascii="宋体" w:hAnsi="宋体" w:cs="宋体" w:eastAsia="宋体" w:hint="default"/>
        </w:rPr>
        <w:t>2011</w:t>
      </w:r>
      <w:r>
        <w:rPr/>
        <w:t>年</w:t>
      </w:r>
      <w:r>
        <w:rPr>
          <w:rFonts w:ascii="宋体" w:hAnsi="宋体" w:cs="宋体" w:eastAsia="宋体" w:hint="default"/>
        </w:rPr>
        <w:t>9</w:t>
      </w:r>
      <w:r>
        <w:rPr/>
        <w:t>月通过高新技术企业复审，</w:t>
      </w:r>
      <w:r>
        <w:rPr>
          <w:spacing w:val="-57"/>
        </w:rPr>
        <w:t> </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月通过高新技术企业重新认定。根据《中</w:t>
      </w:r>
      <w:r>
        <w:rPr/>
        <w:t> 华人民共和国企业所得税法》规定，自获得高新技术企业认定后三年内，将享受按</w:t>
      </w:r>
      <w:r>
        <w:rPr>
          <w:rFonts w:ascii="宋体" w:hAnsi="宋体" w:cs="宋体" w:eastAsia="宋体" w:hint="default"/>
        </w:rPr>
        <w:t>15%</w:t>
      </w:r>
      <w:r>
        <w:rPr/>
        <w:t>的税率征收企业所</w:t>
      </w:r>
      <w:r>
        <w:rPr>
          <w:spacing w:val="-26"/>
        </w:rPr>
        <w:t> </w:t>
      </w:r>
      <w:r>
        <w:rPr>
          <w:spacing w:val="-26"/>
        </w:rPr>
      </w:r>
      <w:r>
        <w:rPr/>
        <w:t>得税的税收优惠政策。</w:t>
      </w:r>
      <w:r>
        <w:rPr>
          <w:rFonts w:ascii="宋体" w:hAnsi="宋体" w:cs="宋体" w:eastAsia="宋体" w:hint="default"/>
        </w:rPr>
        <w:t>2015</w:t>
      </w:r>
      <w:r>
        <w:rPr/>
        <w:t>年适用所得税税率为</w:t>
      </w:r>
      <w:r>
        <w:rPr>
          <w:rFonts w:ascii="宋体" w:hAnsi="宋体" w:cs="宋体" w:eastAsia="宋体" w:hint="default"/>
        </w:rPr>
        <w:t>15%</w:t>
      </w:r>
      <w:r>
        <w:rPr/>
        <w:t>。</w:t>
      </w:r>
    </w:p>
    <w:p>
      <w:pPr>
        <w:pStyle w:val="BodyText"/>
        <w:spacing w:line="410" w:lineRule="auto" w:before="85"/>
        <w:ind w:right="1132" w:firstLine="420"/>
        <w:jc w:val="both"/>
      </w:pPr>
      <w:r>
        <w:rPr>
          <w:rFonts w:ascii="宋体" w:hAnsi="宋体" w:cs="宋体" w:eastAsia="宋体" w:hint="default"/>
        </w:rPr>
        <w:t>Digital China Financial Service Holding</w:t>
      </w:r>
      <w:r>
        <w:rPr>
          <w:rFonts w:ascii="宋体" w:hAnsi="宋体" w:cs="宋体" w:eastAsia="宋体" w:hint="default"/>
          <w:spacing w:val="15"/>
        </w:rPr>
        <w:t> </w:t>
      </w:r>
      <w:r>
        <w:rPr>
          <w:rFonts w:ascii="宋体" w:hAnsi="宋体" w:cs="宋体" w:eastAsia="宋体" w:hint="default"/>
          <w:spacing w:val="2"/>
        </w:rPr>
        <w:t>Limited</w:t>
      </w:r>
      <w:r>
        <w:rPr>
          <w:spacing w:val="2"/>
        </w:rPr>
        <w:t>之子公司神州数码融信软件有限公司，</w:t>
      </w:r>
      <w:r>
        <w:rPr>
          <w:rFonts w:ascii="宋体" w:hAnsi="宋体" w:cs="宋体" w:eastAsia="宋体" w:hint="default"/>
          <w:spacing w:val="2"/>
        </w:rPr>
        <w:t>2014</w:t>
      </w:r>
      <w:r>
        <w:rPr>
          <w:spacing w:val="2"/>
        </w:rPr>
        <w:t>年</w:t>
      </w:r>
      <w:r>
        <w:rPr/>
        <w:t> </w:t>
      </w:r>
      <w:r>
        <w:rPr>
          <w:rFonts w:ascii="宋体" w:hAnsi="宋体" w:cs="宋体" w:eastAsia="宋体" w:hint="default"/>
          <w:spacing w:val="-1"/>
        </w:rPr>
        <w:t>10</w:t>
      </w:r>
      <w:r>
        <w:rPr>
          <w:spacing w:val="-1"/>
        </w:rPr>
        <w:t>月取得高新技术企业认证，根据《中华人民共和国企业所得税法》规定，自获得高新技术企业认定后三</w:t>
      </w:r>
      <w:r>
        <w:rPr>
          <w:spacing w:val="-87"/>
        </w:rPr>
        <w:t> </w:t>
      </w:r>
      <w:r>
        <w:rPr>
          <w:spacing w:val="-87"/>
        </w:rPr>
      </w:r>
      <w:r>
        <w:rPr/>
        <w:t>年内，将享受按</w:t>
      </w:r>
      <w:r>
        <w:rPr>
          <w:rFonts w:ascii="宋体" w:hAnsi="宋体" w:cs="宋体" w:eastAsia="宋体" w:hint="default"/>
        </w:rPr>
        <w:t>15%</w:t>
      </w:r>
      <w:r>
        <w:rPr/>
        <w:t>的税率征收企业所得税的税收优惠政策。</w:t>
      </w:r>
      <w:r>
        <w:rPr>
          <w:rFonts w:ascii="宋体" w:hAnsi="宋体" w:cs="宋体" w:eastAsia="宋体" w:hint="default"/>
        </w:rPr>
        <w:t>2015</w:t>
      </w:r>
      <w:r>
        <w:rPr/>
        <w:t>年适用所得税税率为</w:t>
      </w:r>
      <w:r>
        <w:rPr>
          <w:rFonts w:ascii="宋体" w:hAnsi="宋体" w:cs="宋体" w:eastAsia="宋体" w:hint="default"/>
        </w:rPr>
        <w:t>15%</w:t>
      </w:r>
      <w:r>
        <w:rPr/>
        <w:t>。</w:t>
      </w:r>
    </w:p>
    <w:p>
      <w:pPr>
        <w:pStyle w:val="BodyText"/>
        <w:spacing w:line="240" w:lineRule="auto" w:before="82"/>
        <w:ind w:left="573" w:right="0"/>
        <w:jc w:val="left"/>
        <w:rPr>
          <w:rFonts w:ascii="宋体" w:hAnsi="宋体" w:cs="宋体" w:eastAsia="宋体" w:hint="default"/>
        </w:rPr>
      </w:pPr>
      <w:r>
        <w:rPr/>
        <w:t>神州数码系统集成服务有限公司之子公司</w:t>
      </w:r>
      <w:r>
        <w:rPr>
          <w:rFonts w:ascii="宋体" w:hAnsi="宋体" w:cs="宋体" w:eastAsia="宋体" w:hint="default"/>
        </w:rPr>
        <w:t>Digital</w:t>
      </w:r>
      <w:r>
        <w:rPr>
          <w:rFonts w:ascii="宋体" w:hAnsi="宋体" w:cs="宋体" w:eastAsia="宋体" w:hint="default"/>
          <w:spacing w:val="-48"/>
        </w:rPr>
        <w:t> </w:t>
      </w:r>
      <w:r>
        <w:rPr>
          <w:rFonts w:ascii="宋体" w:hAnsi="宋体" w:cs="宋体" w:eastAsia="宋体" w:hint="default"/>
        </w:rPr>
        <w:t>China</w:t>
      </w:r>
      <w:r>
        <w:rPr>
          <w:rFonts w:ascii="宋体" w:hAnsi="宋体" w:cs="宋体" w:eastAsia="宋体" w:hint="default"/>
          <w:spacing w:val="-47"/>
        </w:rPr>
        <w:t> </w:t>
      </w:r>
      <w:r>
        <w:rPr>
          <w:rFonts w:ascii="宋体" w:hAnsi="宋体" w:cs="宋体" w:eastAsia="宋体" w:hint="default"/>
        </w:rPr>
        <w:t>Software</w:t>
      </w:r>
      <w:r>
        <w:rPr>
          <w:rFonts w:ascii="宋体" w:hAnsi="宋体" w:cs="宋体" w:eastAsia="宋体" w:hint="default"/>
          <w:spacing w:val="-48"/>
        </w:rPr>
        <w:t> </w:t>
      </w:r>
      <w:r>
        <w:rPr>
          <w:rFonts w:ascii="宋体" w:hAnsi="宋体" w:cs="宋体" w:eastAsia="宋体" w:hint="default"/>
        </w:rPr>
        <w:t>(BVI)</w:t>
      </w:r>
      <w:r>
        <w:rPr>
          <w:rFonts w:ascii="宋体" w:hAnsi="宋体" w:cs="宋体" w:eastAsia="宋体" w:hint="default"/>
          <w:spacing w:val="-48"/>
        </w:rPr>
        <w:t> </w:t>
      </w:r>
      <w:r>
        <w:rPr>
          <w:rFonts w:ascii="宋体" w:hAnsi="宋体" w:cs="宋体" w:eastAsia="宋体" w:hint="default"/>
        </w:rPr>
        <w:t>Ltd.</w:t>
      </w:r>
      <w:r>
        <w:rPr/>
        <w:t>之子公司</w:t>
      </w:r>
      <w:r>
        <w:rPr>
          <w:rFonts w:ascii="宋体" w:hAnsi="宋体" w:cs="宋体" w:eastAsia="宋体" w:hint="default"/>
        </w:rPr>
        <w:t>Digital</w:t>
      </w:r>
      <w:r>
        <w:rPr>
          <w:rFonts w:ascii="宋体" w:hAnsi="宋体" w:cs="宋体" w:eastAsia="宋体" w:hint="default"/>
          <w:spacing w:val="-47"/>
        </w:rPr>
        <w:t> </w:t>
      </w:r>
      <w:r>
        <w:rPr>
          <w:rFonts w:ascii="宋体" w:hAnsi="宋体" w:cs="宋体" w:eastAsia="宋体" w:hint="default"/>
        </w:rPr>
        <w:t>China</w:t>
      </w:r>
    </w:p>
    <w:p>
      <w:pPr>
        <w:spacing w:after="0" w:line="240" w:lineRule="auto"/>
        <w:jc w:val="left"/>
        <w:rPr>
          <w:rFonts w:ascii="宋体" w:hAnsi="宋体" w:cs="宋体" w:eastAsia="宋体" w:hint="default"/>
        </w:rPr>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1" w:lineRule="auto" w:before="35"/>
        <w:ind w:left="574" w:right="1135" w:hanging="420"/>
        <w:jc w:val="left"/>
      </w:pPr>
      <w:r>
        <w:rPr>
          <w:rFonts w:ascii="宋体" w:hAnsi="宋体" w:cs="宋体" w:eastAsia="宋体" w:hint="default"/>
        </w:rPr>
        <w:t>Advanced Systems</w:t>
      </w:r>
      <w:r>
        <w:rPr>
          <w:rFonts w:ascii="宋体" w:hAnsi="宋体" w:cs="宋体" w:eastAsia="宋体" w:hint="default"/>
          <w:spacing w:val="-1"/>
        </w:rPr>
        <w:t> </w:t>
      </w:r>
      <w:r>
        <w:rPr>
          <w:rFonts w:ascii="宋体" w:hAnsi="宋体" w:cs="宋体" w:eastAsia="宋体" w:hint="default"/>
        </w:rPr>
        <w:t>Limited</w:t>
      </w:r>
      <w:r>
        <w:rPr/>
        <w:t>申请海外收入税务优惠，不缴纳利得税。 </w:t>
      </w:r>
      <w:r>
        <w:rPr>
          <w:spacing w:val="3"/>
        </w:rPr>
        <w:t>神州数码系统集成服务有限公司之子公司神州数码金信科技股份有限公司自</w:t>
      </w: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月取得高新技</w:t>
      </w:r>
    </w:p>
    <w:p>
      <w:pPr>
        <w:pStyle w:val="BodyText"/>
        <w:spacing w:line="410" w:lineRule="auto" w:before="16"/>
        <w:ind w:left="154" w:right="1131"/>
        <w:jc w:val="both"/>
      </w:pPr>
      <w:r>
        <w:rPr/>
        <w:t>术企业认证，</w:t>
      </w:r>
      <w:r>
        <w:rPr>
          <w:rFonts w:ascii="宋体" w:hAnsi="宋体" w:cs="宋体" w:eastAsia="宋体" w:hint="default"/>
        </w:rPr>
        <w:t>2011</w:t>
      </w:r>
      <w:r>
        <w:rPr/>
        <w:t>年</w:t>
      </w:r>
      <w:r>
        <w:rPr>
          <w:rFonts w:ascii="宋体" w:hAnsi="宋体" w:cs="宋体" w:eastAsia="宋体" w:hint="default"/>
        </w:rPr>
        <w:t>9</w:t>
      </w:r>
      <w:r>
        <w:rPr/>
        <w:t>月通过高新技术企业复审，</w:t>
      </w:r>
      <w:r>
        <w:rPr>
          <w:rFonts w:ascii="宋体" w:hAnsi="宋体" w:cs="宋体" w:eastAsia="宋体" w:hint="default"/>
        </w:rPr>
        <w:t>2014</w:t>
      </w:r>
      <w:r>
        <w:rPr/>
        <w:t>年</w:t>
      </w:r>
      <w:r>
        <w:rPr>
          <w:rFonts w:ascii="宋体" w:hAnsi="宋体" w:cs="宋体" w:eastAsia="宋体" w:hint="default"/>
        </w:rPr>
        <w:t>10</w:t>
      </w:r>
      <w:r>
        <w:rPr/>
        <w:t>月通过高新技术企业重新认定。根据《中华人</w:t>
      </w:r>
      <w:r>
        <w:rPr>
          <w:spacing w:val="-32"/>
        </w:rPr>
        <w:t> </w:t>
      </w:r>
      <w:r>
        <w:rPr>
          <w:spacing w:val="-32"/>
        </w:rPr>
      </w:r>
      <w:r>
        <w:rPr/>
        <w:t>民共和国企业所得税法》规定，自获得高新技术企业认定后三年内，将享受按</w:t>
      </w:r>
      <w:r>
        <w:rPr>
          <w:rFonts w:ascii="宋体" w:hAnsi="宋体" w:cs="宋体" w:eastAsia="宋体" w:hint="default"/>
        </w:rPr>
        <w:t>15%</w:t>
      </w:r>
      <w:r>
        <w:rPr/>
        <w:t>的税率征收企业所得税</w:t>
      </w:r>
      <w:r>
        <w:rPr>
          <w:spacing w:val="-28"/>
        </w:rPr>
        <w:t> </w:t>
      </w:r>
      <w:r>
        <w:rPr>
          <w:spacing w:val="-28"/>
        </w:rPr>
      </w:r>
      <w:r>
        <w:rPr/>
        <w:t>的税收优惠政策。</w:t>
      </w:r>
      <w:r>
        <w:rPr>
          <w:rFonts w:ascii="宋体" w:hAnsi="宋体" w:cs="宋体" w:eastAsia="宋体" w:hint="default"/>
        </w:rPr>
        <w:t>2015</w:t>
      </w:r>
      <w:r>
        <w:rPr/>
        <w:t>年适用所得税税率为</w:t>
      </w:r>
      <w:r>
        <w:rPr>
          <w:rFonts w:ascii="宋体" w:hAnsi="宋体" w:cs="宋体" w:eastAsia="宋体" w:hint="default"/>
        </w:rPr>
        <w:t>15%</w:t>
      </w:r>
      <w:r>
        <w:rPr/>
        <w:t>。</w:t>
      </w:r>
    </w:p>
    <w:p>
      <w:pPr>
        <w:pStyle w:val="BodyText"/>
        <w:spacing w:line="410" w:lineRule="auto" w:before="83"/>
        <w:ind w:right="1132" w:firstLine="420"/>
        <w:jc w:val="both"/>
      </w:pPr>
      <w:r>
        <w:rPr/>
        <w:t>本公司之子公司北京中农信达信息技术有限公司</w:t>
      </w:r>
      <w:r>
        <w:rPr>
          <w:rFonts w:ascii="宋体" w:hAnsi="宋体" w:cs="宋体" w:eastAsia="宋体" w:hint="default"/>
        </w:rPr>
        <w:t>2010</w:t>
      </w:r>
      <w:r>
        <w:rPr/>
        <w:t>年</w:t>
      </w:r>
      <w:r>
        <w:rPr>
          <w:rFonts w:ascii="宋体" w:hAnsi="宋体" w:cs="宋体" w:eastAsia="宋体" w:hint="default"/>
        </w:rPr>
        <w:t>9</w:t>
      </w:r>
      <w:r>
        <w:rPr/>
        <w:t>月取得高新技术企业认证</w:t>
      </w:r>
      <w:r>
        <w:rPr>
          <w:rFonts w:ascii="宋体" w:hAnsi="宋体" w:cs="宋体" w:eastAsia="宋体" w:hint="default"/>
        </w:rPr>
        <w:t>,</w:t>
      </w:r>
      <w:r>
        <w:rPr>
          <w:rFonts w:ascii="宋体" w:hAnsi="宋体" w:cs="宋体" w:eastAsia="宋体" w:hint="default"/>
          <w:spacing w:val="69"/>
        </w:rPr>
        <w:t> </w:t>
      </w:r>
      <w:r>
        <w:rPr>
          <w:rFonts w:ascii="宋体" w:hAnsi="宋体" w:cs="宋体" w:eastAsia="宋体" w:hint="default"/>
        </w:rPr>
        <w:t>2013</w:t>
      </w:r>
      <w:r>
        <w:rPr/>
        <w:t>年</w:t>
      </w:r>
      <w:r>
        <w:rPr>
          <w:rFonts w:ascii="宋体" w:hAnsi="宋体" w:cs="宋体" w:eastAsia="宋体" w:hint="default"/>
        </w:rPr>
        <w:t>11</w:t>
      </w:r>
      <w:r>
        <w:rPr/>
        <w:t>月通过 </w:t>
      </w:r>
      <w:r>
        <w:rPr>
          <w:spacing w:val="-1"/>
        </w:rPr>
        <w:t>高新技术企业复审。根据《中华人民共和国企业所得税法》规定，自获得高新技术企业认定后三年内，将</w:t>
      </w:r>
      <w:r>
        <w:rPr>
          <w:spacing w:val="-83"/>
        </w:rPr>
        <w:t> </w:t>
      </w:r>
      <w:r>
        <w:rPr>
          <w:spacing w:val="-83"/>
        </w:rPr>
      </w:r>
      <w:r>
        <w:rPr/>
        <w:t>享受按</w:t>
      </w:r>
      <w:r>
        <w:rPr>
          <w:rFonts w:ascii="宋体" w:hAnsi="宋体" w:cs="宋体" w:eastAsia="宋体" w:hint="default"/>
        </w:rPr>
        <w:t>15%</w:t>
      </w:r>
      <w:r>
        <w:rPr/>
        <w:t>的税率征收企业所得税的税收优惠政策。</w:t>
      </w:r>
      <w:r>
        <w:rPr>
          <w:rFonts w:ascii="宋体" w:hAnsi="宋体" w:cs="宋体" w:eastAsia="宋体" w:hint="default"/>
        </w:rPr>
        <w:t>2015</w:t>
      </w:r>
      <w:r>
        <w:rPr/>
        <w:t>年适用所得税税率为</w:t>
      </w:r>
      <w:r>
        <w:rPr>
          <w:rFonts w:ascii="宋体" w:hAnsi="宋体" w:cs="宋体" w:eastAsia="宋体" w:hint="default"/>
        </w:rPr>
        <w:t>15%</w:t>
      </w:r>
      <w:r>
        <w:rPr/>
        <w:t>。</w:t>
      </w:r>
    </w:p>
    <w:p>
      <w:pPr>
        <w:pStyle w:val="Heading5"/>
        <w:spacing w:line="240" w:lineRule="auto" w:before="75"/>
        <w:ind w:left="594" w:right="1135"/>
        <w:jc w:val="left"/>
      </w:pPr>
      <w:r>
        <w:rPr/>
        <w:t>（</w:t>
      </w:r>
      <w:r>
        <w:rPr>
          <w:rFonts w:ascii="Times New Roman" w:hAnsi="Times New Roman" w:cs="Times New Roman" w:eastAsia="Times New Roman" w:hint="default"/>
        </w:rPr>
        <w:t>2</w:t>
      </w:r>
      <w:r>
        <w:rPr/>
        <w:t>）增值税</w:t>
      </w:r>
    </w:p>
    <w:p>
      <w:pPr>
        <w:spacing w:line="240" w:lineRule="auto" w:before="1"/>
        <w:rPr>
          <w:rFonts w:ascii="宋体" w:hAnsi="宋体" w:cs="宋体" w:eastAsia="宋体" w:hint="default"/>
          <w:sz w:val="16"/>
          <w:szCs w:val="16"/>
        </w:rPr>
      </w:pPr>
    </w:p>
    <w:p>
      <w:pPr>
        <w:pStyle w:val="BodyText"/>
        <w:spacing w:line="408" w:lineRule="auto"/>
        <w:ind w:right="1130" w:firstLine="420"/>
        <w:jc w:val="both"/>
      </w:pPr>
      <w:r>
        <w:rPr/>
        <w:t>根据国发</w:t>
      </w:r>
      <w:r>
        <w:rPr>
          <w:rFonts w:ascii="宋体" w:hAnsi="宋体" w:cs="宋体" w:eastAsia="宋体" w:hint="default"/>
        </w:rPr>
        <w:t>[2011]4</w:t>
      </w:r>
      <w:r>
        <w:rPr/>
        <w:t>号《国务院关于印发进一步鼓励软件产业和集成电路产业发展若干政策的通知》， </w:t>
      </w:r>
      <w:r>
        <w:rPr>
          <w:spacing w:val="-5"/>
        </w:rPr>
        <w:t>本公司之子公司神州数码系统集成服务有限公司、神州数码信息系统有限公司、神州数码国信信息技术（苏</w:t>
      </w:r>
      <w:r>
        <w:rPr>
          <w:spacing w:val="-101"/>
        </w:rPr>
        <w:t> </w:t>
      </w:r>
      <w:r>
        <w:rPr>
          <w:spacing w:val="-101"/>
        </w:rPr>
      </w:r>
      <w:r>
        <w:rPr>
          <w:spacing w:val="-1"/>
        </w:rPr>
        <w:t>州）有限公司、神州数码融信软件有限公司、神州数码金信科技股份有限公司、北京中农信达信息技术有</w:t>
      </w:r>
      <w:r>
        <w:rPr>
          <w:spacing w:val="-86"/>
        </w:rPr>
        <w:t> </w:t>
      </w:r>
      <w:r>
        <w:rPr>
          <w:spacing w:val="-86"/>
        </w:rPr>
      </w:r>
      <w:r>
        <w:rPr/>
        <w:t>限公司自</w:t>
      </w:r>
      <w:r>
        <w:rPr>
          <w:rFonts w:ascii="宋体" w:hAnsi="宋体" w:cs="宋体" w:eastAsia="宋体" w:hint="default"/>
        </w:rPr>
        <w:t>2011</w:t>
      </w:r>
      <w:r>
        <w:rPr/>
        <w:t>年销售其自行开发生产的软件产品，按</w:t>
      </w:r>
      <w:r>
        <w:rPr>
          <w:rFonts w:ascii="宋体" w:hAnsi="宋体" w:cs="宋体" w:eastAsia="宋体" w:hint="default"/>
        </w:rPr>
        <w:t>17%</w:t>
      </w:r>
      <w:r>
        <w:rPr/>
        <w:t>的法定税率征收增值税后，对增值税实际税负超</w:t>
      </w:r>
      <w:r>
        <w:rPr>
          <w:spacing w:val="-32"/>
        </w:rPr>
        <w:t> </w:t>
      </w:r>
      <w:r>
        <w:rPr>
          <w:spacing w:val="-32"/>
        </w:rPr>
      </w:r>
      <w:r>
        <w:rPr/>
        <w:t>过</w:t>
      </w:r>
      <w:r>
        <w:rPr>
          <w:rFonts w:ascii="宋体" w:hAnsi="宋体" w:cs="宋体" w:eastAsia="宋体" w:hint="default"/>
        </w:rPr>
        <w:t>3%</w:t>
      </w:r>
      <w:r>
        <w:rPr/>
        <w:t>的部分实行即征即退政策。</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七、合并财务报表项目注释" w:id="208"/>
      <w:bookmarkEnd w:id="20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both"/>
        <w:rPr>
          <w:b w:val="0"/>
          <w:bCs w:val="0"/>
        </w:rPr>
      </w:pPr>
      <w:bookmarkStart w:name="1、货币资金" w:id="209"/>
      <w:bookmarkEnd w:id="20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3"/>
        <w:gridCol w:w="3190"/>
        <w:gridCol w:w="3189"/>
      </w:tblGrid>
      <w:tr>
        <w:trPr>
          <w:trHeight w:val="442"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8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3190" w:type="dxa"/>
            <w:tcBorders>
              <w:top w:val="single" w:sz="16" w:space="0" w:color="D9D9D9"/>
              <w:left w:val="single" w:sz="4" w:space="0" w:color="000000"/>
              <w:bottom w:val="single" w:sz="4" w:space="0" w:color="000000"/>
              <w:right w:val="single" w:sz="4" w:space="0" w:color="000000"/>
            </w:tcBorders>
          </w:tcPr>
          <w:p>
            <w:pPr/>
          </w:p>
        </w:tc>
        <w:tc>
          <w:tcPr>
            <w:tcW w:w="3189"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18,255.22</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0"/>
                <w:szCs w:val="20"/>
              </w:rPr>
            </w:pPr>
            <w:r>
              <w:rPr>
                <w:rFonts w:ascii="Times New Roman"/>
                <w:spacing w:val="-1"/>
                <w:sz w:val="20"/>
              </w:rPr>
              <w:t>1,879,936,445.81</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1,700,775,604.66</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15,882,500.00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1,578,917.03</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0"/>
                <w:szCs w:val="20"/>
              </w:rPr>
            </w:pPr>
            <w:r>
              <w:rPr>
                <w:rFonts w:ascii="Times New Roman"/>
                <w:spacing w:val="-1"/>
                <w:sz w:val="20"/>
              </w:rPr>
              <w:t>1,895,818,945.81</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1,702,372,776.91</w:t>
            </w:r>
          </w:p>
        </w:tc>
      </w:tr>
      <w:tr>
        <w:trPr>
          <w:trHeight w:val="473"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其中：存放在境外的款项总额</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206,008,813.62</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85,434,396.48</w:t>
            </w:r>
          </w:p>
        </w:tc>
      </w:tr>
    </w:tbl>
    <w:p>
      <w:pPr>
        <w:spacing w:line="240" w:lineRule="auto" w:before="3"/>
        <w:rPr>
          <w:rFonts w:ascii="宋体" w:hAnsi="宋体" w:cs="宋体" w:eastAsia="宋体" w:hint="default"/>
          <w:sz w:val="5"/>
          <w:szCs w:val="5"/>
        </w:rPr>
      </w:pPr>
    </w:p>
    <w:p>
      <w:pPr>
        <w:pStyle w:val="BodyText"/>
        <w:spacing w:line="386" w:lineRule="auto" w:before="35"/>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日其他货币资金受限金额</w:t>
      </w:r>
      <w:r>
        <w:rPr>
          <w:spacing w:val="13"/>
        </w:rPr>
        <w:t> </w:t>
      </w:r>
      <w:r>
        <w:rPr>
          <w:rFonts w:ascii="Times New Roman" w:hAnsi="Times New Roman" w:cs="Times New Roman" w:eastAsia="Times New Roman" w:hint="default"/>
        </w:rPr>
        <w:t>15,882,500.00</w:t>
      </w:r>
      <w:r>
        <w:rPr/>
        <w:t>元，其中，履约保函保证金</w:t>
      </w:r>
      <w:r>
        <w:rPr>
          <w:rFonts w:ascii="Times New Roman" w:hAnsi="Times New Roman" w:cs="Times New Roman" w:eastAsia="Times New Roman" w:hint="default"/>
        </w:rPr>
        <w:t>142,500.00</w:t>
      </w:r>
      <w:r>
        <w:rPr/>
        <w:t>元，融资</w:t>
      </w:r>
      <w:r>
        <w:rPr>
          <w:spacing w:val="1"/>
        </w:rPr>
        <w:t> </w:t>
      </w:r>
      <w:r>
        <w:rPr/>
        <w:t>性保函保证金</w:t>
      </w:r>
      <w:r>
        <w:rPr>
          <w:rFonts w:ascii="Times New Roman" w:hAnsi="Times New Roman" w:cs="Times New Roman" w:eastAsia="Times New Roman" w:hint="default"/>
        </w:rPr>
        <w:t>15,740,000.00</w:t>
      </w:r>
      <w:r>
        <w:rPr/>
        <w:t>元。</w:t>
      </w:r>
    </w:p>
    <w:p>
      <w:pPr>
        <w:spacing w:after="0" w:line="386" w:lineRule="auto"/>
        <w:jc w:val="left"/>
        <w:sectPr>
          <w:pgSz w:w="11910" w:h="16840"/>
          <w:pgMar w:header="918" w:footer="1266" w:top="1160" w:bottom="1460" w:left="98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2、应收票据" w:id="210"/>
      <w:bookmarkEnd w:id="21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应收票据分类列示" w:id="211"/>
      <w:bookmarkEnd w:id="21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59"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银行承兑票据</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63,745,711.55</w:t>
            </w:r>
          </w:p>
        </w:tc>
        <w:tc>
          <w:tcPr>
            <w:tcW w:w="3189"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36,681,950.40</w:t>
            </w:r>
          </w:p>
        </w:tc>
      </w:tr>
      <w:tr>
        <w:trPr>
          <w:trHeight w:val="475"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63,745,711.55</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36,681,950.40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期末公司已背书或贴现且在资产负债表日尚未到期的应收票据" w:id="212"/>
      <w:bookmarkEnd w:id="21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90"/>
        <w:gridCol w:w="3191"/>
        <w:gridCol w:w="3189"/>
      </w:tblGrid>
      <w:tr>
        <w:trPr>
          <w:trHeight w:val="443" w:hRule="exact"/>
        </w:trPr>
        <w:tc>
          <w:tcPr>
            <w:tcW w:w="31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20"/>
                <w:szCs w:val="20"/>
              </w:rPr>
            </w:pPr>
            <w:r>
              <w:rPr>
                <w:rFonts w:ascii="宋体" w:hAnsi="宋体" w:cs="宋体" w:eastAsia="宋体" w:hint="default"/>
                <w:sz w:val="20"/>
                <w:szCs w:val="20"/>
              </w:rPr>
              <w:t>项目</w:t>
            </w:r>
          </w:p>
        </w:tc>
        <w:tc>
          <w:tcPr>
            <w:tcW w:w="31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0" w:right="0"/>
              <w:jc w:val="left"/>
              <w:rPr>
                <w:rFonts w:ascii="宋体" w:hAnsi="宋体" w:cs="宋体" w:eastAsia="宋体" w:hint="default"/>
                <w:sz w:val="20"/>
                <w:szCs w:val="20"/>
              </w:rPr>
            </w:pPr>
            <w:r>
              <w:rPr>
                <w:rFonts w:ascii="宋体" w:hAnsi="宋体" w:cs="宋体" w:eastAsia="宋体" w:hint="default"/>
                <w:sz w:val="20"/>
                <w:szCs w:val="20"/>
              </w:rPr>
              <w:t>期末终止确认金额</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90" w:right="0"/>
              <w:jc w:val="left"/>
              <w:rPr>
                <w:rFonts w:ascii="宋体" w:hAnsi="宋体" w:cs="宋体" w:eastAsia="宋体" w:hint="default"/>
                <w:sz w:val="20"/>
                <w:szCs w:val="20"/>
              </w:rPr>
            </w:pPr>
            <w:r>
              <w:rPr>
                <w:rFonts w:ascii="宋体" w:hAnsi="宋体" w:cs="宋体" w:eastAsia="宋体" w:hint="default"/>
                <w:sz w:val="20"/>
                <w:szCs w:val="20"/>
              </w:rPr>
              <w:t>期末未终止确认金额</w:t>
            </w:r>
          </w:p>
        </w:tc>
      </w:tr>
      <w:tr>
        <w:trPr>
          <w:trHeight w:val="480" w:hRule="exact"/>
        </w:trPr>
        <w:tc>
          <w:tcPr>
            <w:tcW w:w="31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银行承兑票据</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2,590,449.59</w:t>
            </w:r>
          </w:p>
        </w:tc>
        <w:tc>
          <w:tcPr>
            <w:tcW w:w="3189" w:type="dxa"/>
            <w:tcBorders>
              <w:top w:val="single" w:sz="16" w:space="0" w:color="D2D2D2"/>
              <w:left w:val="single" w:sz="4" w:space="0" w:color="000000"/>
              <w:bottom w:val="single" w:sz="4" w:space="0" w:color="000000"/>
              <w:right w:val="single" w:sz="12" w:space="0" w:color="000000"/>
            </w:tcBorders>
          </w:tcPr>
          <w:p>
            <w:pPr/>
          </w:p>
        </w:tc>
      </w:tr>
      <w:tr>
        <w:trPr>
          <w:trHeight w:val="473" w:hRule="exact"/>
        </w:trPr>
        <w:tc>
          <w:tcPr>
            <w:tcW w:w="31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2,590,449.59</w:t>
            </w:r>
          </w:p>
        </w:tc>
        <w:tc>
          <w:tcPr>
            <w:tcW w:w="318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应收账款" w:id="213"/>
      <w:bookmarkEnd w:id="21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应收账款分类披露" w:id="214"/>
      <w:bookmarkEnd w:id="21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687"/>
        <w:gridCol w:w="1984"/>
        <w:gridCol w:w="1134"/>
        <w:gridCol w:w="1702"/>
        <w:gridCol w:w="1083"/>
      </w:tblGrid>
      <w:tr>
        <w:trPr>
          <w:trHeight w:val="459" w:hRule="exact"/>
        </w:trPr>
        <w:tc>
          <w:tcPr>
            <w:tcW w:w="3687"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03"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449" w:hRule="exact"/>
        </w:trPr>
        <w:tc>
          <w:tcPr>
            <w:tcW w:w="3687" w:type="dxa"/>
            <w:vMerge/>
            <w:tcBorders>
              <w:left w:val="single" w:sz="12" w:space="0" w:color="000000"/>
              <w:bottom w:val="single" w:sz="4" w:space="0" w:color="000000"/>
              <w:right w:val="single" w:sz="4" w:space="0" w:color="000000"/>
            </w:tcBorders>
            <w:shd w:val="clear" w:color="auto" w:fill="D9D9D9"/>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28"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67"/>
              <w:ind w:left="93" w:right="105"/>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单项金额重大并单项计提坏账准备的应收账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1984" w:type="dxa"/>
            <w:tcBorders>
              <w:top w:val="single" w:sz="12" w:space="0" w:color="D9D9D9"/>
              <w:left w:val="single" w:sz="4" w:space="0" w:color="000000"/>
              <w:bottom w:val="single" w:sz="4" w:space="0" w:color="000000"/>
              <w:right w:val="single" w:sz="4" w:space="0" w:color="000000"/>
            </w:tcBorders>
          </w:tcPr>
          <w:p>
            <w:pPr/>
          </w:p>
        </w:tc>
        <w:tc>
          <w:tcPr>
            <w:tcW w:w="1134" w:type="dxa"/>
            <w:tcBorders>
              <w:top w:val="single" w:sz="12" w:space="0" w:color="D9D9D9"/>
              <w:left w:val="single" w:sz="4" w:space="0" w:color="000000"/>
              <w:bottom w:val="single" w:sz="4" w:space="0" w:color="000000"/>
              <w:right w:val="single" w:sz="4" w:space="0" w:color="000000"/>
            </w:tcBorders>
          </w:tcPr>
          <w:p>
            <w:pPr/>
          </w:p>
        </w:tc>
        <w:tc>
          <w:tcPr>
            <w:tcW w:w="1702" w:type="dxa"/>
            <w:tcBorders>
              <w:top w:val="single" w:sz="12" w:space="0" w:color="D9D9D9"/>
              <w:left w:val="single" w:sz="4" w:space="0" w:color="000000"/>
              <w:bottom w:val="single" w:sz="4" w:space="0" w:color="000000"/>
              <w:right w:val="single" w:sz="4" w:space="0" w:color="000000"/>
            </w:tcBorders>
          </w:tcPr>
          <w:p>
            <w:pPr/>
          </w:p>
        </w:tc>
        <w:tc>
          <w:tcPr>
            <w:tcW w:w="1083" w:type="dxa"/>
            <w:tcBorders>
              <w:top w:val="single" w:sz="12" w:space="0" w:color="D9D9D9"/>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36,954,876.55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36,954,876.55</w:t>
            </w:r>
          </w:p>
        </w:tc>
        <w:tc>
          <w:tcPr>
            <w:tcW w:w="1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63"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II</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2,548,142,704.74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98.09%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154,923,141.84</w:t>
            </w:r>
          </w:p>
        </w:tc>
        <w:tc>
          <w:tcPr>
            <w:tcW w:w="1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z w:val="18"/>
              </w:rPr>
              <w:t>6.08%</w:t>
            </w:r>
          </w:p>
        </w:tc>
      </w:tr>
      <w:tr>
        <w:trPr>
          <w:trHeight w:val="631"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12,842,608.00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2,597,940,189.29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191,878,018.39</w:t>
            </w:r>
          </w:p>
        </w:tc>
        <w:tc>
          <w:tcPr>
            <w:tcW w:w="1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z w:val="18"/>
              </w:rPr>
              <w:t>7.39%</w:t>
            </w:r>
          </w:p>
        </w:tc>
      </w:tr>
      <w:tr>
        <w:trPr>
          <w:trHeight w:val="71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5"/>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单项金额虽不重大但单项计提坏账准备的应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收账款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12" w:space="0" w:color="000000"/>
            </w:tcBorders>
          </w:tcPr>
          <w:p>
            <w:pPr/>
          </w:p>
        </w:tc>
      </w:tr>
      <w:tr>
        <w:trPr>
          <w:trHeight w:val="474" w:hRule="exact"/>
        </w:trPr>
        <w:tc>
          <w:tcPr>
            <w:tcW w:w="3687"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2,597,940,189.29</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191,878,018.39</w:t>
            </w:r>
          </w:p>
        </w:tc>
        <w:tc>
          <w:tcPr>
            <w:tcW w:w="10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z w:val="18"/>
              </w:rPr>
              <w:t>7.39%</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266" w:top="1160" w:bottom="1460" w:left="980" w:right="0"/>
        </w:sectPr>
      </w:pPr>
    </w:p>
    <w:p>
      <w:pPr>
        <w:spacing w:line="240" w:lineRule="auto" w:before="8"/>
        <w:rPr>
          <w:rFonts w:ascii="宋体" w:hAnsi="宋体" w:cs="宋体" w:eastAsia="宋体" w:hint="default"/>
          <w:b/>
          <w:bCs/>
          <w:sz w:val="23"/>
          <w:szCs w:val="23"/>
        </w:rPr>
      </w:pPr>
    </w:p>
    <w:p>
      <w:pPr>
        <w:pStyle w:val="BodyText"/>
        <w:spacing w:line="240" w:lineRule="auto" w:before="35"/>
        <w:ind w:left="595" w:right="1135"/>
        <w:jc w:val="left"/>
      </w:pPr>
      <w:r>
        <w:rPr/>
        <w:t>（续）</w:t>
      </w:r>
    </w:p>
    <w:p>
      <w:pPr>
        <w:spacing w:line="240" w:lineRule="auto" w:before="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687"/>
        <w:gridCol w:w="1984"/>
        <w:gridCol w:w="994"/>
        <w:gridCol w:w="1701"/>
        <w:gridCol w:w="1225"/>
      </w:tblGrid>
      <w:tr>
        <w:trPr>
          <w:trHeight w:val="459" w:hRule="exact"/>
        </w:trPr>
        <w:tc>
          <w:tcPr>
            <w:tcW w:w="3687"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03"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449" w:hRule="exact"/>
        </w:trPr>
        <w:tc>
          <w:tcPr>
            <w:tcW w:w="3687" w:type="dxa"/>
            <w:vMerge/>
            <w:tcBorders>
              <w:left w:val="single" w:sz="12" w:space="0" w:color="000000"/>
              <w:bottom w:val="single" w:sz="4" w:space="0" w:color="000000"/>
              <w:right w:val="single" w:sz="4" w:space="0" w:color="000000"/>
            </w:tcBorders>
            <w:shd w:val="clear" w:color="auto" w:fill="D9D9D9"/>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5"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30"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67"/>
              <w:ind w:left="93" w:right="105"/>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单项金额重大并单项计提坏账准备的应收账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1984" w:type="dxa"/>
            <w:tcBorders>
              <w:top w:val="single" w:sz="16" w:space="0" w:color="D9D9D9"/>
              <w:left w:val="single" w:sz="4" w:space="0" w:color="000000"/>
              <w:bottom w:val="single" w:sz="4" w:space="0" w:color="000000"/>
              <w:right w:val="single" w:sz="4" w:space="0" w:color="000000"/>
            </w:tcBorders>
          </w:tcPr>
          <w:p>
            <w:pPr/>
          </w:p>
        </w:tc>
        <w:tc>
          <w:tcPr>
            <w:tcW w:w="994" w:type="dxa"/>
            <w:tcBorders>
              <w:top w:val="single" w:sz="16" w:space="0" w:color="D9D9D9"/>
              <w:left w:val="single" w:sz="4" w:space="0" w:color="000000"/>
              <w:bottom w:val="single" w:sz="4" w:space="0" w:color="000000"/>
              <w:right w:val="single" w:sz="4" w:space="0" w:color="000000"/>
            </w:tcBorders>
          </w:tcPr>
          <w:p>
            <w:pPr/>
          </w:p>
        </w:tc>
        <w:tc>
          <w:tcPr>
            <w:tcW w:w="1701" w:type="dxa"/>
            <w:tcBorders>
              <w:top w:val="single" w:sz="16" w:space="0" w:color="D9D9D9"/>
              <w:left w:val="single" w:sz="4" w:space="0" w:color="000000"/>
              <w:bottom w:val="single" w:sz="4" w:space="0" w:color="000000"/>
              <w:right w:val="single" w:sz="4" w:space="0" w:color="000000"/>
            </w:tcBorders>
          </w:tcPr>
          <w:p>
            <w:pPr/>
          </w:p>
        </w:tc>
        <w:tc>
          <w:tcPr>
            <w:tcW w:w="1225" w:type="dxa"/>
            <w:tcBorders>
              <w:top w:val="single" w:sz="16" w:space="0" w:color="D9D9D9"/>
              <w:left w:val="single" w:sz="4" w:space="0" w:color="000000"/>
              <w:bottom w:val="single" w:sz="4" w:space="0" w:color="000000"/>
              <w:right w:val="single" w:sz="12" w:space="0" w:color="000000"/>
            </w:tcBorders>
          </w:tcPr>
          <w:p>
            <w:pPr/>
          </w:p>
        </w:tc>
      </w:tr>
      <w:tr>
        <w:trPr>
          <w:trHeight w:val="631"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53,560,878.34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53,560,878.34</w:t>
            </w:r>
          </w:p>
        </w:tc>
        <w:tc>
          <w:tcPr>
            <w:tcW w:w="12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63"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账期组合</w:t>
            </w:r>
            <w:r>
              <w:rPr>
                <w:rFonts w:ascii="宋体" w:hAnsi="宋体" w:cs="宋体" w:eastAsia="宋体" w:hint="default"/>
                <w:sz w:val="18"/>
                <w:szCs w:val="18"/>
              </w:rPr>
              <w:t>II</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2,400,908,924.19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97.08%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172,311,832.37</w:t>
            </w:r>
          </w:p>
        </w:tc>
        <w:tc>
          <w:tcPr>
            <w:tcW w:w="12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7.18%</w:t>
            </w:r>
          </w:p>
        </w:tc>
      </w:tr>
      <w:tr>
        <w:trPr>
          <w:trHeight w:val="631"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10,857,500.00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2,465,327,302.53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99.69%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225,872,710.71</w:t>
            </w:r>
          </w:p>
        </w:tc>
        <w:tc>
          <w:tcPr>
            <w:tcW w:w="12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9.16%</w:t>
            </w:r>
          </w:p>
        </w:tc>
      </w:tr>
      <w:tr>
        <w:trPr>
          <w:trHeight w:val="71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5"/>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单项金额虽不重大但单项计提坏账准备的应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7,762,363.27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7,762,363.27</w:t>
            </w:r>
          </w:p>
        </w:tc>
        <w:tc>
          <w:tcPr>
            <w:tcW w:w="12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73" w:hRule="exact"/>
        </w:trPr>
        <w:tc>
          <w:tcPr>
            <w:tcW w:w="3687"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2,473,089,665.80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233,635,073.98</w:t>
            </w:r>
          </w:p>
        </w:tc>
        <w:tc>
          <w:tcPr>
            <w:tcW w:w="12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9.45%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574" w:right="1135"/>
        <w:jc w:val="left"/>
      </w:pPr>
      <w:r>
        <w:rPr>
          <w:rFonts w:ascii="宋体" w:hAnsi="宋体" w:cs="宋体" w:eastAsia="宋体" w:hint="default"/>
        </w:rPr>
        <w:t>1)</w:t>
      </w:r>
      <w:r>
        <w:rPr/>
        <w:t>组合中，采用账期组合</w:t>
      </w:r>
      <w:r>
        <w:rPr>
          <w:rFonts w:ascii="宋体" w:hAnsi="宋体" w:cs="宋体" w:eastAsia="宋体" w:hint="default"/>
        </w:rPr>
        <w:t>II</w:t>
      </w:r>
      <w:r>
        <w:rPr/>
        <w:t>计提坏账准备的应收账款</w:t>
      </w:r>
    </w:p>
    <w:p>
      <w:pPr>
        <w:spacing w:line="240" w:lineRule="auto" w:before="1"/>
        <w:rPr>
          <w:rFonts w:ascii="宋体" w:hAnsi="宋体" w:cs="宋体" w:eastAsia="宋体" w:hint="default"/>
          <w:sz w:val="14"/>
          <w:szCs w:val="14"/>
        </w:rPr>
      </w:pPr>
    </w:p>
    <w:tbl>
      <w:tblPr>
        <w:tblW w:w="0" w:type="auto"/>
        <w:jc w:val="left"/>
        <w:tblInd w:w="152" w:type="dxa"/>
        <w:tblLayout w:type="fixed"/>
        <w:tblCellMar>
          <w:top w:w="0" w:type="dxa"/>
          <w:left w:w="0" w:type="dxa"/>
          <w:bottom w:w="0" w:type="dxa"/>
          <w:right w:w="0" w:type="dxa"/>
        </w:tblCellMar>
        <w:tblLook w:val="01E0"/>
      </w:tblPr>
      <w:tblGrid>
        <w:gridCol w:w="1121"/>
        <w:gridCol w:w="1702"/>
        <w:gridCol w:w="889"/>
        <w:gridCol w:w="1532"/>
        <w:gridCol w:w="1729"/>
        <w:gridCol w:w="993"/>
        <w:gridCol w:w="1611"/>
      </w:tblGrid>
      <w:tr>
        <w:trPr>
          <w:trHeight w:val="459" w:hRule="exact"/>
        </w:trPr>
        <w:tc>
          <w:tcPr>
            <w:tcW w:w="112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22"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4333" w:type="dxa"/>
            <w:gridSpan w:val="3"/>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448" w:hRule="exact"/>
        </w:trPr>
        <w:tc>
          <w:tcPr>
            <w:tcW w:w="1121" w:type="dxa"/>
            <w:vMerge/>
            <w:tcBorders>
              <w:left w:val="single" w:sz="12"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5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4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11"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2"/>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8"/>
              <w:ind w:left="93"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170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1,958,711,575.27</w:t>
            </w:r>
          </w:p>
        </w:tc>
        <w:tc>
          <w:tcPr>
            <w:tcW w:w="88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0.00%</w:t>
            </w:r>
          </w:p>
        </w:tc>
        <w:tc>
          <w:tcPr>
            <w:tcW w:w="1532" w:type="dxa"/>
            <w:tcBorders>
              <w:top w:val="single" w:sz="16" w:space="0" w:color="D9D9D9"/>
              <w:left w:val="single" w:sz="4" w:space="0" w:color="000000"/>
              <w:bottom w:val="single" w:sz="4" w:space="0" w:color="000000"/>
              <w:right w:val="single" w:sz="4" w:space="0" w:color="000000"/>
            </w:tcBorders>
          </w:tcPr>
          <w:p>
            <w:pPr/>
          </w:p>
        </w:tc>
        <w:tc>
          <w:tcPr>
            <w:tcW w:w="172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1,817,671,082.57</w:t>
            </w:r>
          </w:p>
        </w:tc>
        <w:tc>
          <w:tcPr>
            <w:tcW w:w="993"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0.00%</w:t>
            </w:r>
          </w:p>
        </w:tc>
        <w:tc>
          <w:tcPr>
            <w:tcW w:w="1611" w:type="dxa"/>
            <w:tcBorders>
              <w:top w:val="single" w:sz="16" w:space="0" w:color="D9D9D9"/>
              <w:left w:val="single" w:sz="4" w:space="0" w:color="000000"/>
              <w:bottom w:val="single" w:sz="4" w:space="0" w:color="000000"/>
              <w:right w:val="single" w:sz="12" w:space="0" w:color="000000"/>
            </w:tcBorders>
          </w:tcPr>
          <w:p>
            <w:pPr/>
          </w:p>
        </w:tc>
      </w:tr>
      <w:tr>
        <w:trPr>
          <w:trHeight w:val="464"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z w:val="18"/>
                <w:szCs w:val="18"/>
              </w:rPr>
              <w:t>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267,242,110.46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13,362,105.52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196,202,454.27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5.00%</w:t>
            </w:r>
          </w:p>
        </w:tc>
        <w:tc>
          <w:tcPr>
            <w:tcW w:w="16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9,810,122.71</w:t>
            </w:r>
          </w:p>
        </w:tc>
      </w:tr>
      <w:tr>
        <w:trPr>
          <w:trHeight w:val="463"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91-180</w:t>
            </w:r>
            <w:r>
              <w:rPr>
                <w:rFonts w:ascii="宋体" w:hAnsi="宋体" w:cs="宋体" w:eastAsia="宋体" w:hint="default"/>
                <w:sz w:val="18"/>
                <w:szCs w:val="18"/>
              </w:rPr>
              <w:t>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123,497,012.00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12,349,701.20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168,397,874.00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w:t>
            </w:r>
          </w:p>
        </w:tc>
        <w:tc>
          <w:tcPr>
            <w:tcW w:w="16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16,839,787.40</w:t>
            </w:r>
          </w:p>
        </w:tc>
      </w:tr>
      <w:tr>
        <w:trPr>
          <w:trHeight w:val="464"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181-270</w:t>
            </w:r>
            <w:r>
              <w:rPr>
                <w:rFonts w:ascii="宋体" w:hAnsi="宋体" w:cs="宋体" w:eastAsia="宋体" w:hint="default"/>
                <w:sz w:val="18"/>
                <w:szCs w:val="18"/>
              </w:rPr>
              <w:t>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57,617,543.97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11,523,508.79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71,665,426.40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20.00%</w:t>
            </w:r>
          </w:p>
        </w:tc>
        <w:tc>
          <w:tcPr>
            <w:tcW w:w="16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14,333,085.28</w:t>
            </w:r>
          </w:p>
        </w:tc>
      </w:tr>
      <w:tr>
        <w:trPr>
          <w:trHeight w:val="464"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271-360</w:t>
            </w:r>
            <w:r>
              <w:rPr>
                <w:rFonts w:ascii="宋体" w:hAnsi="宋体" w:cs="宋体" w:eastAsia="宋体" w:hint="default"/>
                <w:sz w:val="18"/>
                <w:szCs w:val="18"/>
              </w:rPr>
              <w:t>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46,773,276.06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23,386,639.35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31,286,501.03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50.00%</w:t>
            </w:r>
          </w:p>
        </w:tc>
        <w:tc>
          <w:tcPr>
            <w:tcW w:w="16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15,643,251.06</w:t>
            </w:r>
          </w:p>
        </w:tc>
      </w:tr>
      <w:tr>
        <w:trPr>
          <w:trHeight w:val="463" w:hRule="exact"/>
        </w:trPr>
        <w:tc>
          <w:tcPr>
            <w:tcW w:w="112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361</w:t>
            </w:r>
            <w:r>
              <w:rPr>
                <w:rFonts w:ascii="宋体" w:hAnsi="宋体" w:cs="宋体" w:eastAsia="宋体" w:hint="default"/>
                <w:sz w:val="18"/>
                <w:szCs w:val="18"/>
              </w:rPr>
              <w:t>天以上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94,301,186.98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94,301,186.98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115,685,585.92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6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115,685,585.92</w:t>
            </w:r>
          </w:p>
        </w:tc>
      </w:tr>
      <w:tr>
        <w:trPr>
          <w:trHeight w:val="475" w:hRule="exact"/>
        </w:trPr>
        <w:tc>
          <w:tcPr>
            <w:tcW w:w="112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2,548,142,704.74</w:t>
            </w:r>
          </w:p>
        </w:tc>
        <w:tc>
          <w:tcPr>
            <w:tcW w:w="889" w:type="dxa"/>
            <w:tcBorders>
              <w:top w:val="single" w:sz="4" w:space="0" w:color="000000"/>
              <w:left w:val="single" w:sz="4" w:space="0" w:color="000000"/>
              <w:bottom w:val="single" w:sz="12" w:space="0" w:color="000000"/>
              <w:right w:val="single" w:sz="4" w:space="0" w:color="000000"/>
            </w:tcBorders>
          </w:tcPr>
          <w:p>
            <w:pP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154,923,141.84</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2,400,908,924.19</w:t>
            </w:r>
          </w:p>
        </w:tc>
        <w:tc>
          <w:tcPr>
            <w:tcW w:w="993" w:type="dxa"/>
            <w:tcBorders>
              <w:top w:val="single" w:sz="4" w:space="0" w:color="000000"/>
              <w:left w:val="single" w:sz="4" w:space="0" w:color="000000"/>
              <w:bottom w:val="single" w:sz="12" w:space="0" w:color="000000"/>
              <w:right w:val="single" w:sz="4" w:space="0" w:color="000000"/>
            </w:tcBorders>
          </w:tcPr>
          <w:p>
            <w:pPr/>
          </w:p>
        </w:tc>
        <w:tc>
          <w:tcPr>
            <w:tcW w:w="16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172,311,832.37</w:t>
            </w:r>
          </w:p>
        </w:tc>
      </w:tr>
    </w:tbl>
    <w:p>
      <w:pPr>
        <w:spacing w:line="240" w:lineRule="auto" w:before="2"/>
        <w:rPr>
          <w:rFonts w:ascii="宋体" w:hAnsi="宋体" w:cs="宋体" w:eastAsia="宋体" w:hint="default"/>
          <w:sz w:val="19"/>
          <w:szCs w:val="19"/>
        </w:rPr>
      </w:pPr>
    </w:p>
    <w:p>
      <w:pPr>
        <w:spacing w:line="571" w:lineRule="auto" w:before="35"/>
        <w:ind w:left="154" w:right="6662" w:firstLine="0"/>
        <w:jc w:val="left"/>
        <w:rPr>
          <w:rFonts w:ascii="宋体" w:hAnsi="宋体" w:cs="宋体" w:eastAsia="宋体" w:hint="default"/>
          <w:sz w:val="21"/>
          <w:szCs w:val="21"/>
        </w:rPr>
      </w:pPr>
      <w:bookmarkStart w:name="（2）本期计提、收回或转回的坏账准备情况"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z w:val="21"/>
          <w:szCs w:val="21"/>
        </w:rPr>
        <w:t>-34,864,674.03</w:t>
      </w:r>
      <w:r>
        <w:rPr>
          <w:rFonts w:ascii="宋体" w:hAnsi="宋体" w:cs="宋体" w:eastAsia="宋体" w:hint="default"/>
          <w:sz w:val="21"/>
          <w:szCs w:val="21"/>
        </w:rPr>
        <w:t>元。</w:t>
      </w:r>
    </w:p>
    <w:p>
      <w:pPr>
        <w:spacing w:after="0" w:line="571" w:lineRule="auto"/>
        <w:jc w:val="left"/>
        <w:rPr>
          <w:rFonts w:ascii="宋体" w:hAnsi="宋体" w:cs="宋体" w:eastAsia="宋体" w:hint="default"/>
          <w:sz w:val="21"/>
          <w:szCs w:val="21"/>
        </w:rPr>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3）本期实际核销的应收账款情况" w:id="216"/>
      <w:bookmarkEnd w:id="21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678"/>
        <w:gridCol w:w="4913"/>
      </w:tblGrid>
      <w:tr>
        <w:trPr>
          <w:trHeight w:val="475" w:hRule="exact"/>
        </w:trPr>
        <w:tc>
          <w:tcPr>
            <w:tcW w:w="467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right="6"/>
              <w:jc w:val="center"/>
              <w:rPr>
                <w:rFonts w:ascii="宋体" w:hAnsi="宋体" w:cs="宋体" w:eastAsia="宋体" w:hint="default"/>
                <w:sz w:val="20"/>
                <w:szCs w:val="20"/>
              </w:rPr>
            </w:pPr>
            <w:r>
              <w:rPr>
                <w:rFonts w:ascii="宋体" w:hAnsi="宋体" w:cs="宋体" w:eastAsia="宋体" w:hint="default"/>
                <w:sz w:val="20"/>
                <w:szCs w:val="20"/>
              </w:rPr>
              <w:t>项目</w:t>
            </w:r>
          </w:p>
        </w:tc>
        <w:tc>
          <w:tcPr>
            <w:tcW w:w="491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35"/>
              <w:ind w:left="10" w:right="0"/>
              <w:jc w:val="center"/>
              <w:rPr>
                <w:rFonts w:ascii="宋体" w:hAnsi="宋体" w:cs="宋体" w:eastAsia="宋体" w:hint="default"/>
                <w:sz w:val="20"/>
                <w:szCs w:val="20"/>
              </w:rPr>
            </w:pPr>
            <w:r>
              <w:rPr>
                <w:rFonts w:ascii="宋体" w:hAnsi="宋体" w:cs="宋体" w:eastAsia="宋体" w:hint="default"/>
                <w:sz w:val="20"/>
                <w:szCs w:val="20"/>
              </w:rPr>
              <w:t>核销金额</w:t>
            </w:r>
          </w:p>
        </w:tc>
      </w:tr>
      <w:tr>
        <w:trPr>
          <w:trHeight w:val="473" w:hRule="exact"/>
        </w:trPr>
        <w:tc>
          <w:tcPr>
            <w:tcW w:w="467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实际核销的应收账款</w:t>
            </w:r>
          </w:p>
        </w:tc>
        <w:tc>
          <w:tcPr>
            <w:tcW w:w="4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7,762,363.27</w:t>
            </w:r>
          </w:p>
        </w:tc>
      </w:tr>
    </w:tbl>
    <w:p>
      <w:pPr>
        <w:spacing w:line="240" w:lineRule="auto" w:before="3"/>
        <w:rPr>
          <w:rFonts w:ascii="宋体" w:hAnsi="宋体" w:cs="宋体" w:eastAsia="宋体" w:hint="default"/>
          <w:sz w:val="5"/>
          <w:szCs w:val="5"/>
        </w:rPr>
      </w:pPr>
    </w:p>
    <w:p>
      <w:pPr>
        <w:pStyle w:val="BodyText"/>
        <w:spacing w:line="444" w:lineRule="auto" w:before="35"/>
        <w:ind w:left="574" w:right="0" w:hanging="420"/>
        <w:jc w:val="left"/>
      </w:pPr>
      <w:r>
        <w:rPr/>
        <w:t>应收账款核销说明： </w:t>
      </w: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日召开的第六届董事会</w:t>
      </w:r>
      <w:r>
        <w:rPr>
          <w:rFonts w:ascii="Times New Roman" w:hAnsi="Times New Roman" w:cs="Times New Roman" w:eastAsia="Times New Roman" w:hint="default"/>
          <w:spacing w:val="-1"/>
        </w:rPr>
        <w:t>2015</w:t>
      </w:r>
      <w:r>
        <w:rPr>
          <w:spacing w:val="-1"/>
        </w:rPr>
        <w:t>年第三次临时会议审议通过了《关于核销部分应收</w:t>
      </w:r>
    </w:p>
    <w:p>
      <w:pPr>
        <w:pStyle w:val="BodyText"/>
        <w:spacing w:line="254" w:lineRule="exact"/>
        <w:ind w:left="154" w:right="0"/>
        <w:jc w:val="left"/>
      </w:pPr>
      <w:r>
        <w:rPr/>
        <w:t>账款和其他应收款的议案》，本年核销应收账款的原因是账龄久远，无法收回，本次核销的款项均系公司</w:t>
      </w:r>
    </w:p>
    <w:p>
      <w:pPr>
        <w:spacing w:line="240" w:lineRule="auto" w:before="10"/>
        <w:rPr>
          <w:rFonts w:ascii="宋体" w:hAnsi="宋体" w:cs="宋体" w:eastAsia="宋体" w:hint="default"/>
          <w:sz w:val="14"/>
          <w:szCs w:val="14"/>
        </w:rPr>
      </w:pPr>
    </w:p>
    <w:p>
      <w:pPr>
        <w:pStyle w:val="BodyText"/>
        <w:spacing w:line="386" w:lineRule="auto"/>
        <w:ind w:left="154" w:right="1116"/>
        <w:jc w:val="left"/>
      </w:pPr>
      <w:r>
        <w:rPr>
          <w:rFonts w:ascii="Times New Roman" w:hAnsi="Times New Roman" w:cs="Times New Roman" w:eastAsia="Times New Roman" w:hint="default"/>
          <w:spacing w:val="-1"/>
        </w:rPr>
        <w:t>2013</w:t>
      </w:r>
      <w:r>
        <w:rPr>
          <w:spacing w:val="-1"/>
        </w:rPr>
        <w:t>年底重组前深圳市太光电信股份有限公司（公司前身）历史遗留的账目，所涉及的债务人与公司均无</w:t>
      </w:r>
      <w:r>
        <w:rPr>
          <w:spacing w:val="-82"/>
        </w:rPr>
        <w:t> </w:t>
      </w:r>
      <w:r>
        <w:rPr>
          <w:spacing w:val="-82"/>
        </w:rPr>
      </w:r>
      <w:r>
        <w:rPr/>
        <w:t>关联关系。</w:t>
      </w:r>
    </w:p>
    <w:p>
      <w:pPr>
        <w:spacing w:line="240" w:lineRule="auto" w:before="11"/>
        <w:rPr>
          <w:rFonts w:ascii="宋体" w:hAnsi="宋体" w:cs="宋体" w:eastAsia="宋体" w:hint="default"/>
          <w:sz w:val="21"/>
          <w:szCs w:val="21"/>
        </w:rPr>
      </w:pPr>
    </w:p>
    <w:p>
      <w:pPr>
        <w:pStyle w:val="Heading6"/>
        <w:spacing w:line="240" w:lineRule="auto"/>
        <w:ind w:left="153" w:right="1135"/>
        <w:jc w:val="left"/>
        <w:rPr>
          <w:b w:val="0"/>
          <w:bCs w:val="0"/>
        </w:rPr>
      </w:pPr>
      <w:bookmarkStart w:name="（4）按欠款方归集的期末余额前五名的应收账款情况" w:id="217"/>
      <w:bookmarkEnd w:id="21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129" w:firstLine="420"/>
        <w:jc w:val="left"/>
      </w:pPr>
      <w:r>
        <w:rPr/>
        <w:t>本年按欠款方归集的年末余额前五名应收账款汇总金额</w:t>
      </w:r>
      <w:r>
        <w:rPr>
          <w:spacing w:val="69"/>
        </w:rPr>
        <w:t> </w:t>
      </w:r>
      <w:r>
        <w:rPr>
          <w:rFonts w:ascii="宋体" w:hAnsi="宋体" w:cs="宋体" w:eastAsia="宋体" w:hint="default"/>
        </w:rPr>
        <w:t>447,015,704.59</w:t>
      </w:r>
      <w:r>
        <w:rPr/>
        <w:t>元，占应收账款年末余额合 计数的比例为</w:t>
      </w:r>
      <w:r>
        <w:rPr>
          <w:rFonts w:ascii="宋体" w:hAnsi="宋体" w:cs="宋体" w:eastAsia="宋体" w:hint="default"/>
        </w:rPr>
        <w:t>17.21%</w:t>
      </w:r>
      <w:r>
        <w:rPr/>
        <w:t>，相应计提的坏账准备年末余额汇总金额</w:t>
      </w:r>
      <w:r>
        <w:rPr>
          <w:rFonts w:ascii="宋体" w:hAnsi="宋体" w:cs="宋体" w:eastAsia="宋体" w:hint="default"/>
        </w:rPr>
        <w:t>8,837,937.46</w:t>
      </w:r>
      <w:r>
        <w:rPr/>
        <w:t>元。</w:t>
      </w:r>
    </w:p>
    <w:p>
      <w:pPr>
        <w:spacing w:line="240" w:lineRule="auto" w:before="3"/>
        <w:rPr>
          <w:rFonts w:ascii="宋体" w:hAnsi="宋体" w:cs="宋体" w:eastAsia="宋体" w:hint="default"/>
          <w:sz w:val="20"/>
          <w:szCs w:val="20"/>
        </w:rPr>
      </w:pPr>
    </w:p>
    <w:p>
      <w:pPr>
        <w:pStyle w:val="Heading6"/>
        <w:spacing w:line="240" w:lineRule="auto"/>
        <w:ind w:left="153" w:right="1135"/>
        <w:jc w:val="left"/>
        <w:rPr>
          <w:b w:val="0"/>
          <w:bCs w:val="0"/>
        </w:rPr>
      </w:pPr>
      <w:bookmarkStart w:name="4、预付款项" w:id="218"/>
      <w:bookmarkEnd w:id="21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135"/>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13"/>
        <w:gridCol w:w="1916"/>
        <w:gridCol w:w="1914"/>
        <w:gridCol w:w="1914"/>
        <w:gridCol w:w="1915"/>
      </w:tblGrid>
      <w:tr>
        <w:trPr>
          <w:trHeight w:val="263" w:hRule="exact"/>
        </w:trPr>
        <w:tc>
          <w:tcPr>
            <w:tcW w:w="191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3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829"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196" w:hRule="exact"/>
        </w:trPr>
        <w:tc>
          <w:tcPr>
            <w:tcW w:w="1913"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35"/>
              <w:ind w:right="7"/>
              <w:jc w:val="center"/>
              <w:rPr>
                <w:rFonts w:ascii="宋体" w:hAnsi="宋体" w:cs="宋体" w:eastAsia="宋体" w:hint="default"/>
                <w:sz w:val="20"/>
                <w:szCs w:val="20"/>
              </w:rPr>
            </w:pPr>
            <w:r>
              <w:rPr>
                <w:rFonts w:ascii="宋体" w:hAnsi="宋体" w:cs="宋体" w:eastAsia="宋体" w:hint="default"/>
                <w:sz w:val="20"/>
                <w:szCs w:val="20"/>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1913" w:type="dxa"/>
            <w:vMerge/>
            <w:tcBorders>
              <w:left w:val="single" w:sz="12"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915"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66"/>
              <w:ind w:left="10"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253" w:hRule="exact"/>
        </w:trPr>
        <w:tc>
          <w:tcPr>
            <w:tcW w:w="191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12" w:space="0" w:color="000000"/>
            </w:tcBorders>
            <w:shd w:val="clear" w:color="auto" w:fill="D2D2D2"/>
          </w:tcPr>
          <w:p>
            <w:pPr/>
          </w:p>
        </w:tc>
      </w:tr>
      <w:tr>
        <w:trPr>
          <w:trHeight w:val="479" w:hRule="exact"/>
        </w:trPr>
        <w:tc>
          <w:tcPr>
            <w:tcW w:w="19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91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0"/>
                <w:szCs w:val="20"/>
              </w:rPr>
            </w:pPr>
            <w:r>
              <w:rPr>
                <w:rFonts w:ascii="Times New Roman"/>
                <w:spacing w:val="-1"/>
                <w:sz w:val="20"/>
              </w:rPr>
              <w:t>60,188,426.04</w:t>
            </w:r>
          </w:p>
        </w:tc>
        <w:tc>
          <w:tcPr>
            <w:tcW w:w="191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0"/>
                <w:szCs w:val="20"/>
              </w:rPr>
            </w:pPr>
            <w:r>
              <w:rPr>
                <w:rFonts w:ascii="Times New Roman"/>
                <w:sz w:val="20"/>
              </w:rPr>
              <w:t>99.55%</w:t>
            </w:r>
          </w:p>
        </w:tc>
        <w:tc>
          <w:tcPr>
            <w:tcW w:w="191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0"/>
                <w:szCs w:val="20"/>
              </w:rPr>
            </w:pPr>
            <w:r>
              <w:rPr>
                <w:rFonts w:ascii="Times New Roman"/>
                <w:spacing w:val="-1"/>
                <w:sz w:val="20"/>
              </w:rPr>
              <w:t>49,681,689.23</w:t>
            </w:r>
          </w:p>
        </w:tc>
        <w:tc>
          <w:tcPr>
            <w:tcW w:w="1915"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7"/>
              <w:ind w:right="10"/>
              <w:jc w:val="right"/>
              <w:rPr>
                <w:rFonts w:ascii="Times New Roman" w:hAnsi="Times New Roman" w:cs="Times New Roman" w:eastAsia="Times New Roman" w:hint="default"/>
                <w:sz w:val="20"/>
                <w:szCs w:val="20"/>
              </w:rPr>
            </w:pPr>
            <w:r>
              <w:rPr>
                <w:rFonts w:ascii="Times New Roman"/>
                <w:sz w:val="20"/>
              </w:rPr>
              <w:t>99.62%</w:t>
            </w:r>
          </w:p>
        </w:tc>
      </w:tr>
      <w:tr>
        <w:trPr>
          <w:trHeight w:val="464" w:hRule="exact"/>
        </w:trPr>
        <w:tc>
          <w:tcPr>
            <w:tcW w:w="19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232,467.21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z w:val="20"/>
              </w:rPr>
              <w:t>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185,626.14</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z w:val="20"/>
              </w:rPr>
              <w:t>0.37%</w:t>
            </w:r>
          </w:p>
        </w:tc>
      </w:tr>
      <w:tr>
        <w:trPr>
          <w:trHeight w:val="464" w:hRule="exact"/>
        </w:trPr>
        <w:tc>
          <w:tcPr>
            <w:tcW w:w="19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37,559.99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z w:val="20"/>
              </w:rPr>
              <w:t>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4,900.00</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z w:val="20"/>
              </w:rPr>
              <w:t>0.01%</w:t>
            </w:r>
          </w:p>
        </w:tc>
      </w:tr>
      <w:tr>
        <w:trPr>
          <w:trHeight w:val="463" w:hRule="exact"/>
        </w:trPr>
        <w:tc>
          <w:tcPr>
            <w:tcW w:w="19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z w:val="20"/>
              </w:rPr>
              <w:t>85.85</w:t>
            </w: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z w:val="20"/>
              </w:rPr>
              <w:t>0.00%</w:t>
            </w:r>
          </w:p>
        </w:tc>
      </w:tr>
      <w:tr>
        <w:trPr>
          <w:trHeight w:val="475"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60,458,453.24</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49,872,301.22</w:t>
            </w:r>
          </w:p>
        </w:tc>
        <w:tc>
          <w:tcPr>
            <w:tcW w:w="1915"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按预付对象归集的期末余额前五名的预付款情况" w:id="220"/>
      <w:bookmarkEnd w:id="22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4" w:right="0" w:firstLine="420"/>
        <w:jc w:val="left"/>
      </w:pPr>
      <w:r>
        <w:rPr/>
        <w:t>本年按预付对象归集的年末余额前五名预付款项汇总金额</w:t>
      </w:r>
      <w:r>
        <w:rPr>
          <w:rFonts w:ascii="Times New Roman" w:hAnsi="Times New Roman" w:cs="Times New Roman" w:eastAsia="Times New Roman" w:hint="default"/>
        </w:rPr>
        <w:t>44,526,059.50</w:t>
      </w:r>
      <w:r>
        <w:rPr/>
        <w:t>元，占预付款项年末余额合计 数的比例为</w:t>
      </w:r>
      <w:r>
        <w:rPr>
          <w:rFonts w:ascii="Times New Roman" w:hAnsi="Times New Roman" w:cs="Times New Roman" w:eastAsia="Times New Roman" w:hint="default"/>
        </w:rPr>
        <w:t>73.65%</w:t>
      </w:r>
      <w:r>
        <w:rPr/>
        <w:t>。</w:t>
      </w:r>
    </w:p>
    <w:p>
      <w:pPr>
        <w:spacing w:after="0" w:line="386" w:lineRule="auto"/>
        <w:jc w:val="left"/>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5、应收利息" w:id="221"/>
      <w:bookmarkEnd w:id="221"/>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应收利息分类" w:id="222"/>
      <w:bookmarkEnd w:id="22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1"/>
        <w:gridCol w:w="3188"/>
      </w:tblGrid>
      <w:tr>
        <w:trPr>
          <w:trHeight w:val="459"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3191" w:type="dxa"/>
            <w:tcBorders>
              <w:top w:val="single" w:sz="16" w:space="0" w:color="D2D2D2"/>
              <w:left w:val="single" w:sz="4" w:space="0" w:color="000000"/>
              <w:bottom w:val="single" w:sz="4" w:space="0" w:color="000000"/>
              <w:right w:val="single" w:sz="4" w:space="0" w:color="000000"/>
            </w:tcBorders>
          </w:tcPr>
          <w:p>
            <w:pPr/>
          </w:p>
        </w:tc>
        <w:tc>
          <w:tcPr>
            <w:tcW w:w="318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143,437.50</w:t>
            </w:r>
          </w:p>
        </w:tc>
      </w:tr>
      <w:tr>
        <w:trPr>
          <w:trHeight w:val="475"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12" w:space="0" w:color="000000"/>
              <w:right w:val="single" w:sz="4" w:space="0" w:color="000000"/>
            </w:tcBorders>
          </w:tcPr>
          <w:p>
            <w:pP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143,437.50</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13"/>
        <w:rPr>
          <w:rFonts w:ascii="宋体" w:hAnsi="宋体" w:cs="宋体" w:eastAsia="宋体" w:hint="default"/>
          <w:sz w:val="25"/>
          <w:szCs w:val="25"/>
        </w:rPr>
      </w:pPr>
    </w:p>
    <w:p>
      <w:pPr>
        <w:pStyle w:val="Heading6"/>
        <w:spacing w:line="240" w:lineRule="auto"/>
        <w:ind w:left="140" w:right="0"/>
        <w:jc w:val="left"/>
        <w:rPr>
          <w:b w:val="0"/>
          <w:bCs w:val="0"/>
        </w:rPr>
      </w:pPr>
      <w:r>
        <w:rPr/>
        <w:pict>
          <v:group style="position:absolute;margin-left:70.5pt;margin-top:-1.656338pt;width:701pt;height:.1pt;mso-position-horizontal-relative:page;mso-position-vertical-relative:paragraph;z-index:2296" coordorigin="1410,-33" coordsize="14020,2">
            <v:shape style="position:absolute;left:1410;top:-33;width:14020;height:2" coordorigin="1410,-33" coordsize="14020,0" path="m1410,-33l15430,-33e" filled="false" stroked="true" strokeweight=".72pt" strokecolor="#000000">
              <v:path arrowok="t"/>
            </v:shape>
            <w10:wrap type="none"/>
          </v:group>
        </w:pict>
      </w:r>
      <w:bookmarkStart w:name="6、其他应收款" w:id="223"/>
      <w:bookmarkEnd w:id="22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39" w:right="0"/>
        <w:jc w:val="left"/>
        <w:rPr>
          <w:b w:val="0"/>
          <w:bCs w:val="0"/>
        </w:rPr>
      </w:pPr>
      <w:bookmarkStart w:name="（1）其他应收款分类披露" w:id="224"/>
      <w:bookmarkEnd w:id="224"/>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spacing w:before="16"/>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8"/>
          <w:footerReference w:type="default" r:id="rId59"/>
          <w:pgSz w:w="16840" w:h="11910" w:orient="landscape"/>
          <w:pgMar w:header="0" w:footer="0" w:top="840" w:bottom="0" w:left="1300" w:right="0"/>
          <w:cols w:num="2" w:equalWidth="0">
            <w:col w:w="2563" w:space="7167"/>
            <w:col w:w="5810"/>
          </w:cols>
        </w:sectPr>
      </w:pPr>
    </w:p>
    <w:p>
      <w:pPr>
        <w:spacing w:line="240" w:lineRule="auto" w:before="3"/>
        <w:rPr>
          <w:rFonts w:ascii="宋体" w:hAnsi="宋体" w:cs="宋体" w:eastAsia="宋体" w:hint="default"/>
          <w:sz w:val="23"/>
          <w:szCs w:val="23"/>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24" w:type="dxa"/>
        <w:tblLayout w:type="fixed"/>
        <w:tblCellMar>
          <w:top w:w="0" w:type="dxa"/>
          <w:left w:w="0" w:type="dxa"/>
          <w:bottom w:w="0" w:type="dxa"/>
          <w:right w:w="0" w:type="dxa"/>
        </w:tblCellMar>
        <w:tblLook w:val="01E0"/>
      </w:tblPr>
      <w:tblGrid>
        <w:gridCol w:w="1844"/>
        <w:gridCol w:w="1418"/>
        <w:gridCol w:w="896"/>
        <w:gridCol w:w="1274"/>
        <w:gridCol w:w="1007"/>
        <w:gridCol w:w="1401"/>
        <w:gridCol w:w="1525"/>
        <w:gridCol w:w="995"/>
        <w:gridCol w:w="1356"/>
        <w:gridCol w:w="897"/>
        <w:gridCol w:w="1385"/>
      </w:tblGrid>
      <w:tr>
        <w:trPr>
          <w:trHeight w:val="459" w:hRule="exact"/>
        </w:trPr>
        <w:tc>
          <w:tcPr>
            <w:tcW w:w="1844"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5997" w:type="dxa"/>
            <w:gridSpan w:val="5"/>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58" w:type="dxa"/>
            <w:gridSpan w:val="5"/>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8" w:hRule="exact"/>
        </w:trPr>
        <w:tc>
          <w:tcPr>
            <w:tcW w:w="1844" w:type="dxa"/>
            <w:vMerge/>
            <w:tcBorders>
              <w:left w:val="single" w:sz="12" w:space="0" w:color="000000"/>
              <w:right w:val="single" w:sz="4" w:space="0" w:color="000000"/>
            </w:tcBorders>
            <w:shd w:val="clear" w:color="auto" w:fill="D9D9D9"/>
          </w:tcPr>
          <w:p>
            <w:pPr/>
          </w:p>
        </w:tc>
        <w:tc>
          <w:tcPr>
            <w:tcW w:w="231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8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vMerge w:val="restart"/>
            <w:tcBorders>
              <w:top w:val="single" w:sz="4" w:space="0" w:color="000000"/>
              <w:left w:val="single" w:sz="4"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30" w:hRule="exact"/>
        </w:trPr>
        <w:tc>
          <w:tcPr>
            <w:tcW w:w="1844" w:type="dxa"/>
            <w:vMerge/>
            <w:tcBorders>
              <w:left w:val="single" w:sz="12" w:space="0" w:color="000000"/>
              <w:bottom w:val="single" w:sz="4" w:space="0" w:color="000000"/>
              <w:right w:val="single" w:sz="4" w:space="0" w:color="000000"/>
            </w:tcBorders>
            <w:shd w:val="clear" w:color="auto" w:fill="D9D9D9"/>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01" w:type="dxa"/>
            <w:vMerge/>
            <w:tcBorders>
              <w:left w:val="single" w:sz="4" w:space="0" w:color="000000"/>
              <w:bottom w:val="single" w:sz="4" w:space="0" w:color="000000"/>
              <w:right w:val="single" w:sz="4" w:space="0" w:color="000000"/>
            </w:tcBorders>
            <w:shd w:val="clear" w:color="auto" w:fill="D9D9D9"/>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352" w:right="1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85" w:type="dxa"/>
            <w:vMerge/>
            <w:tcBorders>
              <w:left w:val="single" w:sz="4" w:space="0" w:color="000000"/>
              <w:bottom w:val="single" w:sz="4" w:space="0" w:color="000000"/>
              <w:right w:val="single" w:sz="12" w:space="0" w:color="000000"/>
            </w:tcBorders>
            <w:shd w:val="clear" w:color="auto" w:fill="D9D9D9"/>
          </w:tcPr>
          <w:p>
            <w:pPr/>
          </w:p>
        </w:tc>
      </w:tr>
      <w:tr>
        <w:trPr>
          <w:trHeight w:val="1026" w:hRule="exact"/>
        </w:trPr>
        <w:tc>
          <w:tcPr>
            <w:tcW w:w="184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both"/>
              <w:rPr>
                <w:rFonts w:ascii="宋体" w:hAnsi="宋体" w:cs="宋体" w:eastAsia="宋体" w:hint="default"/>
                <w:sz w:val="18"/>
                <w:szCs w:val="18"/>
              </w:rPr>
            </w:pPr>
            <w:r>
              <w:rPr>
                <w:rFonts w:ascii="宋体" w:hAnsi="宋体" w:cs="宋体" w:eastAsia="宋体" w:hint="default"/>
                <w:sz w:val="18"/>
                <w:szCs w:val="18"/>
              </w:rPr>
              <w:t>单项金额重大并单独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计提坏账准备的其他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38,876,998.00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38,876,998.00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69,681,758.00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44.67%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69,681,758.00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84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both"/>
              <w:rPr>
                <w:rFonts w:ascii="宋体" w:hAnsi="宋体" w:cs="宋体" w:eastAsia="宋体" w:hint="default"/>
                <w:sz w:val="18"/>
                <w:szCs w:val="18"/>
              </w:rPr>
            </w:pPr>
            <w:r>
              <w:rPr>
                <w:rFonts w:ascii="宋体" w:hAnsi="宋体" w:cs="宋体" w:eastAsia="宋体" w:hint="default"/>
                <w:sz w:val="18"/>
                <w:szCs w:val="18"/>
              </w:rPr>
              <w:t>按信用风险特征组合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计提坏账准备的其他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280,844,806.52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87.84%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280,844,806.52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79,033,982.28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50.67%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562.00</w:t>
            </w:r>
          </w:p>
        </w:tc>
        <w:tc>
          <w:tcPr>
            <w:tcW w:w="89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79,033,420.28</w:t>
            </w:r>
          </w:p>
        </w:tc>
      </w:tr>
      <w:tr>
        <w:trPr>
          <w:trHeight w:val="1026" w:hRule="exact"/>
        </w:trPr>
        <w:tc>
          <w:tcPr>
            <w:tcW w:w="184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both"/>
              <w:rPr>
                <w:rFonts w:ascii="宋体" w:hAnsi="宋体" w:cs="宋体" w:eastAsia="宋体" w:hint="default"/>
                <w:sz w:val="18"/>
                <w:szCs w:val="18"/>
              </w:rPr>
            </w:pPr>
            <w:r>
              <w:rPr>
                <w:rFonts w:ascii="宋体" w:hAnsi="宋体" w:cs="宋体" w:eastAsia="宋体" w:hint="default"/>
                <w:sz w:val="18"/>
                <w:szCs w:val="18"/>
              </w:rPr>
              <w:t>单项金额不重大但单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独计提坏账准备的其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他应收款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7,275,499.29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7,275,499.29</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184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78" w:right="0"/>
              <w:jc w:val="center"/>
              <w:rPr>
                <w:rFonts w:ascii="Times New Roman" w:hAnsi="Times New Roman" w:cs="Times New Roman" w:eastAsia="Times New Roman" w:hint="default"/>
                <w:sz w:val="18"/>
                <w:szCs w:val="18"/>
              </w:rPr>
            </w:pPr>
            <w:r>
              <w:rPr>
                <w:rFonts w:ascii="Times New Roman"/>
                <w:sz w:val="18"/>
              </w:rPr>
              <w:t>319,721,804.52</w:t>
            </w:r>
          </w:p>
        </w:tc>
        <w:tc>
          <w:tcPr>
            <w:tcW w:w="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24" w:right="0"/>
              <w:jc w:val="center"/>
              <w:rPr>
                <w:rFonts w:ascii="Times New Roman" w:hAnsi="Times New Roman" w:cs="Times New Roman" w:eastAsia="Times New Roman" w:hint="default"/>
                <w:sz w:val="18"/>
                <w:szCs w:val="18"/>
              </w:rPr>
            </w:pPr>
            <w:r>
              <w:rPr>
                <w:rFonts w:ascii="Times New Roman"/>
                <w:sz w:val="18"/>
              </w:rPr>
              <w:t>38,876,998.00</w:t>
            </w:r>
          </w:p>
        </w:tc>
        <w:tc>
          <w:tcPr>
            <w:tcW w:w="10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12.16%</w:t>
            </w:r>
          </w:p>
        </w:tc>
        <w:tc>
          <w:tcPr>
            <w:tcW w:w="14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280,844,806.52</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155,991,239.57</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100.00%</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76,957,819.29</w:t>
            </w:r>
          </w:p>
        </w:tc>
        <w:tc>
          <w:tcPr>
            <w:tcW w:w="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26" w:right="0"/>
              <w:jc w:val="center"/>
              <w:rPr>
                <w:rFonts w:ascii="Times New Roman" w:hAnsi="Times New Roman" w:cs="Times New Roman" w:eastAsia="Times New Roman" w:hint="default"/>
                <w:sz w:val="18"/>
                <w:szCs w:val="18"/>
              </w:rPr>
            </w:pPr>
            <w:r>
              <w:rPr>
                <w:rFonts w:ascii="Times New Roman"/>
                <w:sz w:val="18"/>
              </w:rPr>
              <w:t>49.33%</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pacing w:val="-1"/>
                <w:sz w:val="18"/>
              </w:rPr>
              <w:t>79,033,420.28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76"/>
        <w:ind w:left="6965" w:right="8263" w:firstLine="0"/>
        <w:jc w:val="center"/>
        <w:rPr>
          <w:rFonts w:ascii="Times New Roman" w:hAnsi="Times New Roman" w:cs="Times New Roman" w:eastAsia="Times New Roman" w:hint="default"/>
          <w:sz w:val="18"/>
          <w:szCs w:val="18"/>
        </w:rPr>
      </w:pPr>
      <w:r>
        <w:rPr/>
        <w:pict>
          <v:shape style="position:absolute;margin-left:774.419983pt;margin-top:39.762341pt;width:67.5pt;height:38.5pt;mso-position-horizontal-relative:page;mso-position-vertical-relative:paragraph;z-index:2320" type="#_x0000_t75" stroked="false">
            <v:imagedata r:id="rId16" o:title=""/>
          </v:shape>
        </w:pict>
      </w:r>
      <w:r>
        <w:rPr>
          <w:rFonts w:ascii="Times New Roman"/>
          <w:sz w:val="18"/>
        </w:rPr>
        <w:t>144</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0"/>
        </w:sect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5"/>
        <w:ind w:left="154" w:right="1135"/>
        <w:jc w:val="left"/>
      </w:pPr>
      <w:r>
        <w:rPr/>
        <w:t>期末单项金额重大并单项计提坏账准备的其他应收款：</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269"/>
        <w:gridCol w:w="1692"/>
        <w:gridCol w:w="1834"/>
        <w:gridCol w:w="1835"/>
        <w:gridCol w:w="1833"/>
      </w:tblGrid>
      <w:tr>
        <w:trPr>
          <w:trHeight w:val="459" w:hRule="exact"/>
        </w:trPr>
        <w:tc>
          <w:tcPr>
            <w:tcW w:w="226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1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194"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0"/>
              <w:ind w:left="12"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64" w:hRule="exact"/>
        </w:trPr>
        <w:tc>
          <w:tcPr>
            <w:tcW w:w="2269" w:type="dxa"/>
            <w:vMerge/>
            <w:tcBorders>
              <w:left w:val="single" w:sz="12" w:space="0" w:color="000000"/>
              <w:bottom w:val="single" w:sz="4" w:space="0" w:color="000000"/>
              <w:right w:val="single" w:sz="4" w:space="0" w:color="000000"/>
            </w:tcBorders>
            <w:shd w:val="clear" w:color="auto" w:fill="D9D9D9"/>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4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11"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11"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183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511"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安力博发集团有限公司</w:t>
            </w:r>
          </w:p>
        </w:tc>
        <w:tc>
          <w:tcPr>
            <w:tcW w:w="169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0"/>
                <w:szCs w:val="20"/>
              </w:rPr>
            </w:pPr>
            <w:r>
              <w:rPr>
                <w:rFonts w:ascii="Times New Roman"/>
                <w:spacing w:val="-1"/>
                <w:sz w:val="20"/>
              </w:rPr>
              <w:t>38,876,998.00</w:t>
            </w:r>
          </w:p>
        </w:tc>
        <w:tc>
          <w:tcPr>
            <w:tcW w:w="1834"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01"/>
              <w:ind w:left="571" w:right="0"/>
              <w:jc w:val="left"/>
              <w:rPr>
                <w:rFonts w:ascii="Times New Roman" w:hAnsi="Times New Roman" w:cs="Times New Roman" w:eastAsia="Times New Roman" w:hint="default"/>
                <w:sz w:val="20"/>
                <w:szCs w:val="20"/>
              </w:rPr>
            </w:pPr>
            <w:r>
              <w:rPr>
                <w:rFonts w:ascii="Times New Roman"/>
                <w:sz w:val="20"/>
              </w:rPr>
              <w:t>38,876,998.00</w:t>
            </w:r>
          </w:p>
        </w:tc>
        <w:tc>
          <w:tcPr>
            <w:tcW w:w="183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1833"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55"/>
              <w:ind w:right="89"/>
              <w:jc w:val="right"/>
              <w:rPr>
                <w:rFonts w:ascii="宋体" w:hAnsi="宋体" w:cs="宋体" w:eastAsia="宋体" w:hint="default"/>
                <w:sz w:val="20"/>
                <w:szCs w:val="20"/>
              </w:rPr>
            </w:pPr>
            <w:r>
              <w:rPr>
                <w:rFonts w:ascii="宋体" w:hAnsi="宋体" w:cs="宋体" w:eastAsia="宋体" w:hint="default"/>
                <w:spacing w:val="-1"/>
                <w:sz w:val="20"/>
                <w:szCs w:val="20"/>
              </w:rPr>
              <w:t>预计无法收回</w:t>
            </w:r>
          </w:p>
        </w:tc>
      </w:tr>
      <w:tr>
        <w:trPr>
          <w:trHeight w:val="475" w:hRule="exact"/>
        </w:trPr>
        <w:tc>
          <w:tcPr>
            <w:tcW w:w="226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38,876,998.00</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571" w:right="0"/>
              <w:jc w:val="left"/>
              <w:rPr>
                <w:rFonts w:ascii="Times New Roman" w:hAnsi="Times New Roman" w:cs="Times New Roman" w:eastAsia="Times New Roman" w:hint="default"/>
                <w:sz w:val="20"/>
                <w:szCs w:val="20"/>
              </w:rPr>
            </w:pPr>
            <w:r>
              <w:rPr>
                <w:rFonts w:ascii="Times New Roman"/>
                <w:sz w:val="20"/>
              </w:rPr>
              <w:t>38,876,998.00</w:t>
            </w:r>
          </w:p>
        </w:tc>
        <w:tc>
          <w:tcPr>
            <w:tcW w:w="1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z w:val="20"/>
              </w:rPr>
              <w:t>--</w:t>
            </w:r>
          </w:p>
        </w:tc>
        <w:tc>
          <w:tcPr>
            <w:tcW w:w="18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z w:val="20"/>
              </w:rPr>
              <w:t>--</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组合中，按账龄分析法计提坏账准备的其他应收款：</w:t>
      </w:r>
    </w:p>
    <w:p>
      <w:pPr>
        <w:spacing w:line="240" w:lineRule="auto" w:before="12"/>
        <w:rPr>
          <w:rFonts w:ascii="宋体" w:hAnsi="宋体" w:cs="宋体" w:eastAsia="宋体" w:hint="default"/>
          <w:sz w:val="17"/>
          <w:szCs w:val="17"/>
        </w:rPr>
      </w:pPr>
    </w:p>
    <w:p>
      <w:pPr>
        <w:pStyle w:val="BodyText"/>
        <w:spacing w:line="420" w:lineRule="auto"/>
        <w:ind w:left="154"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组合中，采用余额百分比法计提坏账准备的其他应收款：</w:t>
      </w:r>
    </w:p>
    <w:p>
      <w:pPr>
        <w:pStyle w:val="BodyText"/>
        <w:spacing w:line="420" w:lineRule="auto" w:before="75"/>
        <w:ind w:right="59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pStyle w:val="BodyText"/>
        <w:spacing w:line="240" w:lineRule="auto" w:before="75"/>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822"/>
        <w:gridCol w:w="1376"/>
        <w:gridCol w:w="1034"/>
        <w:gridCol w:w="1324"/>
        <w:gridCol w:w="923"/>
      </w:tblGrid>
      <w:tr>
        <w:trPr>
          <w:trHeight w:val="443" w:hRule="exact"/>
        </w:trPr>
        <w:tc>
          <w:tcPr>
            <w:tcW w:w="4822"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类别</w:t>
            </w:r>
          </w:p>
        </w:tc>
        <w:tc>
          <w:tcPr>
            <w:tcW w:w="4657"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0" w:right="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r>
      <w:tr>
        <w:trPr>
          <w:trHeight w:val="515" w:hRule="exact"/>
        </w:trPr>
        <w:tc>
          <w:tcPr>
            <w:tcW w:w="4822" w:type="dxa"/>
            <w:vMerge/>
            <w:tcBorders>
              <w:left w:val="single" w:sz="12" w:space="0" w:color="000000"/>
              <w:right w:val="single" w:sz="4" w:space="0" w:color="000000"/>
            </w:tcBorders>
            <w:shd w:val="clear" w:color="auto" w:fill="D9D9D9"/>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79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247" w:type="dxa"/>
            <w:gridSpan w:val="2"/>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91"/>
              <w:ind w:left="717"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49" w:hRule="exact"/>
        </w:trPr>
        <w:tc>
          <w:tcPr>
            <w:tcW w:w="4822" w:type="dxa"/>
            <w:vMerge/>
            <w:tcBorders>
              <w:left w:val="single" w:sz="12" w:space="0" w:color="000000"/>
              <w:bottom w:val="single" w:sz="4" w:space="0" w:color="000000"/>
              <w:right w:val="single" w:sz="4" w:space="0" w:color="000000"/>
            </w:tcBorders>
            <w:shd w:val="clear" w:color="auto" w:fill="D9D9D9"/>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2"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2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0" w:right="0"/>
              <w:jc w:val="center"/>
              <w:rPr>
                <w:rFonts w:ascii="宋体" w:hAnsi="宋体" w:cs="宋体" w:eastAsia="宋体" w:hint="default"/>
                <w:sz w:val="20"/>
                <w:szCs w:val="20"/>
              </w:rPr>
            </w:pPr>
            <w:r>
              <w:rPr>
                <w:rFonts w:ascii="宋体" w:hAnsi="宋体" w:cs="宋体" w:eastAsia="宋体" w:hint="default"/>
                <w:sz w:val="20"/>
                <w:szCs w:val="20"/>
              </w:rPr>
              <w:t>比例</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376"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38,876,998.00</w:t>
            </w:r>
          </w:p>
        </w:tc>
        <w:tc>
          <w:tcPr>
            <w:tcW w:w="103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12.16%</w:t>
            </w:r>
          </w:p>
        </w:tc>
        <w:tc>
          <w:tcPr>
            <w:tcW w:w="132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06"/>
              <w:ind w:left="73" w:right="0"/>
              <w:jc w:val="center"/>
              <w:rPr>
                <w:rFonts w:ascii="Times New Roman" w:hAnsi="Times New Roman" w:cs="Times New Roman" w:eastAsia="Times New Roman" w:hint="default"/>
                <w:sz w:val="18"/>
                <w:szCs w:val="18"/>
              </w:rPr>
            </w:pPr>
            <w:r>
              <w:rPr>
                <w:rFonts w:ascii="Times New Roman"/>
                <w:sz w:val="18"/>
              </w:rPr>
              <w:t>38,876,998.00</w:t>
            </w:r>
          </w:p>
        </w:tc>
        <w:tc>
          <w:tcPr>
            <w:tcW w:w="923"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06"/>
              <w:ind w:left="72" w:right="0"/>
              <w:jc w:val="center"/>
              <w:rPr>
                <w:rFonts w:ascii="Times New Roman" w:hAnsi="Times New Roman" w:cs="Times New Roman" w:eastAsia="Times New Roman" w:hint="default"/>
                <w:sz w:val="18"/>
                <w:szCs w:val="18"/>
              </w:rPr>
            </w:pPr>
            <w:r>
              <w:rPr>
                <w:rFonts w:ascii="Times New Roman"/>
                <w:sz w:val="18"/>
              </w:rPr>
              <w:t>100.00%</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按款项性质组合计提坏账准备的其他应收款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 w:right="0"/>
              <w:jc w:val="center"/>
              <w:rPr>
                <w:rFonts w:ascii="Times New Roman" w:hAnsi="Times New Roman" w:cs="Times New Roman" w:eastAsia="Times New Roman" w:hint="default"/>
                <w:sz w:val="18"/>
                <w:szCs w:val="18"/>
              </w:rPr>
            </w:pPr>
            <w:r>
              <w:rPr>
                <w:rFonts w:ascii="Times New Roman"/>
                <w:sz w:val="18"/>
              </w:rPr>
              <w:t>280,844,806.52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87.84%</w:t>
            </w: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按与交易对象关系组合计提坏账准备的其他应收款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账龄分析法</w:t>
            </w:r>
          </w:p>
        </w:tc>
        <w:tc>
          <w:tcPr>
            <w:tcW w:w="137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 w:right="0"/>
              <w:jc w:val="center"/>
              <w:rPr>
                <w:rFonts w:ascii="Times New Roman" w:hAnsi="Times New Roman" w:cs="Times New Roman" w:eastAsia="Times New Roman" w:hint="default"/>
                <w:sz w:val="18"/>
                <w:szCs w:val="18"/>
              </w:rPr>
            </w:pPr>
            <w:r>
              <w:rPr>
                <w:rFonts w:ascii="Times New Roman"/>
                <w:sz w:val="18"/>
              </w:rPr>
              <w:t>280,844,806.52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87.84%</w:t>
            </w: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单项金额虽不重大但单项计提坏账准备的其他应收款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822"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8" w:right="0"/>
              <w:jc w:val="center"/>
              <w:rPr>
                <w:rFonts w:ascii="Times New Roman" w:hAnsi="Times New Roman" w:cs="Times New Roman" w:eastAsia="Times New Roman" w:hint="default"/>
                <w:sz w:val="18"/>
                <w:szCs w:val="18"/>
              </w:rPr>
            </w:pPr>
            <w:r>
              <w:rPr>
                <w:rFonts w:ascii="Times New Roman"/>
                <w:sz w:val="18"/>
              </w:rPr>
              <w:t>319,721,804.52</w:t>
            </w:r>
          </w:p>
        </w:tc>
        <w:tc>
          <w:tcPr>
            <w:tcW w:w="1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73" w:right="0"/>
              <w:jc w:val="center"/>
              <w:rPr>
                <w:rFonts w:ascii="Times New Roman" w:hAnsi="Times New Roman" w:cs="Times New Roman" w:eastAsia="Times New Roman" w:hint="default"/>
                <w:sz w:val="18"/>
                <w:szCs w:val="18"/>
              </w:rPr>
            </w:pPr>
            <w:r>
              <w:rPr>
                <w:rFonts w:ascii="Times New Roman"/>
                <w:sz w:val="18"/>
              </w:rPr>
              <w:t>38,876,998.00</w:t>
            </w:r>
          </w:p>
        </w:tc>
        <w:tc>
          <w:tcPr>
            <w:tcW w:w="9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162" w:right="0"/>
              <w:jc w:val="center"/>
              <w:rPr>
                <w:rFonts w:ascii="Times New Roman" w:hAnsi="Times New Roman" w:cs="Times New Roman" w:eastAsia="Times New Roman" w:hint="default"/>
                <w:sz w:val="18"/>
                <w:szCs w:val="18"/>
              </w:rPr>
            </w:pPr>
            <w:r>
              <w:rPr>
                <w:rFonts w:ascii="Times New Roman"/>
                <w:sz w:val="18"/>
              </w:rPr>
              <w:t>12.16%</w:t>
            </w:r>
          </w:p>
        </w:tc>
      </w:tr>
    </w:tbl>
    <w:p>
      <w:pPr>
        <w:spacing w:after="0" w:line="240" w:lineRule="auto"/>
        <w:jc w:val="center"/>
        <w:rPr>
          <w:rFonts w:ascii="Times New Roman" w:hAnsi="Times New Roman" w:cs="Times New Roman" w:eastAsia="Times New Roman" w:hint="default"/>
          <w:sz w:val="18"/>
          <w:szCs w:val="18"/>
        </w:rPr>
        <w:sectPr>
          <w:footerReference w:type="default" r:id="rId60"/>
          <w:pgSz w:w="11910" w:h="16840"/>
          <w:pgMar w:footer="1266" w:header="0" w:top="1160" w:bottom="1460" w:left="980" w:right="0"/>
          <w:pgNumType w:start="145"/>
        </w:sectPr>
      </w:pPr>
    </w:p>
    <w:p>
      <w:pPr>
        <w:spacing w:line="240" w:lineRule="auto" w:before="4"/>
        <w:rPr>
          <w:rFonts w:ascii="宋体" w:hAnsi="宋体" w:cs="宋体" w:eastAsia="宋体" w:hint="default"/>
          <w:sz w:val="17"/>
          <w:szCs w:val="17"/>
        </w:rPr>
      </w:pPr>
    </w:p>
    <w:p>
      <w:pPr>
        <w:pStyle w:val="Heading5"/>
        <w:spacing w:line="240" w:lineRule="auto" w:before="31"/>
        <w:ind w:left="594" w:right="1135"/>
        <w:jc w:val="left"/>
      </w:pPr>
      <w:r>
        <w:rPr/>
        <w:t>（续）</w:t>
      </w:r>
    </w:p>
    <w:p>
      <w:pPr>
        <w:spacing w:line="240" w:lineRule="auto" w:before="7"/>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831"/>
        <w:gridCol w:w="1456"/>
        <w:gridCol w:w="1022"/>
        <w:gridCol w:w="1316"/>
        <w:gridCol w:w="874"/>
      </w:tblGrid>
      <w:tr>
        <w:trPr>
          <w:trHeight w:val="475" w:hRule="exact"/>
        </w:trPr>
        <w:tc>
          <w:tcPr>
            <w:tcW w:w="483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类别</w:t>
            </w:r>
          </w:p>
        </w:tc>
        <w:tc>
          <w:tcPr>
            <w:tcW w:w="4668"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9"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r>
      <w:tr>
        <w:trPr>
          <w:trHeight w:val="463" w:hRule="exact"/>
        </w:trPr>
        <w:tc>
          <w:tcPr>
            <w:tcW w:w="4831" w:type="dxa"/>
            <w:vMerge/>
            <w:tcBorders>
              <w:left w:val="single" w:sz="12" w:space="0" w:color="000000"/>
              <w:right w:val="single" w:sz="4" w:space="0" w:color="000000"/>
            </w:tcBorders>
            <w:shd w:val="clear" w:color="auto" w:fill="D9D9D9"/>
          </w:tcPr>
          <w:p>
            <w:pP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191" w:type="dxa"/>
            <w:gridSpan w:val="2"/>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689"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60" w:hRule="exact"/>
        </w:trPr>
        <w:tc>
          <w:tcPr>
            <w:tcW w:w="4831" w:type="dxa"/>
            <w:vMerge/>
            <w:tcBorders>
              <w:left w:val="single" w:sz="12" w:space="0" w:color="000000"/>
              <w:bottom w:val="single" w:sz="4" w:space="0" w:color="000000"/>
              <w:right w:val="single" w:sz="4" w:space="0" w:color="000000"/>
            </w:tcBorders>
            <w:shd w:val="clear" w:color="auto" w:fill="D9D9D9"/>
          </w:tcPr>
          <w:p>
            <w:pPr/>
          </w:p>
        </w:tc>
        <w:tc>
          <w:tcPr>
            <w:tcW w:w="1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304"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874"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232"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69"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1"/>
              <w:ind w:left="93"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69,681,758.00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44.67%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69,681,758.00</w:t>
            </w:r>
          </w:p>
        </w:tc>
        <w:tc>
          <w:tcPr>
            <w:tcW w:w="8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6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456"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按款项性质组合计提坏账准备的其他应收款</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79,010,982.28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50.66%</w:t>
            </w:r>
          </w:p>
        </w:tc>
        <w:tc>
          <w:tcPr>
            <w:tcW w:w="131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按与交易对象关系组合计提坏账准备的其他应收款</w:t>
            </w:r>
          </w:p>
        </w:tc>
        <w:tc>
          <w:tcPr>
            <w:tcW w:w="1456"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账龄分析法</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23,000.00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562.00</w:t>
            </w:r>
          </w:p>
        </w:tc>
        <w:tc>
          <w:tcPr>
            <w:tcW w:w="8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2.44%</w:t>
            </w:r>
          </w:p>
        </w:tc>
      </w:tr>
      <w:tr>
        <w:trPr>
          <w:trHeight w:val="464"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79,033,982.28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562.00</w:t>
            </w:r>
          </w:p>
        </w:tc>
        <w:tc>
          <w:tcPr>
            <w:tcW w:w="874"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8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单项金额虽不重大但单项计提坏账准备的其他应收款</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7,275,499.29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7,275,499.29</w:t>
            </w:r>
          </w:p>
        </w:tc>
        <w:tc>
          <w:tcPr>
            <w:tcW w:w="8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73"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155,991,239.57</w:t>
            </w:r>
          </w:p>
        </w:tc>
        <w:tc>
          <w:tcPr>
            <w:tcW w:w="10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76,957,819.29</w:t>
            </w:r>
          </w:p>
        </w:tc>
        <w:tc>
          <w:tcPr>
            <w:tcW w:w="8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49.33%</w:t>
            </w:r>
          </w:p>
        </w:tc>
      </w:tr>
    </w:tbl>
    <w:p>
      <w:pPr>
        <w:spacing w:line="240" w:lineRule="auto" w:before="2"/>
        <w:rPr>
          <w:rFonts w:ascii="宋体" w:hAnsi="宋体" w:cs="宋体" w:eastAsia="宋体" w:hint="default"/>
          <w:sz w:val="19"/>
          <w:szCs w:val="19"/>
        </w:rPr>
      </w:pPr>
    </w:p>
    <w:p>
      <w:pPr>
        <w:spacing w:line="571" w:lineRule="auto" w:before="35"/>
        <w:ind w:left="154" w:right="6641" w:firstLine="0"/>
        <w:jc w:val="left"/>
        <w:rPr>
          <w:rFonts w:ascii="宋体" w:hAnsi="宋体" w:cs="宋体" w:eastAsia="宋体" w:hint="default"/>
          <w:sz w:val="21"/>
          <w:szCs w:val="21"/>
        </w:rPr>
      </w:pPr>
      <w:bookmarkStart w:name="（2）本期计提、收回或转回的坏账准备情况"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Heading6"/>
        <w:spacing w:line="240" w:lineRule="auto" w:before="78"/>
        <w:ind w:right="1135"/>
        <w:jc w:val="left"/>
        <w:rPr>
          <w:b w:val="0"/>
          <w:bCs w:val="0"/>
        </w:rPr>
      </w:pPr>
      <w:bookmarkStart w:name="（3）本期实际核销的其他应收款情况" w:id="226"/>
      <w:bookmarkEnd w:id="22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673"/>
        <w:gridCol w:w="4788"/>
      </w:tblGrid>
      <w:tr>
        <w:trPr>
          <w:trHeight w:val="473" w:hRule="exact"/>
        </w:trPr>
        <w:tc>
          <w:tcPr>
            <w:tcW w:w="467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right="6"/>
              <w:jc w:val="center"/>
              <w:rPr>
                <w:rFonts w:ascii="宋体" w:hAnsi="宋体" w:cs="宋体" w:eastAsia="宋体" w:hint="default"/>
                <w:sz w:val="20"/>
                <w:szCs w:val="20"/>
              </w:rPr>
            </w:pPr>
            <w:r>
              <w:rPr>
                <w:rFonts w:ascii="宋体" w:hAnsi="宋体" w:cs="宋体" w:eastAsia="宋体" w:hint="default"/>
                <w:sz w:val="20"/>
                <w:szCs w:val="20"/>
              </w:rPr>
              <w:t>项目</w:t>
            </w:r>
          </w:p>
        </w:tc>
        <w:tc>
          <w:tcPr>
            <w:tcW w:w="4788"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35"/>
              <w:ind w:left="10" w:right="0"/>
              <w:jc w:val="center"/>
              <w:rPr>
                <w:rFonts w:ascii="宋体" w:hAnsi="宋体" w:cs="宋体" w:eastAsia="宋体" w:hint="default"/>
                <w:sz w:val="20"/>
                <w:szCs w:val="20"/>
              </w:rPr>
            </w:pPr>
            <w:r>
              <w:rPr>
                <w:rFonts w:ascii="宋体" w:hAnsi="宋体" w:cs="宋体" w:eastAsia="宋体" w:hint="default"/>
                <w:sz w:val="20"/>
                <w:szCs w:val="20"/>
              </w:rPr>
              <w:t>核销金额</w:t>
            </w:r>
          </w:p>
        </w:tc>
      </w:tr>
      <w:tr>
        <w:trPr>
          <w:trHeight w:val="475" w:hRule="exact"/>
        </w:trPr>
        <w:tc>
          <w:tcPr>
            <w:tcW w:w="467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实际核销的其他应收款</w:t>
            </w:r>
          </w:p>
        </w:tc>
        <w:tc>
          <w:tcPr>
            <w:tcW w:w="47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38,096,502.77</w:t>
            </w:r>
          </w:p>
        </w:tc>
      </w:tr>
    </w:tbl>
    <w:p>
      <w:pPr>
        <w:spacing w:line="240" w:lineRule="auto" w:before="3"/>
        <w:rPr>
          <w:rFonts w:ascii="宋体" w:hAnsi="宋体" w:cs="宋体" w:eastAsia="宋体" w:hint="default"/>
          <w:sz w:val="5"/>
          <w:szCs w:val="5"/>
        </w:rPr>
      </w:pPr>
    </w:p>
    <w:p>
      <w:pPr>
        <w:pStyle w:val="BodyText"/>
        <w:spacing w:line="444" w:lineRule="auto" w:before="35"/>
        <w:ind w:left="574" w:right="6447" w:hanging="420"/>
        <w:jc w:val="left"/>
      </w:pPr>
      <w:r>
        <w:rPr/>
        <w:t>其他应收款核销说明： 核销原因详见本附注七、</w:t>
      </w:r>
      <w:r>
        <w:rPr>
          <w:rFonts w:ascii="Times New Roman" w:hAnsi="Times New Roman" w:cs="Times New Roman" w:eastAsia="Times New Roman" w:hint="default"/>
        </w:rPr>
        <w:t>3</w:t>
      </w:r>
      <w:r>
        <w:rPr/>
        <w:t>应收账款所述。</w:t>
      </w:r>
    </w:p>
    <w:p>
      <w:pPr>
        <w:spacing w:line="240" w:lineRule="auto" w:before="5"/>
        <w:rPr>
          <w:rFonts w:ascii="宋体" w:hAnsi="宋体" w:cs="宋体" w:eastAsia="宋体" w:hint="default"/>
          <w:sz w:val="15"/>
          <w:szCs w:val="15"/>
        </w:rPr>
      </w:pPr>
    </w:p>
    <w:p>
      <w:pPr>
        <w:pStyle w:val="Heading6"/>
        <w:spacing w:line="240" w:lineRule="auto"/>
        <w:ind w:left="153" w:right="1135"/>
        <w:jc w:val="left"/>
        <w:rPr>
          <w:b w:val="0"/>
          <w:bCs w:val="0"/>
        </w:rPr>
      </w:pPr>
      <w:bookmarkStart w:name="（4）其他应收款按款项性质分类情况" w:id="227"/>
      <w:bookmarkEnd w:id="22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120"/>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right="23"/>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90"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31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954" w:right="0"/>
              <w:jc w:val="left"/>
              <w:rPr>
                <w:rFonts w:ascii="宋体" w:hAnsi="宋体" w:cs="宋体" w:eastAsia="宋体" w:hint="default"/>
                <w:sz w:val="20"/>
                <w:szCs w:val="20"/>
              </w:rPr>
            </w:pPr>
            <w:r>
              <w:rPr>
                <w:rFonts w:ascii="宋体" w:hAnsi="宋体" w:cs="宋体" w:eastAsia="宋体" w:hint="default"/>
                <w:sz w:val="20"/>
                <w:szCs w:val="20"/>
              </w:rPr>
              <w:t>期初账面余额</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76,477,212.72</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70,172,224.07</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待结诉讼款项</w:t>
            </w:r>
          </w:p>
        </w:tc>
        <w:tc>
          <w:tcPr>
            <w:tcW w:w="3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38,876,998.00</w:t>
            </w:r>
          </w:p>
        </w:tc>
        <w:tc>
          <w:tcPr>
            <w:tcW w:w="3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38,876,998.00</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120"/>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5"/>
              <w:ind w:left="13" w:right="0"/>
              <w:jc w:val="left"/>
              <w:rPr>
                <w:rFonts w:ascii="宋体" w:hAnsi="宋体" w:cs="宋体" w:eastAsia="宋体" w:hint="default"/>
                <w:sz w:val="20"/>
                <w:szCs w:val="20"/>
              </w:rPr>
            </w:pPr>
            <w:r>
              <w:rPr>
                <w:rFonts w:ascii="宋体" w:hAnsi="宋体" w:cs="宋体" w:eastAsia="宋体" w:hint="default"/>
                <w:sz w:val="20"/>
                <w:szCs w:val="20"/>
              </w:rPr>
              <w:t>资金往来</w:t>
            </w:r>
          </w:p>
        </w:tc>
        <w:tc>
          <w:tcPr>
            <w:tcW w:w="3191" w:type="dxa"/>
            <w:tcBorders>
              <w:top w:val="single" w:sz="12" w:space="0" w:color="000000"/>
              <w:left w:val="single" w:sz="4" w:space="0" w:color="000000"/>
              <w:bottom w:val="single" w:sz="4" w:space="0" w:color="000000"/>
              <w:right w:val="single" w:sz="4" w:space="0" w:color="000000"/>
            </w:tcBorders>
          </w:tcPr>
          <w:p>
            <w:pPr/>
          </w:p>
        </w:tc>
        <w:tc>
          <w:tcPr>
            <w:tcW w:w="31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1"/>
              <w:ind w:right="10"/>
              <w:jc w:val="right"/>
              <w:rPr>
                <w:rFonts w:ascii="Times New Roman" w:hAnsi="Times New Roman" w:cs="Times New Roman" w:eastAsia="Times New Roman" w:hint="default"/>
                <w:sz w:val="20"/>
                <w:szCs w:val="20"/>
              </w:rPr>
            </w:pPr>
            <w:r>
              <w:rPr>
                <w:rFonts w:ascii="Times New Roman"/>
                <w:spacing w:val="-1"/>
                <w:sz w:val="20"/>
              </w:rPr>
              <w:t>34,019,224.54</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待收股份转让款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4,690,726.05</w:t>
            </w:r>
          </w:p>
        </w:tc>
      </w:tr>
      <w:tr>
        <w:trPr>
          <w:trHeight w:val="465"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1,632,202.80</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3,257,378.60</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5"/>
              <w:ind w:left="13" w:right="0"/>
              <w:jc w:val="left"/>
              <w:rPr>
                <w:rFonts w:ascii="宋体" w:hAnsi="宋体" w:cs="宋体" w:eastAsia="宋体" w:hint="default"/>
                <w:sz w:val="20"/>
                <w:szCs w:val="20"/>
              </w:rPr>
            </w:pPr>
            <w:r>
              <w:rPr>
                <w:rFonts w:ascii="宋体" w:hAnsi="宋体" w:cs="宋体" w:eastAsia="宋体" w:hint="default"/>
                <w:sz w:val="20"/>
                <w:szCs w:val="20"/>
              </w:rPr>
              <w:t>预付股权款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0"/>
                <w:szCs w:val="20"/>
              </w:rPr>
            </w:pPr>
            <w:r>
              <w:rPr>
                <w:rFonts w:ascii="Times New Roman"/>
                <w:spacing w:val="-1"/>
                <w:sz w:val="20"/>
              </w:rPr>
              <w:t>202,735,391.00</w:t>
            </w:r>
          </w:p>
        </w:tc>
        <w:tc>
          <w:tcPr>
            <w:tcW w:w="312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4,974,688.31</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319,721,804.52</w:t>
            </w:r>
          </w:p>
        </w:tc>
        <w:tc>
          <w:tcPr>
            <w:tcW w:w="3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155,991,239.57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5）按欠款方归集的期末余额前五名的其他应收款情况" w:id="228"/>
      <w:bookmarkEnd w:id="22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411"/>
        <w:gridCol w:w="1419"/>
        <w:gridCol w:w="1417"/>
        <w:gridCol w:w="1418"/>
        <w:gridCol w:w="1416"/>
        <w:gridCol w:w="1425"/>
      </w:tblGrid>
      <w:tr>
        <w:trPr>
          <w:trHeight w:val="1036" w:hRule="exact"/>
        </w:trPr>
        <w:tc>
          <w:tcPr>
            <w:tcW w:w="241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90"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41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03" w:right="0"/>
              <w:jc w:val="left"/>
              <w:rPr>
                <w:rFonts w:ascii="宋体" w:hAnsi="宋体" w:cs="宋体" w:eastAsia="宋体" w:hint="default"/>
                <w:sz w:val="20"/>
                <w:szCs w:val="20"/>
              </w:rPr>
            </w:pPr>
            <w:r>
              <w:rPr>
                <w:rFonts w:ascii="宋体" w:hAnsi="宋体" w:cs="宋体" w:eastAsia="宋体" w:hint="default"/>
                <w:sz w:val="20"/>
                <w:szCs w:val="20"/>
              </w:rPr>
              <w:t>款项的性质</w:t>
            </w:r>
          </w:p>
        </w:tc>
        <w:tc>
          <w:tcPr>
            <w:tcW w:w="141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41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141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101" w:right="101"/>
              <w:jc w:val="center"/>
              <w:rPr>
                <w:rFonts w:ascii="宋体" w:hAnsi="宋体" w:cs="宋体" w:eastAsia="宋体" w:hint="default"/>
                <w:sz w:val="20"/>
                <w:szCs w:val="20"/>
              </w:rPr>
            </w:pPr>
            <w:r>
              <w:rPr>
                <w:rFonts w:ascii="宋体" w:hAnsi="宋体" w:cs="宋体" w:eastAsia="宋体" w:hint="default"/>
                <w:sz w:val="20"/>
                <w:szCs w:val="20"/>
              </w:rPr>
              <w:t>占其他应收款</w:t>
            </w:r>
            <w:r>
              <w:rPr>
                <w:rFonts w:ascii="宋体" w:hAnsi="宋体" w:cs="宋体" w:eastAsia="宋体" w:hint="default"/>
                <w:w w:val="100"/>
                <w:sz w:val="20"/>
                <w:szCs w:val="20"/>
              </w:rPr>
              <w:t> </w:t>
            </w:r>
            <w:r>
              <w:rPr>
                <w:rFonts w:ascii="宋体" w:hAnsi="宋体" w:cs="宋体" w:eastAsia="宋体" w:hint="default"/>
                <w:sz w:val="20"/>
                <w:szCs w:val="20"/>
              </w:rPr>
              <w:t>期末余额合计</w:t>
            </w:r>
            <w:r>
              <w:rPr>
                <w:rFonts w:ascii="宋体" w:hAnsi="宋体" w:cs="宋体" w:eastAsia="宋体" w:hint="default"/>
                <w:w w:val="100"/>
                <w:sz w:val="20"/>
                <w:szCs w:val="20"/>
              </w:rPr>
              <w:t> </w:t>
            </w:r>
            <w:r>
              <w:rPr>
                <w:rFonts w:ascii="宋体" w:hAnsi="宋体" w:cs="宋体" w:eastAsia="宋体" w:hint="default"/>
                <w:sz w:val="20"/>
                <w:szCs w:val="20"/>
              </w:rPr>
              <w:t>数的比例</w:t>
            </w:r>
          </w:p>
        </w:tc>
        <w:tc>
          <w:tcPr>
            <w:tcW w:w="1425"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507" w:right="95" w:hanging="401"/>
              <w:jc w:val="left"/>
              <w:rPr>
                <w:rFonts w:ascii="宋体" w:hAnsi="宋体" w:cs="宋体" w:eastAsia="宋体" w:hint="default"/>
                <w:sz w:val="20"/>
                <w:szCs w:val="20"/>
              </w:rPr>
            </w:pPr>
            <w:r>
              <w:rPr>
                <w:rFonts w:ascii="宋体" w:hAnsi="宋体" w:cs="宋体" w:eastAsia="宋体" w:hint="default"/>
                <w:sz w:val="20"/>
                <w:szCs w:val="20"/>
              </w:rPr>
              <w:t>坏账准备期末</w:t>
            </w:r>
            <w:r>
              <w:rPr>
                <w:rFonts w:ascii="宋体" w:hAnsi="宋体" w:cs="宋体" w:eastAsia="宋体" w:hint="default"/>
                <w:w w:val="100"/>
                <w:sz w:val="20"/>
                <w:szCs w:val="20"/>
              </w:rPr>
              <w:t> </w:t>
            </w:r>
            <w:r>
              <w:rPr>
                <w:rFonts w:ascii="宋体" w:hAnsi="宋体" w:cs="宋体" w:eastAsia="宋体" w:hint="default"/>
                <w:sz w:val="20"/>
                <w:szCs w:val="20"/>
              </w:rPr>
              <w:t>余额</w:t>
            </w:r>
          </w:p>
        </w:tc>
      </w:tr>
      <w:tr>
        <w:trPr>
          <w:trHeight w:val="463" w:hRule="exact"/>
        </w:trPr>
        <w:tc>
          <w:tcPr>
            <w:tcW w:w="241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西藏京通投资管理有限公司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预付股权款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195,900,000.00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61.27%</w:t>
            </w:r>
          </w:p>
        </w:tc>
        <w:tc>
          <w:tcPr>
            <w:tcW w:w="14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41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待结诉讼款项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38,876,998.00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12.16%</w:t>
            </w:r>
          </w:p>
        </w:tc>
        <w:tc>
          <w:tcPr>
            <w:tcW w:w="1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91"/>
              <w:jc w:val="right"/>
              <w:rPr>
                <w:rFonts w:ascii="Times New Roman" w:hAnsi="Times New Roman" w:cs="Times New Roman" w:eastAsia="Times New Roman" w:hint="default"/>
                <w:sz w:val="18"/>
                <w:szCs w:val="18"/>
              </w:rPr>
            </w:pPr>
            <w:r>
              <w:rPr>
                <w:rFonts w:ascii="Times New Roman"/>
                <w:spacing w:val="-1"/>
                <w:sz w:val="18"/>
              </w:rPr>
              <w:t>38,876,998.00</w:t>
            </w:r>
          </w:p>
        </w:tc>
      </w:tr>
      <w:tr>
        <w:trPr>
          <w:trHeight w:val="714" w:hRule="exact"/>
        </w:trPr>
        <w:tc>
          <w:tcPr>
            <w:tcW w:w="241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永华实业开发有限公司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押金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
                <w:sz w:val="18"/>
                <w:szCs w:val="18"/>
              </w:rPr>
              <w:t> </w:t>
            </w:r>
            <w:r>
              <w:rPr>
                <w:rFonts w:ascii="宋体" w:hAnsi="宋体" w:cs="宋体" w:eastAsia="宋体" w:hint="default"/>
                <w:spacing w:val="3"/>
                <w:sz w:val="18"/>
                <w:szCs w:val="18"/>
              </w:rPr>
              <w:t>年以内，</w:t>
            </w:r>
            <w:r>
              <w:rPr>
                <w:rFonts w:ascii="宋体" w:hAnsi="宋体" w:cs="宋体" w:eastAsia="宋体" w:hint="default"/>
                <w:spacing w:val="3"/>
                <w:sz w:val="18"/>
                <w:szCs w:val="18"/>
              </w:rPr>
              <w:t>1-2</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w:t>
            </w:r>
          </w:p>
        </w:tc>
        <w:tc>
          <w:tcPr>
            <w:tcW w:w="142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41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3,665,440.35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
                <w:sz w:val="18"/>
                <w:szCs w:val="18"/>
              </w:rPr>
              <w:t> </w:t>
            </w:r>
            <w:r>
              <w:rPr>
                <w:rFonts w:ascii="宋体" w:hAnsi="宋体" w:cs="宋体" w:eastAsia="宋体" w:hint="default"/>
                <w:spacing w:val="3"/>
                <w:sz w:val="18"/>
                <w:szCs w:val="18"/>
              </w:rPr>
              <w:t>年以内，</w:t>
            </w:r>
            <w:r>
              <w:rPr>
                <w:rFonts w:ascii="宋体" w:hAnsi="宋体" w:cs="宋体" w:eastAsia="宋体" w:hint="default"/>
                <w:spacing w:val="3"/>
                <w:sz w:val="18"/>
                <w:szCs w:val="18"/>
              </w:rPr>
              <w:t>1-3</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1.15%</w:t>
            </w:r>
          </w:p>
        </w:tc>
        <w:tc>
          <w:tcPr>
            <w:tcW w:w="142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41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江苏省国际招标有限公司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1.06%</w:t>
            </w:r>
          </w:p>
        </w:tc>
        <w:tc>
          <w:tcPr>
            <w:tcW w:w="1425"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241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sz w:val="20"/>
              </w:rPr>
              <w:t>--</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246,138,438.35</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76.98%</w:t>
            </w:r>
          </w:p>
        </w:tc>
        <w:tc>
          <w:tcPr>
            <w:tcW w:w="1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1"/>
              <w:jc w:val="right"/>
              <w:rPr>
                <w:rFonts w:ascii="Times New Roman" w:hAnsi="Times New Roman" w:cs="Times New Roman" w:eastAsia="Times New Roman" w:hint="default"/>
                <w:sz w:val="18"/>
                <w:szCs w:val="18"/>
              </w:rPr>
            </w:pPr>
            <w:r>
              <w:rPr>
                <w:rFonts w:ascii="Times New Roman"/>
                <w:spacing w:val="-1"/>
                <w:sz w:val="18"/>
              </w:rPr>
              <w:t>38,876,998.00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7、存货" w:id="229"/>
      <w:bookmarkEnd w:id="229"/>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135"/>
        <w:gridCol w:w="1418"/>
        <w:gridCol w:w="1358"/>
        <w:gridCol w:w="1477"/>
        <w:gridCol w:w="1559"/>
        <w:gridCol w:w="1342"/>
        <w:gridCol w:w="1232"/>
      </w:tblGrid>
      <w:tr>
        <w:trPr>
          <w:trHeight w:val="458" w:hRule="exact"/>
        </w:trPr>
        <w:tc>
          <w:tcPr>
            <w:tcW w:w="1135"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4253"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133" w:type="dxa"/>
            <w:gridSpan w:val="3"/>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4" w:hRule="exact"/>
        </w:trPr>
        <w:tc>
          <w:tcPr>
            <w:tcW w:w="1135" w:type="dxa"/>
            <w:vMerge/>
            <w:tcBorders>
              <w:left w:val="single" w:sz="12" w:space="0" w:color="000000"/>
              <w:bottom w:val="single" w:sz="4" w:space="0" w:color="000000"/>
              <w:right w:val="single" w:sz="4" w:space="0" w:color="000000"/>
            </w:tcBorders>
            <w:shd w:val="clear" w:color="auto" w:fill="D9D9D9"/>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0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3"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33"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7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65"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1232"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211"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64" w:hRule="exact"/>
        </w:trPr>
        <w:tc>
          <w:tcPr>
            <w:tcW w:w="113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418"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551,236,736.81</w:t>
            </w:r>
          </w:p>
        </w:tc>
        <w:tc>
          <w:tcPr>
            <w:tcW w:w="1358" w:type="dxa"/>
            <w:tcBorders>
              <w:top w:val="single" w:sz="16" w:space="0" w:color="D9D9D9"/>
              <w:left w:val="single" w:sz="4" w:space="0" w:color="000000"/>
              <w:bottom w:val="single" w:sz="4" w:space="0" w:color="000000"/>
              <w:right w:val="single" w:sz="4" w:space="0" w:color="000000"/>
            </w:tcBorders>
          </w:tcPr>
          <w:p>
            <w:pPr/>
          </w:p>
        </w:tc>
        <w:tc>
          <w:tcPr>
            <w:tcW w:w="1477"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551,236,736.81</w:t>
            </w:r>
          </w:p>
        </w:tc>
        <w:tc>
          <w:tcPr>
            <w:tcW w:w="155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383,260,428.25</w:t>
            </w:r>
          </w:p>
        </w:tc>
        <w:tc>
          <w:tcPr>
            <w:tcW w:w="1342" w:type="dxa"/>
            <w:tcBorders>
              <w:top w:val="single" w:sz="16" w:space="0" w:color="D9D9D9"/>
              <w:left w:val="single" w:sz="4" w:space="0" w:color="000000"/>
              <w:bottom w:val="single" w:sz="4" w:space="0" w:color="000000"/>
              <w:right w:val="single" w:sz="4" w:space="0" w:color="000000"/>
            </w:tcBorders>
          </w:tcPr>
          <w:p>
            <w:pPr/>
          </w:p>
        </w:tc>
        <w:tc>
          <w:tcPr>
            <w:tcW w:w="1232"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18"/>
              <w:ind w:right="90"/>
              <w:jc w:val="right"/>
              <w:rPr>
                <w:rFonts w:ascii="Times New Roman" w:hAnsi="Times New Roman" w:cs="Times New Roman" w:eastAsia="Times New Roman" w:hint="default"/>
                <w:sz w:val="16"/>
                <w:szCs w:val="16"/>
              </w:rPr>
            </w:pPr>
            <w:r>
              <w:rPr>
                <w:rFonts w:ascii="Times New Roman"/>
                <w:spacing w:val="-1"/>
                <w:sz w:val="16"/>
              </w:rPr>
              <w:t>383,260,428.25</w:t>
            </w:r>
          </w:p>
        </w:tc>
      </w:tr>
      <w:tr>
        <w:trPr>
          <w:trHeight w:val="463" w:hRule="exact"/>
        </w:trPr>
        <w:tc>
          <w:tcPr>
            <w:tcW w:w="113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602,342,848.01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25" w:right="0"/>
              <w:jc w:val="left"/>
              <w:rPr>
                <w:rFonts w:ascii="Times New Roman" w:hAnsi="Times New Roman" w:cs="Times New Roman" w:eastAsia="Times New Roman" w:hint="default"/>
                <w:sz w:val="16"/>
                <w:szCs w:val="16"/>
              </w:rPr>
            </w:pPr>
            <w:r>
              <w:rPr>
                <w:rFonts w:ascii="Times New Roman"/>
                <w:sz w:val="16"/>
              </w:rPr>
              <w:t>21,008,141.93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581,334,706.08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194,783,279.65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08" w:right="0"/>
              <w:jc w:val="left"/>
              <w:rPr>
                <w:rFonts w:ascii="Times New Roman" w:hAnsi="Times New Roman" w:cs="Times New Roman" w:eastAsia="Times New Roman" w:hint="default"/>
                <w:sz w:val="16"/>
                <w:szCs w:val="16"/>
              </w:rPr>
            </w:pPr>
            <w:r>
              <w:rPr>
                <w:rFonts w:ascii="Times New Roman"/>
                <w:sz w:val="16"/>
              </w:rPr>
              <w:t>21,098,279.73</w:t>
            </w:r>
          </w:p>
        </w:tc>
        <w:tc>
          <w:tcPr>
            <w:tcW w:w="12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right="90"/>
              <w:jc w:val="right"/>
              <w:rPr>
                <w:rFonts w:ascii="Times New Roman" w:hAnsi="Times New Roman" w:cs="Times New Roman" w:eastAsia="Times New Roman" w:hint="default"/>
                <w:sz w:val="16"/>
                <w:szCs w:val="16"/>
              </w:rPr>
            </w:pPr>
            <w:r>
              <w:rPr>
                <w:rFonts w:ascii="Times New Roman"/>
                <w:spacing w:val="-1"/>
                <w:sz w:val="16"/>
              </w:rPr>
              <w:t>173,684,999.92</w:t>
            </w:r>
          </w:p>
        </w:tc>
      </w:tr>
      <w:tr>
        <w:trPr>
          <w:trHeight w:val="465" w:hRule="exact"/>
        </w:trPr>
        <w:tc>
          <w:tcPr>
            <w:tcW w:w="113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在途物资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45,616,516.38</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45,616,516.38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54,914,050.38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right="90"/>
              <w:jc w:val="right"/>
              <w:rPr>
                <w:rFonts w:ascii="Times New Roman" w:hAnsi="Times New Roman" w:cs="Times New Roman" w:eastAsia="Times New Roman" w:hint="default"/>
                <w:sz w:val="16"/>
                <w:szCs w:val="16"/>
              </w:rPr>
            </w:pPr>
            <w:r>
              <w:rPr>
                <w:rFonts w:ascii="Times New Roman"/>
                <w:spacing w:val="-1"/>
                <w:sz w:val="16"/>
              </w:rPr>
              <w:t>54,914,050.38</w:t>
            </w:r>
          </w:p>
        </w:tc>
      </w:tr>
      <w:tr>
        <w:trPr>
          <w:trHeight w:val="475" w:hRule="exact"/>
        </w:trPr>
        <w:tc>
          <w:tcPr>
            <w:tcW w:w="113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1,199,196,101.20</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4"/>
              <w:ind w:left="325" w:right="0"/>
              <w:jc w:val="left"/>
              <w:rPr>
                <w:rFonts w:ascii="Times New Roman" w:hAnsi="Times New Roman" w:cs="Times New Roman" w:eastAsia="Times New Roman" w:hint="default"/>
                <w:sz w:val="16"/>
                <w:szCs w:val="16"/>
              </w:rPr>
            </w:pPr>
            <w:r>
              <w:rPr>
                <w:rFonts w:ascii="Times New Roman"/>
                <w:sz w:val="16"/>
              </w:rPr>
              <w:t>21,008,141.93</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1,178,187,959.27</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6"/>
                <w:szCs w:val="16"/>
              </w:rPr>
            </w:pPr>
            <w:r>
              <w:rPr>
                <w:rFonts w:ascii="Times New Roman"/>
                <w:spacing w:val="-1"/>
                <w:sz w:val="16"/>
              </w:rPr>
              <w:t>632,957,758.28</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4"/>
              <w:ind w:left="308" w:right="0"/>
              <w:jc w:val="left"/>
              <w:rPr>
                <w:rFonts w:ascii="Times New Roman" w:hAnsi="Times New Roman" w:cs="Times New Roman" w:eastAsia="Times New Roman" w:hint="default"/>
                <w:sz w:val="16"/>
                <w:szCs w:val="16"/>
              </w:rPr>
            </w:pPr>
            <w:r>
              <w:rPr>
                <w:rFonts w:ascii="Times New Roman"/>
                <w:sz w:val="16"/>
              </w:rPr>
              <w:t>21,098,279.73</w:t>
            </w:r>
          </w:p>
        </w:tc>
        <w:tc>
          <w:tcPr>
            <w:tcW w:w="12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4"/>
              <w:ind w:right="90"/>
              <w:jc w:val="right"/>
              <w:rPr>
                <w:rFonts w:ascii="Times New Roman" w:hAnsi="Times New Roman" w:cs="Times New Roman" w:eastAsia="Times New Roman" w:hint="default"/>
                <w:sz w:val="16"/>
                <w:szCs w:val="16"/>
              </w:rPr>
            </w:pPr>
            <w:r>
              <w:rPr>
                <w:rFonts w:ascii="Times New Roman"/>
                <w:spacing w:val="-1"/>
                <w:sz w:val="16"/>
              </w:rPr>
              <w:t>611,859,478.55</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1266" w:top="1160" w:bottom="1460" w:left="98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369"/>
        <w:gridCol w:w="1368"/>
        <w:gridCol w:w="1367"/>
        <w:gridCol w:w="1367"/>
        <w:gridCol w:w="1368"/>
        <w:gridCol w:w="1367"/>
        <w:gridCol w:w="1328"/>
      </w:tblGrid>
      <w:tr>
        <w:trPr>
          <w:trHeight w:val="263" w:hRule="exact"/>
        </w:trPr>
        <w:tc>
          <w:tcPr>
            <w:tcW w:w="1369"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368" w:type="dxa"/>
            <w:tcBorders>
              <w:top w:val="single" w:sz="12"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20"/>
                <w:szCs w:val="20"/>
              </w:rPr>
            </w:pPr>
            <w:r>
              <w:rPr>
                <w:rFonts w:ascii="宋体" w:hAnsi="宋体" w:cs="宋体" w:eastAsia="宋体" w:hint="default"/>
                <w:sz w:val="20"/>
                <w:szCs w:val="20"/>
              </w:rPr>
              <w:t>本期增加金额</w:t>
            </w:r>
          </w:p>
        </w:tc>
        <w:tc>
          <w:tcPr>
            <w:tcW w:w="2735"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763" w:right="0"/>
              <w:jc w:val="left"/>
              <w:rPr>
                <w:rFonts w:ascii="宋体" w:hAnsi="宋体" w:cs="宋体" w:eastAsia="宋体" w:hint="default"/>
                <w:sz w:val="20"/>
                <w:szCs w:val="20"/>
              </w:rPr>
            </w:pPr>
            <w:r>
              <w:rPr>
                <w:rFonts w:ascii="宋体" w:hAnsi="宋体" w:cs="宋体" w:eastAsia="宋体" w:hint="default"/>
                <w:sz w:val="20"/>
                <w:szCs w:val="20"/>
              </w:rPr>
              <w:t>本期减少金额</w:t>
            </w:r>
          </w:p>
        </w:tc>
        <w:tc>
          <w:tcPr>
            <w:tcW w:w="1328"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76" w:hRule="exact"/>
        </w:trPr>
        <w:tc>
          <w:tcPr>
            <w:tcW w:w="1369"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35"/>
              <w:ind w:right="9"/>
              <w:jc w:val="center"/>
              <w:rPr>
                <w:rFonts w:ascii="宋体" w:hAnsi="宋体" w:cs="宋体" w:eastAsia="宋体" w:hint="default"/>
                <w:sz w:val="20"/>
                <w:szCs w:val="20"/>
              </w:rPr>
            </w:pPr>
            <w:r>
              <w:rPr>
                <w:rFonts w:ascii="宋体" w:hAnsi="宋体" w:cs="宋体" w:eastAsia="宋体" w:hint="default"/>
                <w:sz w:val="20"/>
                <w:szCs w:val="20"/>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78"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35"/>
              <w:ind w:left="259"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216" w:hRule="exact"/>
        </w:trPr>
        <w:tc>
          <w:tcPr>
            <w:tcW w:w="1369" w:type="dxa"/>
            <w:vMerge/>
            <w:tcBorders>
              <w:left w:val="single" w:sz="12"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20"/>
                <w:szCs w:val="20"/>
              </w:rPr>
            </w:pPr>
            <w:r>
              <w:rPr>
                <w:rFonts w:ascii="宋体" w:hAnsi="宋体" w:cs="宋体" w:eastAsia="宋体" w:hint="default"/>
                <w:sz w:val="20"/>
                <w:szCs w:val="20"/>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79" w:right="0"/>
              <w:jc w:val="left"/>
              <w:rPr>
                <w:rFonts w:ascii="宋体" w:hAnsi="宋体" w:cs="宋体" w:eastAsia="宋体" w:hint="default"/>
                <w:sz w:val="20"/>
                <w:szCs w:val="20"/>
              </w:rPr>
            </w:pPr>
            <w:r>
              <w:rPr>
                <w:rFonts w:ascii="宋体" w:hAnsi="宋体" w:cs="宋体" w:eastAsia="宋体" w:hint="default"/>
                <w:sz w:val="20"/>
                <w:szCs w:val="20"/>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328" w:type="dxa"/>
            <w:vMerge/>
            <w:tcBorders>
              <w:left w:val="single" w:sz="4" w:space="0" w:color="000000"/>
              <w:bottom w:val="nil" w:sz="6" w:space="0" w:color="auto"/>
              <w:right w:val="single" w:sz="12" w:space="0" w:color="000000"/>
            </w:tcBorders>
            <w:shd w:val="clear" w:color="auto" w:fill="D2D2D2"/>
          </w:tcPr>
          <w:p>
            <w:pPr/>
          </w:p>
        </w:tc>
      </w:tr>
      <w:tr>
        <w:trPr>
          <w:trHeight w:val="253" w:hRule="exact"/>
        </w:trPr>
        <w:tc>
          <w:tcPr>
            <w:tcW w:w="1369"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79"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20"/>
                <w:szCs w:val="20"/>
              </w:rPr>
            </w:pPr>
            <w:r>
              <w:rPr>
                <w:rFonts w:ascii="Times New Roman"/>
                <w:spacing w:val="-1"/>
                <w:sz w:val="20"/>
              </w:rPr>
              <w:t>21,098,279.73</w:t>
            </w: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9,816,045.95</w:t>
            </w:r>
          </w:p>
        </w:tc>
        <w:tc>
          <w:tcPr>
            <w:tcW w:w="1367" w:type="dxa"/>
            <w:tcBorders>
              <w:top w:val="single" w:sz="16" w:space="0" w:color="D2D2D2"/>
              <w:left w:val="single" w:sz="4" w:space="0" w:color="000000"/>
              <w:bottom w:val="single" w:sz="4" w:space="0" w:color="000000"/>
              <w:right w:val="single" w:sz="4" w:space="0" w:color="000000"/>
            </w:tcBorders>
          </w:tcPr>
          <w:p>
            <w:pPr/>
          </w:p>
        </w:tc>
        <w:tc>
          <w:tcPr>
            <w:tcW w:w="136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9,906,183.75</w:t>
            </w:r>
          </w:p>
        </w:tc>
        <w:tc>
          <w:tcPr>
            <w:tcW w:w="1367" w:type="dxa"/>
            <w:tcBorders>
              <w:top w:val="single" w:sz="16" w:space="0" w:color="D2D2D2"/>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right="9"/>
              <w:jc w:val="right"/>
              <w:rPr>
                <w:rFonts w:ascii="Times New Roman" w:hAnsi="Times New Roman" w:cs="Times New Roman" w:eastAsia="Times New Roman" w:hint="default"/>
                <w:sz w:val="20"/>
                <w:szCs w:val="20"/>
              </w:rPr>
            </w:pPr>
            <w:r>
              <w:rPr>
                <w:rFonts w:ascii="Times New Roman"/>
                <w:spacing w:val="-1"/>
                <w:sz w:val="20"/>
              </w:rPr>
              <w:t>21,008,141.93</w:t>
            </w:r>
          </w:p>
        </w:tc>
      </w:tr>
      <w:tr>
        <w:trPr>
          <w:trHeight w:val="475"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21,098,279.73</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9,816,045.95</w:t>
            </w:r>
          </w:p>
        </w:tc>
        <w:tc>
          <w:tcPr>
            <w:tcW w:w="1367"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9,906,183.75</w:t>
            </w:r>
          </w:p>
        </w:tc>
        <w:tc>
          <w:tcPr>
            <w:tcW w:w="1367" w:type="dxa"/>
            <w:tcBorders>
              <w:top w:val="single" w:sz="4" w:space="0" w:color="000000"/>
              <w:left w:val="single" w:sz="4" w:space="0" w:color="000000"/>
              <w:bottom w:val="single" w:sz="12" w:space="0" w:color="000000"/>
              <w:right w:val="single" w:sz="4" w:space="0" w:color="000000"/>
            </w:tcBorders>
          </w:tcPr>
          <w:p>
            <w:pPr/>
          </w:p>
        </w:tc>
        <w:tc>
          <w:tcPr>
            <w:tcW w:w="13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21,008,141.93</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8、其他流动资产" w:id="232"/>
      <w:bookmarkEnd w:id="23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3094"/>
        <w:gridCol w:w="3227"/>
        <w:gridCol w:w="3227"/>
      </w:tblGrid>
      <w:tr>
        <w:trPr>
          <w:trHeight w:val="459" w:hRule="exact"/>
        </w:trPr>
        <w:tc>
          <w:tcPr>
            <w:tcW w:w="309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2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2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0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2" w:right="0"/>
              <w:jc w:val="left"/>
              <w:rPr>
                <w:rFonts w:ascii="宋体" w:hAnsi="宋体" w:cs="宋体" w:eastAsia="宋体" w:hint="default"/>
                <w:sz w:val="20"/>
                <w:szCs w:val="20"/>
              </w:rPr>
            </w:pPr>
            <w:r>
              <w:rPr>
                <w:rFonts w:ascii="宋体" w:hAnsi="宋体" w:cs="宋体" w:eastAsia="宋体" w:hint="default"/>
                <w:sz w:val="20"/>
                <w:szCs w:val="20"/>
              </w:rPr>
              <w:t>待抵扣进项税</w:t>
            </w:r>
          </w:p>
        </w:tc>
        <w:tc>
          <w:tcPr>
            <w:tcW w:w="3227"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19,937,412.55</w:t>
            </w:r>
          </w:p>
        </w:tc>
        <w:tc>
          <w:tcPr>
            <w:tcW w:w="3227" w:type="dxa"/>
            <w:tcBorders>
              <w:top w:val="single" w:sz="16" w:space="0" w:color="D9D9D9"/>
              <w:left w:val="single" w:sz="4" w:space="0" w:color="000000"/>
              <w:bottom w:val="single" w:sz="4" w:space="0" w:color="000000"/>
              <w:right w:val="single" w:sz="12" w:space="0" w:color="000000"/>
            </w:tcBorders>
          </w:tcPr>
          <w:p>
            <w:pPr/>
          </w:p>
        </w:tc>
      </w:tr>
      <w:tr>
        <w:trPr>
          <w:trHeight w:val="464" w:hRule="exact"/>
        </w:trPr>
        <w:tc>
          <w:tcPr>
            <w:tcW w:w="30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2" w:right="0"/>
              <w:jc w:val="left"/>
              <w:rPr>
                <w:rFonts w:ascii="宋体" w:hAnsi="宋体" w:cs="宋体" w:eastAsia="宋体" w:hint="default"/>
                <w:sz w:val="20"/>
                <w:szCs w:val="20"/>
              </w:rPr>
            </w:pPr>
            <w:r>
              <w:rPr>
                <w:rFonts w:ascii="宋体" w:hAnsi="宋体" w:cs="宋体" w:eastAsia="宋体" w:hint="default"/>
                <w:sz w:val="20"/>
                <w:szCs w:val="20"/>
              </w:rPr>
              <w:t>待摊费用</w:t>
            </w:r>
            <w:r>
              <w:rPr>
                <w:rFonts w:ascii="宋体" w:hAnsi="宋体" w:cs="宋体" w:eastAsia="宋体" w:hint="default"/>
                <w:sz w:val="20"/>
                <w:szCs w:val="20"/>
              </w:rPr>
              <w:t>-</w:t>
            </w:r>
            <w:r>
              <w:rPr>
                <w:rFonts w:ascii="宋体" w:hAnsi="宋体" w:cs="宋体" w:eastAsia="宋体" w:hint="default"/>
                <w:sz w:val="20"/>
                <w:szCs w:val="20"/>
              </w:rPr>
              <w:t>房租</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46,800.00</w:t>
            </w:r>
          </w:p>
        </w:tc>
        <w:tc>
          <w:tcPr>
            <w:tcW w:w="322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09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2"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3227" w:type="dxa"/>
            <w:tcBorders>
              <w:top w:val="single" w:sz="4" w:space="0" w:color="000000"/>
              <w:left w:val="single" w:sz="4" w:space="0" w:color="000000"/>
              <w:bottom w:val="single" w:sz="4" w:space="0" w:color="000000"/>
              <w:right w:val="single" w:sz="4" w:space="0" w:color="000000"/>
            </w:tcBorders>
          </w:tcPr>
          <w:p>
            <w:pPr/>
          </w:p>
        </w:tc>
        <w:tc>
          <w:tcPr>
            <w:tcW w:w="32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200,000,000.00</w:t>
            </w:r>
          </w:p>
        </w:tc>
      </w:tr>
      <w:tr>
        <w:trPr>
          <w:trHeight w:val="475" w:hRule="exact"/>
        </w:trPr>
        <w:tc>
          <w:tcPr>
            <w:tcW w:w="309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9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19,984,212.55</w:t>
            </w:r>
          </w:p>
        </w:tc>
        <w:tc>
          <w:tcPr>
            <w:tcW w:w="32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200,000,000.00</w:t>
            </w:r>
          </w:p>
        </w:tc>
      </w:tr>
    </w:tbl>
    <w:p>
      <w:pPr>
        <w:spacing w:line="240" w:lineRule="auto" w:before="3"/>
        <w:rPr>
          <w:rFonts w:ascii="宋体" w:hAnsi="宋体" w:cs="宋体" w:eastAsia="宋体" w:hint="default"/>
          <w:sz w:val="5"/>
          <w:szCs w:val="5"/>
        </w:rPr>
      </w:pPr>
    </w:p>
    <w:p>
      <w:pPr>
        <w:pStyle w:val="BodyText"/>
        <w:spacing w:line="386" w:lineRule="auto" w:before="35"/>
        <w:ind w:left="154" w:right="1116" w:firstLine="420"/>
        <w:jc w:val="left"/>
      </w:pPr>
      <w:r>
        <w:rPr/>
        <w:t>年初理财产品系本公司购买广发银行</w:t>
      </w:r>
      <w:r>
        <w:rPr>
          <w:rFonts w:ascii="Times New Roman" w:hAnsi="Times New Roman" w:cs="Times New Roman" w:eastAsia="Times New Roman" w:hint="default"/>
        </w:rPr>
        <w:t>“</w:t>
      </w:r>
      <w:r>
        <w:rPr/>
        <w:t>广赢安薪</w:t>
      </w:r>
      <w:r>
        <w:rPr>
          <w:rFonts w:ascii="Times New Roman" w:hAnsi="Times New Roman" w:cs="Times New Roman" w:eastAsia="Times New Roman" w:hint="default"/>
        </w:rPr>
        <w:t>”</w:t>
      </w:r>
      <w:r>
        <w:rPr/>
        <w:t>理财产品，该产品系保本浮动收益型理财产品，理财 起始日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日，理财到期日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spacing w:line="240" w:lineRule="auto" w:before="9"/>
        <w:rPr>
          <w:rFonts w:ascii="宋体" w:hAnsi="宋体" w:cs="宋体" w:eastAsia="宋体" w:hint="default"/>
          <w:sz w:val="19"/>
          <w:szCs w:val="19"/>
        </w:rPr>
      </w:pPr>
    </w:p>
    <w:p>
      <w:pPr>
        <w:pStyle w:val="Heading6"/>
        <w:spacing w:line="240" w:lineRule="auto"/>
        <w:ind w:right="1135"/>
        <w:jc w:val="left"/>
        <w:rPr>
          <w:b w:val="0"/>
          <w:bCs w:val="0"/>
        </w:rPr>
      </w:pPr>
      <w:bookmarkStart w:name="9、可供出售金融资产" w:id="233"/>
      <w:bookmarkEnd w:id="233"/>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可供出售金融资产情况" w:id="234"/>
      <w:bookmarkEnd w:id="23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2000"/>
        <w:gridCol w:w="1301"/>
        <w:gridCol w:w="1110"/>
        <w:gridCol w:w="1362"/>
        <w:gridCol w:w="1331"/>
        <w:gridCol w:w="1141"/>
        <w:gridCol w:w="1331"/>
      </w:tblGrid>
      <w:tr>
        <w:trPr>
          <w:trHeight w:val="458" w:hRule="exact"/>
        </w:trPr>
        <w:tc>
          <w:tcPr>
            <w:tcW w:w="2000"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773"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804" w:type="dxa"/>
            <w:gridSpan w:val="3"/>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4" w:hRule="exact"/>
        </w:trPr>
        <w:tc>
          <w:tcPr>
            <w:tcW w:w="2000" w:type="dxa"/>
            <w:vMerge/>
            <w:tcBorders>
              <w:left w:val="single" w:sz="12" w:space="0" w:color="000000"/>
              <w:bottom w:val="single" w:sz="4" w:space="0" w:color="000000"/>
              <w:right w:val="single" w:sz="4" w:space="0" w:color="000000"/>
            </w:tcBorders>
            <w:shd w:val="clear" w:color="auto" w:fill="D9D9D9"/>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48"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3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65"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31"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0" w:right="0"/>
              <w:jc w:val="center"/>
              <w:rPr>
                <w:rFonts w:ascii="宋体" w:hAnsi="宋体" w:cs="宋体" w:eastAsia="宋体" w:hint="default"/>
                <w:sz w:val="20"/>
                <w:szCs w:val="20"/>
              </w:rPr>
            </w:pPr>
            <w:r>
              <w:rPr>
                <w:rFonts w:ascii="宋体" w:hAnsi="宋体" w:cs="宋体" w:eastAsia="宋体" w:hint="default"/>
                <w:sz w:val="20"/>
                <w:szCs w:val="20"/>
              </w:rPr>
              <w:t>账面价值</w:t>
            </w:r>
          </w:p>
        </w:tc>
      </w:tr>
      <w:tr>
        <w:trPr>
          <w:trHeight w:val="464" w:hRule="exact"/>
        </w:trPr>
        <w:tc>
          <w:tcPr>
            <w:tcW w:w="20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301"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32,919,444.45</w:t>
            </w:r>
          </w:p>
        </w:tc>
        <w:tc>
          <w:tcPr>
            <w:tcW w:w="1110" w:type="dxa"/>
            <w:tcBorders>
              <w:top w:val="single" w:sz="12" w:space="0" w:color="D9D9D9"/>
              <w:left w:val="single" w:sz="4" w:space="0" w:color="000000"/>
              <w:bottom w:val="single" w:sz="4" w:space="0" w:color="000000"/>
              <w:right w:val="single" w:sz="4" w:space="0" w:color="000000"/>
            </w:tcBorders>
          </w:tcPr>
          <w:p>
            <w:pPr/>
          </w:p>
        </w:tc>
        <w:tc>
          <w:tcPr>
            <w:tcW w:w="136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1"/>
              <w:ind w:left="112" w:right="0"/>
              <w:jc w:val="center"/>
              <w:rPr>
                <w:rFonts w:ascii="Times New Roman" w:hAnsi="Times New Roman" w:cs="Times New Roman" w:eastAsia="Times New Roman" w:hint="default"/>
                <w:sz w:val="18"/>
                <w:szCs w:val="18"/>
              </w:rPr>
            </w:pPr>
            <w:r>
              <w:rPr>
                <w:rFonts w:ascii="Times New Roman"/>
                <w:sz w:val="18"/>
              </w:rPr>
              <w:t>32,919,444.45</w:t>
            </w:r>
          </w:p>
        </w:tc>
        <w:tc>
          <w:tcPr>
            <w:tcW w:w="1331"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1"/>
              <w:ind w:left="78" w:right="0"/>
              <w:jc w:val="center"/>
              <w:rPr>
                <w:rFonts w:ascii="Times New Roman" w:hAnsi="Times New Roman" w:cs="Times New Roman" w:eastAsia="Times New Roman" w:hint="default"/>
                <w:sz w:val="18"/>
                <w:szCs w:val="18"/>
              </w:rPr>
            </w:pPr>
            <w:r>
              <w:rPr>
                <w:rFonts w:ascii="Times New Roman"/>
                <w:sz w:val="18"/>
              </w:rPr>
              <w:t>25,020,000.00</w:t>
            </w:r>
          </w:p>
        </w:tc>
        <w:tc>
          <w:tcPr>
            <w:tcW w:w="1141" w:type="dxa"/>
            <w:tcBorders>
              <w:top w:val="single" w:sz="12" w:space="0" w:color="D9D9D9"/>
              <w:left w:val="single" w:sz="4" w:space="0" w:color="000000"/>
              <w:bottom w:val="single" w:sz="4" w:space="0" w:color="000000"/>
              <w:right w:val="single" w:sz="4" w:space="0" w:color="000000"/>
            </w:tcBorders>
          </w:tcPr>
          <w:p>
            <w:pPr/>
          </w:p>
        </w:tc>
        <w:tc>
          <w:tcPr>
            <w:tcW w:w="1331"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1"/>
              <w:ind w:left="90" w:right="0"/>
              <w:jc w:val="center"/>
              <w:rPr>
                <w:rFonts w:ascii="Times New Roman" w:hAnsi="Times New Roman" w:cs="Times New Roman" w:eastAsia="Times New Roman" w:hint="default"/>
                <w:sz w:val="18"/>
                <w:szCs w:val="18"/>
              </w:rPr>
            </w:pPr>
            <w:r>
              <w:rPr>
                <w:rFonts w:ascii="Times New Roman"/>
                <w:sz w:val="18"/>
              </w:rPr>
              <w:t>25,020,000.00</w:t>
            </w:r>
          </w:p>
        </w:tc>
      </w:tr>
      <w:tr>
        <w:trPr>
          <w:trHeight w:val="463" w:hRule="exact"/>
        </w:trPr>
        <w:tc>
          <w:tcPr>
            <w:tcW w:w="200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按成本计量的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0" w:right="0"/>
              <w:jc w:val="center"/>
              <w:rPr>
                <w:rFonts w:ascii="Times New Roman" w:hAnsi="Times New Roman" w:cs="Times New Roman" w:eastAsia="Times New Roman" w:hint="default"/>
                <w:sz w:val="18"/>
                <w:szCs w:val="18"/>
              </w:rPr>
            </w:pPr>
            <w:r>
              <w:rPr>
                <w:rFonts w:ascii="Times New Roman"/>
                <w:sz w:val="18"/>
              </w:rPr>
              <w:t>32,919,444.45</w:t>
            </w:r>
          </w:p>
        </w:tc>
        <w:tc>
          <w:tcPr>
            <w:tcW w:w="111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2" w:right="0"/>
              <w:jc w:val="center"/>
              <w:rPr>
                <w:rFonts w:ascii="Times New Roman" w:hAnsi="Times New Roman" w:cs="Times New Roman" w:eastAsia="Times New Roman" w:hint="default"/>
                <w:sz w:val="18"/>
                <w:szCs w:val="18"/>
              </w:rPr>
            </w:pPr>
            <w:r>
              <w:rPr>
                <w:rFonts w:ascii="Times New Roman"/>
                <w:sz w:val="18"/>
              </w:rPr>
              <w:t>32,919,444.45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8" w:right="0"/>
              <w:jc w:val="center"/>
              <w:rPr>
                <w:rFonts w:ascii="Times New Roman" w:hAnsi="Times New Roman" w:cs="Times New Roman" w:eastAsia="Times New Roman" w:hint="default"/>
                <w:sz w:val="18"/>
                <w:szCs w:val="18"/>
              </w:rPr>
            </w:pPr>
            <w:r>
              <w:rPr>
                <w:rFonts w:ascii="Times New Roman"/>
                <w:sz w:val="18"/>
              </w:rPr>
              <w:t>25,020,000.00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90" w:right="0"/>
              <w:jc w:val="center"/>
              <w:rPr>
                <w:rFonts w:ascii="Times New Roman" w:hAnsi="Times New Roman" w:cs="Times New Roman" w:eastAsia="Times New Roman" w:hint="default"/>
                <w:sz w:val="18"/>
                <w:szCs w:val="18"/>
              </w:rPr>
            </w:pPr>
            <w:r>
              <w:rPr>
                <w:rFonts w:ascii="Times New Roman"/>
                <w:sz w:val="18"/>
              </w:rPr>
              <w:t>25,020,000.00</w:t>
            </w:r>
          </w:p>
        </w:tc>
      </w:tr>
      <w:tr>
        <w:trPr>
          <w:trHeight w:val="475" w:hRule="exact"/>
        </w:trPr>
        <w:tc>
          <w:tcPr>
            <w:tcW w:w="200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0" w:right="0"/>
              <w:jc w:val="center"/>
              <w:rPr>
                <w:rFonts w:ascii="Times New Roman" w:hAnsi="Times New Roman" w:cs="Times New Roman" w:eastAsia="Times New Roman" w:hint="default"/>
                <w:sz w:val="18"/>
                <w:szCs w:val="18"/>
              </w:rPr>
            </w:pPr>
            <w:r>
              <w:rPr>
                <w:rFonts w:ascii="Times New Roman"/>
                <w:sz w:val="18"/>
              </w:rPr>
              <w:t>32,919,444.45</w:t>
            </w:r>
          </w:p>
        </w:tc>
        <w:tc>
          <w:tcPr>
            <w:tcW w:w="1110" w:type="dxa"/>
            <w:tcBorders>
              <w:top w:val="single" w:sz="4" w:space="0" w:color="000000"/>
              <w:left w:val="single" w:sz="4" w:space="0" w:color="000000"/>
              <w:bottom w:val="single" w:sz="12" w:space="0" w:color="000000"/>
              <w:right w:val="single" w:sz="4" w:space="0" w:color="000000"/>
            </w:tcBorders>
          </w:tcPr>
          <w:p>
            <w:pP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12" w:right="0"/>
              <w:jc w:val="center"/>
              <w:rPr>
                <w:rFonts w:ascii="Times New Roman" w:hAnsi="Times New Roman" w:cs="Times New Roman" w:eastAsia="Times New Roman" w:hint="default"/>
                <w:sz w:val="18"/>
                <w:szCs w:val="18"/>
              </w:rPr>
            </w:pPr>
            <w:r>
              <w:rPr>
                <w:rFonts w:ascii="Times New Roman"/>
                <w:sz w:val="18"/>
              </w:rPr>
              <w:t>32,919,444.45</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78" w:right="0"/>
              <w:jc w:val="center"/>
              <w:rPr>
                <w:rFonts w:ascii="Times New Roman" w:hAnsi="Times New Roman" w:cs="Times New Roman" w:eastAsia="Times New Roman" w:hint="default"/>
                <w:sz w:val="18"/>
                <w:szCs w:val="18"/>
              </w:rPr>
            </w:pPr>
            <w:r>
              <w:rPr>
                <w:rFonts w:ascii="Times New Roman"/>
                <w:sz w:val="18"/>
              </w:rPr>
              <w:t>25,020,000.00</w:t>
            </w:r>
          </w:p>
        </w:tc>
        <w:tc>
          <w:tcPr>
            <w:tcW w:w="1141" w:type="dxa"/>
            <w:tcBorders>
              <w:top w:val="single" w:sz="4" w:space="0" w:color="000000"/>
              <w:left w:val="single" w:sz="4" w:space="0" w:color="000000"/>
              <w:bottom w:val="single" w:sz="12" w:space="0" w:color="000000"/>
              <w:right w:val="single" w:sz="4" w:space="0" w:color="000000"/>
            </w:tcBorders>
          </w:tcPr>
          <w:p>
            <w:pPr/>
          </w:p>
        </w:tc>
        <w:tc>
          <w:tcPr>
            <w:tcW w:w="13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90" w:right="0"/>
              <w:jc w:val="center"/>
              <w:rPr>
                <w:rFonts w:ascii="Times New Roman" w:hAnsi="Times New Roman" w:cs="Times New Roman" w:eastAsia="Times New Roman" w:hint="default"/>
                <w:sz w:val="18"/>
                <w:szCs w:val="18"/>
              </w:rPr>
            </w:pPr>
            <w:r>
              <w:rPr>
                <w:rFonts w:ascii="Times New Roman"/>
                <w:sz w:val="18"/>
              </w:rPr>
              <w:t>25,020,000.00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期末按成本计量的可供出售金融资产" w:id="235"/>
      <w:bookmarkEnd w:id="23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0" w:footer="1266" w:top="1160" w:bottom="1460" w:left="980" w:right="0"/>
        </w:sectPr>
      </w:pPr>
    </w:p>
    <w:p>
      <w:pPr>
        <w:spacing w:line="240" w:lineRule="auto" w:before="8"/>
        <w:rPr>
          <w:rFonts w:ascii="Times New Roman" w:hAnsi="Times New Roman" w:cs="Times New Roman" w:eastAsia="Times New Roman"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901"/>
        <w:gridCol w:w="1256"/>
        <w:gridCol w:w="1294"/>
        <w:gridCol w:w="1277"/>
        <w:gridCol w:w="1276"/>
        <w:gridCol w:w="340"/>
        <w:gridCol w:w="391"/>
        <w:gridCol w:w="404"/>
        <w:gridCol w:w="353"/>
        <w:gridCol w:w="924"/>
        <w:gridCol w:w="1162"/>
      </w:tblGrid>
      <w:tr>
        <w:trPr>
          <w:trHeight w:val="443" w:hRule="exact"/>
        </w:trPr>
        <w:tc>
          <w:tcPr>
            <w:tcW w:w="90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254" w:right="174"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103" w:type="dxa"/>
            <w:gridSpan w:val="4"/>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7" w:type="dxa"/>
            <w:gridSpan w:val="4"/>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3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24"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87" w:right="185"/>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1162"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486" w:right="114"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1353" w:hRule="exact"/>
        </w:trPr>
        <w:tc>
          <w:tcPr>
            <w:tcW w:w="901" w:type="dxa"/>
            <w:vMerge/>
            <w:tcBorders>
              <w:left w:val="single" w:sz="12" w:space="0" w:color="000000"/>
              <w:bottom w:val="single" w:sz="4" w:space="0" w:color="000000"/>
              <w:right w:val="single" w:sz="4" w:space="0" w:color="000000"/>
            </w:tcBorders>
            <w:shd w:val="clear" w:color="auto" w:fill="D9D9D9"/>
          </w:tcPr>
          <w:p>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9" w:lineRule="auto"/>
              <w:ind w:left="103" w:right="44"/>
              <w:jc w:val="left"/>
              <w:rPr>
                <w:rFonts w:ascii="宋体" w:hAnsi="宋体" w:cs="宋体" w:eastAsia="宋体" w:hint="default"/>
                <w:sz w:val="18"/>
                <w:szCs w:val="18"/>
              </w:rPr>
            </w:pPr>
            <w:r>
              <w:rPr>
                <w:rFonts w:ascii="宋体" w:hAnsi="宋体" w:cs="宋体" w:eastAsia="宋体" w:hint="default"/>
                <w:sz w:val="18"/>
                <w:szCs w:val="18"/>
              </w:rPr>
              <w:t>期 初</w:t>
            </w:r>
          </w:p>
        </w:tc>
        <w:tc>
          <w:tcPr>
            <w:tcW w:w="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101" w:right="97"/>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106" w:right="105"/>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9" w:lineRule="auto"/>
              <w:ind w:left="103" w:right="59"/>
              <w:jc w:val="left"/>
              <w:rPr>
                <w:rFonts w:ascii="宋体" w:hAnsi="宋体" w:cs="宋体" w:eastAsia="宋体" w:hint="default"/>
                <w:sz w:val="18"/>
                <w:szCs w:val="18"/>
              </w:rPr>
            </w:pPr>
            <w:r>
              <w:rPr>
                <w:rFonts w:ascii="宋体" w:hAnsi="宋体" w:cs="宋体" w:eastAsia="宋体" w:hint="default"/>
                <w:sz w:val="18"/>
                <w:szCs w:val="18"/>
              </w:rPr>
              <w:t>期 末</w:t>
            </w:r>
          </w:p>
        </w:tc>
        <w:tc>
          <w:tcPr>
            <w:tcW w:w="924" w:type="dxa"/>
            <w:vMerge/>
            <w:tcBorders>
              <w:left w:val="single" w:sz="4" w:space="0" w:color="000000"/>
              <w:bottom w:val="single" w:sz="4" w:space="0" w:color="000000"/>
              <w:right w:val="single" w:sz="4" w:space="0" w:color="000000"/>
            </w:tcBorders>
            <w:shd w:val="clear" w:color="auto" w:fill="D9D9D9"/>
          </w:tcPr>
          <w:p>
            <w:pPr/>
          </w:p>
        </w:tc>
        <w:tc>
          <w:tcPr>
            <w:tcW w:w="1162" w:type="dxa"/>
            <w:vMerge/>
            <w:tcBorders>
              <w:left w:val="single" w:sz="4" w:space="0" w:color="000000"/>
              <w:bottom w:val="single" w:sz="4" w:space="0" w:color="000000"/>
              <w:right w:val="single" w:sz="12" w:space="0" w:color="000000"/>
            </w:tcBorders>
            <w:shd w:val="clear" w:color="auto" w:fill="D9D9D9"/>
          </w:tcPr>
          <w:p>
            <w:pPr/>
          </w:p>
        </w:tc>
      </w:tr>
      <w:tr>
        <w:trPr>
          <w:trHeight w:val="1650" w:hRule="exact"/>
        </w:trPr>
        <w:tc>
          <w:tcPr>
            <w:tcW w:w="90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29"/>
              <w:jc w:val="both"/>
              <w:rPr>
                <w:rFonts w:ascii="宋体" w:hAnsi="宋体" w:cs="宋体" w:eastAsia="宋体" w:hint="default"/>
                <w:sz w:val="18"/>
                <w:szCs w:val="18"/>
              </w:rPr>
            </w:pPr>
            <w:r>
              <w:rPr>
                <w:rFonts w:ascii="宋体" w:hAnsi="宋体" w:cs="宋体" w:eastAsia="宋体" w:hint="default"/>
                <w:spacing w:val="48"/>
                <w:sz w:val="18"/>
                <w:szCs w:val="18"/>
              </w:rPr>
              <w:t>吉林省</w:t>
            </w:r>
            <w:r>
              <w:rPr>
                <w:rFonts w:ascii="宋体" w:hAnsi="宋体" w:cs="宋体" w:eastAsia="宋体" w:hint="default"/>
                <w:spacing w:val="-18"/>
                <w:sz w:val="18"/>
                <w:szCs w:val="18"/>
              </w:rPr>
              <w:t> </w:t>
            </w:r>
            <w:r>
              <w:rPr>
                <w:rFonts w:ascii="宋体" w:hAnsi="宋体" w:cs="宋体" w:eastAsia="宋体" w:hint="default"/>
                <w:spacing w:val="48"/>
                <w:sz w:val="18"/>
                <w:szCs w:val="18"/>
              </w:rPr>
              <w:t>农民专</w:t>
            </w:r>
            <w:r>
              <w:rPr>
                <w:rFonts w:ascii="宋体" w:hAnsi="宋体" w:cs="宋体" w:eastAsia="宋体" w:hint="default"/>
                <w:spacing w:val="-18"/>
                <w:sz w:val="18"/>
                <w:szCs w:val="18"/>
              </w:rPr>
              <w:t> </w:t>
            </w:r>
            <w:r>
              <w:rPr>
                <w:rFonts w:ascii="宋体" w:hAnsi="宋体" w:cs="宋体" w:eastAsia="宋体" w:hint="default"/>
                <w:spacing w:val="48"/>
                <w:sz w:val="18"/>
                <w:szCs w:val="18"/>
              </w:rPr>
              <w:t>业合作</w:t>
            </w:r>
            <w:r>
              <w:rPr>
                <w:rFonts w:ascii="宋体" w:hAnsi="宋体" w:cs="宋体" w:eastAsia="宋体" w:hint="default"/>
                <w:spacing w:val="-18"/>
                <w:sz w:val="18"/>
                <w:szCs w:val="18"/>
              </w:rPr>
              <w:t> </w:t>
            </w:r>
            <w:r>
              <w:rPr>
                <w:rFonts w:ascii="宋体" w:hAnsi="宋体" w:cs="宋体" w:eastAsia="宋体" w:hint="default"/>
                <w:spacing w:val="48"/>
                <w:sz w:val="18"/>
                <w:szCs w:val="18"/>
              </w:rPr>
              <w:t>社联合</w:t>
            </w:r>
            <w:r>
              <w:rPr>
                <w:rFonts w:ascii="宋体" w:hAnsi="宋体" w:cs="宋体" w:eastAsia="宋体" w:hint="default"/>
                <w:spacing w:val="-18"/>
                <w:sz w:val="18"/>
                <w:szCs w:val="18"/>
              </w:rPr>
              <w:t> </w:t>
            </w:r>
            <w:r>
              <w:rPr>
                <w:rFonts w:ascii="宋体" w:hAnsi="宋体" w:cs="宋体" w:eastAsia="宋体" w:hint="default"/>
                <w:sz w:val="18"/>
                <w:szCs w:val="18"/>
              </w:rPr>
              <w:t>会</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3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90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29"/>
              <w:jc w:val="left"/>
              <w:rPr>
                <w:rFonts w:ascii="宋体" w:hAnsi="宋体" w:cs="宋体" w:eastAsia="宋体" w:hint="default"/>
                <w:sz w:val="18"/>
                <w:szCs w:val="18"/>
              </w:rPr>
            </w:pPr>
            <w:r>
              <w:rPr>
                <w:rFonts w:ascii="宋体" w:hAnsi="宋体" w:cs="宋体" w:eastAsia="宋体" w:hint="default"/>
                <w:spacing w:val="48"/>
                <w:sz w:val="18"/>
                <w:szCs w:val="18"/>
              </w:rPr>
              <w:t>北京柘</w:t>
            </w:r>
            <w:r>
              <w:rPr>
                <w:rFonts w:ascii="宋体" w:hAnsi="宋体" w:cs="宋体" w:eastAsia="宋体" w:hint="default"/>
                <w:spacing w:val="-18"/>
                <w:sz w:val="18"/>
                <w:szCs w:val="18"/>
              </w:rPr>
              <w:t> </w:t>
            </w:r>
            <w:r>
              <w:rPr>
                <w:rFonts w:ascii="宋体" w:hAnsi="宋体" w:cs="宋体" w:eastAsia="宋体" w:hint="default"/>
                <w:spacing w:val="48"/>
                <w:sz w:val="18"/>
                <w:szCs w:val="18"/>
              </w:rPr>
              <w:t>益投资</w:t>
            </w:r>
            <w:r>
              <w:rPr>
                <w:rFonts w:ascii="宋体" w:hAnsi="宋体" w:cs="宋体" w:eastAsia="宋体" w:hint="default"/>
                <w:spacing w:val="-18"/>
                <w:sz w:val="18"/>
                <w:szCs w:val="18"/>
              </w:rPr>
              <w:t> </w:t>
            </w:r>
            <w:r>
              <w:rPr>
                <w:rFonts w:ascii="宋体" w:hAnsi="宋体" w:cs="宋体" w:eastAsia="宋体" w:hint="default"/>
                <w:spacing w:val="-10"/>
                <w:sz w:val="18"/>
                <w:szCs w:val="18"/>
              </w:rPr>
              <w:t>中心（有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43" w:right="0"/>
              <w:jc w:val="center"/>
              <w:rPr>
                <w:rFonts w:ascii="Times New Roman" w:hAnsi="Times New Roman" w:cs="Times New Roman" w:eastAsia="Times New Roman" w:hint="default"/>
                <w:sz w:val="18"/>
                <w:szCs w:val="18"/>
              </w:rPr>
            </w:pPr>
            <w:r>
              <w:rPr>
                <w:rFonts w:ascii="Times New Roman"/>
                <w:sz w:val="18"/>
              </w:rPr>
              <w:t>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center"/>
              <w:rPr>
                <w:rFonts w:ascii="Times New Roman" w:hAnsi="Times New Roman" w:cs="Times New Roman" w:eastAsia="Times New Roman" w:hint="default"/>
                <w:sz w:val="18"/>
                <w:szCs w:val="18"/>
              </w:rPr>
            </w:pPr>
            <w:r>
              <w:rPr>
                <w:rFonts w:ascii="Times New Roman"/>
                <w:sz w:val="18"/>
              </w:rPr>
              <w:t>17,100,555.55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32,899,444.45</w:t>
            </w:r>
          </w:p>
        </w:tc>
        <w:tc>
          <w:tcPr>
            <w:tcW w:w="34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18.52%</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91"/>
              <w:jc w:val="right"/>
              <w:rPr>
                <w:rFonts w:ascii="Times New Roman" w:hAnsi="Times New Roman" w:cs="Times New Roman" w:eastAsia="Times New Roman" w:hint="default"/>
                <w:sz w:val="18"/>
                <w:szCs w:val="18"/>
              </w:rPr>
            </w:pPr>
            <w:r>
              <w:rPr>
                <w:rFonts w:ascii="Times New Roman"/>
                <w:spacing w:val="-1"/>
                <w:sz w:val="18"/>
              </w:rPr>
              <w:t>9,039,809.63</w:t>
            </w:r>
          </w:p>
        </w:tc>
      </w:tr>
      <w:tr>
        <w:trPr>
          <w:trHeight w:val="641" w:hRule="exact"/>
        </w:trPr>
        <w:tc>
          <w:tcPr>
            <w:tcW w:w="90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25,020,000.00</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25,000,000.00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17,100,555.55</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32,919,444.45</w:t>
            </w:r>
          </w:p>
        </w:tc>
        <w:tc>
          <w:tcPr>
            <w:tcW w:w="340" w:type="dxa"/>
            <w:tcBorders>
              <w:top w:val="single" w:sz="4" w:space="0" w:color="000000"/>
              <w:left w:val="single" w:sz="4" w:space="0" w:color="000000"/>
              <w:bottom w:val="single" w:sz="12" w:space="0" w:color="000000"/>
              <w:right w:val="single" w:sz="4" w:space="0" w:color="000000"/>
            </w:tcBorders>
          </w:tcPr>
          <w:p>
            <w:pPr/>
          </w:p>
        </w:tc>
        <w:tc>
          <w:tcPr>
            <w:tcW w:w="391" w:type="dxa"/>
            <w:tcBorders>
              <w:top w:val="single" w:sz="4" w:space="0" w:color="000000"/>
              <w:left w:val="single" w:sz="4" w:space="0" w:color="000000"/>
              <w:bottom w:val="single" w:sz="12" w:space="0" w:color="000000"/>
              <w:right w:val="single" w:sz="4" w:space="0" w:color="000000"/>
            </w:tcBorders>
          </w:tcPr>
          <w:p>
            <w:pPr/>
          </w:p>
        </w:tc>
        <w:tc>
          <w:tcPr>
            <w:tcW w:w="404" w:type="dxa"/>
            <w:tcBorders>
              <w:top w:val="single" w:sz="4" w:space="0" w:color="000000"/>
              <w:left w:val="single" w:sz="4" w:space="0" w:color="000000"/>
              <w:bottom w:val="single" w:sz="12" w:space="0" w:color="000000"/>
              <w:right w:val="single" w:sz="4" w:space="0" w:color="000000"/>
            </w:tcBorders>
          </w:tcPr>
          <w:p>
            <w:pPr/>
          </w:p>
        </w:tc>
        <w:tc>
          <w:tcPr>
            <w:tcW w:w="353" w:type="dxa"/>
            <w:tcBorders>
              <w:top w:val="single" w:sz="4" w:space="0" w:color="000000"/>
              <w:left w:val="single" w:sz="4" w:space="0" w:color="000000"/>
              <w:bottom w:val="single" w:sz="12" w:space="0" w:color="000000"/>
              <w:right w:val="single" w:sz="4" w:space="0" w:color="000000"/>
            </w:tcBorders>
          </w:tcPr>
          <w:p>
            <w:pP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9,039,809.63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60" w:bottom="1460" w:left="980" w:right="0"/>
        </w:sectPr>
      </w:pPr>
    </w:p>
    <w:p>
      <w:pPr>
        <w:spacing w:line="240" w:lineRule="auto" w:before="6"/>
        <w:rPr>
          <w:rFonts w:ascii="Times New Roman" w:hAnsi="Times New Roman" w:cs="Times New Roman" w:eastAsia="Times New Roman" w:hint="default"/>
          <w:sz w:val="29"/>
          <w:szCs w:val="29"/>
        </w:rPr>
      </w:pPr>
    </w:p>
    <w:p>
      <w:pPr>
        <w:pStyle w:val="Heading6"/>
        <w:spacing w:line="240" w:lineRule="auto"/>
        <w:ind w:left="140" w:right="0"/>
        <w:jc w:val="left"/>
        <w:rPr>
          <w:b w:val="0"/>
          <w:bCs w:val="0"/>
        </w:rPr>
      </w:pPr>
      <w:r>
        <w:rPr/>
        <w:pict>
          <v:group style="position:absolute;margin-left:70.5pt;margin-top:-1.656338pt;width:701pt;height:.1pt;mso-position-horizontal-relative:page;mso-position-vertical-relative:paragraph;z-index:2344" coordorigin="1410,-33" coordsize="14020,2">
            <v:shape style="position:absolute;left:1410;top:-33;width:14020;height:2" coordorigin="1410,-33" coordsize="14020,0" path="m1410,-33l15430,-33e" filled="false" stroked="true" strokeweight=".72pt" strokecolor="#000000">
              <v:path arrowok="t"/>
            </v:shape>
            <w10:wrap type="none"/>
          </v:group>
        </w:pict>
      </w:r>
      <w:bookmarkStart w:name="10、长期股权投资" w:id="236"/>
      <w:bookmarkEnd w:id="236"/>
      <w:r>
        <w:rPr>
          <w:b w:val="0"/>
          <w:bCs w:val="0"/>
        </w:rPr>
      </w:r>
      <w:r>
        <w:rPr>
          <w:rFonts w:ascii="Times New Roman" w:hAnsi="Times New Roman" w:cs="Times New Roman" w:eastAsia="Times New Roman" w:hint="default"/>
          <w:w w:val="95"/>
        </w:rPr>
        <w:t>10</w:t>
      </w:r>
      <w:r>
        <w:rPr>
          <w:w w:val="95"/>
        </w:rPr>
        <w:t>、长期股权投资</w:t>
      </w:r>
      <w:r>
        <w:rPr>
          <w:b w:val="0"/>
          <w:bCs w:val="0"/>
        </w:rPr>
      </w:r>
    </w:p>
    <w:p>
      <w:pPr>
        <w:spacing w:before="16"/>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1"/>
          <w:footerReference w:type="default" r:id="rId62"/>
          <w:pgSz w:w="16840" w:h="11910" w:orient="landscape"/>
          <w:pgMar w:header="0" w:footer="0" w:top="840" w:bottom="0" w:left="1300" w:right="0"/>
          <w:cols w:num="2" w:equalWidth="0">
            <w:col w:w="1826" w:space="7903"/>
            <w:col w:w="5811"/>
          </w:cols>
        </w:sectPr>
      </w:pPr>
    </w:p>
    <w:p>
      <w:pPr>
        <w:spacing w:line="240" w:lineRule="auto" w:before="3"/>
        <w:rPr>
          <w:rFonts w:ascii="宋体" w:hAnsi="宋体" w:cs="宋体" w:eastAsia="宋体" w:hint="default"/>
          <w:sz w:val="23"/>
          <w:szCs w:val="23"/>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978"/>
        <w:gridCol w:w="1517"/>
        <w:gridCol w:w="1197"/>
        <w:gridCol w:w="1024"/>
        <w:gridCol w:w="1284"/>
        <w:gridCol w:w="1210"/>
        <w:gridCol w:w="1163"/>
        <w:gridCol w:w="1336"/>
        <w:gridCol w:w="627"/>
        <w:gridCol w:w="475"/>
        <w:gridCol w:w="1390"/>
        <w:gridCol w:w="787"/>
      </w:tblGrid>
      <w:tr>
        <w:trPr>
          <w:trHeight w:val="443" w:hRule="exact"/>
        </w:trPr>
        <w:tc>
          <w:tcPr>
            <w:tcW w:w="1978"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17"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315" w:type="dxa"/>
            <w:gridSpan w:val="8"/>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90"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7"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319" w:lineRule="auto"/>
              <w:ind w:left="118" w:right="10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42" w:hRule="exact"/>
        </w:trPr>
        <w:tc>
          <w:tcPr>
            <w:tcW w:w="1978" w:type="dxa"/>
            <w:vMerge/>
            <w:tcBorders>
              <w:left w:val="single" w:sz="12" w:space="0" w:color="000000"/>
              <w:bottom w:val="single" w:sz="4" w:space="0" w:color="000000"/>
              <w:right w:val="single" w:sz="4" w:space="0" w:color="000000"/>
            </w:tcBorders>
            <w:shd w:val="clear" w:color="auto" w:fill="D9D9D9"/>
          </w:tcPr>
          <w:p>
            <w:pPr/>
          </w:p>
        </w:tc>
        <w:tc>
          <w:tcPr>
            <w:tcW w:w="1517" w:type="dxa"/>
            <w:vMerge/>
            <w:tcBorders>
              <w:left w:val="single" w:sz="4" w:space="0" w:color="000000"/>
              <w:bottom w:val="single" w:sz="4" w:space="0" w:color="000000"/>
              <w:right w:val="single" w:sz="4" w:space="0" w:color="000000"/>
            </w:tcBorders>
            <w:shd w:val="clear" w:color="auto" w:fill="D9D9D9"/>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9"/>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4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90" w:right="9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338" w:right="14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485" w:right="125"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12" w:right="121"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6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7"/>
              <w:ind w:left="136" w:right="11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50"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390" w:type="dxa"/>
            <w:vMerge/>
            <w:tcBorders>
              <w:left w:val="single" w:sz="4" w:space="0" w:color="000000"/>
              <w:bottom w:val="single" w:sz="4" w:space="0" w:color="000000"/>
              <w:right w:val="single" w:sz="4" w:space="0" w:color="000000"/>
            </w:tcBorders>
            <w:shd w:val="clear" w:color="auto" w:fill="D9D9D9"/>
          </w:tcPr>
          <w:p>
            <w:pPr/>
          </w:p>
        </w:tc>
        <w:tc>
          <w:tcPr>
            <w:tcW w:w="787" w:type="dxa"/>
            <w:vMerge/>
            <w:tcBorders>
              <w:left w:val="single" w:sz="4" w:space="0" w:color="000000"/>
              <w:bottom w:val="single" w:sz="4" w:space="0" w:color="000000"/>
              <w:right w:val="single" w:sz="12" w:space="0" w:color="000000"/>
            </w:tcBorders>
            <w:shd w:val="clear" w:color="auto" w:fill="D9D9D9"/>
          </w:tcPr>
          <w:p>
            <w:pPr/>
          </w:p>
        </w:tc>
      </w:tr>
      <w:tr>
        <w:trPr>
          <w:trHeight w:val="464" w:hRule="exact"/>
        </w:trPr>
        <w:tc>
          <w:tcPr>
            <w:tcW w:w="13986" w:type="dxa"/>
            <w:gridSpan w:val="12"/>
            <w:tcBorders>
              <w:top w:val="single" w:sz="4"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0"/>
              <w:jc w:val="left"/>
              <w:rPr>
                <w:rFonts w:ascii="宋体" w:hAnsi="宋体" w:cs="宋体" w:eastAsia="宋体" w:hint="default"/>
                <w:sz w:val="18"/>
                <w:szCs w:val="18"/>
              </w:rPr>
            </w:pPr>
            <w:r>
              <w:rPr>
                <w:rFonts w:ascii="宋体" w:hAnsi="宋体" w:cs="宋体" w:eastAsia="宋体" w:hint="default"/>
                <w:spacing w:val="-4"/>
                <w:sz w:val="18"/>
                <w:szCs w:val="18"/>
              </w:rPr>
              <w:t>神州易泰信息服务（北</w:t>
            </w:r>
            <w:r>
              <w:rPr>
                <w:rFonts w:ascii="宋体" w:hAnsi="宋体" w:cs="宋体" w:eastAsia="宋体" w:hint="default"/>
                <w:sz w:val="18"/>
                <w:szCs w:val="18"/>
              </w:rPr>
              <w:t> 京）有限公司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7,840,000.00</w:t>
            </w:r>
          </w:p>
        </w:tc>
        <w:tc>
          <w:tcPr>
            <w:tcW w:w="102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-1,854,756.00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5,985,244.00</w:t>
            </w: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647"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7" w:type="dxa"/>
            <w:tcBorders>
              <w:top w:val="single" w:sz="4" w:space="0" w:color="000000"/>
              <w:left w:val="single" w:sz="4" w:space="0" w:color="000000"/>
              <w:bottom w:val="single" w:sz="16" w:space="0" w:color="D9D9D9"/>
              <w:right w:val="single" w:sz="4" w:space="0" w:color="000000"/>
            </w:tcBorders>
          </w:tcPr>
          <w:p>
            <w:pPr/>
          </w:p>
        </w:tc>
        <w:tc>
          <w:tcPr>
            <w:tcW w:w="1197"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7,840,000.00</w:t>
            </w:r>
          </w:p>
        </w:tc>
        <w:tc>
          <w:tcPr>
            <w:tcW w:w="1024" w:type="dxa"/>
            <w:tcBorders>
              <w:top w:val="single" w:sz="4" w:space="0" w:color="000000"/>
              <w:left w:val="single" w:sz="4" w:space="0" w:color="000000"/>
              <w:bottom w:val="single" w:sz="16" w:space="0" w:color="D9D9D9"/>
              <w:right w:val="single" w:sz="4" w:space="0" w:color="000000"/>
            </w:tcBorders>
          </w:tcPr>
          <w:p>
            <w:pPr/>
          </w:p>
        </w:tc>
        <w:tc>
          <w:tcPr>
            <w:tcW w:w="1284"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-1,854,756.00</w:t>
            </w:r>
          </w:p>
        </w:tc>
        <w:tc>
          <w:tcPr>
            <w:tcW w:w="1210" w:type="dxa"/>
            <w:tcBorders>
              <w:top w:val="single" w:sz="4" w:space="0" w:color="000000"/>
              <w:left w:val="single" w:sz="4" w:space="0" w:color="000000"/>
              <w:bottom w:val="single" w:sz="16" w:space="0" w:color="D9D9D9"/>
              <w:right w:val="single" w:sz="4" w:space="0" w:color="000000"/>
            </w:tcBorders>
          </w:tcPr>
          <w:p>
            <w:pPr/>
          </w:p>
        </w:tc>
        <w:tc>
          <w:tcPr>
            <w:tcW w:w="1163" w:type="dxa"/>
            <w:tcBorders>
              <w:top w:val="single" w:sz="4" w:space="0" w:color="000000"/>
              <w:left w:val="single" w:sz="4" w:space="0" w:color="000000"/>
              <w:bottom w:val="single" w:sz="16" w:space="0" w:color="D9D9D9"/>
              <w:right w:val="single" w:sz="4" w:space="0" w:color="000000"/>
            </w:tcBorders>
          </w:tcPr>
          <w:p>
            <w:pPr/>
          </w:p>
        </w:tc>
        <w:tc>
          <w:tcPr>
            <w:tcW w:w="1336" w:type="dxa"/>
            <w:tcBorders>
              <w:top w:val="single" w:sz="4" w:space="0" w:color="000000"/>
              <w:left w:val="single" w:sz="4" w:space="0" w:color="000000"/>
              <w:bottom w:val="single" w:sz="16" w:space="0" w:color="D9D9D9"/>
              <w:right w:val="single" w:sz="4" w:space="0" w:color="000000"/>
            </w:tcBorders>
          </w:tcPr>
          <w:p>
            <w:pPr/>
          </w:p>
        </w:tc>
        <w:tc>
          <w:tcPr>
            <w:tcW w:w="627" w:type="dxa"/>
            <w:tcBorders>
              <w:top w:val="single" w:sz="4" w:space="0" w:color="000000"/>
              <w:left w:val="single" w:sz="4" w:space="0" w:color="000000"/>
              <w:bottom w:val="single" w:sz="16" w:space="0" w:color="D9D9D9"/>
              <w:right w:val="single" w:sz="4" w:space="0" w:color="000000"/>
            </w:tcBorders>
          </w:tcPr>
          <w:p>
            <w:pPr/>
          </w:p>
        </w:tc>
        <w:tc>
          <w:tcPr>
            <w:tcW w:w="475" w:type="dxa"/>
            <w:tcBorders>
              <w:top w:val="single" w:sz="4" w:space="0" w:color="000000"/>
              <w:left w:val="single" w:sz="4" w:space="0" w:color="000000"/>
              <w:bottom w:val="single" w:sz="16" w:space="0" w:color="D9D9D9"/>
              <w:right w:val="single" w:sz="4" w:space="0" w:color="000000"/>
            </w:tcBorders>
          </w:tcPr>
          <w:p>
            <w:pPr/>
          </w:p>
        </w:tc>
        <w:tc>
          <w:tcPr>
            <w:tcW w:w="1390"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5,985,244.00</w:t>
            </w:r>
          </w:p>
        </w:tc>
        <w:tc>
          <w:tcPr>
            <w:tcW w:w="787" w:type="dxa"/>
            <w:tcBorders>
              <w:top w:val="single" w:sz="4" w:space="0" w:color="000000"/>
              <w:left w:val="single" w:sz="4" w:space="0" w:color="000000"/>
              <w:bottom w:val="single" w:sz="16" w:space="0" w:color="D9D9D9"/>
              <w:right w:val="single" w:sz="12" w:space="0" w:color="000000"/>
            </w:tcBorders>
          </w:tcPr>
          <w:p>
            <w:pPr/>
          </w:p>
        </w:tc>
      </w:tr>
      <w:tr>
        <w:trPr>
          <w:trHeight w:val="432" w:hRule="exact"/>
        </w:trPr>
        <w:tc>
          <w:tcPr>
            <w:tcW w:w="13986" w:type="dxa"/>
            <w:gridSpan w:val="12"/>
            <w:tcBorders>
              <w:top w:val="single" w:sz="4"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30"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68"/>
              <w:ind w:left="93" w:right="108"/>
              <w:jc w:val="left"/>
              <w:rPr>
                <w:rFonts w:ascii="宋体" w:hAnsi="宋体" w:cs="宋体" w:eastAsia="宋体" w:hint="default"/>
                <w:sz w:val="18"/>
                <w:szCs w:val="18"/>
              </w:rPr>
            </w:pPr>
            <w:r>
              <w:rPr>
                <w:rFonts w:ascii="宋体" w:hAnsi="宋体" w:cs="宋体" w:eastAsia="宋体" w:hint="default"/>
                <w:spacing w:val="14"/>
                <w:sz w:val="18"/>
                <w:szCs w:val="18"/>
              </w:rPr>
              <w:t>苏州神州数码捷通科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517"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4,669,391.35</w:t>
            </w:r>
          </w:p>
        </w:tc>
        <w:tc>
          <w:tcPr>
            <w:tcW w:w="1197" w:type="dxa"/>
            <w:tcBorders>
              <w:top w:val="single" w:sz="16" w:space="0" w:color="D9D9D9"/>
              <w:left w:val="single" w:sz="4" w:space="0" w:color="000000"/>
              <w:bottom w:val="single" w:sz="4" w:space="0" w:color="000000"/>
              <w:right w:val="single" w:sz="4" w:space="0" w:color="000000"/>
            </w:tcBorders>
          </w:tcPr>
          <w:p>
            <w:pPr/>
          </w:p>
        </w:tc>
        <w:tc>
          <w:tcPr>
            <w:tcW w:w="1024" w:type="dxa"/>
            <w:tcBorders>
              <w:top w:val="single" w:sz="16" w:space="0" w:color="D9D9D9"/>
              <w:left w:val="single" w:sz="4" w:space="0" w:color="000000"/>
              <w:bottom w:val="single" w:sz="4" w:space="0" w:color="000000"/>
              <w:right w:val="single" w:sz="4" w:space="0" w:color="000000"/>
            </w:tcBorders>
          </w:tcPr>
          <w:p>
            <w:pPr/>
          </w:p>
        </w:tc>
        <w:tc>
          <w:tcPr>
            <w:tcW w:w="128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3,834,563.03</w:t>
            </w:r>
          </w:p>
        </w:tc>
        <w:tc>
          <w:tcPr>
            <w:tcW w:w="1210" w:type="dxa"/>
            <w:tcBorders>
              <w:top w:val="single" w:sz="16" w:space="0" w:color="D9D9D9"/>
              <w:left w:val="single" w:sz="4" w:space="0" w:color="000000"/>
              <w:bottom w:val="single" w:sz="4" w:space="0" w:color="000000"/>
              <w:right w:val="single" w:sz="4" w:space="0" w:color="000000"/>
            </w:tcBorders>
          </w:tcPr>
          <w:p>
            <w:pPr/>
          </w:p>
        </w:tc>
        <w:tc>
          <w:tcPr>
            <w:tcW w:w="1163" w:type="dxa"/>
            <w:tcBorders>
              <w:top w:val="single" w:sz="16" w:space="0" w:color="D9D9D9"/>
              <w:left w:val="single" w:sz="4" w:space="0" w:color="000000"/>
              <w:bottom w:val="single" w:sz="4" w:space="0" w:color="000000"/>
              <w:right w:val="single" w:sz="4" w:space="0" w:color="000000"/>
            </w:tcBorders>
          </w:tcPr>
          <w:p>
            <w:pPr/>
          </w:p>
        </w:tc>
        <w:tc>
          <w:tcPr>
            <w:tcW w:w="1336"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3,871,000.00</w:t>
            </w:r>
          </w:p>
        </w:tc>
        <w:tc>
          <w:tcPr>
            <w:tcW w:w="627" w:type="dxa"/>
            <w:tcBorders>
              <w:top w:val="single" w:sz="16" w:space="0" w:color="D9D9D9"/>
              <w:left w:val="single" w:sz="4" w:space="0" w:color="000000"/>
              <w:bottom w:val="single" w:sz="4" w:space="0" w:color="000000"/>
              <w:right w:val="single" w:sz="4" w:space="0" w:color="000000"/>
            </w:tcBorders>
          </w:tcPr>
          <w:p>
            <w:pPr/>
          </w:p>
        </w:tc>
        <w:tc>
          <w:tcPr>
            <w:tcW w:w="475" w:type="dxa"/>
            <w:tcBorders>
              <w:top w:val="single" w:sz="16" w:space="0" w:color="D9D9D9"/>
              <w:left w:val="single" w:sz="4" w:space="0" w:color="000000"/>
              <w:bottom w:val="single" w:sz="4" w:space="0" w:color="000000"/>
              <w:right w:val="single" w:sz="4" w:space="0" w:color="000000"/>
            </w:tcBorders>
          </w:tcPr>
          <w:p>
            <w:pPr/>
          </w:p>
        </w:tc>
        <w:tc>
          <w:tcPr>
            <w:tcW w:w="1390"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4,632,954.38</w:t>
            </w:r>
          </w:p>
        </w:tc>
        <w:tc>
          <w:tcPr>
            <w:tcW w:w="787" w:type="dxa"/>
            <w:tcBorders>
              <w:top w:val="single" w:sz="16" w:space="0" w:color="D9D9D9"/>
              <w:left w:val="single" w:sz="4" w:space="0" w:color="000000"/>
              <w:bottom w:val="single" w:sz="4" w:space="0" w:color="000000"/>
              <w:right w:val="single" w:sz="12" w:space="0" w:color="000000"/>
            </w:tcBorders>
          </w:tcPr>
          <w:p>
            <w:pPr/>
          </w:p>
        </w:tc>
      </w:tr>
      <w:tr>
        <w:trPr>
          <w:trHeight w:val="714"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8"/>
              <w:jc w:val="left"/>
              <w:rPr>
                <w:rFonts w:ascii="宋体" w:hAnsi="宋体" w:cs="宋体" w:eastAsia="宋体" w:hint="default"/>
                <w:sz w:val="18"/>
                <w:szCs w:val="18"/>
              </w:rPr>
            </w:pPr>
            <w:r>
              <w:rPr>
                <w:rFonts w:ascii="宋体" w:hAnsi="宋体" w:cs="宋体" w:eastAsia="宋体" w:hint="default"/>
                <w:spacing w:val="14"/>
                <w:sz w:val="18"/>
                <w:szCs w:val="18"/>
              </w:rPr>
              <w:t>平湖神州数码博海科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2,219,245.20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w w:val="95"/>
                <w:sz w:val="18"/>
              </w:rPr>
              <w:t>-90,463.84</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2,128,781.36</w:t>
            </w: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8"/>
              <w:jc w:val="left"/>
              <w:rPr>
                <w:rFonts w:ascii="宋体" w:hAnsi="宋体" w:cs="宋体" w:eastAsia="宋体" w:hint="default"/>
                <w:sz w:val="18"/>
                <w:szCs w:val="18"/>
              </w:rPr>
            </w:pPr>
            <w:r>
              <w:rPr>
                <w:rFonts w:ascii="宋体" w:hAnsi="宋体" w:cs="宋体" w:eastAsia="宋体" w:hint="default"/>
                <w:spacing w:val="14"/>
                <w:sz w:val="18"/>
                <w:szCs w:val="18"/>
              </w:rPr>
              <w:t>宁波神州数码宏博信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107,349.23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108,080.34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2"/>
                <w:sz w:val="18"/>
              </w:rPr>
              <w:t>731.11</w:t>
            </w:r>
          </w:p>
        </w:tc>
        <w:tc>
          <w:tcPr>
            <w:tcW w:w="1210"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3"/>
              <w:ind w:left="93" w:right="108"/>
              <w:jc w:val="left"/>
              <w:rPr>
                <w:rFonts w:ascii="宋体" w:hAnsi="宋体" w:cs="宋体" w:eastAsia="宋体" w:hint="default"/>
                <w:sz w:val="18"/>
                <w:szCs w:val="18"/>
              </w:rPr>
            </w:pPr>
            <w:r>
              <w:rPr>
                <w:rFonts w:ascii="宋体" w:hAnsi="宋体" w:cs="宋体" w:eastAsia="宋体" w:hint="default"/>
                <w:spacing w:val="14"/>
                <w:sz w:val="18"/>
                <w:szCs w:val="18"/>
              </w:rPr>
              <w:t>鼎捷软件股份有限公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351,459,488.99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2,088,930.10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139,213.31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-55,836.79</w:t>
            </w:r>
            <w:r>
              <w:rPr>
                <w:rFonts w:ascii="Times New Roman"/>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5,529,898.20</w:t>
            </w:r>
          </w:p>
        </w:tc>
        <w:tc>
          <w:tcPr>
            <w:tcW w:w="62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348,101,897.41</w:t>
            </w: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1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358,455,474.77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108,080.34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Times New Roman" w:hAnsi="Times New Roman" w:cs="Times New Roman" w:eastAsia="Times New Roman" w:hint="default"/>
                <w:sz w:val="18"/>
                <w:szCs w:val="18"/>
              </w:rPr>
            </w:pPr>
            <w:r>
              <w:rPr>
                <w:rFonts w:ascii="Times New Roman"/>
                <w:spacing w:val="-1"/>
                <w:sz w:val="18"/>
              </w:rPr>
              <w:t>5,833,760.40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139,213.31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-55,836.79</w:t>
            </w:r>
            <w:r>
              <w:rPr>
                <w:rFonts w:ascii="Times New Roman"/>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9,400,898.20</w:t>
            </w:r>
          </w:p>
        </w:tc>
        <w:tc>
          <w:tcPr>
            <w:tcW w:w="62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354,863,633.15</w:t>
            </w: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641" w:hRule="exact"/>
        </w:trPr>
        <w:tc>
          <w:tcPr>
            <w:tcW w:w="197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358,455,474.77</w:t>
            </w:r>
          </w:p>
        </w:tc>
        <w:tc>
          <w:tcPr>
            <w:tcW w:w="11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7,840,000.00</w:t>
            </w:r>
          </w:p>
        </w:tc>
        <w:tc>
          <w:tcPr>
            <w:tcW w:w="10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108,080.34</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3,979,004.40</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139,213.31</w:t>
            </w:r>
          </w:p>
        </w:tc>
        <w:tc>
          <w:tcPr>
            <w:tcW w:w="1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-55,836.79</w:t>
            </w:r>
            <w:r>
              <w:rPr>
                <w:rFonts w:ascii="Times New Roman"/>
                <w:sz w:val="18"/>
              </w:rPr>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9,400,898.20</w:t>
            </w:r>
          </w:p>
        </w:tc>
        <w:tc>
          <w:tcPr>
            <w:tcW w:w="627" w:type="dxa"/>
            <w:tcBorders>
              <w:top w:val="single" w:sz="4" w:space="0" w:color="000000"/>
              <w:left w:val="single" w:sz="4" w:space="0" w:color="000000"/>
              <w:bottom w:val="single" w:sz="12" w:space="0" w:color="000000"/>
              <w:right w:val="single" w:sz="4" w:space="0" w:color="000000"/>
            </w:tcBorders>
          </w:tcPr>
          <w:p>
            <w:pPr/>
          </w:p>
        </w:tc>
        <w:tc>
          <w:tcPr>
            <w:tcW w:w="475" w:type="dxa"/>
            <w:tcBorders>
              <w:top w:val="single" w:sz="4" w:space="0" w:color="000000"/>
              <w:left w:val="single" w:sz="4" w:space="0" w:color="000000"/>
              <w:bottom w:val="single" w:sz="12" w:space="0" w:color="000000"/>
              <w:right w:val="single" w:sz="4" w:space="0" w:color="000000"/>
            </w:tcBorders>
          </w:tcPr>
          <w:p>
            <w:pP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360,848,877.15</w:t>
            </w:r>
          </w:p>
        </w:tc>
        <w:tc>
          <w:tcPr>
            <w:tcW w:w="78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18"/>
          <w:szCs w:val="18"/>
        </w:rPr>
      </w:pPr>
    </w:p>
    <w:p>
      <w:pPr>
        <w:spacing w:before="76"/>
        <w:ind w:left="6965" w:right="8263" w:firstLine="0"/>
        <w:jc w:val="center"/>
        <w:rPr>
          <w:rFonts w:ascii="Times New Roman" w:hAnsi="Times New Roman" w:cs="Times New Roman" w:eastAsia="Times New Roman" w:hint="default"/>
          <w:sz w:val="18"/>
          <w:szCs w:val="18"/>
        </w:rPr>
      </w:pPr>
      <w:r>
        <w:rPr/>
        <w:pict>
          <v:shape style="position:absolute;margin-left:774.419983pt;margin-top:39.762341pt;width:67.5pt;height:38.5pt;mso-position-horizontal-relative:page;mso-position-vertical-relative:paragraph;z-index:2368" type="#_x0000_t75" stroked="false">
            <v:imagedata r:id="rId16" o:title=""/>
          </v:shape>
        </w:pict>
      </w:r>
      <w:r>
        <w:rPr>
          <w:rFonts w:ascii="Times New Roman"/>
          <w:sz w:val="18"/>
        </w:rPr>
        <w:t>150</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420" w:left="1300" w:right="0"/>
        </w:sectPr>
      </w:pPr>
    </w:p>
    <w:p>
      <w:pPr>
        <w:spacing w:line="240" w:lineRule="auto" w:before="1"/>
        <w:rPr>
          <w:rFonts w:ascii="Times New Roman" w:hAnsi="Times New Roman" w:cs="Times New Roman" w:eastAsia="Times New Roman" w:hint="default"/>
          <w:sz w:val="20"/>
          <w:szCs w:val="20"/>
        </w:rPr>
      </w:pPr>
    </w:p>
    <w:p>
      <w:pPr>
        <w:pStyle w:val="Heading6"/>
        <w:spacing w:line="240" w:lineRule="auto" w:before="35"/>
        <w:ind w:right="1135"/>
        <w:jc w:val="left"/>
        <w:rPr>
          <w:b w:val="0"/>
          <w:bCs w:val="0"/>
        </w:rPr>
      </w:pPr>
      <w:bookmarkStart w:name="11、固定资产" w:id="237"/>
      <w:bookmarkEnd w:id="23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固定资产情况" w:id="238"/>
      <w:bookmarkEnd w:id="23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129"/>
        <w:gridCol w:w="1373"/>
        <w:gridCol w:w="1516"/>
        <w:gridCol w:w="1516"/>
        <w:gridCol w:w="1517"/>
        <w:gridCol w:w="1515"/>
      </w:tblGrid>
      <w:tr>
        <w:trPr>
          <w:trHeight w:val="439" w:hRule="exact"/>
        </w:trPr>
        <w:tc>
          <w:tcPr>
            <w:tcW w:w="212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1373"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81"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51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53"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1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5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51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53"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1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499"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2"/>
              <w:ind w:left="13"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373" w:type="dxa"/>
            <w:tcBorders>
              <w:top w:val="single" w:sz="16" w:space="0" w:color="D9D9D9"/>
              <w:left w:val="single" w:sz="4" w:space="0" w:color="000000"/>
              <w:bottom w:val="single" w:sz="4" w:space="0" w:color="000000"/>
              <w:right w:val="single" w:sz="4" w:space="0" w:color="000000"/>
            </w:tcBorders>
          </w:tcPr>
          <w:p>
            <w:pPr/>
          </w:p>
        </w:tc>
        <w:tc>
          <w:tcPr>
            <w:tcW w:w="1516" w:type="dxa"/>
            <w:tcBorders>
              <w:top w:val="single" w:sz="16" w:space="0" w:color="D9D9D9"/>
              <w:left w:val="single" w:sz="4" w:space="0" w:color="000000"/>
              <w:bottom w:val="single" w:sz="4" w:space="0" w:color="000000"/>
              <w:right w:val="single" w:sz="4" w:space="0" w:color="000000"/>
            </w:tcBorders>
          </w:tcPr>
          <w:p>
            <w:pPr/>
          </w:p>
        </w:tc>
        <w:tc>
          <w:tcPr>
            <w:tcW w:w="1516" w:type="dxa"/>
            <w:tcBorders>
              <w:top w:val="single" w:sz="16" w:space="0" w:color="D9D9D9"/>
              <w:left w:val="single" w:sz="4" w:space="0" w:color="000000"/>
              <w:bottom w:val="single" w:sz="4" w:space="0" w:color="000000"/>
              <w:right w:val="single" w:sz="4" w:space="0" w:color="000000"/>
            </w:tcBorders>
          </w:tcPr>
          <w:p>
            <w:pPr/>
          </w:p>
        </w:tc>
        <w:tc>
          <w:tcPr>
            <w:tcW w:w="1517" w:type="dxa"/>
            <w:tcBorders>
              <w:top w:val="single" w:sz="16" w:space="0" w:color="D9D9D9"/>
              <w:left w:val="single" w:sz="4" w:space="0" w:color="000000"/>
              <w:bottom w:val="single" w:sz="4" w:space="0" w:color="000000"/>
              <w:right w:val="single" w:sz="4" w:space="0" w:color="000000"/>
            </w:tcBorders>
          </w:tcPr>
          <w:p>
            <w:pPr/>
          </w:p>
        </w:tc>
        <w:tc>
          <w:tcPr>
            <w:tcW w:w="1515" w:type="dxa"/>
            <w:tcBorders>
              <w:top w:val="single" w:sz="16" w:space="0" w:color="D2D2D2"/>
              <w:left w:val="single" w:sz="4" w:space="0" w:color="000000"/>
              <w:bottom w:val="single" w:sz="4" w:space="0" w:color="000000"/>
              <w:right w:val="single" w:sz="12" w:space="0" w:color="000000"/>
            </w:tcBorders>
          </w:tcPr>
          <w:p>
            <w:pP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2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45,256,243.50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265,123,616.68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4,773,677.62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138,087,930.20</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453,241,468.00</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6,160,741.01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418,658.00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18,262,750.79</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24,842,149.80</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）购置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5,905,336.84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418,658.00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18,257,915.09</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24,581,909.93</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right="22"/>
              <w:jc w:val="right"/>
              <w:rPr>
                <w:rFonts w:ascii="宋体" w:hAnsi="宋体" w:cs="宋体" w:eastAsia="宋体" w:hint="default"/>
                <w:sz w:val="20"/>
                <w:szCs w:val="20"/>
              </w:rPr>
            </w:pPr>
            <w:r>
              <w:rPr>
                <w:rFonts w:ascii="宋体" w:hAnsi="宋体" w:cs="宋体" w:eastAsia="宋体" w:hint="default"/>
                <w:spacing w:val="-3"/>
                <w:sz w:val="20"/>
                <w:szCs w:val="20"/>
              </w:rPr>
              <w:t>（</w:t>
            </w:r>
            <w:r>
              <w:rPr>
                <w:rFonts w:ascii="宋体" w:hAnsi="宋体" w:cs="宋体" w:eastAsia="宋体" w:hint="default"/>
                <w:spacing w:val="-3"/>
                <w:sz w:val="20"/>
                <w:szCs w:val="20"/>
              </w:rPr>
              <w:t>2</w:t>
            </w:r>
            <w:r>
              <w:rPr>
                <w:rFonts w:ascii="宋体" w:hAnsi="宋体" w:cs="宋体" w:eastAsia="宋体" w:hint="default"/>
                <w:spacing w:val="-3"/>
                <w:sz w:val="20"/>
                <w:szCs w:val="20"/>
              </w:rPr>
              <w:t>）在建工程转入</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255,404.17</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255,404.17</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22"/>
              <w:jc w:val="right"/>
              <w:rPr>
                <w:rFonts w:ascii="宋体" w:hAnsi="宋体" w:cs="宋体" w:eastAsia="宋体" w:hint="default"/>
                <w:sz w:val="20"/>
                <w:szCs w:val="20"/>
              </w:rPr>
            </w:pPr>
            <w:r>
              <w:rPr>
                <w:rFonts w:ascii="宋体" w:hAnsi="宋体" w:cs="宋体" w:eastAsia="宋体" w:hint="default"/>
                <w:spacing w:val="-3"/>
                <w:sz w:val="20"/>
                <w:szCs w:val="20"/>
              </w:rPr>
              <w:t>（</w:t>
            </w:r>
            <w:r>
              <w:rPr>
                <w:rFonts w:ascii="宋体" w:hAnsi="宋体" w:cs="宋体" w:eastAsia="宋体" w:hint="default"/>
                <w:spacing w:val="-3"/>
                <w:sz w:val="20"/>
                <w:szCs w:val="20"/>
              </w:rPr>
              <w:t>3</w:t>
            </w:r>
            <w:r>
              <w:rPr>
                <w:rFonts w:ascii="宋体" w:hAnsi="宋体" w:cs="宋体" w:eastAsia="宋体" w:hint="default"/>
                <w:spacing w:val="-3"/>
                <w:sz w:val="20"/>
                <w:szCs w:val="20"/>
              </w:rPr>
              <w:t>）企业合并增加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129" w:type="dxa"/>
            <w:tcBorders>
              <w:top w:val="single" w:sz="12" w:space="0" w:color="D2D2D2"/>
              <w:left w:val="single" w:sz="12" w:space="0" w:color="000000"/>
              <w:bottom w:val="single" w:sz="17" w:space="0" w:color="D2D2D2"/>
              <w:right w:val="single" w:sz="4" w:space="0" w:color="000000"/>
            </w:tcBorders>
            <w:shd w:val="clear" w:color="auto" w:fill="D9D9D9"/>
          </w:tcPr>
          <w:p>
            <w:pPr>
              <w:pStyle w:val="TableParagraph"/>
              <w:spacing w:line="240" w:lineRule="auto" w:before="55"/>
              <w:ind w:left="41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）汇率变动</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4,835.70</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4,835.70</w:t>
            </w:r>
          </w:p>
        </w:tc>
      </w:tr>
      <w:tr>
        <w:trPr>
          <w:trHeight w:val="464" w:hRule="exact"/>
        </w:trPr>
        <w:tc>
          <w:tcPr>
            <w:tcW w:w="2129" w:type="dxa"/>
            <w:tcBorders>
              <w:top w:val="single" w:sz="12" w:space="0" w:color="D9D9D9"/>
              <w:left w:val="single" w:sz="12" w:space="0" w:color="000000"/>
              <w:bottom w:val="single" w:sz="4" w:space="0" w:color="000000"/>
              <w:right w:val="single" w:sz="4" w:space="0" w:color="000000"/>
            </w:tcBorders>
            <w:shd w:val="clear" w:color="auto" w:fill="D2D2D2"/>
          </w:tcPr>
          <w:p>
            <w:pPr>
              <w:pStyle w:val="TableParagraph"/>
              <w:spacing w:line="240" w:lineRule="auto" w:before="57"/>
              <w:ind w:left="2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127,875,970.93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432,114.00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7,931,801.87</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136,239,886.80</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127,875,970.93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432,114.00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7,931,801.87</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136,239,886.80</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45,256,243.50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143,408,386.76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4,760,221.62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148,418,879.12</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341,843,731.00</w:t>
            </w:r>
          </w:p>
        </w:tc>
      </w:tr>
      <w:tr>
        <w:trPr>
          <w:trHeight w:val="465"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8"/>
              <w:ind w:left="13"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1,781,964.60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192,572,383.88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3,005,739.05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88,237,840.09</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285,597,927.62</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1,018,265.48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22,183,791.92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526,194.73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16,441,414.97</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40,169,667.10</w:t>
            </w:r>
          </w:p>
        </w:tc>
      </w:tr>
      <w:tr>
        <w:trPr>
          <w:trHeight w:val="464" w:hRule="exact"/>
        </w:trPr>
        <w:tc>
          <w:tcPr>
            <w:tcW w:w="2129" w:type="dxa"/>
            <w:tcBorders>
              <w:top w:val="single" w:sz="4"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67"/>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1,018,265.48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22,183,791.92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526,194.73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16,437,650.22</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40,165,902.35</w:t>
            </w:r>
          </w:p>
        </w:tc>
      </w:tr>
      <w:tr>
        <w:trPr>
          <w:trHeight w:val="464" w:hRule="exact"/>
        </w:trPr>
        <w:tc>
          <w:tcPr>
            <w:tcW w:w="2129" w:type="dxa"/>
            <w:tcBorders>
              <w:top w:val="single" w:sz="4" w:space="0" w:color="000000"/>
              <w:left w:val="single" w:sz="12" w:space="0" w:color="000000"/>
              <w:bottom w:val="single" w:sz="16" w:space="0" w:color="D2D2D2"/>
              <w:right w:val="single" w:sz="4" w:space="0" w:color="000000"/>
            </w:tcBorders>
            <w:shd w:val="clear" w:color="auto" w:fill="D9D9D9"/>
          </w:tcPr>
          <w:p>
            <w:pPr>
              <w:pStyle w:val="TableParagraph"/>
              <w:spacing w:line="240" w:lineRule="auto" w:before="66"/>
              <w:ind w:left="41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）汇率变动</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3,764.75</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3,764.75</w:t>
            </w:r>
          </w:p>
        </w:tc>
      </w:tr>
      <w:tr>
        <w:trPr>
          <w:trHeight w:val="463" w:hRule="exact"/>
        </w:trPr>
        <w:tc>
          <w:tcPr>
            <w:tcW w:w="2129" w:type="dxa"/>
            <w:tcBorders>
              <w:top w:val="single" w:sz="16" w:space="0" w:color="D9D9D9"/>
              <w:left w:val="single" w:sz="12"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120,610,596.23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326,557.11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7,063,439.57</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128,000,592.91</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120,610,596.23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326,557.11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7,063,439.57</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128,000,592.91</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2,800,230.08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94,145,579.57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3,205,376.67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97,615,815.49</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197,767,001.81</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2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8"/>
              <w:ind w:left="2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21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21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373" w:type="dxa"/>
            <w:tcBorders>
              <w:top w:val="single" w:sz="4" w:space="0" w:color="000000"/>
              <w:left w:val="single" w:sz="4" w:space="0" w:color="000000"/>
              <w:bottom w:val="single" w:sz="12" w:space="0" w:color="000000"/>
              <w:right w:val="single" w:sz="4" w:space="0" w:color="000000"/>
            </w:tcBorders>
          </w:tcPr>
          <w:p>
            <w:pPr/>
          </w:p>
        </w:tc>
        <w:tc>
          <w:tcPr>
            <w:tcW w:w="1516" w:type="dxa"/>
            <w:tcBorders>
              <w:top w:val="single" w:sz="4" w:space="0" w:color="000000"/>
              <w:left w:val="single" w:sz="4" w:space="0" w:color="000000"/>
              <w:bottom w:val="single" w:sz="12" w:space="0" w:color="000000"/>
              <w:right w:val="single" w:sz="4" w:space="0" w:color="000000"/>
            </w:tcBorders>
          </w:tcPr>
          <w:p>
            <w:pPr/>
          </w:p>
        </w:tc>
        <w:tc>
          <w:tcPr>
            <w:tcW w:w="1516" w:type="dxa"/>
            <w:tcBorders>
              <w:top w:val="single" w:sz="4" w:space="0" w:color="000000"/>
              <w:left w:val="single" w:sz="4" w:space="0" w:color="000000"/>
              <w:bottom w:val="single" w:sz="12" w:space="0" w:color="000000"/>
              <w:right w:val="single" w:sz="4" w:space="0" w:color="000000"/>
            </w:tcBorders>
          </w:tcPr>
          <w:p>
            <w:pPr/>
          </w:p>
        </w:tc>
        <w:tc>
          <w:tcPr>
            <w:tcW w:w="1517" w:type="dxa"/>
            <w:tcBorders>
              <w:top w:val="single" w:sz="4" w:space="0" w:color="000000"/>
              <w:left w:val="single" w:sz="4" w:space="0" w:color="000000"/>
              <w:bottom w:val="single" w:sz="12" w:space="0" w:color="000000"/>
              <w:right w:val="single" w:sz="4" w:space="0" w:color="000000"/>
            </w:tcBorders>
          </w:tcPr>
          <w:p>
            <w:pPr/>
          </w:p>
        </w:tc>
        <w:tc>
          <w:tcPr>
            <w:tcW w:w="1515"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63"/>
          <w:pgSz w:w="11910" w:h="16840"/>
          <w:pgMar w:footer="1266" w:header="0" w:top="1160" w:bottom="1460" w:left="980" w:right="0"/>
          <w:pgNumType w:start="151"/>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2128"/>
        <w:gridCol w:w="1373"/>
        <w:gridCol w:w="1516"/>
        <w:gridCol w:w="1516"/>
        <w:gridCol w:w="1517"/>
        <w:gridCol w:w="1515"/>
      </w:tblGrid>
      <w:tr>
        <w:trPr>
          <w:trHeight w:val="473" w:hRule="exact"/>
        </w:trPr>
        <w:tc>
          <w:tcPr>
            <w:tcW w:w="21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373" w:type="dxa"/>
            <w:tcBorders>
              <w:top w:val="single" w:sz="12" w:space="0" w:color="000000"/>
              <w:left w:val="single" w:sz="4" w:space="0" w:color="000000"/>
              <w:bottom w:val="single" w:sz="4" w:space="0" w:color="000000"/>
              <w:right w:val="single" w:sz="4" w:space="0" w:color="000000"/>
            </w:tcBorders>
          </w:tcPr>
          <w:p>
            <w:pPr/>
          </w:p>
        </w:tc>
        <w:tc>
          <w:tcPr>
            <w:tcW w:w="1516" w:type="dxa"/>
            <w:tcBorders>
              <w:top w:val="single" w:sz="12" w:space="0" w:color="000000"/>
              <w:left w:val="single" w:sz="4" w:space="0" w:color="000000"/>
              <w:bottom w:val="single" w:sz="4" w:space="0" w:color="000000"/>
              <w:right w:val="single" w:sz="4" w:space="0" w:color="000000"/>
            </w:tcBorders>
          </w:tcPr>
          <w:p>
            <w:pPr/>
          </w:p>
        </w:tc>
        <w:tc>
          <w:tcPr>
            <w:tcW w:w="1516" w:type="dxa"/>
            <w:tcBorders>
              <w:top w:val="single" w:sz="12" w:space="0" w:color="000000"/>
              <w:left w:val="single" w:sz="4" w:space="0" w:color="000000"/>
              <w:bottom w:val="single" w:sz="4" w:space="0" w:color="000000"/>
              <w:right w:val="single" w:sz="4" w:space="0" w:color="000000"/>
            </w:tcBorders>
          </w:tcPr>
          <w:p>
            <w:pPr/>
          </w:p>
        </w:tc>
        <w:tc>
          <w:tcPr>
            <w:tcW w:w="1517" w:type="dxa"/>
            <w:tcBorders>
              <w:top w:val="single" w:sz="12" w:space="0" w:color="000000"/>
              <w:left w:val="single" w:sz="4" w:space="0" w:color="000000"/>
              <w:bottom w:val="single" w:sz="4" w:space="0" w:color="000000"/>
              <w:right w:val="single" w:sz="4" w:space="0" w:color="000000"/>
            </w:tcBorders>
          </w:tcPr>
          <w:p>
            <w:pPr/>
          </w:p>
        </w:tc>
        <w:tc>
          <w:tcPr>
            <w:tcW w:w="1515"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21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right="492"/>
              <w:jc w:val="right"/>
              <w:rPr>
                <w:rFonts w:ascii="宋体" w:hAnsi="宋体" w:cs="宋体" w:eastAsia="宋体" w:hint="default"/>
                <w:sz w:val="20"/>
                <w:szCs w:val="20"/>
              </w:rPr>
            </w:pPr>
            <w:r>
              <w:rPr>
                <w:rFonts w:ascii="宋体" w:hAnsi="宋体" w:cs="宋体" w:eastAsia="宋体" w:hint="default"/>
                <w:spacing w:val="-1"/>
                <w:sz w:val="20"/>
                <w:szCs w:val="20"/>
              </w:rPr>
              <w:t>1.</w:t>
            </w:r>
            <w:r>
              <w:rPr>
                <w:rFonts w:ascii="宋体" w:hAnsi="宋体" w:cs="宋体" w:eastAsia="宋体" w:hint="default"/>
                <w:spacing w:val="-1"/>
                <w:sz w:val="20"/>
                <w:szCs w:val="20"/>
              </w:rPr>
              <w:t>期末账面价值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42,456,013.42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49,262,807.19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1,554,844.95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50,803,063.63</w:t>
            </w:r>
          </w:p>
        </w:tc>
        <w:tc>
          <w:tcPr>
            <w:tcW w:w="15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144,076,729.19</w:t>
            </w:r>
          </w:p>
        </w:tc>
      </w:tr>
      <w:tr>
        <w:trPr>
          <w:trHeight w:val="475" w:hRule="exact"/>
        </w:trPr>
        <w:tc>
          <w:tcPr>
            <w:tcW w:w="21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right="492"/>
              <w:jc w:val="right"/>
              <w:rPr>
                <w:rFonts w:ascii="宋体" w:hAnsi="宋体" w:cs="宋体" w:eastAsia="宋体" w:hint="default"/>
                <w:sz w:val="20"/>
                <w:szCs w:val="20"/>
              </w:rPr>
            </w:pPr>
            <w:r>
              <w:rPr>
                <w:rFonts w:ascii="宋体" w:hAnsi="宋体" w:cs="宋体" w:eastAsia="宋体" w:hint="default"/>
                <w:spacing w:val="-1"/>
                <w:sz w:val="20"/>
                <w:szCs w:val="20"/>
              </w:rPr>
              <w:t>2.</w:t>
            </w:r>
            <w:r>
              <w:rPr>
                <w:rFonts w:ascii="宋体" w:hAnsi="宋体" w:cs="宋体" w:eastAsia="宋体" w:hint="default"/>
                <w:spacing w:val="-1"/>
                <w:sz w:val="20"/>
                <w:szCs w:val="20"/>
              </w:rPr>
              <w:t>期初账面价值</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43,474,278.90</w:t>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72,551,232.80</w:t>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1,767,938.57</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49,850,090.11</w:t>
            </w:r>
          </w:p>
        </w:tc>
        <w:tc>
          <w:tcPr>
            <w:tcW w:w="15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167,643,540.38</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12、在建工程" w:id="239"/>
      <w:bookmarkEnd w:id="239"/>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在建工程情况" w:id="240"/>
      <w:bookmarkEnd w:id="24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419"/>
        <w:gridCol w:w="1361"/>
        <w:gridCol w:w="1362"/>
        <w:gridCol w:w="1362"/>
        <w:gridCol w:w="1362"/>
        <w:gridCol w:w="1362"/>
        <w:gridCol w:w="1361"/>
      </w:tblGrid>
      <w:tr>
        <w:trPr>
          <w:trHeight w:val="459" w:hRule="exact"/>
        </w:trPr>
        <w:tc>
          <w:tcPr>
            <w:tcW w:w="141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4085"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86" w:type="dxa"/>
            <w:gridSpan w:val="3"/>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3" w:hRule="exact"/>
        </w:trPr>
        <w:tc>
          <w:tcPr>
            <w:tcW w:w="1419" w:type="dxa"/>
            <w:vMerge/>
            <w:tcBorders>
              <w:left w:val="single" w:sz="12" w:space="0" w:color="000000"/>
              <w:bottom w:val="single" w:sz="4" w:space="0" w:color="000000"/>
              <w:right w:val="single" w:sz="4" w:space="0" w:color="000000"/>
            </w:tcBorders>
            <w:shd w:val="clear" w:color="auto" w:fill="D9D9D9"/>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5"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76"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361"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276"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64" w:hRule="exact"/>
        </w:trPr>
        <w:tc>
          <w:tcPr>
            <w:tcW w:w="141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ATM</w:t>
            </w:r>
            <w:r>
              <w:rPr>
                <w:rFonts w:ascii="宋体" w:hAnsi="宋体" w:cs="宋体" w:eastAsia="宋体" w:hint="default"/>
                <w:spacing w:val="-50"/>
                <w:sz w:val="20"/>
                <w:szCs w:val="20"/>
              </w:rPr>
              <w:t> </w:t>
            </w:r>
            <w:r>
              <w:rPr>
                <w:rFonts w:ascii="宋体" w:hAnsi="宋体" w:cs="宋体" w:eastAsia="宋体" w:hint="default"/>
                <w:sz w:val="20"/>
                <w:szCs w:val="20"/>
              </w:rPr>
              <w:t>机安装</w:t>
            </w:r>
          </w:p>
        </w:tc>
        <w:tc>
          <w:tcPr>
            <w:tcW w:w="1361" w:type="dxa"/>
            <w:tcBorders>
              <w:top w:val="single" w:sz="16" w:space="0" w:color="D9D9D9"/>
              <w:left w:val="single" w:sz="4" w:space="0" w:color="000000"/>
              <w:bottom w:val="single" w:sz="4" w:space="0" w:color="000000"/>
              <w:right w:val="single" w:sz="4" w:space="0" w:color="000000"/>
            </w:tcBorders>
          </w:tcPr>
          <w:p>
            <w:pPr/>
          </w:p>
        </w:tc>
        <w:tc>
          <w:tcPr>
            <w:tcW w:w="1362" w:type="dxa"/>
            <w:tcBorders>
              <w:top w:val="single" w:sz="16" w:space="0" w:color="D9D9D9"/>
              <w:left w:val="single" w:sz="4" w:space="0" w:color="000000"/>
              <w:bottom w:val="single" w:sz="4" w:space="0" w:color="000000"/>
              <w:right w:val="single" w:sz="4" w:space="0" w:color="000000"/>
            </w:tcBorders>
          </w:tcPr>
          <w:p>
            <w:pPr/>
          </w:p>
        </w:tc>
        <w:tc>
          <w:tcPr>
            <w:tcW w:w="1362" w:type="dxa"/>
            <w:tcBorders>
              <w:top w:val="single" w:sz="16" w:space="0" w:color="D9D9D9"/>
              <w:left w:val="single" w:sz="4" w:space="0" w:color="000000"/>
              <w:bottom w:val="single" w:sz="4" w:space="0" w:color="000000"/>
              <w:right w:val="single" w:sz="4" w:space="0" w:color="000000"/>
            </w:tcBorders>
          </w:tcPr>
          <w:p>
            <w:pPr/>
          </w:p>
        </w:tc>
        <w:tc>
          <w:tcPr>
            <w:tcW w:w="136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255,404.17</w:t>
            </w:r>
          </w:p>
        </w:tc>
        <w:tc>
          <w:tcPr>
            <w:tcW w:w="1362" w:type="dxa"/>
            <w:tcBorders>
              <w:top w:val="single" w:sz="16" w:space="0" w:color="D9D9D9"/>
              <w:left w:val="single" w:sz="4" w:space="0" w:color="000000"/>
              <w:bottom w:val="single" w:sz="4" w:space="0" w:color="000000"/>
              <w:right w:val="single" w:sz="4" w:space="0" w:color="000000"/>
            </w:tcBorders>
          </w:tcPr>
          <w:p>
            <w:pPr/>
          </w:p>
        </w:tc>
        <w:tc>
          <w:tcPr>
            <w:tcW w:w="1361"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96"/>
              <w:ind w:left="349" w:right="0"/>
              <w:jc w:val="left"/>
              <w:rPr>
                <w:rFonts w:ascii="Times New Roman" w:hAnsi="Times New Roman" w:cs="Times New Roman" w:eastAsia="Times New Roman" w:hint="default"/>
                <w:sz w:val="20"/>
                <w:szCs w:val="20"/>
              </w:rPr>
            </w:pPr>
            <w:r>
              <w:rPr>
                <w:rFonts w:ascii="Times New Roman"/>
                <w:sz w:val="20"/>
              </w:rPr>
              <w:t>255,404.17</w:t>
            </w:r>
          </w:p>
        </w:tc>
      </w:tr>
      <w:tr>
        <w:trPr>
          <w:trHeight w:val="473" w:hRule="exact"/>
        </w:trPr>
        <w:tc>
          <w:tcPr>
            <w:tcW w:w="141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1" w:type="dxa"/>
            <w:tcBorders>
              <w:top w:val="single" w:sz="4" w:space="0" w:color="000000"/>
              <w:left w:val="single" w:sz="4" w:space="0" w:color="000000"/>
              <w:bottom w:val="single" w:sz="12" w:space="0" w:color="000000"/>
              <w:right w:val="single" w:sz="4" w:space="0" w:color="000000"/>
            </w:tcBorders>
          </w:tcPr>
          <w:p>
            <w:pPr/>
          </w:p>
        </w:tc>
        <w:tc>
          <w:tcPr>
            <w:tcW w:w="1362" w:type="dxa"/>
            <w:tcBorders>
              <w:top w:val="single" w:sz="4" w:space="0" w:color="000000"/>
              <w:left w:val="single" w:sz="4" w:space="0" w:color="000000"/>
              <w:bottom w:val="single" w:sz="12" w:space="0" w:color="000000"/>
              <w:right w:val="single" w:sz="4" w:space="0" w:color="000000"/>
            </w:tcBorders>
          </w:tcPr>
          <w:p>
            <w:pPr/>
          </w:p>
        </w:tc>
        <w:tc>
          <w:tcPr>
            <w:tcW w:w="1362" w:type="dxa"/>
            <w:tcBorders>
              <w:top w:val="single" w:sz="4" w:space="0" w:color="000000"/>
              <w:left w:val="single" w:sz="4" w:space="0" w:color="000000"/>
              <w:bottom w:val="single" w:sz="12" w:space="0" w:color="000000"/>
              <w:right w:val="single" w:sz="4" w:space="0" w:color="000000"/>
            </w:tcBorders>
          </w:tcPr>
          <w:p>
            <w:pPr/>
          </w:p>
        </w:tc>
        <w:tc>
          <w:tcPr>
            <w:tcW w:w="1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255,404.17</w:t>
            </w:r>
          </w:p>
        </w:tc>
        <w:tc>
          <w:tcPr>
            <w:tcW w:w="1362" w:type="dxa"/>
            <w:tcBorders>
              <w:top w:val="single" w:sz="4" w:space="0" w:color="000000"/>
              <w:left w:val="single" w:sz="4" w:space="0" w:color="000000"/>
              <w:bottom w:val="single" w:sz="12" w:space="0" w:color="000000"/>
              <w:right w:val="single" w:sz="4" w:space="0" w:color="000000"/>
            </w:tcBorders>
          </w:tcPr>
          <w:p>
            <w:pPr/>
          </w:p>
        </w:tc>
        <w:tc>
          <w:tcPr>
            <w:tcW w:w="13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left="349" w:right="0"/>
              <w:jc w:val="left"/>
              <w:rPr>
                <w:rFonts w:ascii="Times New Roman" w:hAnsi="Times New Roman" w:cs="Times New Roman" w:eastAsia="Times New Roman" w:hint="default"/>
                <w:sz w:val="20"/>
                <w:szCs w:val="20"/>
              </w:rPr>
            </w:pPr>
            <w:r>
              <w:rPr>
                <w:rFonts w:ascii="Times New Roman"/>
                <w:sz w:val="20"/>
              </w:rPr>
              <w:t>255,404.17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13、无形资产" w:id="241"/>
      <w:bookmarkEnd w:id="241"/>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无形资产情况" w:id="242"/>
      <w:bookmarkEnd w:id="24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553"/>
        <w:gridCol w:w="1407"/>
        <w:gridCol w:w="1408"/>
        <w:gridCol w:w="1408"/>
        <w:gridCol w:w="1408"/>
        <w:gridCol w:w="1407"/>
      </w:tblGrid>
      <w:tr>
        <w:trPr>
          <w:trHeight w:val="412"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40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9"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0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98"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0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9"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40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20"/>
                <w:szCs w:val="20"/>
              </w:rPr>
            </w:pPr>
            <w:r>
              <w:rPr>
                <w:rFonts w:ascii="宋体" w:hAnsi="宋体" w:cs="宋体" w:eastAsia="宋体" w:hint="default"/>
                <w:sz w:val="20"/>
                <w:szCs w:val="20"/>
              </w:rPr>
              <w:t>软件</w:t>
            </w:r>
          </w:p>
        </w:tc>
        <w:tc>
          <w:tcPr>
            <w:tcW w:w="140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9"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480"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407" w:type="dxa"/>
            <w:tcBorders>
              <w:top w:val="single" w:sz="16" w:space="0" w:color="D9D9D9"/>
              <w:left w:val="single" w:sz="4" w:space="0" w:color="000000"/>
              <w:bottom w:val="single" w:sz="4" w:space="0" w:color="000000"/>
              <w:right w:val="single" w:sz="4" w:space="0" w:color="000000"/>
            </w:tcBorders>
          </w:tcPr>
          <w:p>
            <w:pPr/>
          </w:p>
        </w:tc>
        <w:tc>
          <w:tcPr>
            <w:tcW w:w="1408" w:type="dxa"/>
            <w:tcBorders>
              <w:top w:val="single" w:sz="16" w:space="0" w:color="D9D9D9"/>
              <w:left w:val="single" w:sz="4" w:space="0" w:color="000000"/>
              <w:bottom w:val="single" w:sz="4" w:space="0" w:color="000000"/>
              <w:right w:val="single" w:sz="4" w:space="0" w:color="000000"/>
            </w:tcBorders>
          </w:tcPr>
          <w:p>
            <w:pPr/>
          </w:p>
        </w:tc>
        <w:tc>
          <w:tcPr>
            <w:tcW w:w="1408" w:type="dxa"/>
            <w:tcBorders>
              <w:top w:val="single" w:sz="16" w:space="0" w:color="D9D9D9"/>
              <w:left w:val="single" w:sz="4" w:space="0" w:color="000000"/>
              <w:bottom w:val="single" w:sz="4" w:space="0" w:color="000000"/>
              <w:right w:val="single" w:sz="4" w:space="0" w:color="000000"/>
            </w:tcBorders>
          </w:tcPr>
          <w:p>
            <w:pPr/>
          </w:p>
        </w:tc>
        <w:tc>
          <w:tcPr>
            <w:tcW w:w="1408" w:type="dxa"/>
            <w:tcBorders>
              <w:top w:val="single" w:sz="16" w:space="0" w:color="D9D9D9"/>
              <w:left w:val="single" w:sz="4" w:space="0" w:color="000000"/>
              <w:bottom w:val="single" w:sz="4" w:space="0" w:color="000000"/>
              <w:right w:val="single" w:sz="4" w:space="0" w:color="000000"/>
            </w:tcBorders>
          </w:tcPr>
          <w:p>
            <w:pPr/>
          </w:p>
        </w:tc>
        <w:tc>
          <w:tcPr>
            <w:tcW w:w="1407" w:type="dxa"/>
            <w:tcBorders>
              <w:top w:val="single" w:sz="16" w:space="0" w:color="D9D9D9"/>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5,504,002.59</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74,475,963.17</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79,979,965.76</w:t>
            </w: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1,325,312.89</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1,325,312.89</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）购置</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879,755.22</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879,755.22</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）内部研发</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）企业合并增加</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）汇率变动</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445,557.67</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445,557.67</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29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294"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5,504,002.59</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75,801,276.06</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81,305,278.65</w:t>
            </w:r>
          </w:p>
        </w:tc>
      </w:tr>
      <w:tr>
        <w:trPr>
          <w:trHeight w:val="465"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4,070,095.09</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2"/>
                <w:sz w:val="20"/>
              </w:rPr>
              <w:t>40,311,083.11</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44,381,178.20</w:t>
            </w:r>
          </w:p>
        </w:tc>
      </w:tr>
      <w:tr>
        <w:trPr>
          <w:trHeight w:val="475"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07" w:type="dxa"/>
            <w:tcBorders>
              <w:top w:val="single" w:sz="4" w:space="0" w:color="000000"/>
              <w:left w:val="single" w:sz="4" w:space="0" w:color="000000"/>
              <w:bottom w:val="single" w:sz="12" w:space="0" w:color="000000"/>
              <w:right w:val="single" w:sz="4" w:space="0" w:color="000000"/>
            </w:tcBorders>
          </w:tcPr>
          <w:p>
            <w:pP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506,085.00</w:t>
            </w:r>
          </w:p>
        </w:tc>
        <w:tc>
          <w:tcPr>
            <w:tcW w:w="1408" w:type="dxa"/>
            <w:tcBorders>
              <w:top w:val="single" w:sz="4" w:space="0" w:color="000000"/>
              <w:left w:val="single" w:sz="4" w:space="0" w:color="000000"/>
              <w:bottom w:val="single" w:sz="12" w:space="0" w:color="000000"/>
              <w:right w:val="single" w:sz="4" w:space="0" w:color="000000"/>
            </w:tcBorders>
          </w:tcPr>
          <w:p>
            <w:pP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8,626,222.52</w:t>
            </w:r>
          </w:p>
        </w:tc>
        <w:tc>
          <w:tcPr>
            <w:tcW w:w="14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9,132,307.52</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2553"/>
        <w:gridCol w:w="1407"/>
        <w:gridCol w:w="1408"/>
        <w:gridCol w:w="1408"/>
        <w:gridCol w:w="1408"/>
        <w:gridCol w:w="1407"/>
      </w:tblGrid>
      <w:tr>
        <w:trPr>
          <w:trHeight w:val="473"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407" w:type="dxa"/>
            <w:tcBorders>
              <w:top w:val="single" w:sz="12" w:space="0" w:color="000000"/>
              <w:left w:val="single" w:sz="4" w:space="0" w:color="000000"/>
              <w:bottom w:val="single" w:sz="4" w:space="0" w:color="000000"/>
              <w:right w:val="single" w:sz="4" w:space="0" w:color="000000"/>
            </w:tcBorders>
          </w:tcPr>
          <w:p>
            <w:pP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506,085.00</w:t>
            </w:r>
          </w:p>
        </w:tc>
        <w:tc>
          <w:tcPr>
            <w:tcW w:w="1408" w:type="dxa"/>
            <w:tcBorders>
              <w:top w:val="single" w:sz="12" w:space="0" w:color="000000"/>
              <w:left w:val="single" w:sz="4" w:space="0" w:color="000000"/>
              <w:bottom w:val="single" w:sz="4" w:space="0" w:color="000000"/>
              <w:right w:val="single" w:sz="4" w:space="0" w:color="000000"/>
            </w:tcBorders>
          </w:tcPr>
          <w:p>
            <w:pP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8,192,686.73</w:t>
            </w:r>
          </w:p>
        </w:tc>
        <w:tc>
          <w:tcPr>
            <w:tcW w:w="14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8,698,771.73</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69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）汇率变动</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433,535.79</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0"/>
              <w:jc w:val="right"/>
              <w:rPr>
                <w:rFonts w:ascii="Times New Roman" w:hAnsi="Times New Roman" w:cs="Times New Roman" w:eastAsia="Times New Roman" w:hint="default"/>
                <w:sz w:val="20"/>
                <w:szCs w:val="20"/>
              </w:rPr>
            </w:pPr>
            <w:r>
              <w:rPr>
                <w:rFonts w:ascii="Times New Roman"/>
                <w:spacing w:val="-1"/>
                <w:sz w:val="20"/>
              </w:rPr>
              <w:t>433,535.79</w:t>
            </w:r>
          </w:p>
        </w:tc>
      </w:tr>
      <w:tr>
        <w:trPr>
          <w:trHeight w:val="465"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69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4,576,180.09</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48,937,305.63</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53,513,485.72</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期末账面价值</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927,822.50</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26,863,970.43</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27,791,792.93</w:t>
            </w:r>
          </w:p>
        </w:tc>
      </w:tr>
      <w:tr>
        <w:trPr>
          <w:trHeight w:val="475"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49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期初账面价值</w:t>
            </w:r>
          </w:p>
        </w:tc>
        <w:tc>
          <w:tcPr>
            <w:tcW w:w="1407" w:type="dxa"/>
            <w:tcBorders>
              <w:top w:val="single" w:sz="4" w:space="0" w:color="000000"/>
              <w:left w:val="single" w:sz="4" w:space="0" w:color="000000"/>
              <w:bottom w:val="single" w:sz="12" w:space="0" w:color="000000"/>
              <w:right w:val="single" w:sz="4" w:space="0" w:color="000000"/>
            </w:tcBorders>
          </w:tcPr>
          <w:p>
            <w:pP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1,433,907.50</w:t>
            </w:r>
          </w:p>
        </w:tc>
        <w:tc>
          <w:tcPr>
            <w:tcW w:w="1408" w:type="dxa"/>
            <w:tcBorders>
              <w:top w:val="single" w:sz="4" w:space="0" w:color="000000"/>
              <w:left w:val="single" w:sz="4" w:space="0" w:color="000000"/>
              <w:bottom w:val="single" w:sz="12" w:space="0" w:color="000000"/>
              <w:right w:val="single" w:sz="4" w:space="0" w:color="000000"/>
            </w:tcBorders>
          </w:tcPr>
          <w:p>
            <w:pP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34,164,880.06</w:t>
            </w:r>
          </w:p>
        </w:tc>
        <w:tc>
          <w:tcPr>
            <w:tcW w:w="14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35,598,787.56</w:t>
            </w:r>
          </w:p>
        </w:tc>
      </w:tr>
    </w:tbl>
    <w:p>
      <w:pPr>
        <w:spacing w:line="240" w:lineRule="auto" w:before="3"/>
        <w:rPr>
          <w:rFonts w:ascii="宋体" w:hAnsi="宋体" w:cs="宋体" w:eastAsia="宋体" w:hint="default"/>
          <w:sz w:val="5"/>
          <w:szCs w:val="5"/>
        </w:rPr>
      </w:pPr>
    </w:p>
    <w:p>
      <w:pPr>
        <w:pStyle w:val="BodyText"/>
        <w:spacing w:line="240" w:lineRule="auto" w:before="35"/>
        <w:ind w:left="574" w:right="1135"/>
        <w:jc w:val="left"/>
      </w:pPr>
      <w:r>
        <w:rPr/>
        <w:t>本期末通过公司内部研发形成的无形资产占无形资产余额的比例</w:t>
      </w:r>
      <w:r>
        <w:rPr>
          <w:spacing w:val="-52"/>
        </w:rPr>
        <w:t> </w:t>
      </w:r>
      <w:r>
        <w:rPr>
          <w:rFonts w:ascii="宋体" w:hAnsi="宋体" w:cs="宋体" w:eastAsia="宋体" w:hint="default"/>
        </w:rPr>
        <w:t>14.76%</w:t>
      </w:r>
      <w:r>
        <w:rPr/>
        <w:t>。</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14、开发支出" w:id="243"/>
      <w:bookmarkEnd w:id="243"/>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303"/>
        <w:gridCol w:w="1790"/>
        <w:gridCol w:w="1789"/>
        <w:gridCol w:w="1790"/>
        <w:gridCol w:w="1790"/>
      </w:tblGrid>
      <w:tr>
        <w:trPr>
          <w:trHeight w:val="413" w:hRule="exact"/>
        </w:trPr>
        <w:tc>
          <w:tcPr>
            <w:tcW w:w="23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79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9"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8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9" w:right="0"/>
              <w:jc w:val="left"/>
              <w:rPr>
                <w:rFonts w:ascii="宋体" w:hAnsi="宋体" w:cs="宋体" w:eastAsia="宋体" w:hint="default"/>
                <w:sz w:val="20"/>
                <w:szCs w:val="20"/>
              </w:rPr>
            </w:pPr>
            <w:r>
              <w:rPr>
                <w:rFonts w:ascii="宋体" w:hAnsi="宋体" w:cs="宋体" w:eastAsia="宋体" w:hint="default"/>
                <w:sz w:val="20"/>
                <w:szCs w:val="20"/>
              </w:rPr>
              <w:t>本期增加金额</w:t>
            </w:r>
          </w:p>
        </w:tc>
        <w:tc>
          <w:tcPr>
            <w:tcW w:w="179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9" w:right="0"/>
              <w:jc w:val="left"/>
              <w:rPr>
                <w:rFonts w:ascii="宋体" w:hAnsi="宋体" w:cs="宋体" w:eastAsia="宋体" w:hint="default"/>
                <w:sz w:val="20"/>
                <w:szCs w:val="20"/>
              </w:rPr>
            </w:pPr>
            <w:r>
              <w:rPr>
                <w:rFonts w:ascii="宋体" w:hAnsi="宋体" w:cs="宋体" w:eastAsia="宋体" w:hint="default"/>
                <w:sz w:val="20"/>
                <w:szCs w:val="20"/>
              </w:rPr>
              <w:t>本期减少金额</w:t>
            </w:r>
          </w:p>
        </w:tc>
        <w:tc>
          <w:tcPr>
            <w:tcW w:w="1790"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489"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79"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行业大数据领域</w:t>
            </w:r>
          </w:p>
        </w:tc>
        <w:tc>
          <w:tcPr>
            <w:tcW w:w="1790" w:type="dxa"/>
            <w:tcBorders>
              <w:top w:val="single" w:sz="16" w:space="0" w:color="D9D9D9"/>
              <w:left w:val="single" w:sz="4" w:space="0" w:color="000000"/>
              <w:bottom w:val="single" w:sz="4" w:space="0" w:color="000000"/>
              <w:right w:val="single" w:sz="4" w:space="0" w:color="000000"/>
            </w:tcBorders>
          </w:tcPr>
          <w:p>
            <w:pPr/>
          </w:p>
        </w:tc>
        <w:tc>
          <w:tcPr>
            <w:tcW w:w="178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14,647,263.35</w:t>
            </w:r>
          </w:p>
        </w:tc>
        <w:tc>
          <w:tcPr>
            <w:tcW w:w="1790" w:type="dxa"/>
            <w:tcBorders>
              <w:top w:val="single" w:sz="16" w:space="0" w:color="D9D9D9"/>
              <w:left w:val="single" w:sz="4" w:space="0" w:color="000000"/>
              <w:bottom w:val="single" w:sz="4" w:space="0" w:color="000000"/>
              <w:right w:val="single" w:sz="4" w:space="0" w:color="000000"/>
            </w:tcBorders>
          </w:tcPr>
          <w:p>
            <w:pPr/>
          </w:p>
        </w:tc>
        <w:tc>
          <w:tcPr>
            <w:tcW w:w="1790"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14,647,263.35</w:t>
            </w:r>
          </w:p>
        </w:tc>
      </w:tr>
      <w:tr>
        <w:trPr>
          <w:trHeight w:val="464"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云计算应用领域</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5,262,198.16</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5,262,198.16</w:t>
            </w:r>
          </w:p>
        </w:tc>
      </w:tr>
      <w:tr>
        <w:trPr>
          <w:trHeight w:val="464" w:hRule="exact"/>
        </w:trPr>
        <w:tc>
          <w:tcPr>
            <w:tcW w:w="23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安全可控领域</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1,267,189.86</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1,267,189.86</w:t>
            </w:r>
          </w:p>
        </w:tc>
      </w:tr>
      <w:tr>
        <w:trPr>
          <w:trHeight w:val="473" w:hRule="exact"/>
        </w:trPr>
        <w:tc>
          <w:tcPr>
            <w:tcW w:w="23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90" w:type="dxa"/>
            <w:tcBorders>
              <w:top w:val="single" w:sz="4" w:space="0" w:color="000000"/>
              <w:left w:val="single" w:sz="4" w:space="0" w:color="000000"/>
              <w:bottom w:val="single" w:sz="12" w:space="0" w:color="000000"/>
              <w:right w:val="single" w:sz="4" w:space="0" w:color="000000"/>
            </w:tcBorders>
          </w:tcPr>
          <w:p>
            <w:pPr/>
          </w:p>
        </w:tc>
        <w:tc>
          <w:tcPr>
            <w:tcW w:w="17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21,176,651.37</w:t>
            </w:r>
          </w:p>
        </w:tc>
        <w:tc>
          <w:tcPr>
            <w:tcW w:w="1790" w:type="dxa"/>
            <w:tcBorders>
              <w:top w:val="single" w:sz="4" w:space="0" w:color="000000"/>
              <w:left w:val="single" w:sz="4" w:space="0" w:color="000000"/>
              <w:bottom w:val="single" w:sz="12" w:space="0" w:color="000000"/>
              <w:right w:val="single" w:sz="4" w:space="0" w:color="000000"/>
            </w:tcBorders>
          </w:tcPr>
          <w:p>
            <w:pPr/>
          </w:p>
        </w:tc>
        <w:tc>
          <w:tcPr>
            <w:tcW w:w="17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21,176,651.37</w:t>
            </w:r>
          </w:p>
        </w:tc>
      </w:tr>
    </w:tbl>
    <w:p>
      <w:pPr>
        <w:spacing w:line="240" w:lineRule="auto" w:before="3"/>
        <w:rPr>
          <w:rFonts w:ascii="宋体" w:hAnsi="宋体" w:cs="宋体" w:eastAsia="宋体" w:hint="default"/>
          <w:sz w:val="5"/>
          <w:szCs w:val="5"/>
        </w:rPr>
      </w:pPr>
    </w:p>
    <w:p>
      <w:pPr>
        <w:pStyle w:val="BodyText"/>
        <w:spacing w:line="240" w:lineRule="auto" w:before="35"/>
        <w:ind w:left="574" w:right="1135"/>
        <w:jc w:val="left"/>
      </w:pPr>
      <w:r>
        <w:rPr/>
        <w:t>以上项目自</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月陆续开始资本化，截至年末研发进度为</w:t>
      </w:r>
      <w:r>
        <w:rPr>
          <w:spacing w:val="-53"/>
        </w:rPr>
        <w:t> </w:t>
      </w:r>
      <w:r>
        <w:rPr>
          <w:rFonts w:ascii="宋体" w:hAnsi="宋体" w:cs="宋体" w:eastAsia="宋体" w:hint="default"/>
        </w:rPr>
        <w:t>6%-21%</w:t>
      </w:r>
      <w:r>
        <w:rPr/>
        <w:t>。</w:t>
      </w:r>
    </w:p>
    <w:p>
      <w:pPr>
        <w:spacing w:line="240" w:lineRule="auto" w:before="0"/>
        <w:rPr>
          <w:rFonts w:ascii="宋体" w:hAnsi="宋体" w:cs="宋体" w:eastAsia="宋体" w:hint="default"/>
          <w:sz w:val="20"/>
          <w:szCs w:val="20"/>
        </w:rPr>
      </w:pPr>
    </w:p>
    <w:p>
      <w:pPr>
        <w:pStyle w:val="Heading6"/>
        <w:spacing w:line="240" w:lineRule="auto" w:before="153"/>
        <w:ind w:left="153" w:right="1135"/>
        <w:jc w:val="left"/>
        <w:rPr>
          <w:b w:val="0"/>
          <w:bCs w:val="0"/>
        </w:rPr>
      </w:pPr>
      <w:bookmarkStart w:name="15、商誉" w:id="244"/>
      <w:bookmarkEnd w:id="244"/>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商誉账面原值" w:id="245"/>
      <w:bookmarkEnd w:id="245"/>
      <w:r>
        <w:rPr>
          <w:b w:val="0"/>
          <w:bCs w:val="0"/>
        </w:rPr>
      </w:r>
      <w:r>
        <w:rPr/>
        <w:t>（</w:t>
      </w:r>
      <w:r>
        <w:rPr>
          <w:rFonts w:ascii="Times New Roman" w:hAnsi="Times New Roman" w:cs="Times New Roman" w:eastAsia="Times New Roman" w:hint="default"/>
        </w:rPr>
        <w:t>1</w:t>
      </w:r>
      <w:r>
        <w:rPr/>
        <w:t>）商誉账面原值</w:t>
      </w:r>
      <w:r>
        <w:rPr>
          <w:b w:val="0"/>
          <w:bCs w:val="0"/>
        </w:rPr>
      </w:r>
    </w:p>
    <w:p>
      <w:pPr>
        <w:spacing w:after="0" w:line="240" w:lineRule="auto"/>
        <w:jc w:val="left"/>
        <w:sectPr>
          <w:pgSz w:w="11910" w:h="16840"/>
          <w:pgMar w:header="0"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545"/>
        <w:gridCol w:w="2127"/>
        <w:gridCol w:w="1134"/>
        <w:gridCol w:w="1134"/>
        <w:gridCol w:w="1522"/>
      </w:tblGrid>
      <w:tr>
        <w:trPr>
          <w:trHeight w:val="444" w:hRule="exact"/>
        </w:trPr>
        <w:tc>
          <w:tcPr>
            <w:tcW w:w="354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left="256" w:right="0"/>
              <w:jc w:val="left"/>
              <w:rPr>
                <w:rFonts w:ascii="宋体" w:hAnsi="宋体" w:cs="宋体" w:eastAsia="宋体" w:hint="default"/>
                <w:sz w:val="20"/>
                <w:szCs w:val="20"/>
              </w:rPr>
            </w:pPr>
            <w:r>
              <w:rPr>
                <w:rFonts w:ascii="宋体" w:hAnsi="宋体" w:cs="宋体" w:eastAsia="宋体" w:hint="default"/>
                <w:sz w:val="20"/>
                <w:szCs w:val="20"/>
              </w:rPr>
              <w:t>被投资单位名称或形成商誉的事项</w:t>
            </w:r>
          </w:p>
        </w:tc>
        <w:tc>
          <w:tcPr>
            <w:tcW w:w="212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8"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13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61"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13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6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2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79" w:hRule="exact"/>
        </w:trPr>
        <w:tc>
          <w:tcPr>
            <w:tcW w:w="3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神州数码金信科技股份有限公司</w:t>
            </w:r>
          </w:p>
        </w:tc>
        <w:tc>
          <w:tcPr>
            <w:tcW w:w="2127"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0"/>
                <w:szCs w:val="20"/>
              </w:rPr>
            </w:pPr>
            <w:r>
              <w:rPr>
                <w:rFonts w:ascii="Times New Roman"/>
                <w:spacing w:val="-1"/>
                <w:sz w:val="20"/>
              </w:rPr>
              <w:t>193,671,128.85</w:t>
            </w:r>
          </w:p>
        </w:tc>
        <w:tc>
          <w:tcPr>
            <w:tcW w:w="1134" w:type="dxa"/>
            <w:tcBorders>
              <w:top w:val="single" w:sz="12" w:space="0" w:color="D9D9D9"/>
              <w:left w:val="single" w:sz="4" w:space="0" w:color="000000"/>
              <w:bottom w:val="single" w:sz="4" w:space="0" w:color="000000"/>
              <w:right w:val="single" w:sz="4" w:space="0" w:color="000000"/>
            </w:tcBorders>
          </w:tcPr>
          <w:p>
            <w:pPr/>
          </w:p>
        </w:tc>
        <w:tc>
          <w:tcPr>
            <w:tcW w:w="1134" w:type="dxa"/>
            <w:tcBorders>
              <w:top w:val="single" w:sz="12" w:space="0" w:color="D9D9D9"/>
              <w:left w:val="single" w:sz="4" w:space="0" w:color="000000"/>
              <w:bottom w:val="single" w:sz="4" w:space="0" w:color="000000"/>
              <w:right w:val="single" w:sz="4" w:space="0" w:color="000000"/>
            </w:tcBorders>
          </w:tcPr>
          <w:p>
            <w:pPr/>
          </w:p>
        </w:tc>
        <w:tc>
          <w:tcPr>
            <w:tcW w:w="1522"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left="69" w:right="0"/>
              <w:jc w:val="center"/>
              <w:rPr>
                <w:rFonts w:ascii="Times New Roman" w:hAnsi="Times New Roman" w:cs="Times New Roman" w:eastAsia="Times New Roman" w:hint="default"/>
                <w:sz w:val="20"/>
                <w:szCs w:val="20"/>
              </w:rPr>
            </w:pPr>
            <w:r>
              <w:rPr>
                <w:rFonts w:ascii="Times New Roman"/>
                <w:sz w:val="20"/>
              </w:rPr>
              <w:t>193,671,128.85</w:t>
            </w:r>
          </w:p>
        </w:tc>
      </w:tr>
      <w:tr>
        <w:trPr>
          <w:trHeight w:val="464" w:hRule="exact"/>
        </w:trPr>
        <w:tc>
          <w:tcPr>
            <w:tcW w:w="35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北京中农信达信息技术有限公司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646,012,991.72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69" w:right="0"/>
              <w:jc w:val="center"/>
              <w:rPr>
                <w:rFonts w:ascii="Times New Roman" w:hAnsi="Times New Roman" w:cs="Times New Roman" w:eastAsia="Times New Roman" w:hint="default"/>
                <w:sz w:val="20"/>
                <w:szCs w:val="20"/>
              </w:rPr>
            </w:pPr>
            <w:r>
              <w:rPr>
                <w:rFonts w:ascii="Times New Roman"/>
                <w:sz w:val="20"/>
              </w:rPr>
              <w:t>646,012,991.72</w:t>
            </w:r>
          </w:p>
        </w:tc>
      </w:tr>
      <w:tr>
        <w:trPr>
          <w:trHeight w:val="475" w:hRule="exact"/>
        </w:trPr>
        <w:tc>
          <w:tcPr>
            <w:tcW w:w="354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839,684,120.57</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15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left="69" w:right="0"/>
              <w:jc w:val="center"/>
              <w:rPr>
                <w:rFonts w:ascii="Times New Roman" w:hAnsi="Times New Roman" w:cs="Times New Roman" w:eastAsia="Times New Roman" w:hint="default"/>
                <w:sz w:val="20"/>
                <w:szCs w:val="20"/>
              </w:rPr>
            </w:pPr>
            <w:r>
              <w:rPr>
                <w:rFonts w:ascii="Times New Roman"/>
                <w:sz w:val="20"/>
              </w:rPr>
              <w:t>839,684,120.57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16、长期待摊费用" w:id="246"/>
      <w:bookmarkEnd w:id="246"/>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03"/>
        <w:gridCol w:w="1380"/>
        <w:gridCol w:w="1595"/>
        <w:gridCol w:w="1594"/>
        <w:gridCol w:w="1594"/>
        <w:gridCol w:w="1594"/>
      </w:tblGrid>
      <w:tr>
        <w:trPr>
          <w:trHeight w:val="439" w:hRule="exact"/>
        </w:trPr>
        <w:tc>
          <w:tcPr>
            <w:tcW w:w="17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38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84"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9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91" w:right="0"/>
              <w:jc w:val="left"/>
              <w:rPr>
                <w:rFonts w:ascii="宋体" w:hAnsi="宋体" w:cs="宋体" w:eastAsia="宋体" w:hint="default"/>
                <w:sz w:val="20"/>
                <w:szCs w:val="20"/>
              </w:rPr>
            </w:pPr>
            <w:r>
              <w:rPr>
                <w:rFonts w:ascii="宋体" w:hAnsi="宋体" w:cs="宋体" w:eastAsia="宋体" w:hint="default"/>
                <w:sz w:val="20"/>
                <w:szCs w:val="20"/>
              </w:rPr>
              <w:t>本期增加金额</w:t>
            </w:r>
          </w:p>
        </w:tc>
        <w:tc>
          <w:tcPr>
            <w:tcW w:w="15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91" w:right="0"/>
              <w:jc w:val="left"/>
              <w:rPr>
                <w:rFonts w:ascii="宋体" w:hAnsi="宋体" w:cs="宋体" w:eastAsia="宋体" w:hint="default"/>
                <w:sz w:val="20"/>
                <w:szCs w:val="20"/>
              </w:rPr>
            </w:pPr>
            <w:r>
              <w:rPr>
                <w:rFonts w:ascii="宋体" w:hAnsi="宋体" w:cs="宋体" w:eastAsia="宋体" w:hint="default"/>
                <w:sz w:val="20"/>
                <w:szCs w:val="20"/>
              </w:rPr>
              <w:t>本期摊销金额</w:t>
            </w:r>
          </w:p>
        </w:tc>
        <w:tc>
          <w:tcPr>
            <w:tcW w:w="15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91" w:right="0"/>
              <w:jc w:val="left"/>
              <w:rPr>
                <w:rFonts w:ascii="宋体" w:hAnsi="宋体" w:cs="宋体" w:eastAsia="宋体" w:hint="default"/>
                <w:sz w:val="20"/>
                <w:szCs w:val="20"/>
              </w:rPr>
            </w:pPr>
            <w:r>
              <w:rPr>
                <w:rFonts w:ascii="宋体" w:hAnsi="宋体" w:cs="宋体" w:eastAsia="宋体" w:hint="default"/>
                <w:sz w:val="20"/>
                <w:szCs w:val="20"/>
              </w:rPr>
              <w:t>其他减少金额</w:t>
            </w:r>
          </w:p>
        </w:tc>
        <w:tc>
          <w:tcPr>
            <w:tcW w:w="1594"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391"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99"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02"/>
              <w:ind w:left="93"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380"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3"/>
              <w:ind w:left="217" w:right="0"/>
              <w:jc w:val="left"/>
              <w:rPr>
                <w:rFonts w:ascii="Times New Roman" w:hAnsi="Times New Roman" w:cs="Times New Roman" w:eastAsia="Times New Roman" w:hint="default"/>
                <w:sz w:val="20"/>
                <w:szCs w:val="20"/>
              </w:rPr>
            </w:pPr>
            <w:r>
              <w:rPr>
                <w:rFonts w:ascii="Times New Roman"/>
                <w:sz w:val="20"/>
              </w:rPr>
              <w:t>3,285,075.62</w:t>
            </w:r>
          </w:p>
        </w:tc>
        <w:tc>
          <w:tcPr>
            <w:tcW w:w="1595"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20"/>
                <w:szCs w:val="20"/>
              </w:rPr>
            </w:pPr>
            <w:r>
              <w:rPr>
                <w:rFonts w:ascii="Times New Roman"/>
                <w:spacing w:val="-1"/>
                <w:sz w:val="20"/>
              </w:rPr>
              <w:t>714,658.46</w:t>
            </w:r>
          </w:p>
        </w:tc>
        <w:tc>
          <w:tcPr>
            <w:tcW w:w="159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3"/>
              <w:ind w:left="430" w:right="0"/>
              <w:jc w:val="left"/>
              <w:rPr>
                <w:rFonts w:ascii="Times New Roman" w:hAnsi="Times New Roman" w:cs="Times New Roman" w:eastAsia="Times New Roman" w:hint="default"/>
                <w:sz w:val="20"/>
                <w:szCs w:val="20"/>
              </w:rPr>
            </w:pPr>
            <w:r>
              <w:rPr>
                <w:rFonts w:ascii="Times New Roman"/>
                <w:sz w:val="20"/>
              </w:rPr>
              <w:t>1,955,605.09</w:t>
            </w:r>
          </w:p>
        </w:tc>
        <w:tc>
          <w:tcPr>
            <w:tcW w:w="159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20"/>
                <w:szCs w:val="20"/>
              </w:rPr>
            </w:pPr>
            <w:r>
              <w:rPr>
                <w:rFonts w:ascii="Times New Roman"/>
                <w:spacing w:val="-1"/>
                <w:sz w:val="20"/>
              </w:rPr>
              <w:t>226,888.88</w:t>
            </w:r>
          </w:p>
        </w:tc>
        <w:tc>
          <w:tcPr>
            <w:tcW w:w="1594"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33"/>
              <w:ind w:right="90"/>
              <w:jc w:val="right"/>
              <w:rPr>
                <w:rFonts w:ascii="Times New Roman" w:hAnsi="Times New Roman" w:cs="Times New Roman" w:eastAsia="Times New Roman" w:hint="default"/>
                <w:sz w:val="20"/>
                <w:szCs w:val="20"/>
              </w:rPr>
            </w:pPr>
            <w:r>
              <w:rPr>
                <w:rFonts w:ascii="Times New Roman"/>
                <w:spacing w:val="-1"/>
                <w:sz w:val="20"/>
              </w:rPr>
              <w:t>1,817,240.11</w:t>
            </w:r>
          </w:p>
        </w:tc>
      </w:tr>
      <w:tr>
        <w:trPr>
          <w:trHeight w:val="464" w:hRule="exact"/>
        </w:trPr>
        <w:tc>
          <w:tcPr>
            <w:tcW w:w="17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86"/>
              <w:jc w:val="right"/>
              <w:rPr>
                <w:rFonts w:ascii="宋体" w:hAnsi="宋体" w:cs="宋体" w:eastAsia="宋体" w:hint="default"/>
                <w:sz w:val="20"/>
                <w:szCs w:val="20"/>
              </w:rPr>
            </w:pPr>
            <w:r>
              <w:rPr>
                <w:rFonts w:ascii="宋体" w:hAnsi="宋体" w:cs="宋体" w:eastAsia="宋体" w:hint="default"/>
                <w:spacing w:val="-1"/>
                <w:sz w:val="20"/>
                <w:szCs w:val="20"/>
              </w:rPr>
              <w:t>办公家具及装配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7" w:right="0"/>
              <w:jc w:val="left"/>
              <w:rPr>
                <w:rFonts w:ascii="Times New Roman" w:hAnsi="Times New Roman" w:cs="Times New Roman" w:eastAsia="Times New Roman" w:hint="default"/>
                <w:sz w:val="20"/>
                <w:szCs w:val="20"/>
              </w:rPr>
            </w:pPr>
            <w:r>
              <w:rPr>
                <w:rFonts w:ascii="Times New Roman"/>
                <w:sz w:val="20"/>
              </w:rPr>
              <w:t>136,309.69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756,780.55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132,757.48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760,332.76</w:t>
            </w:r>
          </w:p>
        </w:tc>
      </w:tr>
      <w:tr>
        <w:trPr>
          <w:trHeight w:val="463" w:hRule="exact"/>
        </w:trPr>
        <w:tc>
          <w:tcPr>
            <w:tcW w:w="1703" w:type="dxa"/>
            <w:tcBorders>
              <w:top w:val="single" w:sz="4" w:space="0" w:color="000000"/>
              <w:left w:val="single" w:sz="12" w:space="0" w:color="000000"/>
              <w:bottom w:val="single" w:sz="17" w:space="0" w:color="D2D2D2"/>
              <w:right w:val="single" w:sz="4" w:space="0" w:color="000000"/>
            </w:tcBorders>
            <w:shd w:val="clear" w:color="auto" w:fill="D9D9D9"/>
          </w:tcPr>
          <w:p>
            <w:pPr>
              <w:pStyle w:val="TableParagraph"/>
              <w:spacing w:line="240" w:lineRule="auto" w:before="66"/>
              <w:ind w:right="186"/>
              <w:jc w:val="right"/>
              <w:rPr>
                <w:rFonts w:ascii="宋体" w:hAnsi="宋体" w:cs="宋体" w:eastAsia="宋体" w:hint="default"/>
                <w:sz w:val="20"/>
                <w:szCs w:val="20"/>
              </w:rPr>
            </w:pPr>
            <w:r>
              <w:rPr>
                <w:rFonts w:ascii="宋体" w:hAnsi="宋体" w:cs="宋体" w:eastAsia="宋体" w:hint="default"/>
                <w:spacing w:val="-1"/>
                <w:sz w:val="20"/>
                <w:szCs w:val="20"/>
              </w:rPr>
              <w:t>实验室合作支出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7" w:right="0"/>
              <w:jc w:val="left"/>
              <w:rPr>
                <w:rFonts w:ascii="Times New Roman" w:hAnsi="Times New Roman" w:cs="Times New Roman" w:eastAsia="Times New Roman" w:hint="default"/>
                <w:sz w:val="20"/>
                <w:szCs w:val="20"/>
              </w:rPr>
            </w:pPr>
            <w:r>
              <w:rPr>
                <w:rFonts w:ascii="Times New Roman"/>
                <w:sz w:val="20"/>
              </w:rPr>
              <w:t>1,066,666.67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666,666.67</w:t>
            </w:r>
          </w:p>
        </w:tc>
      </w:tr>
      <w:tr>
        <w:trPr>
          <w:trHeight w:val="475" w:hRule="exact"/>
        </w:trPr>
        <w:tc>
          <w:tcPr>
            <w:tcW w:w="17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297" w:right="0"/>
              <w:jc w:val="left"/>
              <w:rPr>
                <w:rFonts w:ascii="Times New Roman" w:hAnsi="Times New Roman" w:cs="Times New Roman" w:eastAsia="Times New Roman" w:hint="default"/>
                <w:sz w:val="20"/>
                <w:szCs w:val="20"/>
              </w:rPr>
            </w:pPr>
            <w:r>
              <w:rPr>
                <w:rFonts w:ascii="Times New Roman"/>
                <w:sz w:val="20"/>
              </w:rPr>
              <w:t>4,488,051.98</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1,471,439.01</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2,488,362.57</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226,888.88</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3,244,239.54</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17、递延所得税资产/递延所得税负债" w:id="247"/>
      <w:bookmarkEnd w:id="247"/>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未经抵销的递延所得税资产" w:id="248"/>
      <w:bookmarkEnd w:id="24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129"/>
        <w:gridCol w:w="1833"/>
        <w:gridCol w:w="1834"/>
        <w:gridCol w:w="1835"/>
        <w:gridCol w:w="1833"/>
      </w:tblGrid>
      <w:tr>
        <w:trPr>
          <w:trHeight w:val="458" w:hRule="exact"/>
        </w:trPr>
        <w:tc>
          <w:tcPr>
            <w:tcW w:w="212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666"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668"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0"/>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4" w:hRule="exact"/>
        </w:trPr>
        <w:tc>
          <w:tcPr>
            <w:tcW w:w="2129" w:type="dxa"/>
            <w:vMerge/>
            <w:tcBorders>
              <w:left w:val="single" w:sz="12" w:space="0" w:color="000000"/>
              <w:bottom w:val="single" w:sz="4" w:space="0" w:color="000000"/>
              <w:right w:val="single" w:sz="4" w:space="0" w:color="000000"/>
            </w:tcBorders>
            <w:shd w:val="clear" w:color="auto" w:fill="D9D9D9"/>
          </w:tcPr>
          <w:p>
            <w:pPr/>
          </w:p>
        </w:tc>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10"/>
              <w:jc w:val="right"/>
              <w:rPr>
                <w:rFonts w:ascii="宋体" w:hAnsi="宋体" w:cs="宋体" w:eastAsia="宋体" w:hint="default"/>
                <w:sz w:val="20"/>
                <w:szCs w:val="20"/>
              </w:rPr>
            </w:pPr>
            <w:r>
              <w:rPr>
                <w:rFonts w:ascii="宋体" w:hAnsi="宋体" w:cs="宋体" w:eastAsia="宋体" w:hint="default"/>
                <w:spacing w:val="-1"/>
                <w:sz w:val="20"/>
                <w:szCs w:val="20"/>
              </w:rPr>
              <w:t>可抵扣暂时性差异</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1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11"/>
              <w:jc w:val="right"/>
              <w:rPr>
                <w:rFonts w:ascii="宋体" w:hAnsi="宋体" w:cs="宋体" w:eastAsia="宋体" w:hint="default"/>
                <w:sz w:val="20"/>
                <w:szCs w:val="20"/>
              </w:rPr>
            </w:pPr>
            <w:r>
              <w:rPr>
                <w:rFonts w:ascii="宋体" w:hAnsi="宋体" w:cs="宋体" w:eastAsia="宋体" w:hint="default"/>
                <w:spacing w:val="-1"/>
                <w:sz w:val="20"/>
                <w:szCs w:val="20"/>
              </w:rPr>
              <w:t>可抵扣暂时性差异</w:t>
            </w:r>
          </w:p>
        </w:tc>
        <w:tc>
          <w:tcPr>
            <w:tcW w:w="183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21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r>
      <w:tr>
        <w:trPr>
          <w:trHeight w:val="463" w:hRule="exact"/>
        </w:trPr>
        <w:tc>
          <w:tcPr>
            <w:tcW w:w="21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833"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240,029,318.87</w:t>
            </w:r>
          </w:p>
        </w:tc>
        <w:tc>
          <w:tcPr>
            <w:tcW w:w="183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36,442,100.79</w:t>
            </w:r>
          </w:p>
        </w:tc>
        <w:tc>
          <w:tcPr>
            <w:tcW w:w="1835"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0"/>
                <w:szCs w:val="20"/>
              </w:rPr>
            </w:pPr>
            <w:r>
              <w:rPr>
                <w:rFonts w:ascii="Times New Roman"/>
                <w:spacing w:val="-1"/>
                <w:sz w:val="20"/>
              </w:rPr>
              <w:t>266,348,049.97</w:t>
            </w:r>
          </w:p>
        </w:tc>
        <w:tc>
          <w:tcPr>
            <w:tcW w:w="1833"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20"/>
                <w:szCs w:val="20"/>
              </w:rPr>
            </w:pPr>
            <w:r>
              <w:rPr>
                <w:rFonts w:ascii="Times New Roman"/>
                <w:spacing w:val="-1"/>
                <w:sz w:val="20"/>
              </w:rPr>
              <w:t>52,730,234.47</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内部交易未实现利润</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1,219,143.46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194,672.55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326,143.82</w:t>
            </w:r>
          </w:p>
        </w:tc>
        <w:tc>
          <w:tcPr>
            <w:tcW w:w="18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54,810.30</w:t>
            </w:r>
          </w:p>
        </w:tc>
      </w:tr>
      <w:tr>
        <w:trPr>
          <w:trHeight w:val="464" w:hRule="exact"/>
        </w:trPr>
        <w:tc>
          <w:tcPr>
            <w:tcW w:w="21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长期资产折旧或摊销</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1,200,282.35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180,042.35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100,023.53</w:t>
            </w:r>
          </w:p>
        </w:tc>
        <w:tc>
          <w:tcPr>
            <w:tcW w:w="18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15,003.53</w:t>
            </w:r>
          </w:p>
        </w:tc>
      </w:tr>
      <w:tr>
        <w:trPr>
          <w:trHeight w:val="473" w:hRule="exact"/>
        </w:trPr>
        <w:tc>
          <w:tcPr>
            <w:tcW w:w="212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242,448,744.68</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36,816,815.69</w:t>
            </w:r>
          </w:p>
        </w:tc>
        <w:tc>
          <w:tcPr>
            <w:tcW w:w="1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266,774,217.32</w:t>
            </w:r>
          </w:p>
        </w:tc>
        <w:tc>
          <w:tcPr>
            <w:tcW w:w="18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52,800,048.30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未经抵销的递延所得税负债" w:id="249"/>
      <w:bookmarkEnd w:id="24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after="0" w:line="240" w:lineRule="auto"/>
        <w:jc w:val="left"/>
        <w:sectPr>
          <w:pgSz w:w="11910" w:h="16840"/>
          <w:pgMar w:header="0"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906"/>
        <w:gridCol w:w="1888"/>
        <w:gridCol w:w="1884"/>
        <w:gridCol w:w="1893"/>
        <w:gridCol w:w="1887"/>
      </w:tblGrid>
      <w:tr>
        <w:trPr>
          <w:trHeight w:val="263" w:hRule="exact"/>
        </w:trPr>
        <w:tc>
          <w:tcPr>
            <w:tcW w:w="1906"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772"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780"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176" w:hRule="exact"/>
        </w:trPr>
        <w:tc>
          <w:tcPr>
            <w:tcW w:w="190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35"/>
              <w:ind w:right="12"/>
              <w:jc w:val="center"/>
              <w:rPr>
                <w:rFonts w:ascii="宋体" w:hAnsi="宋体" w:cs="宋体" w:eastAsia="宋体" w:hint="default"/>
                <w:sz w:val="20"/>
                <w:szCs w:val="20"/>
              </w:rPr>
            </w:pPr>
            <w:r>
              <w:rPr>
                <w:rFonts w:ascii="宋体" w:hAnsi="宋体" w:cs="宋体" w:eastAsia="宋体" w:hint="default"/>
                <w:sz w:val="20"/>
                <w:szCs w:val="20"/>
              </w:rPr>
              <w:t>项目</w:t>
            </w:r>
          </w:p>
        </w:tc>
        <w:tc>
          <w:tcPr>
            <w:tcW w:w="3772" w:type="dxa"/>
            <w:gridSpan w:val="2"/>
            <w:vMerge/>
            <w:tcBorders>
              <w:left w:val="single" w:sz="4" w:space="0" w:color="000000"/>
              <w:bottom w:val="single" w:sz="4" w:space="0" w:color="000000"/>
              <w:right w:val="single" w:sz="4" w:space="0" w:color="000000"/>
            </w:tcBorders>
            <w:shd w:val="clear" w:color="auto" w:fill="D2D2D2"/>
          </w:tcPr>
          <w:p>
            <w:pPr/>
          </w:p>
        </w:tc>
        <w:tc>
          <w:tcPr>
            <w:tcW w:w="3780" w:type="dxa"/>
            <w:gridSpan w:val="2"/>
            <w:vMerge/>
            <w:tcBorders>
              <w:left w:val="single" w:sz="4" w:space="0" w:color="000000"/>
              <w:bottom w:val="single" w:sz="4" w:space="0" w:color="000000"/>
              <w:right w:val="single" w:sz="12" w:space="0" w:color="000000"/>
            </w:tcBorders>
            <w:shd w:val="clear" w:color="auto" w:fill="D2D2D2"/>
          </w:tcPr>
          <w:p>
            <w:pPr/>
          </w:p>
        </w:tc>
      </w:tr>
      <w:tr>
        <w:trPr>
          <w:trHeight w:val="216" w:hRule="exact"/>
        </w:trPr>
        <w:tc>
          <w:tcPr>
            <w:tcW w:w="1906" w:type="dxa"/>
            <w:vMerge/>
            <w:tcBorders>
              <w:left w:val="single" w:sz="12" w:space="0" w:color="000000"/>
              <w:bottom w:val="nil" w:sz="6" w:space="0" w:color="auto"/>
              <w:right w:val="single" w:sz="4" w:space="0" w:color="000000"/>
            </w:tcBorders>
            <w:shd w:val="clear" w:color="auto" w:fill="D2D2D2"/>
          </w:tcPr>
          <w:p>
            <w:pPr/>
          </w:p>
        </w:tc>
        <w:tc>
          <w:tcPr>
            <w:tcW w:w="1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39" w:right="0"/>
              <w:jc w:val="left"/>
              <w:rPr>
                <w:rFonts w:ascii="宋体" w:hAnsi="宋体" w:cs="宋体" w:eastAsia="宋体" w:hint="default"/>
                <w:sz w:val="20"/>
                <w:szCs w:val="20"/>
              </w:rPr>
            </w:pPr>
            <w:r>
              <w:rPr>
                <w:rFonts w:ascii="宋体" w:hAnsi="宋体" w:cs="宋体" w:eastAsia="宋体" w:hint="default"/>
                <w:sz w:val="20"/>
                <w:szCs w:val="20"/>
              </w:rPr>
              <w:t>应纳税暂时性差异</w:t>
            </w:r>
          </w:p>
        </w:tc>
        <w:tc>
          <w:tcPr>
            <w:tcW w:w="1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23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40" w:right="0"/>
              <w:jc w:val="left"/>
              <w:rPr>
                <w:rFonts w:ascii="宋体" w:hAnsi="宋体" w:cs="宋体" w:eastAsia="宋体" w:hint="default"/>
                <w:sz w:val="20"/>
                <w:szCs w:val="20"/>
              </w:rPr>
            </w:pPr>
            <w:r>
              <w:rPr>
                <w:rFonts w:ascii="宋体" w:hAnsi="宋体" w:cs="宋体" w:eastAsia="宋体" w:hint="default"/>
                <w:sz w:val="20"/>
                <w:szCs w:val="20"/>
              </w:rPr>
              <w:t>应纳税暂时性差异</w:t>
            </w:r>
          </w:p>
        </w:tc>
        <w:tc>
          <w:tcPr>
            <w:tcW w:w="1887"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87"/>
              <w:ind w:left="23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r>
      <w:tr>
        <w:trPr>
          <w:trHeight w:val="253" w:hRule="exact"/>
        </w:trPr>
        <w:tc>
          <w:tcPr>
            <w:tcW w:w="1906" w:type="dxa"/>
            <w:tcBorders>
              <w:top w:val="nil" w:sz="6" w:space="0" w:color="auto"/>
              <w:left w:val="single" w:sz="12" w:space="0" w:color="000000"/>
              <w:bottom w:val="single" w:sz="4" w:space="0" w:color="000000"/>
              <w:right w:val="single" w:sz="4" w:space="0" w:color="000000"/>
            </w:tcBorders>
            <w:shd w:val="clear" w:color="auto" w:fill="D2D2D2"/>
          </w:tcPr>
          <w:p>
            <w:pPr/>
          </w:p>
        </w:tc>
        <w:tc>
          <w:tcPr>
            <w:tcW w:w="1888" w:type="dxa"/>
            <w:vMerge/>
            <w:tcBorders>
              <w:left w:val="single" w:sz="4" w:space="0" w:color="000000"/>
              <w:bottom w:val="single" w:sz="4" w:space="0" w:color="000000"/>
              <w:right w:val="single" w:sz="4" w:space="0" w:color="000000"/>
            </w:tcBorders>
            <w:shd w:val="clear" w:color="auto" w:fill="D2D2D2"/>
          </w:tcPr>
          <w:p>
            <w:pPr/>
          </w:p>
        </w:tc>
        <w:tc>
          <w:tcPr>
            <w:tcW w:w="1884" w:type="dxa"/>
            <w:vMerge/>
            <w:tcBorders>
              <w:left w:val="single" w:sz="4" w:space="0" w:color="000000"/>
              <w:bottom w:val="single" w:sz="4" w:space="0" w:color="000000"/>
              <w:right w:val="single" w:sz="4" w:space="0" w:color="000000"/>
            </w:tcBorders>
            <w:shd w:val="clear" w:color="auto" w:fill="D2D2D2"/>
          </w:tcPr>
          <w:p>
            <w:pPr/>
          </w:p>
        </w:tc>
        <w:tc>
          <w:tcPr>
            <w:tcW w:w="1893" w:type="dxa"/>
            <w:vMerge/>
            <w:tcBorders>
              <w:left w:val="single" w:sz="4" w:space="0" w:color="000000"/>
              <w:bottom w:val="single" w:sz="4" w:space="0" w:color="000000"/>
              <w:right w:val="single" w:sz="4" w:space="0" w:color="000000"/>
            </w:tcBorders>
            <w:shd w:val="clear" w:color="auto" w:fill="D2D2D2"/>
          </w:tcPr>
          <w:p>
            <w:pPr/>
          </w:p>
        </w:tc>
        <w:tc>
          <w:tcPr>
            <w:tcW w:w="1887" w:type="dxa"/>
            <w:vMerge/>
            <w:tcBorders>
              <w:left w:val="single" w:sz="4" w:space="0" w:color="000000"/>
              <w:bottom w:val="single" w:sz="4" w:space="0" w:color="000000"/>
              <w:right w:val="single" w:sz="12" w:space="0" w:color="000000"/>
            </w:tcBorders>
            <w:shd w:val="clear" w:color="auto" w:fill="D2D2D2"/>
          </w:tcPr>
          <w:p>
            <w:pPr/>
          </w:p>
        </w:tc>
      </w:tr>
      <w:tr>
        <w:trPr>
          <w:trHeight w:val="728" w:hRule="exact"/>
        </w:trPr>
        <w:tc>
          <w:tcPr>
            <w:tcW w:w="19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85" w:lineRule="auto" w:before="51"/>
              <w:ind w:left="6" w:right="22"/>
              <w:jc w:val="left"/>
              <w:rPr>
                <w:rFonts w:ascii="宋体" w:hAnsi="宋体" w:cs="宋体" w:eastAsia="宋体" w:hint="default"/>
                <w:sz w:val="20"/>
                <w:szCs w:val="20"/>
              </w:rPr>
            </w:pPr>
            <w:r>
              <w:rPr>
                <w:rFonts w:ascii="宋体" w:hAnsi="宋体" w:cs="宋体" w:eastAsia="宋体" w:hint="default"/>
                <w:spacing w:val="4"/>
                <w:sz w:val="20"/>
                <w:szCs w:val="20"/>
              </w:rPr>
              <w:t>非同一控制企业合并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资产评估增值</w:t>
            </w:r>
          </w:p>
        </w:tc>
        <w:tc>
          <w:tcPr>
            <w:tcW w:w="1888"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12,141,666.67</w:t>
            </w:r>
          </w:p>
        </w:tc>
        <w:tc>
          <w:tcPr>
            <w:tcW w:w="18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1,821,250.00</w:t>
            </w:r>
          </w:p>
        </w:tc>
        <w:tc>
          <w:tcPr>
            <w:tcW w:w="189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15,241,666.67</w:t>
            </w:r>
          </w:p>
        </w:tc>
        <w:tc>
          <w:tcPr>
            <w:tcW w:w="1887"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20"/>
                <w:szCs w:val="20"/>
              </w:rPr>
            </w:pPr>
            <w:r>
              <w:rPr>
                <w:rFonts w:ascii="Times New Roman"/>
                <w:spacing w:val="-1"/>
                <w:sz w:val="20"/>
              </w:rPr>
              <w:t>2,286,250.00</w:t>
            </w:r>
          </w:p>
        </w:tc>
      </w:tr>
      <w:tr>
        <w:trPr>
          <w:trHeight w:val="475" w:hRule="exact"/>
        </w:trPr>
        <w:tc>
          <w:tcPr>
            <w:tcW w:w="19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12,141,666.67</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1,821,250.00</w:t>
            </w:r>
          </w:p>
        </w:tc>
        <w:tc>
          <w:tcPr>
            <w:tcW w:w="18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15,241,666.67</w:t>
            </w:r>
          </w:p>
        </w:tc>
        <w:tc>
          <w:tcPr>
            <w:tcW w:w="18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2,286,250.00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18、短期借款" w:id="250"/>
      <w:bookmarkEnd w:id="25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短期借款分类" w:id="251"/>
      <w:bookmarkEnd w:id="25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489,446,605.78</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514,521,996.99</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517,027,738.96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248,170,508.12</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1,006,474,344.74</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762,692,505.11</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19、应付票据" w:id="252"/>
      <w:bookmarkEnd w:id="252"/>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9"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种类</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319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202,942,798.63</w:t>
            </w:r>
          </w:p>
        </w:tc>
        <w:tc>
          <w:tcPr>
            <w:tcW w:w="318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8"/>
              <w:jc w:val="right"/>
              <w:rPr>
                <w:rFonts w:ascii="Times New Roman" w:hAnsi="Times New Roman" w:cs="Times New Roman" w:eastAsia="Times New Roman" w:hint="default"/>
                <w:sz w:val="20"/>
                <w:szCs w:val="20"/>
              </w:rPr>
            </w:pPr>
            <w:r>
              <w:rPr>
                <w:rFonts w:ascii="Times New Roman"/>
                <w:spacing w:val="-1"/>
                <w:sz w:val="20"/>
              </w:rPr>
              <w:t>62,969,116.08</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129,000,083.00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146,734,872.85</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331,942,881.63</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209,703,988.93</w:t>
            </w:r>
          </w:p>
        </w:tc>
      </w:tr>
    </w:tbl>
    <w:p>
      <w:pPr>
        <w:spacing w:line="240" w:lineRule="auto" w:before="12"/>
        <w:rPr>
          <w:rFonts w:ascii="宋体" w:hAnsi="宋体" w:cs="宋体" w:eastAsia="宋体" w:hint="default"/>
          <w:sz w:val="4"/>
          <w:szCs w:val="4"/>
        </w:rPr>
      </w:pPr>
    </w:p>
    <w:p>
      <w:pPr>
        <w:spacing w:before="31"/>
        <w:ind w:left="574" w:right="0" w:firstLine="0"/>
        <w:jc w:val="left"/>
        <w:rPr>
          <w:rFonts w:ascii="宋体" w:hAnsi="宋体" w:cs="宋体" w:eastAsia="宋体" w:hint="default"/>
          <w:sz w:val="22"/>
          <w:szCs w:val="22"/>
        </w:rPr>
      </w:pPr>
      <w:r>
        <w:rPr>
          <w:rFonts w:ascii="宋体" w:hAnsi="宋体" w:cs="宋体" w:eastAsia="宋体" w:hint="default"/>
          <w:sz w:val="21"/>
          <w:szCs w:val="21"/>
        </w:rPr>
        <w:t>本期末已到期未支付的应付票据总额为 </w:t>
      </w:r>
      <w:r>
        <w:rPr>
          <w:rFonts w:ascii="宋体" w:hAnsi="宋体" w:cs="宋体" w:eastAsia="宋体" w:hint="default"/>
          <w:sz w:val="21"/>
          <w:szCs w:val="21"/>
        </w:rPr>
        <w:t>421,633.20</w:t>
      </w:r>
      <w:r>
        <w:rPr>
          <w:rFonts w:ascii="宋体" w:hAnsi="宋体" w:cs="宋体" w:eastAsia="宋体" w:hint="default"/>
          <w:spacing w:val="-10"/>
          <w:sz w:val="21"/>
          <w:szCs w:val="21"/>
        </w:rPr>
        <w:t> </w:t>
      </w:r>
      <w:r>
        <w:rPr>
          <w:rFonts w:ascii="宋体" w:hAnsi="宋体" w:cs="宋体" w:eastAsia="宋体" w:hint="default"/>
          <w:sz w:val="21"/>
          <w:szCs w:val="21"/>
        </w:rPr>
        <w:t>元</w:t>
      </w:r>
      <w:r>
        <w:rPr>
          <w:rFonts w:ascii="宋体" w:hAnsi="宋体" w:cs="宋体" w:eastAsia="宋体" w:hint="default"/>
          <w:sz w:val="22"/>
          <w:szCs w:val="22"/>
        </w:rPr>
        <w:t>，系由于供应商到期未承兑所致，该笔款项</w:t>
      </w:r>
    </w:p>
    <w:p>
      <w:pPr>
        <w:pStyle w:val="Heading5"/>
        <w:spacing w:line="240" w:lineRule="auto" w:before="180"/>
        <w:ind w:right="1135"/>
        <w:jc w:val="left"/>
      </w:pPr>
      <w:r>
        <w:rPr/>
        <w:t>已于</w:t>
      </w:r>
      <w:r>
        <w:rPr>
          <w:spacing w:val="-56"/>
        </w:rPr>
        <w:t> </w:t>
      </w:r>
      <w:r>
        <w:rPr>
          <w:rFonts w:ascii="宋体" w:hAnsi="宋体" w:cs="宋体" w:eastAsia="宋体" w:hint="default"/>
        </w:rPr>
        <w:t>2016</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月支付。</w:t>
      </w:r>
    </w:p>
    <w:p>
      <w:pPr>
        <w:spacing w:line="240" w:lineRule="auto" w:before="3"/>
        <w:rPr>
          <w:rFonts w:ascii="宋体" w:hAnsi="宋体" w:cs="宋体" w:eastAsia="宋体" w:hint="default"/>
          <w:sz w:val="31"/>
          <w:szCs w:val="31"/>
        </w:rPr>
      </w:pPr>
    </w:p>
    <w:p>
      <w:pPr>
        <w:pStyle w:val="Heading6"/>
        <w:spacing w:line="240" w:lineRule="auto"/>
        <w:ind w:right="1135"/>
        <w:jc w:val="left"/>
        <w:rPr>
          <w:b w:val="0"/>
          <w:bCs w:val="0"/>
        </w:rPr>
      </w:pPr>
      <w:bookmarkStart w:name="20、应付账款" w:id="253"/>
      <w:bookmarkEnd w:id="253"/>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应付账款列示" w:id="254"/>
      <w:bookmarkEnd w:id="254"/>
      <w:r>
        <w:rPr>
          <w:b w:val="0"/>
          <w:bCs w:val="0"/>
        </w:rPr>
      </w:r>
      <w:r>
        <w:rPr/>
        <w:t>（</w:t>
      </w:r>
      <w:r>
        <w:rPr>
          <w:rFonts w:ascii="Times New Roman" w:hAnsi="Times New Roman" w:cs="Times New Roman" w:eastAsia="Times New Roman" w:hint="default"/>
        </w:rPr>
        <w:t>1</w:t>
      </w:r>
      <w:r>
        <w:rPr/>
        <w:t>）应付账款列示</w:t>
      </w:r>
      <w:r>
        <w:rPr>
          <w:b w:val="0"/>
          <w:bCs w:val="0"/>
        </w:rPr>
      </w:r>
    </w:p>
    <w:p>
      <w:pPr>
        <w:spacing w:after="0" w:line="240" w:lineRule="auto"/>
        <w:jc w:val="left"/>
        <w:sectPr>
          <w:pgSz w:w="11910" w:h="16840"/>
          <w:pgMar w:header="0"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0"/>
        <w:gridCol w:w="3255"/>
        <w:gridCol w:w="3255"/>
      </w:tblGrid>
      <w:tr>
        <w:trPr>
          <w:trHeight w:val="444" w:hRule="exact"/>
        </w:trPr>
        <w:tc>
          <w:tcPr>
            <w:tcW w:w="308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5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55"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0"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货款及服务款等</w:t>
            </w:r>
          </w:p>
        </w:tc>
        <w:tc>
          <w:tcPr>
            <w:tcW w:w="325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0"/>
                <w:szCs w:val="20"/>
              </w:rPr>
            </w:pPr>
            <w:r>
              <w:rPr>
                <w:rFonts w:ascii="Times New Roman"/>
                <w:spacing w:val="-1"/>
                <w:sz w:val="20"/>
              </w:rPr>
              <w:t>1,401,889,357.80</w:t>
            </w:r>
          </w:p>
        </w:tc>
        <w:tc>
          <w:tcPr>
            <w:tcW w:w="3255"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right="91"/>
              <w:jc w:val="right"/>
              <w:rPr>
                <w:rFonts w:ascii="Times New Roman" w:hAnsi="Times New Roman" w:cs="Times New Roman" w:eastAsia="Times New Roman" w:hint="default"/>
                <w:sz w:val="20"/>
                <w:szCs w:val="20"/>
              </w:rPr>
            </w:pPr>
            <w:r>
              <w:rPr>
                <w:rFonts w:ascii="Times New Roman"/>
                <w:spacing w:val="-1"/>
                <w:sz w:val="20"/>
              </w:rPr>
              <w:t>1,158,422,995.29</w:t>
            </w:r>
          </w:p>
        </w:tc>
      </w:tr>
      <w:tr>
        <w:trPr>
          <w:trHeight w:val="475" w:hRule="exact"/>
        </w:trPr>
        <w:tc>
          <w:tcPr>
            <w:tcW w:w="30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1,401,889,357.80</w:t>
            </w:r>
          </w:p>
        </w:tc>
        <w:tc>
          <w:tcPr>
            <w:tcW w:w="32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1,158,422,995.29</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账龄超过1年的重要应付账款" w:id="255"/>
      <w:bookmarkEnd w:id="25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080"/>
        <w:gridCol w:w="3228"/>
        <w:gridCol w:w="3297"/>
      </w:tblGrid>
      <w:tr>
        <w:trPr>
          <w:trHeight w:val="459" w:hRule="exact"/>
        </w:trPr>
        <w:tc>
          <w:tcPr>
            <w:tcW w:w="308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2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4"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9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45" w:right="0"/>
              <w:jc w:val="center"/>
              <w:rPr>
                <w:rFonts w:ascii="宋体" w:hAnsi="宋体" w:cs="宋体" w:eastAsia="宋体" w:hint="default"/>
                <w:sz w:val="20"/>
                <w:szCs w:val="20"/>
              </w:rPr>
            </w:pPr>
            <w:r>
              <w:rPr>
                <w:rFonts w:ascii="宋体" w:hAnsi="宋体" w:cs="宋体" w:eastAsia="宋体" w:hint="default"/>
                <w:sz w:val="20"/>
                <w:szCs w:val="20"/>
              </w:rPr>
              <w:t>未偿还或结转的原因</w:t>
            </w:r>
          </w:p>
        </w:tc>
      </w:tr>
      <w:tr>
        <w:trPr>
          <w:trHeight w:val="479"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供应商</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3228"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66"/>
              <w:jc w:val="right"/>
              <w:rPr>
                <w:rFonts w:ascii="Times New Roman" w:hAnsi="Times New Roman" w:cs="Times New Roman" w:eastAsia="Times New Roman" w:hint="default"/>
                <w:sz w:val="20"/>
                <w:szCs w:val="20"/>
              </w:rPr>
            </w:pPr>
            <w:r>
              <w:rPr>
                <w:rFonts w:ascii="Times New Roman"/>
                <w:spacing w:val="-1"/>
                <w:sz w:val="20"/>
              </w:rPr>
              <w:t>14,105,469.87</w:t>
            </w:r>
          </w:p>
        </w:tc>
        <w:tc>
          <w:tcPr>
            <w:tcW w:w="3297"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71"/>
              <w:ind w:left="44" w:right="0"/>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64"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供应商</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66"/>
              <w:jc w:val="right"/>
              <w:rPr>
                <w:rFonts w:ascii="Times New Roman" w:hAnsi="Times New Roman" w:cs="Times New Roman" w:eastAsia="Times New Roman" w:hint="default"/>
                <w:sz w:val="20"/>
                <w:szCs w:val="20"/>
              </w:rPr>
            </w:pPr>
            <w:r>
              <w:rPr>
                <w:rFonts w:ascii="Times New Roman"/>
                <w:spacing w:val="-1"/>
                <w:sz w:val="20"/>
              </w:rPr>
              <w:t>11,154,813.00</w:t>
            </w:r>
          </w:p>
        </w:tc>
        <w:tc>
          <w:tcPr>
            <w:tcW w:w="3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44" w:right="0"/>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64"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供应商</w:t>
            </w:r>
            <w:r>
              <w:rPr>
                <w:rFonts w:ascii="宋体" w:hAnsi="宋体" w:cs="宋体" w:eastAsia="宋体" w:hint="default"/>
                <w:spacing w:val="-50"/>
                <w:sz w:val="20"/>
                <w:szCs w:val="20"/>
              </w:rPr>
              <w:t> </w:t>
            </w:r>
            <w:r>
              <w:rPr>
                <w:rFonts w:ascii="宋体" w:hAnsi="宋体" w:cs="宋体" w:eastAsia="宋体" w:hint="default"/>
                <w:sz w:val="20"/>
                <w:szCs w:val="20"/>
              </w:rPr>
              <w:t>3</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4"/>
              <w:jc w:val="right"/>
              <w:rPr>
                <w:rFonts w:ascii="Times New Roman" w:hAnsi="Times New Roman" w:cs="Times New Roman" w:eastAsia="Times New Roman" w:hint="default"/>
                <w:sz w:val="20"/>
                <w:szCs w:val="20"/>
              </w:rPr>
            </w:pPr>
            <w:r>
              <w:rPr>
                <w:rFonts w:ascii="Times New Roman"/>
                <w:spacing w:val="-1"/>
                <w:sz w:val="20"/>
              </w:rPr>
              <w:t>8,464,441.67</w:t>
            </w:r>
          </w:p>
        </w:tc>
        <w:tc>
          <w:tcPr>
            <w:tcW w:w="3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22"/>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63"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供应商</w:t>
            </w:r>
            <w:r>
              <w:rPr>
                <w:rFonts w:ascii="宋体" w:hAnsi="宋体" w:cs="宋体" w:eastAsia="宋体" w:hint="default"/>
                <w:spacing w:val="-50"/>
                <w:sz w:val="20"/>
                <w:szCs w:val="20"/>
              </w:rPr>
              <w:t> </w:t>
            </w:r>
            <w:r>
              <w:rPr>
                <w:rFonts w:ascii="宋体" w:hAnsi="宋体" w:cs="宋体" w:eastAsia="宋体" w:hint="default"/>
                <w:sz w:val="20"/>
                <w:szCs w:val="20"/>
              </w:rPr>
              <w:t>4</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4"/>
              <w:jc w:val="right"/>
              <w:rPr>
                <w:rFonts w:ascii="Times New Roman" w:hAnsi="Times New Roman" w:cs="Times New Roman" w:eastAsia="Times New Roman" w:hint="default"/>
                <w:sz w:val="20"/>
                <w:szCs w:val="20"/>
              </w:rPr>
            </w:pPr>
            <w:r>
              <w:rPr>
                <w:rFonts w:ascii="Times New Roman"/>
                <w:spacing w:val="-1"/>
                <w:sz w:val="20"/>
              </w:rPr>
              <w:t>7,677,813.26</w:t>
            </w:r>
          </w:p>
        </w:tc>
        <w:tc>
          <w:tcPr>
            <w:tcW w:w="3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22"/>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64"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供应商</w:t>
            </w:r>
            <w:r>
              <w:rPr>
                <w:rFonts w:ascii="宋体" w:hAnsi="宋体" w:cs="宋体" w:eastAsia="宋体" w:hint="default"/>
                <w:spacing w:val="-50"/>
                <w:sz w:val="20"/>
                <w:szCs w:val="20"/>
              </w:rPr>
              <w:t> </w:t>
            </w:r>
            <w:r>
              <w:rPr>
                <w:rFonts w:ascii="宋体" w:hAnsi="宋体" w:cs="宋体" w:eastAsia="宋体" w:hint="default"/>
                <w:sz w:val="20"/>
                <w:szCs w:val="20"/>
              </w:rPr>
              <w:t>5</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34"/>
              <w:jc w:val="right"/>
              <w:rPr>
                <w:rFonts w:ascii="Times New Roman" w:hAnsi="Times New Roman" w:cs="Times New Roman" w:eastAsia="Times New Roman" w:hint="default"/>
                <w:sz w:val="20"/>
                <w:szCs w:val="20"/>
              </w:rPr>
            </w:pPr>
            <w:r>
              <w:rPr>
                <w:rFonts w:ascii="Times New Roman"/>
                <w:spacing w:val="-1"/>
                <w:sz w:val="20"/>
              </w:rPr>
              <w:t>7,660,418.86</w:t>
            </w:r>
          </w:p>
        </w:tc>
        <w:tc>
          <w:tcPr>
            <w:tcW w:w="3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22"/>
              <w:jc w:val="center"/>
              <w:rPr>
                <w:rFonts w:ascii="宋体" w:hAnsi="宋体" w:cs="宋体" w:eastAsia="宋体" w:hint="default"/>
                <w:sz w:val="20"/>
                <w:szCs w:val="20"/>
              </w:rPr>
            </w:pPr>
            <w:r>
              <w:rPr>
                <w:rFonts w:ascii="宋体" w:hAnsi="宋体" w:cs="宋体" w:eastAsia="宋体" w:hint="default"/>
                <w:sz w:val="20"/>
                <w:szCs w:val="20"/>
              </w:rPr>
              <w:t>尚未结算</w:t>
            </w:r>
          </w:p>
        </w:tc>
      </w:tr>
      <w:tr>
        <w:trPr>
          <w:trHeight w:val="475" w:hRule="exact"/>
        </w:trPr>
        <w:tc>
          <w:tcPr>
            <w:tcW w:w="308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34"/>
              <w:jc w:val="right"/>
              <w:rPr>
                <w:rFonts w:ascii="Times New Roman" w:hAnsi="Times New Roman" w:cs="Times New Roman" w:eastAsia="Times New Roman" w:hint="default"/>
                <w:sz w:val="20"/>
                <w:szCs w:val="20"/>
              </w:rPr>
            </w:pPr>
            <w:r>
              <w:rPr>
                <w:rFonts w:ascii="Times New Roman"/>
                <w:spacing w:val="-1"/>
                <w:sz w:val="20"/>
              </w:rPr>
              <w:t>49,062,956.66</w:t>
            </w:r>
          </w:p>
        </w:tc>
        <w:tc>
          <w:tcPr>
            <w:tcW w:w="3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right="22"/>
              <w:jc w:val="center"/>
              <w:rPr>
                <w:rFonts w:ascii="宋体" w:hAnsi="宋体" w:cs="宋体" w:eastAsia="宋体" w:hint="default"/>
                <w:sz w:val="20"/>
                <w:szCs w:val="20"/>
              </w:rPr>
            </w:pPr>
            <w:r>
              <w:rPr>
                <w:rFonts w:ascii="宋体"/>
                <w:sz w:val="20"/>
              </w:rPr>
              <w:t>--</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21、预收款项" w:id="256"/>
      <w:bookmarkEnd w:id="25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预收款项列示" w:id="257"/>
      <w:bookmarkEnd w:id="25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080"/>
        <w:gridCol w:w="3269"/>
        <w:gridCol w:w="3269"/>
      </w:tblGrid>
      <w:tr>
        <w:trPr>
          <w:trHeight w:val="475" w:hRule="exact"/>
        </w:trPr>
        <w:tc>
          <w:tcPr>
            <w:tcW w:w="308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6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6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3"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货款及服务款</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661,637,769.34</w:t>
            </w:r>
          </w:p>
        </w:tc>
        <w:tc>
          <w:tcPr>
            <w:tcW w:w="32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570,297,210.22</w:t>
            </w:r>
          </w:p>
        </w:tc>
      </w:tr>
      <w:tr>
        <w:trPr>
          <w:trHeight w:val="475" w:hRule="exact"/>
        </w:trPr>
        <w:tc>
          <w:tcPr>
            <w:tcW w:w="30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661,637,769.34</w:t>
            </w:r>
          </w:p>
        </w:tc>
        <w:tc>
          <w:tcPr>
            <w:tcW w:w="32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570,297,210.22</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账龄超过1年的重要预收款项" w:id="258"/>
      <w:bookmarkEnd w:id="25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251"/>
      </w:tblGrid>
      <w:tr>
        <w:trPr>
          <w:trHeight w:val="475"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未偿还或结转的原因</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11,630,680.95</w:t>
            </w:r>
          </w:p>
        </w:tc>
        <w:tc>
          <w:tcPr>
            <w:tcW w:w="32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项目尚未结束</w:t>
            </w:r>
          </w:p>
        </w:tc>
      </w:tr>
      <w:tr>
        <w:trPr>
          <w:trHeight w:val="465"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8"/>
              <w:ind w:left="13"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8,874,407.00</w:t>
            </w:r>
          </w:p>
        </w:tc>
        <w:tc>
          <w:tcPr>
            <w:tcW w:w="32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left="11" w:right="0"/>
              <w:jc w:val="center"/>
              <w:rPr>
                <w:rFonts w:ascii="宋体" w:hAnsi="宋体" w:cs="宋体" w:eastAsia="宋体" w:hint="default"/>
                <w:sz w:val="20"/>
                <w:szCs w:val="20"/>
              </w:rPr>
            </w:pPr>
            <w:r>
              <w:rPr>
                <w:rFonts w:ascii="宋体" w:hAnsi="宋体" w:cs="宋体" w:eastAsia="宋体" w:hint="default"/>
                <w:sz w:val="20"/>
                <w:szCs w:val="20"/>
              </w:rPr>
              <w:t>项目尚未结束</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3</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6,232,713.91</w:t>
            </w:r>
          </w:p>
        </w:tc>
        <w:tc>
          <w:tcPr>
            <w:tcW w:w="32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项目尚未结束</w:t>
            </w:r>
          </w:p>
        </w:tc>
      </w:tr>
    </w:tbl>
    <w:p>
      <w:pPr>
        <w:spacing w:after="0" w:line="240" w:lineRule="auto"/>
        <w:jc w:val="center"/>
        <w:rPr>
          <w:rFonts w:ascii="宋体" w:hAnsi="宋体" w:cs="宋体" w:eastAsia="宋体"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251"/>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0"/>
                <w:sz w:val="20"/>
                <w:szCs w:val="20"/>
              </w:rPr>
              <w:t> </w:t>
            </w:r>
            <w:r>
              <w:rPr>
                <w:rFonts w:ascii="宋体" w:hAnsi="宋体" w:cs="宋体" w:eastAsia="宋体" w:hint="default"/>
                <w:sz w:val="20"/>
                <w:szCs w:val="20"/>
              </w:rPr>
              <w:t>4</w:t>
            </w:r>
          </w:p>
        </w:tc>
        <w:tc>
          <w:tcPr>
            <w:tcW w:w="31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5,058,884.22</w:t>
            </w:r>
          </w:p>
        </w:tc>
        <w:tc>
          <w:tcPr>
            <w:tcW w:w="325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项目尚未结束</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31,796,686.08</w:t>
            </w:r>
          </w:p>
        </w:tc>
        <w:tc>
          <w:tcPr>
            <w:tcW w:w="32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7"/>
              <w:ind w:left="12" w:right="0"/>
              <w:jc w:val="center"/>
              <w:rPr>
                <w:rFonts w:ascii="宋体" w:hAnsi="宋体" w:cs="宋体" w:eastAsia="宋体" w:hint="default"/>
                <w:sz w:val="20"/>
                <w:szCs w:val="20"/>
              </w:rPr>
            </w:pPr>
            <w:r>
              <w:rPr>
                <w:rFonts w:ascii="宋体"/>
                <w:sz w:val="20"/>
              </w:rPr>
              <w:t>--</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22、应付职工薪酬" w:id="259"/>
      <w:bookmarkEnd w:id="259"/>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应付职工薪酬列示" w:id="260"/>
      <w:bookmarkEnd w:id="26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95"/>
        <w:gridCol w:w="1506"/>
        <w:gridCol w:w="1790"/>
        <w:gridCol w:w="1790"/>
        <w:gridCol w:w="1837"/>
      </w:tblGrid>
      <w:tr>
        <w:trPr>
          <w:trHeight w:val="459" w:hRule="exact"/>
        </w:trPr>
        <w:tc>
          <w:tcPr>
            <w:tcW w:w="26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15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346"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8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7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89"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83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513"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79" w:hRule="exact"/>
        </w:trPr>
        <w:tc>
          <w:tcPr>
            <w:tcW w:w="2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一、短期薪酬</w:t>
            </w:r>
          </w:p>
        </w:tc>
        <w:tc>
          <w:tcPr>
            <w:tcW w:w="150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264,962,151.99</w:t>
            </w:r>
          </w:p>
        </w:tc>
        <w:tc>
          <w:tcPr>
            <w:tcW w:w="17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829,008,593.34</w:t>
            </w:r>
          </w:p>
        </w:tc>
        <w:tc>
          <w:tcPr>
            <w:tcW w:w="17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847,661,961.46</w:t>
            </w:r>
          </w:p>
        </w:tc>
        <w:tc>
          <w:tcPr>
            <w:tcW w:w="1837"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246,308,783.87</w:t>
            </w:r>
          </w:p>
        </w:tc>
      </w:tr>
      <w:tr>
        <w:trPr>
          <w:trHeight w:val="464" w:hRule="exact"/>
        </w:trPr>
        <w:tc>
          <w:tcPr>
            <w:tcW w:w="2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pacing w:val="-6"/>
                <w:sz w:val="20"/>
                <w:szCs w:val="20"/>
              </w:rPr>
              <w:t>二、离职后福利</w:t>
            </w:r>
            <w:r>
              <w:rPr>
                <w:rFonts w:ascii="宋体" w:hAnsi="宋体" w:cs="宋体" w:eastAsia="宋体" w:hint="default"/>
                <w:spacing w:val="-6"/>
                <w:sz w:val="20"/>
                <w:szCs w:val="20"/>
              </w:rPr>
              <w:t>-</w:t>
            </w:r>
            <w:r>
              <w:rPr>
                <w:rFonts w:ascii="宋体" w:hAnsi="宋体" w:cs="宋体" w:eastAsia="宋体" w:hint="default"/>
                <w:spacing w:val="-6"/>
                <w:sz w:val="20"/>
                <w:szCs w:val="20"/>
              </w:rPr>
              <w:t>设定提存计划</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5,726,929.26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86,132,853.60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87,324,369.75</w:t>
            </w:r>
          </w:p>
        </w:tc>
        <w:tc>
          <w:tcPr>
            <w:tcW w:w="18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4,535,413.11</w:t>
            </w:r>
          </w:p>
        </w:tc>
      </w:tr>
      <w:tr>
        <w:trPr>
          <w:trHeight w:val="464" w:hRule="exact"/>
        </w:trPr>
        <w:tc>
          <w:tcPr>
            <w:tcW w:w="2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三、辞退福利</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-22,741.09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950,668.00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950,668.00</w:t>
            </w:r>
          </w:p>
        </w:tc>
        <w:tc>
          <w:tcPr>
            <w:tcW w:w="18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-22,741.09</w:t>
            </w:r>
          </w:p>
        </w:tc>
      </w:tr>
      <w:tr>
        <w:trPr>
          <w:trHeight w:val="473" w:hRule="exact"/>
        </w:trPr>
        <w:tc>
          <w:tcPr>
            <w:tcW w:w="26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270,666,340.16</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916,092,114.94</w:t>
            </w:r>
          </w:p>
        </w:tc>
        <w:tc>
          <w:tcPr>
            <w:tcW w:w="1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935,936,999.21</w:t>
            </w:r>
          </w:p>
        </w:tc>
        <w:tc>
          <w:tcPr>
            <w:tcW w:w="183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250,821,455.89</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短期薪酬列示" w:id="261"/>
      <w:bookmarkEnd w:id="26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553"/>
        <w:gridCol w:w="1754"/>
        <w:gridCol w:w="1756"/>
        <w:gridCol w:w="1755"/>
        <w:gridCol w:w="1754"/>
      </w:tblGrid>
      <w:tr>
        <w:trPr>
          <w:trHeight w:val="437"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17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7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72"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7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7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75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471"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501"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3"/>
              <w:ind w:left="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、工资、奖金、津贴和补贴</w:t>
            </w:r>
          </w:p>
        </w:tc>
        <w:tc>
          <w:tcPr>
            <w:tcW w:w="175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20"/>
                <w:szCs w:val="20"/>
              </w:rPr>
            </w:pPr>
            <w:r>
              <w:rPr>
                <w:rFonts w:ascii="Times New Roman"/>
                <w:spacing w:val="-1"/>
                <w:sz w:val="20"/>
              </w:rPr>
              <w:t>232,071,210.42</w:t>
            </w:r>
          </w:p>
        </w:tc>
        <w:tc>
          <w:tcPr>
            <w:tcW w:w="175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20"/>
                <w:szCs w:val="20"/>
              </w:rPr>
            </w:pPr>
            <w:r>
              <w:rPr>
                <w:rFonts w:ascii="Times New Roman"/>
                <w:spacing w:val="-1"/>
                <w:sz w:val="20"/>
              </w:rPr>
              <w:t>695,088,616.08</w:t>
            </w:r>
          </w:p>
        </w:tc>
        <w:tc>
          <w:tcPr>
            <w:tcW w:w="175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20"/>
                <w:szCs w:val="20"/>
              </w:rPr>
            </w:pPr>
            <w:r>
              <w:rPr>
                <w:rFonts w:ascii="Times New Roman"/>
                <w:spacing w:val="-1"/>
                <w:sz w:val="20"/>
              </w:rPr>
              <w:t>719,937,780.05</w:t>
            </w:r>
          </w:p>
        </w:tc>
        <w:tc>
          <w:tcPr>
            <w:tcW w:w="1754"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32"/>
              <w:ind w:right="9"/>
              <w:jc w:val="right"/>
              <w:rPr>
                <w:rFonts w:ascii="Times New Roman" w:hAnsi="Times New Roman" w:cs="Times New Roman" w:eastAsia="Times New Roman" w:hint="default"/>
                <w:sz w:val="20"/>
                <w:szCs w:val="20"/>
              </w:rPr>
            </w:pPr>
            <w:r>
              <w:rPr>
                <w:rFonts w:ascii="Times New Roman"/>
                <w:spacing w:val="-1"/>
                <w:sz w:val="20"/>
              </w:rPr>
              <w:t>207,222,046.45</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、职工福利费</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22,428,153.73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22,428,153.73</w:t>
            </w:r>
          </w:p>
        </w:tc>
        <w:tc>
          <w:tcPr>
            <w:tcW w:w="1754"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、社会保险费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2,740,924.86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43,272,207.14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43,515,421.59</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2,497,710.41</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2,429,796.83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37,799,855.46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38,031,722.90</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2,197,929.39</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014"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140,300.60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2,315,361.92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2,337,137.23</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118,525.29</w:t>
            </w:r>
          </w:p>
        </w:tc>
      </w:tr>
      <w:tr>
        <w:trPr>
          <w:trHeight w:val="463"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014"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170,827.43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3,156,989.76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3,146,561.46</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181,255.73</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、住房公积金</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252,164.80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51,146,659.34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51,299,202.46</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99,621.68</w:t>
            </w:r>
          </w:p>
        </w:tc>
      </w:tr>
      <w:tr>
        <w:trPr>
          <w:trHeight w:val="46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、工会经费和职工教育经费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29,897,851.91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17,072,957.05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10,481,403.63</w:t>
            </w:r>
          </w:p>
        </w:tc>
        <w:tc>
          <w:tcPr>
            <w:tcW w:w="17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36,489,405.33</w:t>
            </w:r>
          </w:p>
        </w:tc>
      </w:tr>
      <w:tr>
        <w:trPr>
          <w:trHeight w:val="473"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264,962,151.99</w:t>
            </w:r>
          </w:p>
        </w:tc>
        <w:tc>
          <w:tcPr>
            <w:tcW w:w="1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829,008,593.34</w:t>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847,661,961.46</w:t>
            </w:r>
          </w:p>
        </w:tc>
        <w:tc>
          <w:tcPr>
            <w:tcW w:w="175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246,308,783.87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设定提存计划列示" w:id="262"/>
      <w:bookmarkEnd w:id="26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86"/>
        <w:gridCol w:w="1898"/>
        <w:gridCol w:w="1898"/>
        <w:gridCol w:w="1898"/>
        <w:gridCol w:w="1897"/>
      </w:tblGrid>
      <w:tr>
        <w:trPr>
          <w:trHeight w:val="438" w:hRule="exact"/>
        </w:trPr>
        <w:tc>
          <w:tcPr>
            <w:tcW w:w="1986"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8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54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8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54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8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543"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89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5"/>
              <w:ind w:left="542"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511" w:hRule="exact"/>
        </w:trPr>
        <w:tc>
          <w:tcPr>
            <w:tcW w:w="1986"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02"/>
              <w:ind w:left="9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、基本养老保险</w:t>
            </w:r>
          </w:p>
        </w:tc>
        <w:tc>
          <w:tcPr>
            <w:tcW w:w="1898"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37"/>
              <w:ind w:left="734" w:right="0"/>
              <w:jc w:val="left"/>
              <w:rPr>
                <w:rFonts w:ascii="Times New Roman" w:hAnsi="Times New Roman" w:cs="Times New Roman" w:eastAsia="Times New Roman" w:hint="default"/>
                <w:sz w:val="20"/>
                <w:szCs w:val="20"/>
              </w:rPr>
            </w:pPr>
            <w:r>
              <w:rPr>
                <w:rFonts w:ascii="Times New Roman"/>
                <w:sz w:val="20"/>
              </w:rPr>
              <w:t>5,485,566.82</w:t>
            </w:r>
          </w:p>
        </w:tc>
        <w:tc>
          <w:tcPr>
            <w:tcW w:w="1898"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37"/>
              <w:ind w:left="636" w:right="0"/>
              <w:jc w:val="left"/>
              <w:rPr>
                <w:rFonts w:ascii="Times New Roman" w:hAnsi="Times New Roman" w:cs="Times New Roman" w:eastAsia="Times New Roman" w:hint="default"/>
                <w:sz w:val="20"/>
                <w:szCs w:val="20"/>
              </w:rPr>
            </w:pPr>
            <w:r>
              <w:rPr>
                <w:rFonts w:ascii="Times New Roman"/>
                <w:sz w:val="20"/>
              </w:rPr>
              <w:t>80,865,173.81</w:t>
            </w:r>
          </w:p>
        </w:tc>
        <w:tc>
          <w:tcPr>
            <w:tcW w:w="1898"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37"/>
              <w:ind w:left="634" w:right="0"/>
              <w:jc w:val="left"/>
              <w:rPr>
                <w:rFonts w:ascii="Times New Roman" w:hAnsi="Times New Roman" w:cs="Times New Roman" w:eastAsia="Times New Roman" w:hint="default"/>
                <w:sz w:val="20"/>
                <w:szCs w:val="20"/>
              </w:rPr>
            </w:pPr>
            <w:r>
              <w:rPr>
                <w:rFonts w:ascii="Times New Roman"/>
                <w:sz w:val="20"/>
              </w:rPr>
              <w:t>82,037,073.48</w:t>
            </w:r>
          </w:p>
        </w:tc>
        <w:tc>
          <w:tcPr>
            <w:tcW w:w="1897" w:type="dxa"/>
            <w:tcBorders>
              <w:top w:val="single" w:sz="12" w:space="0" w:color="D9D9D9"/>
              <w:left w:val="single" w:sz="4" w:space="0" w:color="000000"/>
              <w:bottom w:val="single" w:sz="12" w:space="0" w:color="000000"/>
              <w:right w:val="single" w:sz="12" w:space="0" w:color="000000"/>
            </w:tcBorders>
          </w:tcPr>
          <w:p>
            <w:pPr>
              <w:pStyle w:val="TableParagraph"/>
              <w:spacing w:line="240" w:lineRule="auto" w:before="137"/>
              <w:ind w:left="734" w:right="0"/>
              <w:jc w:val="left"/>
              <w:rPr>
                <w:rFonts w:ascii="Times New Roman" w:hAnsi="Times New Roman" w:cs="Times New Roman" w:eastAsia="Times New Roman" w:hint="default"/>
                <w:sz w:val="20"/>
                <w:szCs w:val="20"/>
              </w:rPr>
            </w:pPr>
            <w:r>
              <w:rPr>
                <w:rFonts w:ascii="Times New Roman"/>
                <w:sz w:val="20"/>
              </w:rPr>
              <w:t>4,313,667.15</w:t>
            </w:r>
          </w:p>
        </w:tc>
      </w:tr>
    </w:tbl>
    <w:p>
      <w:pPr>
        <w:spacing w:after="0" w:line="240" w:lineRule="auto"/>
        <w:jc w:val="lef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1986"/>
        <w:gridCol w:w="1898"/>
        <w:gridCol w:w="1898"/>
        <w:gridCol w:w="1898"/>
        <w:gridCol w:w="1897"/>
      </w:tblGrid>
      <w:tr>
        <w:trPr>
          <w:trHeight w:val="473" w:hRule="exact"/>
        </w:trPr>
        <w:tc>
          <w:tcPr>
            <w:tcW w:w="1986"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、失业保险费</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241,362.44</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4,171,260.82</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4,190,877.30</w:t>
            </w:r>
          </w:p>
        </w:tc>
        <w:tc>
          <w:tcPr>
            <w:tcW w:w="18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221,745.96</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、补充养老保险费</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1,096,418.97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1,096,418.97</w:t>
            </w:r>
          </w:p>
        </w:tc>
        <w:tc>
          <w:tcPr>
            <w:tcW w:w="1897"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986"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5,726,929.26</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86,132,853.60</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87,324,369.75</w:t>
            </w:r>
          </w:p>
        </w:tc>
        <w:tc>
          <w:tcPr>
            <w:tcW w:w="18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4,535,413.11</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3、应交税费" w:id="263"/>
      <w:bookmarkEnd w:id="263"/>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9"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19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43,013,629.04</w:t>
            </w:r>
          </w:p>
        </w:tc>
        <w:tc>
          <w:tcPr>
            <w:tcW w:w="318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71,303,290.98</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1,310,474.13</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1,358,221.89</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35,579,322.12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25,418,006.14</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3,334,832.11</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44,332,290.56</w:t>
            </w:r>
          </w:p>
        </w:tc>
      </w:tr>
      <w:tr>
        <w:trPr>
          <w:trHeight w:val="464" w:hRule="exact"/>
        </w:trPr>
        <w:tc>
          <w:tcPr>
            <w:tcW w:w="3188"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19"/>
              <w:ind w:left="93"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2,851,826.64</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right="89"/>
              <w:jc w:val="right"/>
              <w:rPr>
                <w:rFonts w:ascii="Times New Roman" w:hAnsi="Times New Roman" w:cs="Times New Roman" w:eastAsia="Times New Roman" w:hint="default"/>
                <w:sz w:val="20"/>
                <w:szCs w:val="20"/>
              </w:rPr>
            </w:pPr>
            <w:r>
              <w:rPr>
                <w:rFonts w:ascii="Times New Roman"/>
                <w:spacing w:val="-1"/>
                <w:sz w:val="20"/>
              </w:rPr>
              <w:t>5,345,687.12</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left="93"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1,312,024.96</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right="89"/>
              <w:jc w:val="right"/>
              <w:rPr>
                <w:rFonts w:ascii="Times New Roman" w:hAnsi="Times New Roman" w:cs="Times New Roman" w:eastAsia="Times New Roman" w:hint="default"/>
                <w:sz w:val="20"/>
                <w:szCs w:val="20"/>
              </w:rPr>
            </w:pPr>
            <w:r>
              <w:rPr>
                <w:rFonts w:ascii="Times New Roman"/>
                <w:spacing w:val="-1"/>
                <w:sz w:val="20"/>
              </w:rPr>
              <w:t>2,380,783.17</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6"/>
              <w:ind w:left="93"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781,181.78</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right="89"/>
              <w:jc w:val="right"/>
              <w:rPr>
                <w:rFonts w:ascii="Times New Roman" w:hAnsi="Times New Roman" w:cs="Times New Roman" w:eastAsia="Times New Roman" w:hint="default"/>
                <w:sz w:val="20"/>
                <w:szCs w:val="20"/>
              </w:rPr>
            </w:pPr>
            <w:r>
              <w:rPr>
                <w:rFonts w:ascii="Times New Roman"/>
                <w:spacing w:val="-1"/>
                <w:sz w:val="20"/>
              </w:rPr>
              <w:t>1,493,687.30</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left="93"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687,413.64</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right="89"/>
              <w:jc w:val="right"/>
              <w:rPr>
                <w:rFonts w:ascii="Times New Roman" w:hAnsi="Times New Roman" w:cs="Times New Roman" w:eastAsia="Times New Roman" w:hint="default"/>
                <w:sz w:val="20"/>
                <w:szCs w:val="20"/>
              </w:rPr>
            </w:pPr>
            <w:r>
              <w:rPr>
                <w:rFonts w:ascii="Times New Roman"/>
                <w:spacing w:val="-1"/>
                <w:sz w:val="20"/>
              </w:rPr>
              <w:t>1,065,979.68</w:t>
            </w:r>
          </w:p>
        </w:tc>
      </w:tr>
      <w:tr>
        <w:trPr>
          <w:trHeight w:val="464" w:hRule="exact"/>
        </w:trPr>
        <w:tc>
          <w:tcPr>
            <w:tcW w:w="3188" w:type="dxa"/>
            <w:tcBorders>
              <w:top w:val="single" w:sz="4" w:space="0" w:color="000000"/>
              <w:left w:val="single" w:sz="12" w:space="0" w:color="000000"/>
              <w:bottom w:val="single" w:sz="17" w:space="0" w:color="D2D2D2"/>
              <w:right w:val="single" w:sz="4" w:space="0" w:color="000000"/>
            </w:tcBorders>
            <w:shd w:val="clear" w:color="auto" w:fill="D9D9D9"/>
          </w:tcPr>
          <w:p>
            <w:pPr>
              <w:pStyle w:val="TableParagraph"/>
              <w:spacing w:line="240" w:lineRule="auto" w:before="35"/>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70,407.94</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right="90"/>
              <w:jc w:val="right"/>
              <w:rPr>
                <w:rFonts w:ascii="Times New Roman" w:hAnsi="Times New Roman" w:cs="Times New Roman" w:eastAsia="Times New Roman" w:hint="default"/>
                <w:sz w:val="20"/>
                <w:szCs w:val="20"/>
              </w:rPr>
            </w:pPr>
            <w:r>
              <w:rPr>
                <w:rFonts w:ascii="Times New Roman"/>
                <w:spacing w:val="-1"/>
                <w:sz w:val="20"/>
              </w:rPr>
              <w:t>70,912.70</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88,941,112.36</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152,768,859.54</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4、应付利息" w:id="264"/>
      <w:bookmarkEnd w:id="264"/>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75"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33,601.31</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31,711.95</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710,568.60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342,248.57</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744,169.91</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373,960.52</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5、其他应付款" w:id="265"/>
      <w:bookmarkEnd w:id="265"/>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按款项性质列示其他应付款" w:id="266"/>
      <w:bookmarkEnd w:id="2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after="0" w:line="240" w:lineRule="auto"/>
        <w:jc w:val="left"/>
        <w:sectPr>
          <w:pgSz w:w="11910" w:h="16840"/>
          <w:pgMar w:header="0"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0"/>
        <w:gridCol w:w="3242"/>
        <w:gridCol w:w="3241"/>
      </w:tblGrid>
      <w:tr>
        <w:trPr>
          <w:trHeight w:val="444" w:hRule="exact"/>
        </w:trPr>
        <w:tc>
          <w:tcPr>
            <w:tcW w:w="308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4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24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待支付款项</w:t>
            </w:r>
          </w:p>
        </w:tc>
        <w:tc>
          <w:tcPr>
            <w:tcW w:w="324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0"/>
                <w:szCs w:val="20"/>
              </w:rPr>
            </w:pPr>
            <w:r>
              <w:rPr>
                <w:rFonts w:ascii="Times New Roman"/>
                <w:spacing w:val="-1"/>
                <w:sz w:val="20"/>
              </w:rPr>
              <w:t>15,050,692.11</w:t>
            </w:r>
          </w:p>
        </w:tc>
        <w:tc>
          <w:tcPr>
            <w:tcW w:w="3241"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right="89"/>
              <w:jc w:val="right"/>
              <w:rPr>
                <w:rFonts w:ascii="Times New Roman" w:hAnsi="Times New Roman" w:cs="Times New Roman" w:eastAsia="Times New Roman" w:hint="default"/>
                <w:sz w:val="20"/>
                <w:szCs w:val="20"/>
              </w:rPr>
            </w:pPr>
            <w:r>
              <w:rPr>
                <w:rFonts w:ascii="Times New Roman"/>
                <w:spacing w:val="-1"/>
                <w:sz w:val="20"/>
              </w:rPr>
              <w:t>29,033,864.66</w:t>
            </w:r>
          </w:p>
        </w:tc>
      </w:tr>
      <w:tr>
        <w:trPr>
          <w:trHeight w:val="464"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保证金、押金</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3,308,596.00</w:t>
            </w:r>
          </w:p>
        </w:tc>
        <w:tc>
          <w:tcPr>
            <w:tcW w:w="32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2,926,581.54</w:t>
            </w:r>
          </w:p>
        </w:tc>
      </w:tr>
      <w:tr>
        <w:trPr>
          <w:trHeight w:val="464"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6,443,567.78</w:t>
            </w:r>
          </w:p>
        </w:tc>
        <w:tc>
          <w:tcPr>
            <w:tcW w:w="32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10,669,907.57</w:t>
            </w:r>
          </w:p>
        </w:tc>
      </w:tr>
      <w:tr>
        <w:trPr>
          <w:trHeight w:val="473" w:hRule="exact"/>
        </w:trPr>
        <w:tc>
          <w:tcPr>
            <w:tcW w:w="3080" w:type="dxa"/>
            <w:tcBorders>
              <w:top w:val="single" w:sz="16" w:space="0" w:color="D9D9D9"/>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24,802,855.89</w:t>
            </w:r>
          </w:p>
        </w:tc>
        <w:tc>
          <w:tcPr>
            <w:tcW w:w="32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42,630,353.77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6、一年内到期的非流动负债" w:id="267"/>
      <w:bookmarkEnd w:id="26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8"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80"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一年内到期的长期借款</w:t>
            </w:r>
          </w:p>
        </w:tc>
        <w:tc>
          <w:tcPr>
            <w:tcW w:w="31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0"/>
                <w:szCs w:val="20"/>
              </w:rPr>
            </w:pPr>
            <w:r>
              <w:rPr>
                <w:rFonts w:ascii="Times New Roman"/>
                <w:spacing w:val="-1"/>
                <w:sz w:val="20"/>
              </w:rPr>
              <w:t>251,613,000.00</w:t>
            </w:r>
          </w:p>
        </w:tc>
        <w:tc>
          <w:tcPr>
            <w:tcW w:w="3188" w:type="dxa"/>
            <w:tcBorders>
              <w:top w:val="single" w:sz="12" w:space="0" w:color="D2D2D2"/>
              <w:left w:val="single" w:sz="4" w:space="0" w:color="000000"/>
              <w:bottom w:val="single" w:sz="4" w:space="0" w:color="000000"/>
              <w:right w:val="single" w:sz="12" w:space="0" w:color="000000"/>
            </w:tcBorders>
          </w:tcPr>
          <w:p>
            <w:pPr/>
          </w:p>
        </w:tc>
      </w:tr>
      <w:tr>
        <w:trPr>
          <w:trHeight w:val="47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251,613,000.00</w:t>
            </w:r>
          </w:p>
        </w:tc>
        <w:tc>
          <w:tcPr>
            <w:tcW w:w="3188"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7、长期借款" w:id="268"/>
      <w:bookmarkEnd w:id="268"/>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长期借款分类" w:id="269"/>
      <w:bookmarkEnd w:id="26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8"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3"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194" w:type="dxa"/>
            <w:tcBorders>
              <w:top w:val="single" w:sz="12" w:space="0" w:color="D2D2D2"/>
              <w:left w:val="single" w:sz="4" w:space="0" w:color="000000"/>
              <w:bottom w:val="single" w:sz="4" w:space="0" w:color="000000"/>
              <w:right w:val="single" w:sz="4" w:space="0" w:color="000000"/>
            </w:tcBorders>
          </w:tcPr>
          <w:p>
            <w:pPr/>
          </w:p>
        </w:tc>
        <w:tc>
          <w:tcPr>
            <w:tcW w:w="3188"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6"/>
              <w:ind w:right="9"/>
              <w:jc w:val="right"/>
              <w:rPr>
                <w:rFonts w:ascii="Times New Roman" w:hAnsi="Times New Roman" w:cs="Times New Roman" w:eastAsia="Times New Roman" w:hint="default"/>
                <w:sz w:val="20"/>
                <w:szCs w:val="20"/>
              </w:rPr>
            </w:pPr>
            <w:r>
              <w:rPr>
                <w:rFonts w:ascii="Times New Roman"/>
                <w:spacing w:val="-1"/>
                <w:sz w:val="20"/>
              </w:rPr>
              <w:t>240,000,000.00</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240,000,000.00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8、预计负债" w:id="270"/>
      <w:bookmarkEnd w:id="270"/>
      <w:r>
        <w:rPr>
          <w:b w:val="0"/>
          <w:bCs w:val="0"/>
        </w:rPr>
      </w:r>
      <w:r>
        <w:rPr>
          <w:rFonts w:ascii="Times New Roman" w:hAnsi="Times New Roman" w:cs="Times New Roman" w:eastAsia="Times New Roman" w:hint="default"/>
        </w:rPr>
        <w:t>28</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392"/>
        <w:gridCol w:w="2391"/>
      </w:tblGrid>
      <w:tr>
        <w:trPr>
          <w:trHeight w:val="473" w:hRule="exact"/>
        </w:trPr>
        <w:tc>
          <w:tcPr>
            <w:tcW w:w="239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79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790"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790" w:right="0"/>
              <w:jc w:val="left"/>
              <w:rPr>
                <w:rFonts w:ascii="宋体" w:hAnsi="宋体" w:cs="宋体" w:eastAsia="宋体" w:hint="default"/>
                <w:sz w:val="20"/>
                <w:szCs w:val="20"/>
              </w:rPr>
            </w:pPr>
            <w:r>
              <w:rPr>
                <w:rFonts w:ascii="宋体" w:hAnsi="宋体" w:cs="宋体" w:eastAsia="宋体" w:hint="default"/>
                <w:sz w:val="20"/>
                <w:szCs w:val="20"/>
              </w:rPr>
              <w:t>形成原因</w:t>
            </w:r>
          </w:p>
        </w:tc>
      </w:tr>
      <w:tr>
        <w:trPr>
          <w:trHeight w:val="464" w:hRule="exact"/>
        </w:trPr>
        <w:tc>
          <w:tcPr>
            <w:tcW w:w="239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3,760,000.00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39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3,760,000.00</w:t>
            </w:r>
          </w:p>
        </w:tc>
        <w:tc>
          <w:tcPr>
            <w:tcW w:w="2392" w:type="dxa"/>
            <w:tcBorders>
              <w:top w:val="single" w:sz="4" w:space="0" w:color="000000"/>
              <w:left w:val="single" w:sz="4" w:space="0" w:color="000000"/>
              <w:bottom w:val="single" w:sz="12" w:space="0" w:color="000000"/>
              <w:right w:val="single" w:sz="4" w:space="0" w:color="000000"/>
            </w:tcBorders>
          </w:tcPr>
          <w:p>
            <w:pP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z w:val="20"/>
              </w:rPr>
              <w:t>--</w:t>
            </w:r>
          </w:p>
        </w:tc>
      </w:tr>
    </w:tbl>
    <w:p>
      <w:pPr>
        <w:spacing w:line="240" w:lineRule="auto" w:before="3"/>
        <w:rPr>
          <w:rFonts w:ascii="宋体" w:hAnsi="宋体" w:cs="宋体" w:eastAsia="宋体" w:hint="default"/>
          <w:sz w:val="5"/>
          <w:szCs w:val="5"/>
        </w:rPr>
      </w:pPr>
    </w:p>
    <w:p>
      <w:pPr>
        <w:pStyle w:val="BodyText"/>
        <w:spacing w:line="408" w:lineRule="auto" w:before="35"/>
        <w:ind w:left="154" w:right="1032" w:firstLine="420"/>
        <w:jc w:val="both"/>
      </w:pPr>
      <w:r>
        <w:rPr/>
        <w:t>期末预计负债系依据《神州数码信息服务股份有限公司与北京中农信达信息技术有限公司全体股东之 发行股份及支付现金购买资产协议》的约定，在满足协议约定条件下，中农信达在全部承诺年度内累计实 现的净利润超过全部承诺年度业绩承诺金额总和时，本公司需支付中农信达管理层股东业绩超额奖励款。</w:t>
      </w:r>
    </w:p>
    <w:p>
      <w:pPr>
        <w:spacing w:after="0" w:line="408" w:lineRule="auto"/>
        <w:jc w:val="both"/>
        <w:sectPr>
          <w:pgSz w:w="11910" w:h="16840"/>
          <w:pgMar w:header="0"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29、递延收益" w:id="271"/>
      <w:bookmarkEnd w:id="271"/>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595"/>
        <w:gridCol w:w="1596"/>
        <w:gridCol w:w="1595"/>
        <w:gridCol w:w="1594"/>
        <w:gridCol w:w="1594"/>
        <w:gridCol w:w="1594"/>
      </w:tblGrid>
      <w:tr>
        <w:trPr>
          <w:trHeight w:val="429" w:hRule="exact"/>
        </w:trPr>
        <w:tc>
          <w:tcPr>
            <w:tcW w:w="1595" w:type="dxa"/>
            <w:tcBorders>
              <w:top w:val="single" w:sz="12"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20"/>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5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2"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1"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0"/>
              <w:ind w:left="12" w:right="0"/>
              <w:jc w:val="center"/>
              <w:rPr>
                <w:rFonts w:ascii="宋体" w:hAnsi="宋体" w:cs="宋体" w:eastAsia="宋体" w:hint="default"/>
                <w:sz w:val="20"/>
                <w:szCs w:val="20"/>
              </w:rPr>
            </w:pPr>
            <w:r>
              <w:rPr>
                <w:rFonts w:ascii="宋体" w:hAnsi="宋体" w:cs="宋体" w:eastAsia="宋体" w:hint="default"/>
                <w:sz w:val="20"/>
                <w:szCs w:val="20"/>
              </w:rPr>
              <w:t>形成原因</w:t>
            </w:r>
          </w:p>
        </w:tc>
      </w:tr>
      <w:tr>
        <w:trPr>
          <w:trHeight w:val="463" w:hRule="exact"/>
        </w:trPr>
        <w:tc>
          <w:tcPr>
            <w:tcW w:w="1595" w:type="dxa"/>
            <w:tcBorders>
              <w:top w:val="single" w:sz="12"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55"/>
              <w:ind w:left="13"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5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1"/>
              <w:ind w:left="414" w:right="0"/>
              <w:jc w:val="left"/>
              <w:rPr>
                <w:rFonts w:ascii="Times New Roman" w:hAnsi="Times New Roman" w:cs="Times New Roman" w:eastAsia="Times New Roman" w:hint="default"/>
                <w:sz w:val="20"/>
                <w:szCs w:val="20"/>
              </w:rPr>
            </w:pPr>
            <w:r>
              <w:rPr>
                <w:rFonts w:ascii="Times New Roman"/>
                <w:sz w:val="20"/>
              </w:rPr>
              <w:t>32,006,084.72</w:t>
            </w:r>
          </w:p>
        </w:tc>
        <w:tc>
          <w:tcPr>
            <w:tcW w:w="159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1"/>
              <w:ind w:left="412" w:right="0"/>
              <w:jc w:val="left"/>
              <w:rPr>
                <w:rFonts w:ascii="Times New Roman" w:hAnsi="Times New Roman" w:cs="Times New Roman" w:eastAsia="Times New Roman" w:hint="default"/>
                <w:sz w:val="20"/>
                <w:szCs w:val="20"/>
              </w:rPr>
            </w:pPr>
            <w:r>
              <w:rPr>
                <w:rFonts w:ascii="Times New Roman"/>
                <w:sz w:val="20"/>
              </w:rPr>
              <w:t>39,469,000.00</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1"/>
              <w:ind w:left="411" w:right="0"/>
              <w:jc w:val="left"/>
              <w:rPr>
                <w:rFonts w:ascii="Times New Roman" w:hAnsi="Times New Roman" w:cs="Times New Roman" w:eastAsia="Times New Roman" w:hint="default"/>
                <w:sz w:val="20"/>
                <w:szCs w:val="20"/>
              </w:rPr>
            </w:pPr>
            <w:r>
              <w:rPr>
                <w:rFonts w:ascii="Times New Roman"/>
                <w:sz w:val="20"/>
              </w:rPr>
              <w:t>24,771,126.00</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1"/>
              <w:ind w:left="411" w:right="0"/>
              <w:jc w:val="left"/>
              <w:rPr>
                <w:rFonts w:ascii="Times New Roman" w:hAnsi="Times New Roman" w:cs="Times New Roman" w:eastAsia="Times New Roman" w:hint="default"/>
                <w:sz w:val="20"/>
                <w:szCs w:val="20"/>
              </w:rPr>
            </w:pPr>
            <w:r>
              <w:rPr>
                <w:rFonts w:ascii="Times New Roman"/>
                <w:sz w:val="20"/>
              </w:rPr>
              <w:t>46,703,958.72</w:t>
            </w:r>
          </w:p>
        </w:tc>
        <w:tc>
          <w:tcPr>
            <w:tcW w:w="1594"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55"/>
              <w:ind w:left="13" w:right="0"/>
              <w:jc w:val="center"/>
              <w:rPr>
                <w:rFonts w:ascii="宋体" w:hAnsi="宋体" w:cs="宋体" w:eastAsia="宋体" w:hint="default"/>
                <w:sz w:val="20"/>
                <w:szCs w:val="20"/>
              </w:rPr>
            </w:pPr>
            <w:r>
              <w:rPr>
                <w:rFonts w:ascii="宋体" w:hAnsi="宋体" w:cs="宋体" w:eastAsia="宋体" w:hint="default"/>
                <w:sz w:val="20"/>
                <w:szCs w:val="20"/>
              </w:rPr>
              <w:t>未到期</w:t>
            </w:r>
          </w:p>
        </w:tc>
      </w:tr>
      <w:tr>
        <w:trPr>
          <w:trHeight w:val="475" w:hRule="exact"/>
        </w:trPr>
        <w:tc>
          <w:tcPr>
            <w:tcW w:w="159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14" w:right="0"/>
              <w:jc w:val="left"/>
              <w:rPr>
                <w:rFonts w:ascii="Times New Roman" w:hAnsi="Times New Roman" w:cs="Times New Roman" w:eastAsia="Times New Roman" w:hint="default"/>
                <w:sz w:val="20"/>
                <w:szCs w:val="20"/>
              </w:rPr>
            </w:pPr>
            <w:r>
              <w:rPr>
                <w:rFonts w:ascii="Times New Roman"/>
                <w:sz w:val="20"/>
              </w:rPr>
              <w:t>32,006,084.72</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12" w:right="0"/>
              <w:jc w:val="left"/>
              <w:rPr>
                <w:rFonts w:ascii="Times New Roman" w:hAnsi="Times New Roman" w:cs="Times New Roman" w:eastAsia="Times New Roman" w:hint="default"/>
                <w:sz w:val="20"/>
                <w:szCs w:val="20"/>
              </w:rPr>
            </w:pPr>
            <w:r>
              <w:rPr>
                <w:rFonts w:ascii="Times New Roman"/>
                <w:sz w:val="20"/>
              </w:rPr>
              <w:t>39,469,000.00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11" w:right="0"/>
              <w:jc w:val="left"/>
              <w:rPr>
                <w:rFonts w:ascii="Times New Roman" w:hAnsi="Times New Roman" w:cs="Times New Roman" w:eastAsia="Times New Roman" w:hint="default"/>
                <w:sz w:val="20"/>
                <w:szCs w:val="20"/>
              </w:rPr>
            </w:pPr>
            <w:r>
              <w:rPr>
                <w:rFonts w:ascii="Times New Roman"/>
                <w:sz w:val="20"/>
              </w:rPr>
              <w:t>24,771,126.00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11" w:right="0"/>
              <w:jc w:val="left"/>
              <w:rPr>
                <w:rFonts w:ascii="Times New Roman" w:hAnsi="Times New Roman" w:cs="Times New Roman" w:eastAsia="Times New Roman" w:hint="default"/>
                <w:sz w:val="20"/>
                <w:szCs w:val="20"/>
              </w:rPr>
            </w:pPr>
            <w:r>
              <w:rPr>
                <w:rFonts w:ascii="Times New Roman"/>
                <w:sz w:val="20"/>
              </w:rPr>
              <w:t>46,703,958.72</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left="11" w:right="0"/>
              <w:jc w:val="center"/>
              <w:rPr>
                <w:rFonts w:ascii="Times New Roman" w:hAnsi="Times New Roman" w:cs="Times New Roman" w:eastAsia="Times New Roman" w:hint="default"/>
                <w:sz w:val="20"/>
                <w:szCs w:val="20"/>
              </w:rPr>
            </w:pPr>
            <w:r>
              <w:rPr>
                <w:rFonts w:ascii="Times New Roman"/>
                <w:sz w:val="20"/>
              </w:rPr>
              <w:t>--</w:t>
            </w:r>
          </w:p>
        </w:tc>
      </w:tr>
    </w:tbl>
    <w:p>
      <w:pPr>
        <w:spacing w:line="240" w:lineRule="auto" w:before="6"/>
        <w:rPr>
          <w:rFonts w:ascii="宋体" w:hAnsi="宋体" w:cs="宋体" w:eastAsia="宋体" w:hint="default"/>
          <w:sz w:val="27"/>
          <w:szCs w:val="27"/>
        </w:rPr>
      </w:pPr>
    </w:p>
    <w:p>
      <w:pPr>
        <w:spacing w:before="44"/>
        <w:ind w:left="154" w:right="1135" w:firstLine="0"/>
        <w:jc w:val="left"/>
        <w:rPr>
          <w:rFonts w:ascii="宋体" w:hAnsi="宋体" w:cs="宋体" w:eastAsia="宋体" w:hint="default"/>
          <w:sz w:val="18"/>
          <w:szCs w:val="18"/>
        </w:rPr>
      </w:pPr>
      <w:r>
        <w:rPr>
          <w:rFonts w:ascii="宋体" w:hAnsi="宋体" w:cs="宋体" w:eastAsia="宋体" w:hint="default"/>
          <w:b/>
          <w:bCs/>
          <w:sz w:val="18"/>
          <w:szCs w:val="18"/>
        </w:rPr>
        <w:t>涉及政府补助的项目：</w:t>
      </w:r>
      <w:r>
        <w:rPr>
          <w:rFonts w:ascii="宋体" w:hAnsi="宋体" w:cs="宋体" w:eastAsia="宋体" w:hint="default"/>
          <w:sz w:val="18"/>
          <w:szCs w:val="18"/>
        </w:rPr>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5"/>
        <w:gridCol w:w="1359"/>
        <w:gridCol w:w="1302"/>
        <w:gridCol w:w="1259"/>
        <w:gridCol w:w="687"/>
        <w:gridCol w:w="1272"/>
        <w:gridCol w:w="1331"/>
      </w:tblGrid>
      <w:tr>
        <w:trPr>
          <w:trHeight w:val="1036" w:hRule="exact"/>
        </w:trPr>
        <w:tc>
          <w:tcPr>
            <w:tcW w:w="239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5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5" w:right="104"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5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73" w:right="173"/>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68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8" w:right="15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155"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95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93" w:right="103"/>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宋体" w:hAnsi="宋体" w:cs="宋体" w:eastAsia="宋体" w:hint="default"/>
                <w:sz w:val="18"/>
                <w:szCs w:val="18"/>
              </w:rPr>
              <w:t>-</w:t>
            </w:r>
            <w:r>
              <w:rPr>
                <w:rFonts w:ascii="宋体" w:hAnsi="宋体" w:cs="宋体" w:eastAsia="宋体" w:hint="default"/>
                <w:sz w:val="18"/>
                <w:szCs w:val="18"/>
              </w:rPr>
              <w:t>金融云</w:t>
            </w:r>
            <w:r>
              <w:rPr>
                <w:rFonts w:ascii="宋体" w:hAnsi="宋体" w:cs="宋体" w:eastAsia="宋体" w:hint="default"/>
                <w:spacing w:val="11"/>
                <w:sz w:val="18"/>
                <w:szCs w:val="18"/>
              </w:rPr>
              <w:t> </w:t>
            </w:r>
            <w:r>
              <w:rPr>
                <w:rFonts w:ascii="宋体" w:hAnsi="宋体" w:cs="宋体" w:eastAsia="宋体" w:hint="default"/>
                <w:sz w:val="18"/>
                <w:szCs w:val="18"/>
              </w:rPr>
              <w:t>SAAS</w:t>
            </w:r>
            <w:r>
              <w:rPr>
                <w:rFonts w:ascii="宋体" w:hAnsi="宋体" w:cs="宋体" w:eastAsia="宋体" w:hint="default"/>
                <w:spacing w:val="-88"/>
                <w:sz w:val="18"/>
                <w:szCs w:val="18"/>
              </w:rPr>
              <w:t> </w:t>
            </w:r>
            <w:r>
              <w:rPr>
                <w:rFonts w:ascii="宋体" w:hAnsi="宋体" w:cs="宋体" w:eastAsia="宋体" w:hint="default"/>
                <w:sz w:val="18"/>
                <w:szCs w:val="18"/>
              </w:rPr>
              <w:t>服务平台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4,573,836.75</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2,025,209.72</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2,548,627.03</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6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z w:val="18"/>
                <w:szCs w:val="18"/>
              </w:rPr>
              <w:t>基于安全可靠软硬件的集成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开发工具（</w:t>
            </w:r>
            <w:r>
              <w:rPr>
                <w:rFonts w:ascii="宋体" w:hAnsi="宋体" w:cs="宋体" w:eastAsia="宋体" w:hint="default"/>
                <w:sz w:val="18"/>
                <w:szCs w:val="18"/>
              </w:rPr>
              <w:t>IDE</w:t>
            </w:r>
            <w:r>
              <w:rPr>
                <w:rFonts w:ascii="宋体" w:hAnsi="宋体" w:cs="宋体" w:eastAsia="宋体" w:hint="default"/>
                <w:sz w:val="18"/>
                <w:szCs w:val="18"/>
              </w:rPr>
              <w:t>）研发</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6,122,751.53</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1,877,248.47</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z w:val="18"/>
                <w:szCs w:val="18"/>
              </w:rPr>
              <w:t>中国人口与发展研究中心项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5,464,000.00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5,464,000.00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3,086,494.02</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1,086,494.02</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5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z w:val="18"/>
                <w:szCs w:val="18"/>
              </w:rPr>
              <w:t>以人为中心的智慧城市公共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服务支撑技术与系统</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922,631.58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6,890,000.00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1,567,209.40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6,245,422.18</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5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z w:val="18"/>
                <w:szCs w:val="18"/>
              </w:rPr>
              <w:t>面向中小银行的大数据营销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分析系统的研制和应用</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1,377,322.35</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522,677.65</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1"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5,225,000.00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1,126,786.77</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4,298,213.23</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7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319" w:lineRule="auto"/>
              <w:ind w:left="93" w:right="104"/>
              <w:jc w:val="both"/>
              <w:rPr>
                <w:rFonts w:ascii="宋体" w:hAnsi="宋体" w:cs="宋体" w:eastAsia="宋体" w:hint="default"/>
                <w:sz w:val="18"/>
                <w:szCs w:val="18"/>
              </w:rPr>
            </w:pPr>
            <w:r>
              <w:rPr>
                <w:rFonts w:ascii="宋体" w:hAnsi="宋体" w:cs="宋体" w:eastAsia="宋体" w:hint="default"/>
                <w:sz w:val="18"/>
                <w:szCs w:val="18"/>
              </w:rPr>
              <w:t>基于智慧城市技术架构的信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息惠民公共服务平台研发及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产业化</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942,609.26</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57,390.74</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86" w:hRule="exact"/>
        </w:trPr>
        <w:tc>
          <w:tcPr>
            <w:tcW w:w="239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93" w:right="104"/>
              <w:jc w:val="both"/>
              <w:rPr>
                <w:rFonts w:ascii="宋体" w:hAnsi="宋体" w:cs="宋体" w:eastAsia="宋体" w:hint="default"/>
                <w:sz w:val="18"/>
                <w:szCs w:val="18"/>
              </w:rPr>
            </w:pPr>
            <w:r>
              <w:rPr>
                <w:rFonts w:ascii="宋体" w:hAnsi="宋体" w:cs="宋体" w:eastAsia="宋体" w:hint="default"/>
                <w:sz w:val="18"/>
                <w:szCs w:val="18"/>
              </w:rPr>
              <w:t>基于构件化应用服务器技术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的市民服务融合平台产业化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w:t>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885,772.48</w:t>
            </w:r>
          </w:p>
        </w:tc>
        <w:tc>
          <w:tcPr>
            <w:tcW w:w="1302" w:type="dxa"/>
            <w:tcBorders>
              <w:top w:val="single" w:sz="4" w:space="0" w:color="000000"/>
              <w:left w:val="single" w:sz="4" w:space="0" w:color="000000"/>
              <w:bottom w:val="single" w:sz="12" w:space="0" w:color="000000"/>
              <w:right w:val="single" w:sz="4" w:space="0" w:color="000000"/>
            </w:tcBorders>
          </w:tcPr>
          <w:p>
            <w:pP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885,772.48</w:t>
            </w:r>
          </w:p>
        </w:tc>
        <w:tc>
          <w:tcPr>
            <w:tcW w:w="687" w:type="dxa"/>
            <w:tcBorders>
              <w:top w:val="single" w:sz="4" w:space="0" w:color="000000"/>
              <w:left w:val="single" w:sz="4" w:space="0" w:color="000000"/>
              <w:bottom w:val="single" w:sz="12" w:space="0" w:color="000000"/>
              <w:right w:val="single" w:sz="4" w:space="0" w:color="000000"/>
            </w:tcBorders>
          </w:tcPr>
          <w:p>
            <w:pPr/>
          </w:p>
        </w:tc>
        <w:tc>
          <w:tcPr>
            <w:tcW w:w="1272" w:type="dxa"/>
            <w:tcBorders>
              <w:top w:val="single" w:sz="4" w:space="0" w:color="000000"/>
              <w:left w:val="single" w:sz="4" w:space="0" w:color="000000"/>
              <w:bottom w:val="single" w:sz="12" w:space="0" w:color="000000"/>
              <w:right w:val="single" w:sz="4" w:space="0" w:color="000000"/>
            </w:tcBorders>
          </w:tcPr>
          <w:p>
            <w:pPr/>
          </w:p>
        </w:tc>
        <w:tc>
          <w:tcPr>
            <w:tcW w:w="13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0" w:footer="1266" w:top="1160" w:bottom="146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395"/>
        <w:gridCol w:w="1359"/>
        <w:gridCol w:w="1302"/>
        <w:gridCol w:w="1259"/>
        <w:gridCol w:w="687"/>
        <w:gridCol w:w="1272"/>
        <w:gridCol w:w="1331"/>
      </w:tblGrid>
      <w:tr>
        <w:trPr>
          <w:trHeight w:val="1175" w:hRule="exact"/>
        </w:trPr>
        <w:tc>
          <w:tcPr>
            <w:tcW w:w="239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21"/>
              <w:ind w:left="93" w:right="89"/>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1"/>
                <w:sz w:val="18"/>
                <w:szCs w:val="18"/>
              </w:rPr>
              <w:t> </w:t>
            </w:r>
            <w:r>
              <w:rPr>
                <w:rFonts w:ascii="宋体" w:hAnsi="宋体" w:cs="宋体" w:eastAsia="宋体" w:hint="default"/>
                <w:spacing w:val="12"/>
                <w:sz w:val="18"/>
                <w:szCs w:val="18"/>
              </w:rPr>
              <w:t>年度江苏省工业和信 </w:t>
            </w:r>
            <w:r>
              <w:rPr>
                <w:rFonts w:ascii="宋体" w:hAnsi="宋体" w:cs="宋体" w:eastAsia="宋体" w:hint="default"/>
                <w:sz w:val="18"/>
                <w:szCs w:val="18"/>
              </w:rPr>
              <w:t>息产业转型升级专项引导资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w:t>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800,000.00</w:t>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400,000.00</w:t>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637,941.65</w:t>
            </w:r>
          </w:p>
        </w:tc>
        <w:tc>
          <w:tcPr>
            <w:tcW w:w="687" w:type="dxa"/>
            <w:tcBorders>
              <w:top w:val="single" w:sz="12" w:space="0" w:color="000000"/>
              <w:left w:val="single" w:sz="4" w:space="0" w:color="000000"/>
              <w:bottom w:val="single" w:sz="4" w:space="0" w:color="000000"/>
              <w:right w:val="single" w:sz="4" w:space="0" w:color="000000"/>
            </w:tcBorders>
          </w:tcPr>
          <w:p>
            <w:pPr/>
          </w:p>
        </w:tc>
        <w:tc>
          <w:tcPr>
            <w:tcW w:w="12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562,058.35</w:t>
            </w:r>
          </w:p>
        </w:tc>
        <w:tc>
          <w:tcPr>
            <w:tcW w:w="13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神州数码智慧课堂平台</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600,000.00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1"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93" w:right="101"/>
              <w:jc w:val="left"/>
              <w:rPr>
                <w:rFonts w:ascii="宋体" w:hAnsi="宋体" w:cs="宋体" w:eastAsia="宋体" w:hint="default"/>
                <w:sz w:val="18"/>
                <w:szCs w:val="18"/>
              </w:rPr>
            </w:pPr>
            <w:r>
              <w:rPr>
                <w:rFonts w:ascii="宋体" w:hAnsi="宋体" w:cs="宋体" w:eastAsia="宋体" w:hint="default"/>
                <w:sz w:val="18"/>
                <w:szCs w:val="18"/>
              </w:rPr>
              <w:t>网络空间身份证 </w:t>
            </w:r>
            <w:r>
              <w:rPr>
                <w:rFonts w:ascii="宋体" w:hAnsi="宋体" w:cs="宋体" w:eastAsia="宋体" w:hint="default"/>
                <w:sz w:val="18"/>
                <w:szCs w:val="18"/>
              </w:rPr>
              <w:t>EID</w:t>
            </w:r>
            <w:r>
              <w:rPr>
                <w:rFonts w:ascii="宋体" w:hAnsi="宋体" w:cs="宋体" w:eastAsia="宋体" w:hint="default"/>
                <w:spacing w:val="-72"/>
                <w:sz w:val="18"/>
                <w:szCs w:val="18"/>
              </w:rPr>
              <w:t> </w:t>
            </w:r>
            <w:r>
              <w:rPr>
                <w:rFonts w:ascii="宋体" w:hAnsi="宋体" w:cs="宋体" w:eastAsia="宋体" w:hint="default"/>
                <w:sz w:val="18"/>
                <w:szCs w:val="18"/>
              </w:rPr>
              <w:t>管理技 术及系统</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670,000.00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359,928.97</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310,071.03</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89"/>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11"/>
                <w:sz w:val="18"/>
                <w:szCs w:val="18"/>
              </w:rPr>
              <w:t> </w:t>
            </w:r>
            <w:r>
              <w:rPr>
                <w:rFonts w:ascii="宋体" w:hAnsi="宋体" w:cs="宋体" w:eastAsia="宋体" w:hint="default"/>
                <w:spacing w:val="12"/>
                <w:sz w:val="18"/>
                <w:szCs w:val="18"/>
              </w:rPr>
              <w:t>年度电子信息产业发 </w:t>
            </w:r>
            <w:r>
              <w:rPr>
                <w:rFonts w:ascii="宋体" w:hAnsi="宋体" w:cs="宋体" w:eastAsia="宋体" w:hint="default"/>
                <w:sz w:val="18"/>
                <w:szCs w:val="18"/>
              </w:rPr>
              <w:t>展基金</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982,291.38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349,703.65</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632,587.73</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7"/>
              <w:ind w:left="93" w:right="104"/>
              <w:jc w:val="left"/>
              <w:rPr>
                <w:rFonts w:ascii="宋体" w:hAnsi="宋体" w:cs="宋体" w:eastAsia="宋体" w:hint="default"/>
                <w:sz w:val="18"/>
                <w:szCs w:val="18"/>
              </w:rPr>
            </w:pPr>
            <w:r>
              <w:rPr>
                <w:rFonts w:ascii="宋体" w:hAnsi="宋体" w:cs="宋体" w:eastAsia="宋体" w:hint="default"/>
                <w:sz w:val="18"/>
                <w:szCs w:val="18"/>
              </w:rPr>
              <w:t>神州数码集装箱物流公共信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息平台项目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87,000.00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180,000.00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267,000.00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1"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11"/>
                <w:sz w:val="18"/>
                <w:szCs w:val="18"/>
              </w:rPr>
              <w:t> </w:t>
            </w:r>
            <w:r>
              <w:rPr>
                <w:rFonts w:ascii="宋体" w:hAnsi="宋体" w:cs="宋体" w:eastAsia="宋体" w:hint="default"/>
                <w:spacing w:val="12"/>
                <w:sz w:val="18"/>
                <w:szCs w:val="18"/>
              </w:rPr>
              <w:t>年第二批软件和集成 </w:t>
            </w:r>
            <w:r>
              <w:rPr>
                <w:rFonts w:ascii="宋体" w:hAnsi="宋体" w:cs="宋体" w:eastAsia="宋体" w:hint="default"/>
                <w:sz w:val="18"/>
                <w:szCs w:val="18"/>
              </w:rPr>
              <w:t>电路发展专项资金</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238,071.31</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238,071.31</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4"/>
              <w:jc w:val="left"/>
              <w:rPr>
                <w:rFonts w:ascii="宋体" w:hAnsi="宋体" w:cs="宋体" w:eastAsia="宋体" w:hint="default"/>
                <w:sz w:val="18"/>
                <w:szCs w:val="18"/>
              </w:rPr>
            </w:pPr>
            <w:r>
              <w:rPr>
                <w:rFonts w:ascii="宋体" w:hAnsi="宋体" w:cs="宋体" w:eastAsia="宋体" w:hint="default"/>
                <w:sz w:val="18"/>
                <w:szCs w:val="18"/>
              </w:rPr>
              <w:t>电子信息产业发展基金资助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752,507.00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176,381.64</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576,125.36</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7"/>
              <w:ind w:left="93" w:right="104"/>
              <w:jc w:val="left"/>
              <w:rPr>
                <w:rFonts w:ascii="宋体" w:hAnsi="宋体" w:cs="宋体" w:eastAsia="宋体" w:hint="default"/>
                <w:sz w:val="18"/>
                <w:szCs w:val="18"/>
              </w:rPr>
            </w:pPr>
            <w:r>
              <w:rPr>
                <w:rFonts w:ascii="宋体" w:hAnsi="宋体" w:cs="宋体" w:eastAsia="宋体" w:hint="default"/>
                <w:sz w:val="18"/>
                <w:szCs w:val="18"/>
              </w:rPr>
              <w:t>基于云计算的金融风险管理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平台产业化项目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143,311.00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143,311.00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6"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8"/>
              <w:ind w:left="93" w:right="104"/>
              <w:jc w:val="left"/>
              <w:rPr>
                <w:rFonts w:ascii="宋体" w:hAnsi="宋体" w:cs="宋体" w:eastAsia="宋体" w:hint="default"/>
                <w:sz w:val="18"/>
                <w:szCs w:val="18"/>
              </w:rPr>
            </w:pPr>
            <w:r>
              <w:rPr>
                <w:rFonts w:ascii="宋体" w:hAnsi="宋体" w:cs="宋体" w:eastAsia="宋体" w:hint="default"/>
                <w:sz w:val="18"/>
                <w:szCs w:val="18"/>
              </w:rPr>
              <w:t>网构化软件生产、构造和复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用技术与工具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568,095.00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117,250.15</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450,844.85</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8"/>
              <w:ind w:left="93" w:right="104"/>
              <w:jc w:val="left"/>
              <w:rPr>
                <w:rFonts w:ascii="宋体" w:hAnsi="宋体" w:cs="宋体" w:eastAsia="宋体" w:hint="default"/>
                <w:sz w:val="18"/>
                <w:szCs w:val="18"/>
              </w:rPr>
            </w:pPr>
            <w:r>
              <w:rPr>
                <w:rFonts w:ascii="宋体" w:hAnsi="宋体" w:cs="宋体" w:eastAsia="宋体" w:hint="default"/>
                <w:sz w:val="18"/>
                <w:szCs w:val="18"/>
              </w:rPr>
              <w:t>基于云计算的市民融合服务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平台建设与示范</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113,097.44</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113,097.44</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84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93" w:right="101"/>
              <w:jc w:val="both"/>
              <w:rPr>
                <w:rFonts w:ascii="宋体" w:hAnsi="宋体" w:cs="宋体" w:eastAsia="宋体" w:hint="default"/>
                <w:sz w:val="18"/>
                <w:szCs w:val="18"/>
              </w:rPr>
            </w:pPr>
            <w:r>
              <w:rPr>
                <w:rFonts w:ascii="宋体" w:hAnsi="宋体" w:cs="宋体" w:eastAsia="宋体" w:hint="default"/>
                <w:sz w:val="18"/>
                <w:szCs w:val="18"/>
              </w:rPr>
              <w:t>中关村科技园区海淀园管理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委员会到款转信息技术服务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运行维护第 </w:t>
            </w:r>
            <w:r>
              <w:rPr>
                <w:rFonts w:ascii="宋体" w:hAnsi="宋体" w:cs="宋体" w:eastAsia="宋体" w:hint="default"/>
                <w:sz w:val="18"/>
                <w:szCs w:val="18"/>
              </w:rPr>
              <w:t>2</w:t>
            </w:r>
            <w:r>
              <w:rPr>
                <w:rFonts w:ascii="宋体" w:hAnsi="宋体" w:cs="宋体" w:eastAsia="宋体" w:hint="default"/>
                <w:spacing w:val="-72"/>
                <w:sz w:val="18"/>
                <w:szCs w:val="18"/>
              </w:rPr>
              <w:t> </w:t>
            </w:r>
            <w:r>
              <w:rPr>
                <w:rFonts w:ascii="宋体" w:hAnsi="宋体" w:cs="宋体" w:eastAsia="宋体" w:hint="default"/>
                <w:sz w:val="18"/>
                <w:szCs w:val="18"/>
              </w:rPr>
              <w:t>部分：交付规 范补贴收入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8"/>
              <w:ind w:left="93" w:right="104"/>
              <w:jc w:val="left"/>
              <w:rPr>
                <w:rFonts w:ascii="宋体" w:hAnsi="宋体" w:cs="宋体" w:eastAsia="宋体" w:hint="default"/>
                <w:sz w:val="18"/>
                <w:szCs w:val="18"/>
              </w:rPr>
            </w:pPr>
            <w:r>
              <w:rPr>
                <w:rFonts w:ascii="宋体" w:hAnsi="宋体" w:cs="宋体" w:eastAsia="宋体" w:hint="default"/>
                <w:sz w:val="18"/>
                <w:szCs w:val="18"/>
              </w:rPr>
              <w:t>三农综合信息服务平台示范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运营课题</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65,991.94</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65,991.94</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851" w:hRule="exact"/>
        </w:trPr>
        <w:tc>
          <w:tcPr>
            <w:tcW w:w="239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93" w:right="100"/>
              <w:jc w:val="both"/>
              <w:rPr>
                <w:rFonts w:ascii="宋体" w:hAnsi="宋体" w:cs="宋体" w:eastAsia="宋体" w:hint="default"/>
                <w:sz w:val="18"/>
                <w:szCs w:val="18"/>
              </w:rPr>
            </w:pPr>
            <w:r>
              <w:rPr>
                <w:rFonts w:ascii="宋体" w:hAnsi="宋体" w:cs="宋体" w:eastAsia="宋体" w:hint="default"/>
                <w:sz w:val="18"/>
                <w:szCs w:val="18"/>
              </w:rPr>
              <w:t>江苏省财政厅、江苏省科学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技术奖励 </w:t>
            </w:r>
            <w:r>
              <w:rPr>
                <w:rFonts w:ascii="宋体" w:hAnsi="宋体" w:cs="宋体" w:eastAsia="宋体" w:hint="default"/>
                <w:sz w:val="18"/>
                <w:szCs w:val="18"/>
              </w:rPr>
              <w:t>2012</w:t>
            </w:r>
            <w:r>
              <w:rPr>
                <w:rFonts w:ascii="宋体" w:hAnsi="宋体" w:cs="宋体" w:eastAsia="宋体" w:hint="default"/>
                <w:spacing w:val="13"/>
                <w:sz w:val="18"/>
                <w:szCs w:val="18"/>
              </w:rPr>
              <w:t> </w:t>
            </w:r>
            <w:r>
              <w:rPr>
                <w:rFonts w:ascii="宋体" w:hAnsi="宋体" w:cs="宋体" w:eastAsia="宋体" w:hint="default"/>
                <w:sz w:val="18"/>
                <w:szCs w:val="18"/>
              </w:rPr>
              <w:t>年度省级科 技创新与成果转化专项引导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资金</w:t>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676,937.88</w:t>
            </w:r>
          </w:p>
        </w:tc>
        <w:tc>
          <w:tcPr>
            <w:tcW w:w="1302" w:type="dxa"/>
            <w:tcBorders>
              <w:top w:val="single" w:sz="4" w:space="0" w:color="000000"/>
              <w:left w:val="single" w:sz="4" w:space="0" w:color="000000"/>
              <w:bottom w:val="single" w:sz="12" w:space="0" w:color="000000"/>
              <w:right w:val="single" w:sz="4" w:space="0" w:color="000000"/>
            </w:tcBorders>
          </w:tcPr>
          <w:p>
            <w:pP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52,218.80</w:t>
            </w:r>
          </w:p>
        </w:tc>
        <w:tc>
          <w:tcPr>
            <w:tcW w:w="687" w:type="dxa"/>
            <w:tcBorders>
              <w:top w:val="single" w:sz="4" w:space="0" w:color="000000"/>
              <w:left w:val="single" w:sz="4" w:space="0" w:color="000000"/>
              <w:bottom w:val="single" w:sz="12" w:space="0" w:color="000000"/>
              <w:right w:val="single" w:sz="4" w:space="0" w:color="000000"/>
            </w:tcBorders>
          </w:tcPr>
          <w:p>
            <w:pP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624,719.08</w:t>
            </w:r>
          </w:p>
        </w:tc>
        <w:tc>
          <w:tcPr>
            <w:tcW w:w="13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0" w:footer="1266" w:top="1160" w:bottom="1460" w:left="980" w:right="0"/>
        </w:sectPr>
      </w:pPr>
    </w:p>
    <w:p>
      <w:pPr>
        <w:spacing w:line="240" w:lineRule="auto" w:before="4"/>
        <w:rPr>
          <w:rFonts w:ascii="Times New Roman" w:hAnsi="Times New Roman" w:cs="Times New Roman" w:eastAsia="Times New Roman"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395"/>
        <w:gridCol w:w="1359"/>
        <w:gridCol w:w="1302"/>
        <w:gridCol w:w="1259"/>
        <w:gridCol w:w="687"/>
        <w:gridCol w:w="1272"/>
        <w:gridCol w:w="1331"/>
      </w:tblGrid>
      <w:tr>
        <w:trPr>
          <w:trHeight w:val="724" w:hRule="exact"/>
        </w:trPr>
        <w:tc>
          <w:tcPr>
            <w:tcW w:w="239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4"/>
              <w:jc w:val="left"/>
              <w:rPr>
                <w:rFonts w:ascii="宋体" w:hAnsi="宋体" w:cs="宋体" w:eastAsia="宋体" w:hint="default"/>
                <w:sz w:val="18"/>
                <w:szCs w:val="18"/>
              </w:rPr>
            </w:pPr>
            <w:r>
              <w:rPr>
                <w:rFonts w:ascii="宋体" w:hAnsi="宋体" w:cs="宋体" w:eastAsia="宋体" w:hint="default"/>
                <w:sz w:val="18"/>
                <w:szCs w:val="18"/>
              </w:rPr>
              <w:t>智能卡云服务平台研发与示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范项目</w:t>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27,535.77</w:t>
            </w:r>
          </w:p>
        </w:tc>
        <w:tc>
          <w:tcPr>
            <w:tcW w:w="1302" w:type="dxa"/>
            <w:tcBorders>
              <w:top w:val="single" w:sz="12" w:space="0" w:color="000000"/>
              <w:left w:val="single" w:sz="4" w:space="0" w:color="000000"/>
              <w:bottom w:val="single" w:sz="4" w:space="0" w:color="000000"/>
              <w:right w:val="single" w:sz="4" w:space="0" w:color="000000"/>
            </w:tcBorders>
          </w:tcPr>
          <w:p>
            <w:pP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27,535.77</w:t>
            </w:r>
          </w:p>
        </w:tc>
        <w:tc>
          <w:tcPr>
            <w:tcW w:w="687" w:type="dxa"/>
            <w:tcBorders>
              <w:top w:val="single" w:sz="12" w:space="0" w:color="000000"/>
              <w:left w:val="single" w:sz="4" w:space="0" w:color="000000"/>
              <w:bottom w:val="single" w:sz="4" w:space="0" w:color="000000"/>
              <w:right w:val="single" w:sz="4" w:space="0" w:color="000000"/>
            </w:tcBorders>
          </w:tcPr>
          <w:p>
            <w:pPr/>
          </w:p>
        </w:tc>
        <w:tc>
          <w:tcPr>
            <w:tcW w:w="1272" w:type="dxa"/>
            <w:tcBorders>
              <w:top w:val="single" w:sz="12" w:space="0" w:color="000000"/>
              <w:left w:val="single" w:sz="4" w:space="0" w:color="000000"/>
              <w:bottom w:val="single" w:sz="4" w:space="0" w:color="000000"/>
              <w:right w:val="single" w:sz="4" w:space="0" w:color="000000"/>
            </w:tcBorders>
          </w:tcPr>
          <w:p>
            <w:pPr/>
          </w:p>
        </w:tc>
        <w:tc>
          <w:tcPr>
            <w:tcW w:w="13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4"/>
              <w:jc w:val="left"/>
              <w:rPr>
                <w:rFonts w:ascii="宋体" w:hAnsi="宋体" w:cs="宋体" w:eastAsia="宋体" w:hint="default"/>
                <w:sz w:val="18"/>
                <w:szCs w:val="18"/>
              </w:rPr>
            </w:pPr>
            <w:r>
              <w:rPr>
                <w:rFonts w:ascii="宋体" w:hAnsi="宋体" w:cs="宋体" w:eastAsia="宋体" w:hint="default"/>
                <w:sz w:val="18"/>
                <w:szCs w:val="18"/>
              </w:rPr>
              <w:t>安全可靠环境下的工具集项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24,586.37</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1,975,413.63</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93" w:right="102"/>
              <w:jc w:val="left"/>
              <w:rPr>
                <w:rFonts w:ascii="宋体" w:hAnsi="宋体" w:cs="宋体" w:eastAsia="宋体" w:hint="default"/>
                <w:sz w:val="18"/>
                <w:szCs w:val="18"/>
              </w:rPr>
            </w:pPr>
            <w:r>
              <w:rPr>
                <w:rFonts w:ascii="宋体" w:hAnsi="宋体" w:cs="宋体" w:eastAsia="宋体" w:hint="default"/>
                <w:sz w:val="18"/>
                <w:szCs w:val="18"/>
              </w:rPr>
              <w:t>信息技术服务运行维护第</w:t>
            </w:r>
            <w:r>
              <w:rPr>
                <w:rFonts w:ascii="宋体" w:hAnsi="宋体" w:cs="宋体" w:eastAsia="宋体" w:hint="default"/>
                <w:spacing w:val="13"/>
                <w:sz w:val="18"/>
                <w:szCs w:val="18"/>
              </w:rPr>
              <w:t> </w:t>
            </w:r>
            <w:r>
              <w:rPr>
                <w:rFonts w:ascii="宋体" w:hAnsi="宋体" w:cs="宋体" w:eastAsia="宋体" w:hint="default"/>
                <w:sz w:val="18"/>
                <w:szCs w:val="18"/>
              </w:rPr>
              <w:t>2</w:t>
            </w:r>
            <w:r>
              <w:rPr>
                <w:rFonts w:ascii="宋体" w:hAnsi="宋体" w:cs="宋体" w:eastAsia="宋体" w:hint="default"/>
                <w:spacing w:val="-88"/>
                <w:sz w:val="18"/>
                <w:szCs w:val="18"/>
              </w:rPr>
              <w:t> </w:t>
            </w:r>
            <w:r>
              <w:rPr>
                <w:rFonts w:ascii="宋体" w:hAnsi="宋体" w:cs="宋体" w:eastAsia="宋体" w:hint="default"/>
                <w:sz w:val="18"/>
                <w:szCs w:val="18"/>
              </w:rPr>
              <w:t>部分：交付规范</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445.8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445.8</w:t>
            </w: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5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z w:val="18"/>
                <w:szCs w:val="18"/>
              </w:rPr>
              <w:t>面向智慧城市的云计算中心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业务支撑平台研发及产业化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11,027,698.48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11,027,698.48</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4"/>
              <w:jc w:val="left"/>
              <w:rPr>
                <w:rFonts w:ascii="宋体" w:hAnsi="宋体" w:cs="宋体" w:eastAsia="宋体" w:hint="default"/>
                <w:sz w:val="18"/>
                <w:szCs w:val="18"/>
              </w:rPr>
            </w:pPr>
            <w:r>
              <w:rPr>
                <w:rFonts w:ascii="宋体" w:hAnsi="宋体" w:cs="宋体" w:eastAsia="宋体" w:hint="default"/>
                <w:sz w:val="18"/>
                <w:szCs w:val="18"/>
              </w:rPr>
              <w:t>云计算中间件北京市工程实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验室</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5,104,813.54</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5,104,813.54</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5"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158"/>
              <w:ind w:left="93" w:right="104"/>
              <w:jc w:val="left"/>
              <w:rPr>
                <w:rFonts w:ascii="宋体" w:hAnsi="宋体" w:cs="宋体" w:eastAsia="宋体" w:hint="default"/>
                <w:sz w:val="18"/>
                <w:szCs w:val="18"/>
              </w:rPr>
            </w:pPr>
            <w:r>
              <w:rPr>
                <w:rFonts w:ascii="宋体" w:hAnsi="宋体" w:cs="宋体" w:eastAsia="宋体" w:hint="default"/>
                <w:sz w:val="18"/>
                <w:szCs w:val="18"/>
              </w:rPr>
              <w:t>行业应用支撑平台的云计算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环境适应性改造</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241,000.00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241,000.00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50"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z w:val="18"/>
                <w:szCs w:val="18"/>
              </w:rPr>
              <w:t>智慧城市公共技术资源开放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共享与协作服务平台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248,400.00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248,400.00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26"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158"/>
              <w:ind w:left="93" w:right="104"/>
              <w:jc w:val="left"/>
              <w:rPr>
                <w:rFonts w:ascii="宋体" w:hAnsi="宋体" w:cs="宋体" w:eastAsia="宋体" w:hint="default"/>
                <w:sz w:val="18"/>
                <w:szCs w:val="18"/>
              </w:rPr>
            </w:pPr>
            <w:r>
              <w:rPr>
                <w:rFonts w:ascii="宋体" w:hAnsi="宋体" w:cs="宋体" w:eastAsia="宋体" w:hint="default"/>
                <w:sz w:val="18"/>
                <w:szCs w:val="18"/>
              </w:rPr>
              <w:t>海淀园自主创新和产业发展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专项基金项目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100,000.00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100,000.00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51"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93" w:right="104"/>
              <w:jc w:val="left"/>
              <w:rPr>
                <w:rFonts w:ascii="宋体" w:hAnsi="宋体" w:cs="宋体" w:eastAsia="宋体" w:hint="default"/>
                <w:sz w:val="18"/>
                <w:szCs w:val="18"/>
              </w:rPr>
            </w:pPr>
            <w:r>
              <w:rPr>
                <w:rFonts w:ascii="宋体" w:hAnsi="宋体" w:cs="宋体" w:eastAsia="宋体" w:hint="default"/>
                <w:sz w:val="18"/>
                <w:szCs w:val="18"/>
              </w:rPr>
              <w:t>以人为中心的信息惠民公共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服务平台建设及产业化项目</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4"/>
              <w:jc w:val="left"/>
              <w:rPr>
                <w:rFonts w:ascii="宋体" w:hAnsi="宋体" w:cs="宋体" w:eastAsia="宋体" w:hint="default"/>
                <w:sz w:val="18"/>
                <w:szCs w:val="18"/>
              </w:rPr>
            </w:pPr>
            <w:r>
              <w:rPr>
                <w:rFonts w:ascii="宋体" w:hAnsi="宋体" w:cs="宋体" w:eastAsia="宋体" w:hint="default"/>
                <w:sz w:val="18"/>
                <w:szCs w:val="18"/>
              </w:rPr>
              <w:t>吉林省省级粮食生产发展专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项资金</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7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93" w:right="104"/>
              <w:jc w:val="both"/>
              <w:rPr>
                <w:rFonts w:ascii="宋体" w:hAnsi="宋体" w:cs="宋体" w:eastAsia="宋体" w:hint="default"/>
                <w:sz w:val="18"/>
                <w:szCs w:val="18"/>
              </w:rPr>
            </w:pPr>
            <w:r>
              <w:rPr>
                <w:rFonts w:ascii="宋体" w:hAnsi="宋体" w:cs="宋体" w:eastAsia="宋体" w:hint="default"/>
                <w:sz w:val="18"/>
                <w:szCs w:val="18"/>
              </w:rPr>
              <w:t>构件化应用服务器技术在市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民卡运营平台中应用实践和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产业化推广</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4"/>
              <w:jc w:val="left"/>
              <w:rPr>
                <w:rFonts w:ascii="宋体" w:hAnsi="宋体" w:cs="宋体" w:eastAsia="宋体" w:hint="default"/>
                <w:sz w:val="18"/>
                <w:szCs w:val="18"/>
              </w:rPr>
            </w:pPr>
            <w:r>
              <w:rPr>
                <w:rFonts w:ascii="宋体" w:hAnsi="宋体" w:cs="宋体" w:eastAsia="宋体" w:hint="default"/>
                <w:sz w:val="18"/>
                <w:szCs w:val="18"/>
              </w:rPr>
              <w:t>进口食品风险管理及溯源平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台</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1"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9"/>
              <w:ind w:left="93" w:right="92"/>
              <w:jc w:val="left"/>
              <w:rPr>
                <w:rFonts w:ascii="宋体" w:hAnsi="宋体" w:cs="宋体" w:eastAsia="宋体" w:hint="default"/>
                <w:sz w:val="18"/>
                <w:szCs w:val="18"/>
              </w:rPr>
            </w:pPr>
            <w:r>
              <w:rPr>
                <w:rFonts w:ascii="宋体" w:hAnsi="宋体" w:cs="宋体" w:eastAsia="宋体" w:hint="default"/>
                <w:spacing w:val="9"/>
                <w:sz w:val="18"/>
                <w:szCs w:val="18"/>
              </w:rPr>
              <w:t>智慧教育“云</w:t>
            </w:r>
            <w:r>
              <w:rPr>
                <w:rFonts w:ascii="宋体" w:hAnsi="宋体" w:cs="宋体" w:eastAsia="宋体" w:hint="default"/>
                <w:spacing w:val="9"/>
                <w:sz w:val="18"/>
                <w:szCs w:val="18"/>
              </w:rPr>
              <w:t>+</w:t>
            </w:r>
            <w:r>
              <w:rPr>
                <w:rFonts w:ascii="宋体" w:hAnsi="宋体" w:cs="宋体" w:eastAsia="宋体" w:hint="default"/>
                <w:spacing w:val="9"/>
                <w:sz w:val="18"/>
                <w:szCs w:val="18"/>
              </w:rPr>
              <w:t>端”学习平 </w:t>
            </w:r>
            <w:r>
              <w:rPr>
                <w:rFonts w:ascii="宋体" w:hAnsi="宋体" w:cs="宋体" w:eastAsia="宋体" w:hint="default"/>
                <w:sz w:val="18"/>
                <w:szCs w:val="18"/>
              </w:rPr>
              <w:t>台</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200,000.00</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56" w:hRule="exact"/>
        </w:trPr>
        <w:tc>
          <w:tcPr>
            <w:tcW w:w="239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9" w:lineRule="auto"/>
              <w:ind w:left="93" w:right="101"/>
              <w:jc w:val="left"/>
              <w:rPr>
                <w:rFonts w:ascii="宋体" w:hAnsi="宋体" w:cs="宋体" w:eastAsia="宋体" w:hint="default"/>
                <w:sz w:val="18"/>
                <w:szCs w:val="18"/>
              </w:rPr>
            </w:pPr>
            <w:r>
              <w:rPr>
                <w:rFonts w:ascii="宋体" w:hAnsi="宋体" w:cs="宋体" w:eastAsia="宋体" w:hint="default"/>
                <w:sz w:val="18"/>
                <w:szCs w:val="18"/>
              </w:rPr>
              <w:t>信息系统</w:t>
            </w:r>
            <w:r>
              <w:rPr>
                <w:rFonts w:ascii="宋体" w:hAnsi="宋体" w:cs="宋体" w:eastAsia="宋体" w:hint="default"/>
                <w:sz w:val="18"/>
                <w:szCs w:val="18"/>
              </w:rPr>
              <w:t>(</w:t>
            </w:r>
            <w:r>
              <w:rPr>
                <w:rFonts w:ascii="宋体" w:hAnsi="宋体" w:cs="宋体" w:eastAsia="宋体" w:hint="default"/>
                <w:sz w:val="18"/>
                <w:szCs w:val="18"/>
              </w:rPr>
              <w:t>金融</w:t>
            </w:r>
            <w:r>
              <w:rPr>
                <w:rFonts w:ascii="宋体" w:hAnsi="宋体" w:cs="宋体" w:eastAsia="宋体" w:hint="default"/>
                <w:sz w:val="18"/>
                <w:szCs w:val="18"/>
              </w:rPr>
              <w:t>)</w:t>
            </w:r>
            <w:r>
              <w:rPr>
                <w:rFonts w:ascii="宋体" w:hAnsi="宋体" w:cs="宋体" w:eastAsia="宋体" w:hint="default"/>
                <w:sz w:val="18"/>
                <w:szCs w:val="18"/>
              </w:rPr>
              <w:t>运行维护支</w:t>
            </w:r>
            <w:r>
              <w:rPr>
                <w:rFonts w:ascii="宋体" w:hAnsi="宋体" w:cs="宋体" w:eastAsia="宋体" w:hint="default"/>
                <w:spacing w:val="-76"/>
                <w:sz w:val="18"/>
                <w:szCs w:val="18"/>
              </w:rPr>
              <w:t> </w:t>
            </w:r>
            <w:r>
              <w:rPr>
                <w:rFonts w:ascii="宋体" w:hAnsi="宋体" w:cs="宋体" w:eastAsia="宋体" w:hint="default"/>
                <w:sz w:val="18"/>
                <w:szCs w:val="18"/>
              </w:rPr>
              <w:t>持系统研发及产业化</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404,153.35</w:t>
            </w:r>
          </w:p>
        </w:tc>
        <w:tc>
          <w:tcPr>
            <w:tcW w:w="130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404,153.35</w:t>
            </w:r>
          </w:p>
        </w:tc>
        <w:tc>
          <w:tcPr>
            <w:tcW w:w="13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239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32,006,084.72</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39,469,000.00</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24,771,126.00</w:t>
            </w:r>
          </w:p>
        </w:tc>
        <w:tc>
          <w:tcPr>
            <w:tcW w:w="687" w:type="dxa"/>
            <w:tcBorders>
              <w:top w:val="single" w:sz="4" w:space="0" w:color="000000"/>
              <w:left w:val="single" w:sz="4" w:space="0" w:color="000000"/>
              <w:bottom w:val="single" w:sz="12" w:space="0" w:color="000000"/>
              <w:right w:val="single" w:sz="4" w:space="0" w:color="000000"/>
            </w:tcBorders>
          </w:tcPr>
          <w:p>
            <w:pP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46,703,958.72</w:t>
            </w:r>
          </w:p>
        </w:tc>
        <w:tc>
          <w:tcPr>
            <w:tcW w:w="13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1266" w:top="1160" w:bottom="1460" w:left="980" w:right="0"/>
        </w:sectPr>
      </w:pPr>
    </w:p>
    <w:p>
      <w:pPr>
        <w:spacing w:line="240" w:lineRule="auto" w:before="1"/>
        <w:rPr>
          <w:rFonts w:ascii="Times New Roman" w:hAnsi="Times New Roman" w:cs="Times New Roman" w:eastAsia="Times New Roman" w:hint="default"/>
          <w:sz w:val="20"/>
          <w:szCs w:val="20"/>
        </w:rPr>
      </w:pPr>
    </w:p>
    <w:p>
      <w:pPr>
        <w:pStyle w:val="Heading6"/>
        <w:spacing w:line="240" w:lineRule="auto" w:before="35"/>
        <w:ind w:right="1135"/>
        <w:jc w:val="left"/>
        <w:rPr>
          <w:b w:val="0"/>
          <w:bCs w:val="0"/>
        </w:rPr>
      </w:pPr>
      <w:bookmarkStart w:name="30、股本" w:id="272"/>
      <w:bookmarkEnd w:id="272"/>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35"/>
        <w:gridCol w:w="1568"/>
        <w:gridCol w:w="826"/>
        <w:gridCol w:w="658"/>
        <w:gridCol w:w="1596"/>
        <w:gridCol w:w="714"/>
        <w:gridCol w:w="1568"/>
        <w:gridCol w:w="1540"/>
      </w:tblGrid>
      <w:tr>
        <w:trPr>
          <w:trHeight w:val="475" w:hRule="exact"/>
        </w:trPr>
        <w:tc>
          <w:tcPr>
            <w:tcW w:w="1135" w:type="dxa"/>
            <w:vMerge w:val="restart"/>
            <w:tcBorders>
              <w:top w:val="single" w:sz="12" w:space="0" w:color="000000"/>
              <w:left w:val="single" w:sz="12" w:space="0" w:color="000000"/>
              <w:right w:val="single" w:sz="4" w:space="0" w:color="000000"/>
            </w:tcBorders>
            <w:shd w:val="clear" w:color="auto" w:fill="D9D9D9"/>
          </w:tcPr>
          <w:p>
            <w:pPr/>
          </w:p>
        </w:tc>
        <w:tc>
          <w:tcPr>
            <w:tcW w:w="1568"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79"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5361" w:type="dxa"/>
            <w:gridSpan w:val="5"/>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626" w:right="0"/>
              <w:jc w:val="left"/>
              <w:rPr>
                <w:rFonts w:ascii="宋体" w:hAnsi="宋体" w:cs="宋体" w:eastAsia="宋体" w:hint="default"/>
                <w:sz w:val="20"/>
                <w:szCs w:val="20"/>
              </w:rPr>
            </w:pPr>
            <w:r>
              <w:rPr>
                <w:rFonts w:ascii="宋体" w:hAnsi="宋体" w:cs="宋体" w:eastAsia="宋体" w:hint="default"/>
                <w:sz w:val="20"/>
                <w:szCs w:val="20"/>
              </w:rPr>
              <w:t>本次变动增减（</w:t>
            </w:r>
            <w:r>
              <w:rPr>
                <w:rFonts w:ascii="宋体" w:hAnsi="宋体" w:cs="宋体" w:eastAsia="宋体" w:hint="default"/>
                <w:sz w:val="20"/>
                <w:szCs w:val="20"/>
              </w:rPr>
              <w:t>+</w:t>
            </w:r>
            <w:r>
              <w:rPr>
                <w:rFonts w:ascii="宋体" w:hAnsi="宋体" w:cs="宋体" w:eastAsia="宋体" w:hint="default"/>
                <w:sz w:val="20"/>
                <w:szCs w:val="20"/>
              </w:rPr>
              <w:t>、—）</w:t>
            </w:r>
          </w:p>
        </w:tc>
        <w:tc>
          <w:tcPr>
            <w:tcW w:w="1540"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64"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714" w:hRule="exact"/>
        </w:trPr>
        <w:tc>
          <w:tcPr>
            <w:tcW w:w="1135" w:type="dxa"/>
            <w:vMerge/>
            <w:tcBorders>
              <w:left w:val="single" w:sz="12" w:space="0" w:color="000000"/>
              <w:bottom w:val="single" w:sz="4" w:space="0" w:color="000000"/>
              <w:right w:val="single" w:sz="4" w:space="0" w:color="000000"/>
            </w:tcBorders>
            <w:shd w:val="clear" w:color="auto" w:fill="D9D9D9"/>
          </w:tcPr>
          <w:p>
            <w:pPr/>
          </w:p>
        </w:tc>
        <w:tc>
          <w:tcPr>
            <w:tcW w:w="1568" w:type="dxa"/>
            <w:vMerge/>
            <w:tcBorders>
              <w:left w:val="single" w:sz="4" w:space="0" w:color="000000"/>
              <w:bottom w:val="single" w:sz="4" w:space="0" w:color="000000"/>
              <w:right w:val="single" w:sz="4" w:space="0" w:color="000000"/>
            </w:tcBorders>
            <w:shd w:val="clear" w:color="auto" w:fill="D9D9D9"/>
          </w:tcPr>
          <w:p>
            <w:pPr/>
          </w:p>
        </w:tc>
        <w:tc>
          <w:tcPr>
            <w:tcW w:w="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307" w:right="104" w:hanging="200"/>
              <w:jc w:val="left"/>
              <w:rPr>
                <w:rFonts w:ascii="宋体" w:hAnsi="宋体" w:cs="宋体" w:eastAsia="宋体" w:hint="default"/>
                <w:sz w:val="20"/>
                <w:szCs w:val="20"/>
              </w:rPr>
            </w:pPr>
            <w:r>
              <w:rPr>
                <w:rFonts w:ascii="宋体" w:hAnsi="宋体" w:cs="宋体" w:eastAsia="宋体" w:hint="default"/>
                <w:sz w:val="20"/>
                <w:szCs w:val="20"/>
              </w:rPr>
              <w:t>发行新</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20"/>
                <w:szCs w:val="20"/>
              </w:rPr>
            </w:pPr>
            <w:r>
              <w:rPr>
                <w:rFonts w:ascii="宋体" w:hAnsi="宋体" w:cs="宋体" w:eastAsia="宋体" w:hint="default"/>
                <w:sz w:val="20"/>
                <w:szCs w:val="20"/>
              </w:rPr>
              <w:t>送股</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公积金转股</w:t>
            </w:r>
          </w:p>
        </w:tc>
        <w:tc>
          <w:tcPr>
            <w:tcW w:w="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540" w:type="dxa"/>
            <w:vMerge/>
            <w:tcBorders>
              <w:left w:val="single" w:sz="4" w:space="0" w:color="000000"/>
              <w:bottom w:val="single" w:sz="4" w:space="0" w:color="000000"/>
              <w:right w:val="single" w:sz="12" w:space="0" w:color="000000"/>
            </w:tcBorders>
            <w:shd w:val="clear" w:color="auto" w:fill="D9D9D9"/>
          </w:tcPr>
          <w:p>
            <w:pPr/>
          </w:p>
        </w:tc>
      </w:tr>
      <w:tr>
        <w:trPr>
          <w:trHeight w:val="473" w:hRule="exact"/>
        </w:trPr>
        <w:tc>
          <w:tcPr>
            <w:tcW w:w="113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股份总数</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31" w:right="0"/>
              <w:jc w:val="left"/>
              <w:rPr>
                <w:rFonts w:ascii="Times New Roman" w:hAnsi="Times New Roman" w:cs="Times New Roman" w:eastAsia="Times New Roman" w:hint="default"/>
                <w:sz w:val="18"/>
                <w:szCs w:val="18"/>
              </w:rPr>
            </w:pPr>
            <w:r>
              <w:rPr>
                <w:rFonts w:ascii="Times New Roman"/>
                <w:sz w:val="18"/>
              </w:rPr>
              <w:t>458,905,958.00</w:t>
            </w:r>
          </w:p>
        </w:tc>
        <w:tc>
          <w:tcPr>
            <w:tcW w:w="826" w:type="dxa"/>
            <w:tcBorders>
              <w:top w:val="single" w:sz="4" w:space="0" w:color="000000"/>
              <w:left w:val="single" w:sz="4" w:space="0" w:color="000000"/>
              <w:bottom w:val="single" w:sz="12" w:space="0" w:color="000000"/>
              <w:right w:val="single" w:sz="4" w:space="0" w:color="000000"/>
            </w:tcBorders>
          </w:tcPr>
          <w:p>
            <w:pPr/>
          </w:p>
        </w:tc>
        <w:tc>
          <w:tcPr>
            <w:tcW w:w="658" w:type="dxa"/>
            <w:tcBorders>
              <w:top w:val="single" w:sz="4" w:space="0" w:color="000000"/>
              <w:left w:val="single" w:sz="4" w:space="0" w:color="000000"/>
              <w:bottom w:val="single" w:sz="12" w:space="0" w:color="000000"/>
              <w:right w:val="single" w:sz="4" w:space="0" w:color="000000"/>
            </w:tcBorders>
          </w:tcPr>
          <w:p>
            <w:pP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57" w:right="0"/>
              <w:jc w:val="left"/>
              <w:rPr>
                <w:rFonts w:ascii="Times New Roman" w:hAnsi="Times New Roman" w:cs="Times New Roman" w:eastAsia="Times New Roman" w:hint="default"/>
                <w:sz w:val="18"/>
                <w:szCs w:val="18"/>
              </w:rPr>
            </w:pPr>
            <w:r>
              <w:rPr>
                <w:rFonts w:ascii="Times New Roman"/>
                <w:sz w:val="18"/>
              </w:rPr>
              <w:t>458,905,958.00</w:t>
            </w:r>
          </w:p>
        </w:tc>
        <w:tc>
          <w:tcPr>
            <w:tcW w:w="714" w:type="dxa"/>
            <w:tcBorders>
              <w:top w:val="single" w:sz="4" w:space="0" w:color="000000"/>
              <w:left w:val="single" w:sz="4" w:space="0" w:color="000000"/>
              <w:bottom w:val="single" w:sz="12" w:space="0" w:color="000000"/>
              <w:right w:val="single" w:sz="4" w:space="0" w:color="000000"/>
            </w:tcBorders>
          </w:tcPr>
          <w:p>
            <w:pP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330" w:right="0"/>
              <w:jc w:val="left"/>
              <w:rPr>
                <w:rFonts w:ascii="Times New Roman" w:hAnsi="Times New Roman" w:cs="Times New Roman" w:eastAsia="Times New Roman" w:hint="default"/>
                <w:sz w:val="18"/>
                <w:szCs w:val="18"/>
              </w:rPr>
            </w:pPr>
            <w:r>
              <w:rPr>
                <w:rFonts w:ascii="Times New Roman"/>
                <w:sz w:val="18"/>
              </w:rPr>
              <w:t>458,905,958.00</w:t>
            </w:r>
          </w:p>
        </w:tc>
        <w:tc>
          <w:tcPr>
            <w:tcW w:w="15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308" w:right="0"/>
              <w:jc w:val="left"/>
              <w:rPr>
                <w:rFonts w:ascii="Times New Roman" w:hAnsi="Times New Roman" w:cs="Times New Roman" w:eastAsia="Times New Roman" w:hint="default"/>
                <w:sz w:val="18"/>
                <w:szCs w:val="18"/>
              </w:rPr>
            </w:pPr>
            <w:r>
              <w:rPr>
                <w:rFonts w:ascii="Times New Roman"/>
                <w:sz w:val="18"/>
              </w:rPr>
              <w:t>917,811,916.00</w:t>
            </w:r>
          </w:p>
        </w:tc>
      </w:tr>
    </w:tbl>
    <w:p>
      <w:pPr>
        <w:spacing w:line="240" w:lineRule="auto" w:before="2"/>
        <w:rPr>
          <w:rFonts w:ascii="宋体" w:hAnsi="宋体" w:cs="宋体" w:eastAsia="宋体" w:hint="default"/>
          <w:sz w:val="14"/>
          <w:szCs w:val="14"/>
        </w:rPr>
      </w:pPr>
    </w:p>
    <w:p>
      <w:pPr>
        <w:pStyle w:val="Heading5"/>
        <w:spacing w:line="240" w:lineRule="auto" w:before="31"/>
        <w:ind w:right="1135"/>
        <w:jc w:val="left"/>
      </w:pPr>
      <w:r>
        <w:rPr/>
        <w:t>本年股本变动情况，详见本附注三、公司基本情况所述。</w:t>
      </w:r>
    </w:p>
    <w:p>
      <w:pPr>
        <w:spacing w:line="240" w:lineRule="auto" w:before="6"/>
        <w:rPr>
          <w:rFonts w:ascii="宋体" w:hAnsi="宋体" w:cs="宋体" w:eastAsia="宋体" w:hint="default"/>
          <w:sz w:val="25"/>
          <w:szCs w:val="25"/>
        </w:rPr>
      </w:pPr>
    </w:p>
    <w:p>
      <w:pPr>
        <w:pStyle w:val="Heading6"/>
        <w:spacing w:line="240" w:lineRule="auto"/>
        <w:ind w:left="153" w:right="1135"/>
        <w:jc w:val="left"/>
        <w:rPr>
          <w:b w:val="0"/>
          <w:bCs w:val="0"/>
        </w:rPr>
      </w:pPr>
      <w:bookmarkStart w:name="31、资本公积" w:id="273"/>
      <w:bookmarkEnd w:id="273"/>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153.740005pt;margin-top:45.471729pt;width:93.35pt;height:19.650pt;mso-position-horizontal-relative:page;mso-position-vertical-relative:paragraph;z-index:-1050760" coordorigin="3075,909" coordsize="1867,393">
            <v:shape style="position:absolute;left:3075;top:909;width:1867;height:393" coordorigin="3075,909" coordsize="1867,393" path="m3075,1302l4941,1302,4941,909,3075,909,3075,1302xe" filled="true" fillcolor="#ffffff" stroked="false">
              <v:path arrowok="t"/>
              <v:fill type="solid"/>
            </v:shape>
            <w10:wrap type="none"/>
          </v:group>
        </w:pict>
      </w:r>
      <w:r>
        <w:rPr>
          <w:rFonts w:ascii="宋体" w:hAnsi="宋体" w:cs="宋体" w:eastAsia="宋体" w:hint="default"/>
          <w:sz w:val="18"/>
          <w:szCs w:val="18"/>
        </w:rPr>
        <w:t>单位：元</w:t>
      </w:r>
    </w:p>
    <w:p>
      <w:pPr>
        <w:spacing w:line="240" w:lineRule="auto" w:before="8"/>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913"/>
        <w:gridCol w:w="283"/>
        <w:gridCol w:w="1640"/>
        <w:gridCol w:w="1924"/>
        <w:gridCol w:w="1923"/>
        <w:gridCol w:w="1923"/>
      </w:tblGrid>
      <w:tr>
        <w:trPr>
          <w:trHeight w:val="427" w:hRule="exact"/>
        </w:trPr>
        <w:tc>
          <w:tcPr>
            <w:tcW w:w="19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0"/>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923"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6"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5"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2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5"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2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0"/>
              <w:ind w:left="555"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64" w:hRule="exact"/>
        </w:trPr>
        <w:tc>
          <w:tcPr>
            <w:tcW w:w="1913" w:type="dxa"/>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pacing w:val="-6"/>
                <w:sz w:val="20"/>
                <w:szCs w:val="20"/>
              </w:rPr>
              <w:t>资本溢价（股本溢价</w:t>
            </w:r>
          </w:p>
        </w:tc>
        <w:tc>
          <w:tcPr>
            <w:tcW w:w="283"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66"/>
              <w:ind w:left="-146"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6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211" w:right="0"/>
              <w:jc w:val="left"/>
              <w:rPr>
                <w:rFonts w:ascii="Times New Roman" w:hAnsi="Times New Roman" w:cs="Times New Roman" w:eastAsia="Times New Roman" w:hint="default"/>
                <w:sz w:val="20"/>
                <w:szCs w:val="20"/>
              </w:rPr>
            </w:pPr>
            <w:r>
              <w:rPr>
                <w:rFonts w:ascii="Times New Roman"/>
                <w:sz w:val="20"/>
              </w:rPr>
              <w:t>1,576,097,653.42</w:t>
            </w:r>
          </w:p>
        </w:tc>
        <w:tc>
          <w:tcPr>
            <w:tcW w:w="1924"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458,905,958.00</w:t>
            </w:r>
          </w:p>
        </w:tc>
        <w:tc>
          <w:tcPr>
            <w:tcW w:w="19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1,117,191,695.42</w:t>
            </w:r>
          </w:p>
        </w:tc>
      </w:tr>
      <w:tr>
        <w:trPr>
          <w:trHeight w:val="463" w:hRule="exact"/>
        </w:trPr>
        <w:tc>
          <w:tcPr>
            <w:tcW w:w="19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9" w:right="0"/>
              <w:jc w:val="left"/>
              <w:rPr>
                <w:rFonts w:ascii="Times New Roman" w:hAnsi="Times New Roman" w:cs="Times New Roman" w:eastAsia="Times New Roman" w:hint="default"/>
                <w:sz w:val="20"/>
                <w:szCs w:val="20"/>
              </w:rPr>
            </w:pPr>
            <w:r>
              <w:rPr>
                <w:rFonts w:ascii="Times New Roman"/>
                <w:sz w:val="20"/>
              </w:rPr>
              <w:t>231,089.36</w:t>
            </w:r>
          </w:p>
        </w:tc>
        <w:tc>
          <w:tcPr>
            <w:tcW w:w="1924"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55,836.79</w:t>
            </w:r>
          </w:p>
        </w:tc>
        <w:tc>
          <w:tcPr>
            <w:tcW w:w="19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175,252.57</w:t>
            </w:r>
          </w:p>
        </w:tc>
      </w:tr>
      <w:tr>
        <w:trPr>
          <w:trHeight w:val="475"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23"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89" w:right="0"/>
              <w:jc w:val="left"/>
              <w:rPr>
                <w:rFonts w:ascii="Times New Roman" w:hAnsi="Times New Roman" w:cs="Times New Roman" w:eastAsia="Times New Roman" w:hint="default"/>
                <w:sz w:val="20"/>
                <w:szCs w:val="20"/>
              </w:rPr>
            </w:pPr>
            <w:r>
              <w:rPr>
                <w:rFonts w:ascii="Times New Roman"/>
                <w:sz w:val="20"/>
              </w:rPr>
              <w:t>1,576,328,742.78</w:t>
            </w:r>
          </w:p>
        </w:tc>
        <w:tc>
          <w:tcPr>
            <w:tcW w:w="1924" w:type="dxa"/>
            <w:tcBorders>
              <w:top w:val="single" w:sz="4" w:space="0" w:color="000000"/>
              <w:left w:val="single" w:sz="4" w:space="0" w:color="000000"/>
              <w:bottom w:val="single" w:sz="12" w:space="0" w:color="000000"/>
              <w:right w:val="single" w:sz="4" w:space="0" w:color="000000"/>
            </w:tcBorders>
          </w:tcPr>
          <w:p>
            <w:pPr/>
          </w:p>
        </w:tc>
        <w:tc>
          <w:tcPr>
            <w:tcW w:w="19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458,961,794.79</w:t>
            </w:r>
          </w:p>
        </w:tc>
        <w:tc>
          <w:tcPr>
            <w:tcW w:w="19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1,117,366,947.99</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2、其他综合收益" w:id="274"/>
      <w:bookmarkEnd w:id="274"/>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878"/>
        <w:gridCol w:w="1315"/>
        <w:gridCol w:w="1344"/>
        <w:gridCol w:w="994"/>
        <w:gridCol w:w="700"/>
        <w:gridCol w:w="1246"/>
        <w:gridCol w:w="785"/>
        <w:gridCol w:w="1329"/>
      </w:tblGrid>
      <w:tr>
        <w:trPr>
          <w:trHeight w:val="443" w:hRule="exact"/>
        </w:trPr>
        <w:tc>
          <w:tcPr>
            <w:tcW w:w="1878"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315"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68" w:type="dxa"/>
            <w:gridSpan w:val="5"/>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29"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66" w:hRule="exact"/>
        </w:trPr>
        <w:tc>
          <w:tcPr>
            <w:tcW w:w="1878" w:type="dxa"/>
            <w:vMerge/>
            <w:tcBorders>
              <w:left w:val="single" w:sz="12" w:space="0" w:color="000000"/>
              <w:bottom w:val="single" w:sz="4" w:space="0" w:color="000000"/>
              <w:right w:val="single" w:sz="4" w:space="0" w:color="000000"/>
            </w:tcBorders>
            <w:shd w:val="clear" w:color="auto" w:fill="D9D9D9"/>
          </w:tcPr>
          <w:p>
            <w:pPr/>
          </w:p>
        </w:tc>
        <w:tc>
          <w:tcPr>
            <w:tcW w:w="1315" w:type="dxa"/>
            <w:vMerge/>
            <w:tcBorders>
              <w:left w:val="single" w:sz="4" w:space="0" w:color="000000"/>
              <w:bottom w:val="single" w:sz="4" w:space="0" w:color="000000"/>
              <w:right w:val="single" w:sz="4" w:space="0" w:color="000000"/>
            </w:tcBorders>
            <w:shd w:val="clear" w:color="auto" w:fill="D9D9D9"/>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397" w:right="125"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131" w:right="131"/>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3"/>
              <w:ind w:left="164" w:right="101" w:hanging="62"/>
              <w:jc w:val="left"/>
              <w:rPr>
                <w:rFonts w:ascii="宋体" w:hAnsi="宋体" w:cs="宋体" w:eastAsia="宋体" w:hint="default"/>
                <w:sz w:val="18"/>
                <w:szCs w:val="18"/>
              </w:rPr>
            </w:pPr>
            <w:r>
              <w:rPr>
                <w:rFonts w:ascii="宋体" w:hAnsi="宋体" w:cs="宋体" w:eastAsia="宋体" w:hint="default"/>
                <w:spacing w:val="-19"/>
                <w:sz w:val="18"/>
                <w:szCs w:val="18"/>
              </w:rPr>
              <w:t>减：所</w:t>
            </w:r>
            <w:r>
              <w:rPr>
                <w:rFonts w:ascii="宋体" w:hAnsi="宋体" w:cs="宋体" w:eastAsia="宋体" w:hint="default"/>
                <w:sz w:val="18"/>
                <w:szCs w:val="18"/>
              </w:rPr>
              <w:t> 得税 费用</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347" w:right="16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3"/>
              <w:ind w:left="116" w:right="11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329" w:type="dxa"/>
            <w:vMerge/>
            <w:tcBorders>
              <w:left w:val="single" w:sz="4" w:space="0" w:color="000000"/>
              <w:bottom w:val="single" w:sz="4" w:space="0" w:color="000000"/>
              <w:right w:val="single" w:sz="12" w:space="0" w:color="000000"/>
            </w:tcBorders>
            <w:shd w:val="clear" w:color="auto" w:fill="D9D9D9"/>
          </w:tcPr>
          <w:p>
            <w:pPr/>
          </w:p>
        </w:tc>
      </w:tr>
      <w:tr>
        <w:trPr>
          <w:trHeight w:val="1026" w:hRule="exact"/>
        </w:trPr>
        <w:tc>
          <w:tcPr>
            <w:tcW w:w="18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both"/>
              <w:rPr>
                <w:rFonts w:ascii="宋体" w:hAnsi="宋体" w:cs="宋体" w:eastAsia="宋体" w:hint="default"/>
                <w:sz w:val="18"/>
                <w:szCs w:val="18"/>
              </w:rPr>
            </w:pPr>
            <w:r>
              <w:rPr>
                <w:rFonts w:ascii="宋体" w:hAnsi="宋体" w:cs="宋体" w:eastAsia="宋体" w:hint="default"/>
                <w:spacing w:val="3"/>
                <w:sz w:val="18"/>
                <w:szCs w:val="18"/>
              </w:rPr>
              <w:t>一、以后不能重分类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进损益的其他综合收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8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left"/>
              <w:rPr>
                <w:rFonts w:ascii="宋体" w:hAnsi="宋体" w:cs="宋体" w:eastAsia="宋体" w:hint="default"/>
                <w:sz w:val="18"/>
                <w:szCs w:val="18"/>
              </w:rPr>
            </w:pPr>
            <w:r>
              <w:rPr>
                <w:rFonts w:ascii="宋体" w:hAnsi="宋体" w:cs="宋体" w:eastAsia="宋体" w:hint="default"/>
                <w:spacing w:val="3"/>
                <w:sz w:val="18"/>
                <w:szCs w:val="18"/>
              </w:rPr>
              <w:t>二、以后将重分类进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损益的其他综合收益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69,885,193.50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-3,593,126.92</w:t>
            </w:r>
          </w:p>
        </w:tc>
        <w:tc>
          <w:tcPr>
            <w:tcW w:w="99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-3,593,126.92</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66,292,066.58</w:t>
            </w:r>
          </w:p>
        </w:tc>
      </w:tr>
      <w:tr>
        <w:trPr>
          <w:trHeight w:val="1338" w:hRule="exact"/>
        </w:trPr>
        <w:tc>
          <w:tcPr>
            <w:tcW w:w="18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both"/>
              <w:rPr>
                <w:rFonts w:ascii="宋体" w:hAnsi="宋体" w:cs="宋体" w:eastAsia="宋体" w:hint="default"/>
                <w:sz w:val="18"/>
                <w:szCs w:val="18"/>
              </w:rPr>
            </w:pPr>
            <w:r>
              <w:rPr>
                <w:rFonts w:ascii="宋体" w:hAnsi="宋体" w:cs="宋体" w:eastAsia="宋体" w:hint="default"/>
                <w:spacing w:val="3"/>
                <w:sz w:val="18"/>
                <w:szCs w:val="18"/>
              </w:rPr>
              <w:t>其中：权益法下在被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投资单位以后将重分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类进损益的其他综合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收益中享有的份额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-3,351,419.48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139,213.31</w:t>
            </w:r>
          </w:p>
        </w:tc>
        <w:tc>
          <w:tcPr>
            <w:tcW w:w="99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139,213.31</w:t>
            </w:r>
          </w:p>
        </w:tc>
        <w:tc>
          <w:tcPr>
            <w:tcW w:w="785"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-3,212,206.17</w:t>
            </w:r>
          </w:p>
        </w:tc>
      </w:tr>
      <w:tr>
        <w:trPr>
          <w:trHeight w:val="724" w:hRule="exact"/>
        </w:trPr>
        <w:tc>
          <w:tcPr>
            <w:tcW w:w="187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319" w:lineRule="auto" w:before="51"/>
              <w:ind w:left="93" w:right="102" w:firstLine="554"/>
              <w:jc w:val="left"/>
              <w:rPr>
                <w:rFonts w:ascii="宋体" w:hAnsi="宋体" w:cs="宋体" w:eastAsia="宋体" w:hint="default"/>
                <w:sz w:val="18"/>
                <w:szCs w:val="18"/>
              </w:rPr>
            </w:pPr>
            <w:r>
              <w:rPr>
                <w:rFonts w:ascii="宋体" w:hAnsi="宋体" w:cs="宋体" w:eastAsia="宋体" w:hint="default"/>
                <w:spacing w:val="3"/>
                <w:sz w:val="18"/>
                <w:szCs w:val="18"/>
              </w:rPr>
              <w:t>外币财务报表</w:t>
            </w:r>
            <w:r>
              <w:rPr>
                <w:rFonts w:ascii="宋体" w:hAnsi="宋体" w:cs="宋体" w:eastAsia="宋体" w:hint="default"/>
                <w:sz w:val="18"/>
                <w:szCs w:val="18"/>
              </w:rPr>
              <w:t> 折算差额</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73,236,612.98</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-3,732,340.23</w:t>
            </w:r>
          </w:p>
        </w:tc>
        <w:tc>
          <w:tcPr>
            <w:tcW w:w="994" w:type="dxa"/>
            <w:tcBorders>
              <w:top w:val="single" w:sz="4" w:space="0" w:color="000000"/>
              <w:left w:val="single" w:sz="4" w:space="0" w:color="000000"/>
              <w:bottom w:val="single" w:sz="12" w:space="0" w:color="000000"/>
              <w:right w:val="single" w:sz="4" w:space="0" w:color="000000"/>
            </w:tcBorders>
          </w:tcPr>
          <w:p>
            <w:pPr/>
          </w:p>
        </w:tc>
        <w:tc>
          <w:tcPr>
            <w:tcW w:w="700"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-3,732,340.23</w:t>
            </w:r>
          </w:p>
        </w:tc>
        <w:tc>
          <w:tcPr>
            <w:tcW w:w="785" w:type="dxa"/>
            <w:tcBorders>
              <w:top w:val="single" w:sz="4" w:space="0" w:color="000000"/>
              <w:left w:val="single" w:sz="4" w:space="0" w:color="000000"/>
              <w:bottom w:val="single" w:sz="12" w:space="0" w:color="000000"/>
              <w:right w:val="single" w:sz="4" w:space="0" w:color="000000"/>
            </w:tcBorders>
          </w:tcPr>
          <w:p>
            <w:pPr/>
          </w:p>
        </w:tc>
        <w:tc>
          <w:tcPr>
            <w:tcW w:w="13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69,504,272.75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1878"/>
        <w:gridCol w:w="1315"/>
        <w:gridCol w:w="1344"/>
        <w:gridCol w:w="994"/>
        <w:gridCol w:w="700"/>
        <w:gridCol w:w="1246"/>
        <w:gridCol w:w="785"/>
        <w:gridCol w:w="1329"/>
      </w:tblGrid>
      <w:tr>
        <w:trPr>
          <w:trHeight w:val="650" w:hRule="exact"/>
        </w:trPr>
        <w:tc>
          <w:tcPr>
            <w:tcW w:w="1878" w:type="dxa"/>
            <w:tcBorders>
              <w:top w:val="single" w:sz="12"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1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69,885,193.50</w:t>
            </w:r>
          </w:p>
        </w:tc>
        <w:tc>
          <w:tcPr>
            <w:tcW w:w="13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-3,593,126.92</w:t>
            </w:r>
          </w:p>
        </w:tc>
        <w:tc>
          <w:tcPr>
            <w:tcW w:w="994" w:type="dxa"/>
            <w:tcBorders>
              <w:top w:val="single" w:sz="12" w:space="0" w:color="000000"/>
              <w:left w:val="single" w:sz="4" w:space="0" w:color="000000"/>
              <w:bottom w:val="single" w:sz="12" w:space="0" w:color="000000"/>
              <w:right w:val="single" w:sz="4" w:space="0" w:color="000000"/>
            </w:tcBorders>
          </w:tcPr>
          <w:p>
            <w:pPr/>
          </w:p>
        </w:tc>
        <w:tc>
          <w:tcPr>
            <w:tcW w:w="700" w:type="dxa"/>
            <w:tcBorders>
              <w:top w:val="single" w:sz="12" w:space="0" w:color="000000"/>
              <w:left w:val="single" w:sz="4" w:space="0" w:color="000000"/>
              <w:bottom w:val="single" w:sz="12" w:space="0" w:color="000000"/>
              <w:right w:val="single" w:sz="4" w:space="0" w:color="000000"/>
            </w:tcBorders>
          </w:tcPr>
          <w:p>
            <w:pPr/>
          </w:p>
        </w:tc>
        <w:tc>
          <w:tcPr>
            <w:tcW w:w="12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-3,593,126.92</w:t>
            </w:r>
          </w:p>
        </w:tc>
        <w:tc>
          <w:tcPr>
            <w:tcW w:w="785" w:type="dxa"/>
            <w:tcBorders>
              <w:top w:val="single" w:sz="12" w:space="0" w:color="000000"/>
              <w:left w:val="single" w:sz="4" w:space="0" w:color="000000"/>
              <w:bottom w:val="single" w:sz="12" w:space="0" w:color="000000"/>
              <w:right w:val="single" w:sz="4" w:space="0" w:color="000000"/>
            </w:tcBorders>
          </w:tcPr>
          <w:p>
            <w:pPr/>
          </w:p>
        </w:tc>
        <w:tc>
          <w:tcPr>
            <w:tcW w:w="1329"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66,292,066.58</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3、盈余公积" w:id="275"/>
      <w:bookmarkEnd w:id="275"/>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473" w:hRule="exact"/>
        </w:trPr>
        <w:tc>
          <w:tcPr>
            <w:tcW w:w="19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9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55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55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9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550"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9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550"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464" w:hRule="exact"/>
        </w:trPr>
        <w:tc>
          <w:tcPr>
            <w:tcW w:w="19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91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0"/>
                <w:szCs w:val="20"/>
              </w:rPr>
            </w:pPr>
            <w:r>
              <w:rPr>
                <w:rFonts w:ascii="Times New Roman"/>
                <w:spacing w:val="-1"/>
                <w:sz w:val="20"/>
              </w:rPr>
              <w:t>10,062,793.78</w:t>
            </w:r>
          </w:p>
        </w:tc>
        <w:tc>
          <w:tcPr>
            <w:tcW w:w="191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0"/>
                <w:szCs w:val="20"/>
              </w:rPr>
            </w:pPr>
            <w:r>
              <w:rPr>
                <w:rFonts w:ascii="Times New Roman"/>
                <w:spacing w:val="-1"/>
                <w:sz w:val="20"/>
              </w:rPr>
              <w:t>10,333,962.33</w:t>
            </w:r>
          </w:p>
        </w:tc>
        <w:tc>
          <w:tcPr>
            <w:tcW w:w="1914" w:type="dxa"/>
            <w:tcBorders>
              <w:top w:val="single" w:sz="16" w:space="0" w:color="D2D2D2"/>
              <w:left w:val="single" w:sz="4" w:space="0" w:color="000000"/>
              <w:bottom w:val="single" w:sz="4" w:space="0" w:color="000000"/>
              <w:right w:val="single" w:sz="4" w:space="0" w:color="000000"/>
            </w:tcBorders>
          </w:tcPr>
          <w:p>
            <w:pPr/>
          </w:p>
        </w:tc>
        <w:tc>
          <w:tcPr>
            <w:tcW w:w="1913"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96"/>
              <w:ind w:right="10"/>
              <w:jc w:val="right"/>
              <w:rPr>
                <w:rFonts w:ascii="Times New Roman" w:hAnsi="Times New Roman" w:cs="Times New Roman" w:eastAsia="Times New Roman" w:hint="default"/>
                <w:sz w:val="20"/>
                <w:szCs w:val="20"/>
              </w:rPr>
            </w:pPr>
            <w:r>
              <w:rPr>
                <w:rFonts w:ascii="Times New Roman"/>
                <w:spacing w:val="-1"/>
                <w:sz w:val="20"/>
              </w:rPr>
              <w:t>20,396,756.11</w:t>
            </w:r>
          </w:p>
        </w:tc>
      </w:tr>
      <w:tr>
        <w:trPr>
          <w:trHeight w:val="473"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10,062,793.78</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10,333,962.33</w:t>
            </w:r>
          </w:p>
        </w:tc>
        <w:tc>
          <w:tcPr>
            <w:tcW w:w="1914"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20,396,756.11</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4、未分配利润" w:id="276"/>
      <w:bookmarkEnd w:id="276"/>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26"/>
        <w:gridCol w:w="2925"/>
        <w:gridCol w:w="2918"/>
      </w:tblGrid>
      <w:tr>
        <w:trPr>
          <w:trHeight w:val="458" w:hRule="exact"/>
        </w:trPr>
        <w:tc>
          <w:tcPr>
            <w:tcW w:w="372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29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本期</w:t>
            </w:r>
          </w:p>
        </w:tc>
        <w:tc>
          <w:tcPr>
            <w:tcW w:w="291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1" w:right="0"/>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480"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调整前上期末未分配利润</w:t>
            </w:r>
          </w:p>
        </w:tc>
        <w:tc>
          <w:tcPr>
            <w:tcW w:w="292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814,699,309.20</w:t>
            </w:r>
          </w:p>
        </w:tc>
        <w:tc>
          <w:tcPr>
            <w:tcW w:w="291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542,908,224.61</w:t>
            </w:r>
          </w:p>
        </w:tc>
      </w:tr>
      <w:tr>
        <w:trPr>
          <w:trHeight w:val="463"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814,699,309.20</w:t>
            </w:r>
          </w:p>
        </w:tc>
        <w:tc>
          <w:tcPr>
            <w:tcW w:w="29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542,908,224.61</w:t>
            </w:r>
          </w:p>
        </w:tc>
      </w:tr>
      <w:tr>
        <w:trPr>
          <w:trHeight w:val="464"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350,620,327.31</w:t>
            </w:r>
          </w:p>
        </w:tc>
        <w:tc>
          <w:tcPr>
            <w:tcW w:w="29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279,531,140.01</w:t>
            </w:r>
          </w:p>
        </w:tc>
      </w:tr>
      <w:tr>
        <w:trPr>
          <w:trHeight w:val="465"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10,333,962.33</w:t>
            </w:r>
          </w:p>
        </w:tc>
        <w:tc>
          <w:tcPr>
            <w:tcW w:w="29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7,740,055.42</w:t>
            </w:r>
          </w:p>
        </w:tc>
      </w:tr>
      <w:tr>
        <w:trPr>
          <w:trHeight w:val="463"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414"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27,534,357.48</w:t>
            </w:r>
          </w:p>
        </w:tc>
        <w:tc>
          <w:tcPr>
            <w:tcW w:w="291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372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2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1,127,451,316.70</w:t>
            </w:r>
          </w:p>
        </w:tc>
        <w:tc>
          <w:tcPr>
            <w:tcW w:w="29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814,699,309.20</w:t>
            </w:r>
          </w:p>
        </w:tc>
      </w:tr>
    </w:tbl>
    <w:p>
      <w:pPr>
        <w:spacing w:line="240" w:lineRule="auto" w:before="3"/>
        <w:rPr>
          <w:rFonts w:ascii="宋体" w:hAnsi="宋体" w:cs="宋体" w:eastAsia="宋体" w:hint="default"/>
          <w:sz w:val="5"/>
          <w:szCs w:val="5"/>
        </w:rPr>
      </w:pPr>
    </w:p>
    <w:p>
      <w:pPr>
        <w:pStyle w:val="BodyText"/>
        <w:spacing w:line="444" w:lineRule="auto" w:before="35"/>
        <w:ind w:left="154" w:right="2459"/>
        <w:jc w:val="left"/>
      </w:pPr>
      <w:r>
        <w:rPr/>
        <w:t>调整期初未分配利润明细： </w:t>
      </w:r>
      <w:r>
        <w:rPr>
          <w:rFonts w:ascii="宋体" w:hAnsi="宋体" w:cs="宋体" w:eastAsia="宋体" w:hint="default"/>
          <w:spacing w:val="-3"/>
        </w:rPr>
        <w:t>1</w:t>
      </w:r>
      <w:r>
        <w:rPr>
          <w:spacing w:val="-3"/>
        </w:rPr>
        <w:t>）、由于《企业会计准则》及其相关新规定进行追溯调整，影响期初未分配利润</w:t>
      </w:r>
      <w:r>
        <w:rPr>
          <w:spacing w:val="-51"/>
        </w:rPr>
        <w:t> </w:t>
      </w:r>
      <w:r>
        <w:rPr>
          <w:rFonts w:ascii="宋体" w:hAnsi="宋体" w:cs="宋体" w:eastAsia="宋体" w:hint="default"/>
        </w:rPr>
        <w:t>0.00</w:t>
      </w:r>
      <w:r>
        <w:rPr>
          <w:rFonts w:ascii="宋体" w:hAnsi="宋体" w:cs="宋体" w:eastAsia="宋体" w:hint="default"/>
          <w:spacing w:val="-53"/>
        </w:rPr>
        <w:t> </w:t>
      </w:r>
      <w:r>
        <w:rPr/>
        <w:t>元。</w:t>
      </w:r>
    </w:p>
    <w:p>
      <w:pPr>
        <w:pStyle w:val="BodyText"/>
        <w:spacing w:line="240" w:lineRule="auto" w:before="54"/>
        <w:ind w:left="154" w:right="1135"/>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2"/>
        <w:rPr>
          <w:rFonts w:ascii="宋体" w:hAnsi="宋体" w:cs="宋体" w:eastAsia="宋体" w:hint="default"/>
          <w:sz w:val="17"/>
          <w:szCs w:val="17"/>
        </w:rPr>
      </w:pPr>
    </w:p>
    <w:p>
      <w:pPr>
        <w:pStyle w:val="BodyText"/>
        <w:spacing w:line="240" w:lineRule="auto"/>
        <w:ind w:right="1135"/>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7"/>
          <w:szCs w:val="17"/>
        </w:rPr>
      </w:pPr>
    </w:p>
    <w:p>
      <w:pPr>
        <w:pStyle w:val="BodyText"/>
        <w:spacing w:line="240" w:lineRule="auto"/>
        <w:ind w:right="1135"/>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6"/>
        <w:spacing w:line="240" w:lineRule="auto" w:before="152"/>
        <w:ind w:right="1135"/>
        <w:jc w:val="left"/>
        <w:rPr>
          <w:b w:val="0"/>
          <w:bCs w:val="0"/>
        </w:rPr>
      </w:pPr>
      <w:bookmarkStart w:name="35、营业收入和营业成本" w:id="277"/>
      <w:bookmarkEnd w:id="277"/>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63" w:hRule="exact"/>
        </w:trPr>
        <w:tc>
          <w:tcPr>
            <w:tcW w:w="191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3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828"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0"/>
              <w:ind w:left="1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196" w:hRule="exact"/>
        </w:trPr>
        <w:tc>
          <w:tcPr>
            <w:tcW w:w="1913"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3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1913" w:type="dxa"/>
            <w:vMerge/>
            <w:tcBorders>
              <w:left w:val="single" w:sz="12"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收入</w:t>
            </w:r>
          </w:p>
        </w:tc>
        <w:tc>
          <w:tcPr>
            <w:tcW w:w="191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66"/>
              <w:ind w:left="9" w:right="0"/>
              <w:jc w:val="center"/>
              <w:rPr>
                <w:rFonts w:ascii="宋体" w:hAnsi="宋体" w:cs="宋体" w:eastAsia="宋体" w:hint="default"/>
                <w:sz w:val="20"/>
                <w:szCs w:val="20"/>
              </w:rPr>
            </w:pPr>
            <w:r>
              <w:rPr>
                <w:rFonts w:ascii="宋体" w:hAnsi="宋体" w:cs="宋体" w:eastAsia="宋体" w:hint="default"/>
                <w:sz w:val="20"/>
                <w:szCs w:val="20"/>
              </w:rPr>
              <w:t>成本</w:t>
            </w:r>
          </w:p>
        </w:tc>
      </w:tr>
      <w:tr>
        <w:trPr>
          <w:trHeight w:val="253" w:hRule="exact"/>
        </w:trPr>
        <w:tc>
          <w:tcPr>
            <w:tcW w:w="191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12" w:space="0" w:color="000000"/>
            </w:tcBorders>
            <w:shd w:val="clear" w:color="auto" w:fill="D2D2D2"/>
          </w:tcPr>
          <w:p>
            <w:pPr/>
          </w:p>
        </w:tc>
      </w:tr>
      <w:tr>
        <w:trPr>
          <w:trHeight w:val="489"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917" w:type="dxa"/>
            <w:tcBorders>
              <w:top w:val="single" w:sz="12" w:space="0" w:color="D2D2D2"/>
              <w:left w:val="single" w:sz="13" w:space="0" w:color="D2D2D2"/>
              <w:bottom w:val="single" w:sz="12" w:space="0" w:color="000000"/>
              <w:right w:val="single" w:sz="4" w:space="0" w:color="000000"/>
            </w:tcBorders>
          </w:tcPr>
          <w:p>
            <w:pPr>
              <w:pStyle w:val="TableParagraph"/>
              <w:spacing w:line="240" w:lineRule="auto" w:before="117"/>
              <w:ind w:left="472" w:right="0"/>
              <w:jc w:val="left"/>
              <w:rPr>
                <w:rFonts w:ascii="Times New Roman" w:hAnsi="Times New Roman" w:cs="Times New Roman" w:eastAsia="Times New Roman" w:hint="default"/>
                <w:sz w:val="20"/>
                <w:szCs w:val="20"/>
              </w:rPr>
            </w:pPr>
            <w:r>
              <w:rPr>
                <w:rFonts w:ascii="Times New Roman"/>
                <w:sz w:val="20"/>
              </w:rPr>
              <w:t>6,712,855,174.91</w:t>
            </w:r>
          </w:p>
        </w:tc>
        <w:tc>
          <w:tcPr>
            <w:tcW w:w="1914"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17"/>
              <w:ind w:left="480" w:right="0"/>
              <w:jc w:val="left"/>
              <w:rPr>
                <w:rFonts w:ascii="Times New Roman" w:hAnsi="Times New Roman" w:cs="Times New Roman" w:eastAsia="Times New Roman" w:hint="default"/>
                <w:sz w:val="20"/>
                <w:szCs w:val="20"/>
              </w:rPr>
            </w:pPr>
            <w:r>
              <w:rPr>
                <w:rFonts w:ascii="Times New Roman"/>
                <w:sz w:val="20"/>
              </w:rPr>
              <w:t>5,326,162,954.82</w:t>
            </w:r>
          </w:p>
        </w:tc>
        <w:tc>
          <w:tcPr>
            <w:tcW w:w="1914" w:type="dxa"/>
            <w:tcBorders>
              <w:top w:val="single" w:sz="12" w:space="0" w:color="D2D2D2"/>
              <w:left w:val="single" w:sz="4" w:space="0" w:color="000000"/>
              <w:bottom w:val="single" w:sz="12" w:space="0" w:color="000000"/>
              <w:right w:val="single" w:sz="4" w:space="0" w:color="000000"/>
            </w:tcBorders>
          </w:tcPr>
          <w:p>
            <w:pPr>
              <w:pStyle w:val="TableParagraph"/>
              <w:spacing w:line="240" w:lineRule="auto" w:before="117"/>
              <w:ind w:left="480" w:right="0"/>
              <w:jc w:val="left"/>
              <w:rPr>
                <w:rFonts w:ascii="Times New Roman" w:hAnsi="Times New Roman" w:cs="Times New Roman" w:eastAsia="Times New Roman" w:hint="default"/>
                <w:sz w:val="20"/>
                <w:szCs w:val="20"/>
              </w:rPr>
            </w:pPr>
            <w:r>
              <w:rPr>
                <w:rFonts w:ascii="Times New Roman"/>
                <w:sz w:val="20"/>
              </w:rPr>
              <w:t>6,559,007,918.00</w:t>
            </w:r>
          </w:p>
        </w:tc>
        <w:tc>
          <w:tcPr>
            <w:tcW w:w="1913" w:type="dxa"/>
            <w:tcBorders>
              <w:top w:val="single" w:sz="12" w:space="0" w:color="D2D2D2"/>
              <w:left w:val="single" w:sz="4" w:space="0" w:color="000000"/>
              <w:bottom w:val="single" w:sz="12" w:space="0" w:color="000000"/>
              <w:right w:val="single" w:sz="12" w:space="0" w:color="000000"/>
            </w:tcBorders>
          </w:tcPr>
          <w:p>
            <w:pPr>
              <w:pStyle w:val="TableParagraph"/>
              <w:spacing w:line="240" w:lineRule="auto" w:before="117"/>
              <w:ind w:left="480" w:right="0"/>
              <w:jc w:val="left"/>
              <w:rPr>
                <w:rFonts w:ascii="Times New Roman" w:hAnsi="Times New Roman" w:cs="Times New Roman" w:eastAsia="Times New Roman" w:hint="default"/>
                <w:sz w:val="20"/>
                <w:szCs w:val="20"/>
              </w:rPr>
            </w:pPr>
            <w:r>
              <w:rPr>
                <w:rFonts w:ascii="Times New Roman"/>
                <w:sz w:val="20"/>
              </w:rPr>
              <w:t>5,357,409,536.95</w:t>
            </w:r>
          </w:p>
        </w:tc>
      </w:tr>
    </w:tbl>
    <w:p>
      <w:pPr>
        <w:spacing w:after="0" w:line="240" w:lineRule="auto"/>
        <w:jc w:val="lef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473" w:hRule="exact"/>
        </w:trPr>
        <w:tc>
          <w:tcPr>
            <w:tcW w:w="19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19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598.29</w:t>
            </w:r>
          </w:p>
        </w:tc>
        <w:tc>
          <w:tcPr>
            <w:tcW w:w="1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341.88</w:t>
            </w:r>
          </w:p>
        </w:tc>
        <w:tc>
          <w:tcPr>
            <w:tcW w:w="1914" w:type="dxa"/>
            <w:tcBorders>
              <w:top w:val="single" w:sz="12" w:space="0" w:color="000000"/>
              <w:left w:val="single" w:sz="4" w:space="0" w:color="000000"/>
              <w:bottom w:val="single" w:sz="4" w:space="0" w:color="000000"/>
              <w:right w:val="single" w:sz="4" w:space="0" w:color="000000"/>
            </w:tcBorders>
          </w:tcPr>
          <w:p>
            <w:pPr/>
          </w:p>
        </w:tc>
        <w:tc>
          <w:tcPr>
            <w:tcW w:w="1913" w:type="dxa"/>
            <w:tcBorders>
              <w:top w:val="single" w:sz="12" w:space="0" w:color="000000"/>
              <w:left w:val="single" w:sz="4" w:space="0" w:color="000000"/>
              <w:bottom w:val="single" w:sz="4" w:space="0" w:color="000000"/>
              <w:right w:val="single" w:sz="12" w:space="0" w:color="000000"/>
            </w:tcBorders>
          </w:tcPr>
          <w:p>
            <w:pPr/>
          </w:p>
        </w:tc>
      </w:tr>
      <w:tr>
        <w:trPr>
          <w:trHeight w:val="475" w:hRule="exact"/>
        </w:trPr>
        <w:tc>
          <w:tcPr>
            <w:tcW w:w="19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6,712,855,773.20</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5,326,163,296.70</w:t>
            </w:r>
          </w:p>
        </w:tc>
        <w:tc>
          <w:tcPr>
            <w:tcW w:w="1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79" w:right="0"/>
              <w:jc w:val="left"/>
              <w:rPr>
                <w:rFonts w:ascii="Times New Roman" w:hAnsi="Times New Roman" w:cs="Times New Roman" w:eastAsia="Times New Roman" w:hint="default"/>
                <w:sz w:val="20"/>
                <w:szCs w:val="20"/>
              </w:rPr>
            </w:pPr>
            <w:r>
              <w:rPr>
                <w:rFonts w:ascii="Times New Roman"/>
                <w:sz w:val="20"/>
              </w:rPr>
              <w:t>6,559,007,918.00</w:t>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left="480" w:right="0"/>
              <w:jc w:val="left"/>
              <w:rPr>
                <w:rFonts w:ascii="Times New Roman" w:hAnsi="Times New Roman" w:cs="Times New Roman" w:eastAsia="Times New Roman" w:hint="default"/>
                <w:sz w:val="20"/>
                <w:szCs w:val="20"/>
              </w:rPr>
            </w:pPr>
            <w:r>
              <w:rPr>
                <w:rFonts w:ascii="Times New Roman"/>
                <w:sz w:val="20"/>
              </w:rPr>
              <w:t>5,357,409,536.95</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36、营业税金及附加" w:id="278"/>
      <w:bookmarkEnd w:id="278"/>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9"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19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335,670.96</w:t>
            </w:r>
          </w:p>
        </w:tc>
        <w:tc>
          <w:tcPr>
            <w:tcW w:w="318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690,822.54</w:t>
            </w:r>
          </w:p>
        </w:tc>
      </w:tr>
      <w:tr>
        <w:trPr>
          <w:trHeight w:val="464" w:hRule="exact"/>
        </w:trPr>
        <w:tc>
          <w:tcPr>
            <w:tcW w:w="3188" w:type="dxa"/>
            <w:tcBorders>
              <w:top w:val="single" w:sz="4"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10,899,868.23</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13,744,609.79</w:t>
            </w:r>
          </w:p>
        </w:tc>
      </w:tr>
      <w:tr>
        <w:trPr>
          <w:trHeight w:val="464" w:hRule="exact"/>
        </w:trPr>
        <w:tc>
          <w:tcPr>
            <w:tcW w:w="3188"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4,704,382.19</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5,885,342.46</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3,211,534.50</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3,923,561.62</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8,690.46</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3188" w:type="dxa"/>
            <w:tcBorders>
              <w:top w:val="single" w:sz="16" w:space="0" w:color="D9D9D9"/>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19,160,146.34</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24,244,336.41</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7、销售费用" w:id="279"/>
      <w:bookmarkEnd w:id="279"/>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3"/>
        <w:gridCol w:w="3190"/>
        <w:gridCol w:w="3332"/>
      </w:tblGrid>
      <w:tr>
        <w:trPr>
          <w:trHeight w:val="44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4"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333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8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3190"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3"/>
              <w:ind w:right="29"/>
              <w:jc w:val="right"/>
              <w:rPr>
                <w:rFonts w:ascii="Times New Roman" w:hAnsi="Times New Roman" w:cs="Times New Roman" w:eastAsia="Times New Roman" w:hint="default"/>
                <w:sz w:val="20"/>
                <w:szCs w:val="20"/>
              </w:rPr>
            </w:pPr>
            <w:r>
              <w:rPr>
                <w:rFonts w:ascii="Times New Roman"/>
                <w:spacing w:val="-1"/>
                <w:sz w:val="20"/>
              </w:rPr>
              <w:t>192,041,774.53</w:t>
            </w:r>
          </w:p>
        </w:tc>
        <w:tc>
          <w:tcPr>
            <w:tcW w:w="3332"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207,278,991.96</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Times New Roman" w:hAnsi="Times New Roman" w:cs="Times New Roman" w:eastAsia="Times New Roman" w:hint="default"/>
                <w:sz w:val="20"/>
                <w:szCs w:val="20"/>
              </w:rPr>
            </w:pPr>
            <w:r>
              <w:rPr>
                <w:rFonts w:ascii="Times New Roman"/>
                <w:spacing w:val="-1"/>
                <w:sz w:val="20"/>
              </w:rPr>
              <w:t>11,653,989.58</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15,614,817.41</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9,485,856.58</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9,520,011.39</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57,698,679.60</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34,707,969.76</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20,873,271.05</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5,183,905.42</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43,759,306.25</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37,564,474.10</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48,555,736.08</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50,929,195.24</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2,329,594.31</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1,065,789.64</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9,597,912.97</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16,759,288.10</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投标保函费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16,069,301.85</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10,164,033.10</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运输及仓储费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21,527,186.14</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15,120,641.66</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2,088,341.99</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2,577,078.92</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6,661,000.04</w:t>
            </w:r>
          </w:p>
        </w:tc>
        <w:tc>
          <w:tcPr>
            <w:tcW w:w="33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13,590,672.76</w:t>
            </w:r>
          </w:p>
        </w:tc>
      </w:tr>
      <w:tr>
        <w:trPr>
          <w:trHeight w:val="475"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442,341,950.97</w:t>
            </w:r>
          </w:p>
        </w:tc>
        <w:tc>
          <w:tcPr>
            <w:tcW w:w="33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420,076,869.46</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38、管理费用" w:id="280"/>
      <w:bookmarkEnd w:id="280"/>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3"/>
        <w:gridCol w:w="3268"/>
        <w:gridCol w:w="3267"/>
      </w:tblGrid>
      <w:tr>
        <w:trPr>
          <w:trHeight w:val="444"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6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26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3268"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0"/>
                <w:szCs w:val="20"/>
              </w:rPr>
            </w:pPr>
            <w:r>
              <w:rPr>
                <w:rFonts w:ascii="Times New Roman"/>
                <w:spacing w:val="-1"/>
                <w:sz w:val="20"/>
              </w:rPr>
              <w:t>254,733,068.55</w:t>
            </w:r>
          </w:p>
        </w:tc>
        <w:tc>
          <w:tcPr>
            <w:tcW w:w="3267"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right="89"/>
              <w:jc w:val="right"/>
              <w:rPr>
                <w:rFonts w:ascii="Times New Roman" w:hAnsi="Times New Roman" w:cs="Times New Roman" w:eastAsia="Times New Roman" w:hint="default"/>
                <w:sz w:val="20"/>
                <w:szCs w:val="20"/>
              </w:rPr>
            </w:pPr>
            <w:r>
              <w:rPr>
                <w:rFonts w:ascii="Times New Roman"/>
                <w:spacing w:val="-1"/>
                <w:sz w:val="20"/>
              </w:rPr>
              <w:t>229,992,617.45</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12,431,954.07</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3,374,179.05</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房租物业费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7,347,841.61</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691,331.15</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38,066,884.21</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30,864,155.76</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办公及通讯费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10,897,957.60</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6,395,106.11</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技术协作费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12,582,862.22</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31,595,595.68</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21,460,042.22</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21,886,103.95</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中介费用</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11,706,295.22</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16,742,900.17</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10,681,030.98</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9,200,086.91</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107,769,700.75</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87,479,995.70</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23,155,459.57</w:t>
            </w:r>
          </w:p>
        </w:tc>
        <w:tc>
          <w:tcPr>
            <w:tcW w:w="32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23,805,663.55</w:t>
            </w:r>
          </w:p>
        </w:tc>
      </w:tr>
      <w:tr>
        <w:trPr>
          <w:trHeight w:val="475"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510,833,097.00</w:t>
            </w:r>
          </w:p>
        </w:tc>
        <w:tc>
          <w:tcPr>
            <w:tcW w:w="32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462,027,735.48</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9、财务费用" w:id="281"/>
      <w:bookmarkEnd w:id="281"/>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3"/>
        <w:gridCol w:w="3254"/>
        <w:gridCol w:w="3254"/>
      </w:tblGrid>
      <w:tr>
        <w:trPr>
          <w:trHeight w:val="44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5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254"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3254"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spacing w:val="-1"/>
                <w:sz w:val="20"/>
              </w:rPr>
              <w:t>25,481,454.85</w:t>
            </w:r>
          </w:p>
        </w:tc>
        <w:tc>
          <w:tcPr>
            <w:tcW w:w="3254"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8"/>
              <w:ind w:right="89"/>
              <w:jc w:val="right"/>
              <w:rPr>
                <w:rFonts w:ascii="Times New Roman" w:hAnsi="Times New Roman" w:cs="Times New Roman" w:eastAsia="Times New Roman" w:hint="default"/>
                <w:sz w:val="20"/>
                <w:szCs w:val="20"/>
              </w:rPr>
            </w:pPr>
            <w:r>
              <w:rPr>
                <w:rFonts w:ascii="Times New Roman"/>
                <w:spacing w:val="-1"/>
                <w:sz w:val="20"/>
              </w:rPr>
              <w:t>32,525,472.57</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33,630,033.30</w:t>
            </w:r>
          </w:p>
        </w:tc>
        <w:tc>
          <w:tcPr>
            <w:tcW w:w="32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26,403,432.19</w:t>
            </w:r>
          </w:p>
        </w:tc>
      </w:tr>
      <w:tr>
        <w:trPr>
          <w:trHeight w:val="46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-45,154,805.64</w:t>
            </w:r>
          </w:p>
        </w:tc>
        <w:tc>
          <w:tcPr>
            <w:tcW w:w="32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-1,899,473.52</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加：手续费支出</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6,490,616.99</w:t>
            </w:r>
          </w:p>
        </w:tc>
        <w:tc>
          <w:tcPr>
            <w:tcW w:w="32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10,210,816.49</w:t>
            </w:r>
          </w:p>
        </w:tc>
      </w:tr>
      <w:tr>
        <w:trPr>
          <w:trHeight w:val="46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67,402.45</w:t>
            </w:r>
          </w:p>
        </w:tc>
        <w:tc>
          <w:tcPr>
            <w:tcW w:w="32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127,078.86</w:t>
            </w:r>
          </w:p>
        </w:tc>
      </w:tr>
      <w:tr>
        <w:trPr>
          <w:trHeight w:val="473"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43,564,246.63</w:t>
            </w:r>
          </w:p>
        </w:tc>
        <w:tc>
          <w:tcPr>
            <w:tcW w:w="325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18,359,409.25</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0、资产减值损失" w:id="282"/>
      <w:bookmarkEnd w:id="282"/>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42"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90"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一、坏账损失</w:t>
            </w:r>
          </w:p>
        </w:tc>
        <w:tc>
          <w:tcPr>
            <w:tcW w:w="3194" w:type="dxa"/>
            <w:tcBorders>
              <w:top w:val="single" w:sz="12" w:space="0" w:color="D2D2D2"/>
              <w:left w:val="single" w:sz="13" w:space="0" w:color="D2D2D2"/>
              <w:bottom w:val="single" w:sz="12" w:space="0" w:color="000000"/>
              <w:right w:val="single" w:sz="4" w:space="0" w:color="000000"/>
            </w:tcBorders>
          </w:tcPr>
          <w:p>
            <w:pPr>
              <w:pStyle w:val="TableParagraph"/>
              <w:spacing w:line="240" w:lineRule="auto" w:before="117"/>
              <w:ind w:left="1931" w:right="0"/>
              <w:jc w:val="left"/>
              <w:rPr>
                <w:rFonts w:ascii="Times New Roman" w:hAnsi="Times New Roman" w:cs="Times New Roman" w:eastAsia="Times New Roman" w:hint="default"/>
                <w:sz w:val="20"/>
                <w:szCs w:val="20"/>
              </w:rPr>
            </w:pPr>
            <w:r>
              <w:rPr>
                <w:rFonts w:ascii="Times New Roman"/>
                <w:sz w:val="20"/>
              </w:rPr>
              <w:t>-34,864,674.03</w:t>
            </w:r>
          </w:p>
        </w:tc>
        <w:tc>
          <w:tcPr>
            <w:tcW w:w="3188" w:type="dxa"/>
            <w:tcBorders>
              <w:top w:val="single" w:sz="12" w:space="0" w:color="D2D2D2"/>
              <w:left w:val="single" w:sz="4" w:space="0" w:color="000000"/>
              <w:bottom w:val="single" w:sz="12" w:space="0" w:color="000000"/>
              <w:right w:val="single" w:sz="12" w:space="0" w:color="000000"/>
            </w:tcBorders>
          </w:tcPr>
          <w:p>
            <w:pPr>
              <w:pStyle w:val="TableParagraph"/>
              <w:spacing w:line="240" w:lineRule="auto" w:before="117"/>
              <w:ind w:left="1939" w:right="0"/>
              <w:jc w:val="left"/>
              <w:rPr>
                <w:rFonts w:ascii="Times New Roman" w:hAnsi="Times New Roman" w:cs="Times New Roman" w:eastAsia="Times New Roman" w:hint="default"/>
                <w:sz w:val="20"/>
                <w:szCs w:val="20"/>
              </w:rPr>
            </w:pPr>
            <w:r>
              <w:rPr>
                <w:rFonts w:ascii="Times New Roman"/>
                <w:sz w:val="20"/>
              </w:rPr>
              <w:t>-42,979,865.40</w:t>
            </w:r>
          </w:p>
        </w:tc>
      </w:tr>
    </w:tbl>
    <w:p>
      <w:pPr>
        <w:spacing w:after="0" w:line="240" w:lineRule="auto"/>
        <w:jc w:val="left"/>
        <w:rPr>
          <w:rFonts w:ascii="Times New Roman" w:hAnsi="Times New Roman" w:cs="Times New Roman" w:eastAsia="Times New Roman" w:hint="default"/>
          <w:sz w:val="20"/>
          <w:szCs w:val="20"/>
        </w:rPr>
        <w:sectPr>
          <w:pgSz w:w="11910" w:h="16840"/>
          <w:pgMar w:header="0"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二、存货跌价损失</w:t>
            </w:r>
          </w:p>
        </w:tc>
        <w:tc>
          <w:tcPr>
            <w:tcW w:w="31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9,816,045.95</w:t>
            </w:r>
          </w:p>
        </w:tc>
        <w:tc>
          <w:tcPr>
            <w:tcW w:w="318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10,244,389.84</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37,493,875.86</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-25,048,628.08</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4,758,400.30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1、投资收益" w:id="283"/>
      <w:bookmarkEnd w:id="283"/>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687"/>
        <w:gridCol w:w="2942"/>
        <w:gridCol w:w="2940"/>
      </w:tblGrid>
      <w:tr>
        <w:trPr>
          <w:trHeight w:val="459" w:hRule="exact"/>
        </w:trPr>
        <w:tc>
          <w:tcPr>
            <w:tcW w:w="368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294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65"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9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965"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6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94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3,978,273.29</w:t>
            </w:r>
          </w:p>
        </w:tc>
        <w:tc>
          <w:tcPr>
            <w:tcW w:w="2940"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14,162,706.51</w:t>
            </w: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-5,315.78</w:t>
            </w:r>
          </w:p>
        </w:tc>
        <w:tc>
          <w:tcPr>
            <w:tcW w:w="29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17,276,443.95</w:t>
            </w: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9,039,809.63</w:t>
            </w:r>
          </w:p>
        </w:tc>
        <w:tc>
          <w:tcPr>
            <w:tcW w:w="294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2942"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-10,424,057.88</w:t>
            </w:r>
          </w:p>
        </w:tc>
      </w:tr>
      <w:tr>
        <w:trPr>
          <w:trHeight w:val="464" w:hRule="exact"/>
        </w:trPr>
        <w:tc>
          <w:tcPr>
            <w:tcW w:w="368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理财产品及金融衍生品收益</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12,727,692.57</w:t>
            </w:r>
          </w:p>
        </w:tc>
        <w:tc>
          <w:tcPr>
            <w:tcW w:w="29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14,745,947.97</w:t>
            </w:r>
          </w:p>
        </w:tc>
      </w:tr>
      <w:tr>
        <w:trPr>
          <w:trHeight w:val="473" w:hRule="exact"/>
        </w:trPr>
        <w:tc>
          <w:tcPr>
            <w:tcW w:w="368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25,740,459.71</w:t>
            </w:r>
          </w:p>
        </w:tc>
        <w:tc>
          <w:tcPr>
            <w:tcW w:w="29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35,761,040.55</w:t>
            </w:r>
          </w:p>
        </w:tc>
      </w:tr>
    </w:tbl>
    <w:p>
      <w:pPr>
        <w:spacing w:line="240" w:lineRule="auto" w:before="3"/>
        <w:rPr>
          <w:rFonts w:ascii="宋体" w:hAnsi="宋体" w:cs="宋体" w:eastAsia="宋体" w:hint="default"/>
          <w:sz w:val="5"/>
          <w:szCs w:val="5"/>
        </w:rPr>
      </w:pPr>
    </w:p>
    <w:p>
      <w:pPr>
        <w:pStyle w:val="BodyText"/>
        <w:spacing w:line="386" w:lineRule="auto" w:before="35"/>
        <w:ind w:right="1131" w:firstLine="420"/>
        <w:jc w:val="both"/>
      </w:pPr>
      <w:r>
        <w:rPr>
          <w:spacing w:val="-3"/>
        </w:rPr>
        <w:t>处置长期股权投资产生的投资收益：本年较上年下降，主要系上年鼎捷软件股份有限公司</w:t>
      </w:r>
      <w:r>
        <w:rPr>
          <w:rFonts w:ascii="Times New Roman" w:hAnsi="Times New Roman" w:cs="Times New Roman" w:eastAsia="Times New Roman" w:hint="default"/>
          <w:spacing w:val="-3"/>
        </w:rPr>
        <w:t>2014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 </w:t>
      </w:r>
      <w:r>
        <w:rPr>
          <w:rFonts w:ascii="Times New Roman" w:hAnsi="Times New Roman" w:cs="Times New Roman" w:eastAsia="Times New Roman" w:hint="default"/>
        </w:rPr>
        <w:t>17 </w:t>
      </w:r>
      <w:r>
        <w:rPr/>
        <w:t>日首次公开发行上市，导致本公司之子公司</w:t>
      </w:r>
      <w:r>
        <w:rPr>
          <w:rFonts w:ascii="Times New Roman" w:hAnsi="Times New Roman" w:cs="Times New Roman" w:eastAsia="Times New Roman" w:hint="default"/>
        </w:rPr>
        <w:t>DigitalChinaSoftware(BVI)Ltd</w:t>
      </w:r>
      <w:r>
        <w:rPr/>
        <w:t>对其持有的股权比例由</w:t>
      </w:r>
      <w:r>
        <w:rPr>
          <w:rFonts w:ascii="Times New Roman" w:hAnsi="Times New Roman" w:cs="Times New Roman" w:eastAsia="Times New Roman" w:hint="default"/>
        </w:rPr>
        <w:t>23.96%</w:t>
      </w:r>
      <w:r>
        <w:rPr>
          <w:rFonts w:ascii="Times New Roman" w:hAnsi="Times New Roman" w:cs="Times New Roman" w:eastAsia="Times New Roman" w:hint="default"/>
          <w:w w:val="99"/>
        </w:rPr>
        <w:t> </w:t>
      </w:r>
      <w:r>
        <w:rPr/>
        <w:t>降至</w:t>
      </w:r>
      <w:r>
        <w:rPr>
          <w:rFonts w:ascii="Times New Roman" w:hAnsi="Times New Roman" w:cs="Times New Roman" w:eastAsia="Times New Roman" w:hint="default"/>
        </w:rPr>
        <w:t>17.91%</w:t>
      </w:r>
      <w:r>
        <w:rPr/>
        <w:t>，以及向公众发售老股</w:t>
      </w:r>
      <w:r>
        <w:rPr>
          <w:rFonts w:ascii="Times New Roman" w:hAnsi="Times New Roman" w:cs="Times New Roman" w:eastAsia="Times New Roman" w:hint="default"/>
        </w:rPr>
        <w:t>291,136</w:t>
      </w:r>
      <w:r>
        <w:rPr/>
        <w:t>股，形成投资收益</w:t>
      </w:r>
      <w:r>
        <w:rPr>
          <w:rFonts w:ascii="Times New Roman" w:hAnsi="Times New Roman" w:cs="Times New Roman" w:eastAsia="Times New Roman" w:hint="default"/>
        </w:rPr>
        <w:t>17,276,443.95</w:t>
      </w:r>
      <w:r>
        <w:rPr>
          <w:rFonts w:ascii="Times New Roman" w:hAnsi="Times New Roman" w:cs="Times New Roman" w:eastAsia="Times New Roman" w:hint="default"/>
          <w:spacing w:val="27"/>
        </w:rPr>
        <w:t> </w:t>
      </w:r>
      <w:r>
        <w:rPr/>
        <w:t>元。</w:t>
      </w:r>
    </w:p>
    <w:p>
      <w:pPr>
        <w:pStyle w:val="BodyText"/>
        <w:spacing w:line="240" w:lineRule="auto" w:before="75"/>
        <w:ind w:left="573" w:right="1135"/>
        <w:jc w:val="left"/>
      </w:pPr>
      <w:r>
        <w:rPr/>
        <w:t>可供出售金融资产在持有期间的投资收益：系投资北京柘益投资中心（有限合伙）取得的收益。</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42、营业外收入" w:id="284"/>
      <w:bookmarkEnd w:id="28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84"/>
        <w:gridCol w:w="2147"/>
        <w:gridCol w:w="2410"/>
        <w:gridCol w:w="2622"/>
      </w:tblGrid>
      <w:tr>
        <w:trPr>
          <w:trHeight w:val="171" w:hRule="exact"/>
        </w:trPr>
        <w:tc>
          <w:tcPr>
            <w:tcW w:w="2384"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147" w:type="dxa"/>
            <w:tcBorders>
              <w:top w:val="single" w:sz="12" w:space="0" w:color="000000"/>
              <w:left w:val="single" w:sz="4" w:space="0" w:color="000000"/>
              <w:bottom w:val="nil" w:sz="6" w:space="0" w:color="auto"/>
              <w:right w:val="single" w:sz="4" w:space="0" w:color="000000"/>
            </w:tcBorders>
            <w:shd w:val="clear" w:color="auto" w:fill="D2D2D2"/>
          </w:tcPr>
          <w:p>
            <w:pPr/>
          </w:p>
        </w:tc>
        <w:tc>
          <w:tcPr>
            <w:tcW w:w="2410" w:type="dxa"/>
            <w:tcBorders>
              <w:top w:val="single" w:sz="12" w:space="0" w:color="000000"/>
              <w:left w:val="single" w:sz="4" w:space="0" w:color="000000"/>
              <w:bottom w:val="nil" w:sz="6" w:space="0" w:color="auto"/>
              <w:right w:val="single" w:sz="4" w:space="0" w:color="000000"/>
            </w:tcBorders>
            <w:shd w:val="clear" w:color="auto" w:fill="D2D2D2"/>
          </w:tcPr>
          <w:p>
            <w:pPr/>
          </w:p>
        </w:tc>
        <w:tc>
          <w:tcPr>
            <w:tcW w:w="2622" w:type="dxa"/>
            <w:vMerge w:val="restart"/>
            <w:tcBorders>
              <w:top w:val="single" w:sz="12" w:space="0" w:color="000000"/>
              <w:left w:val="single" w:sz="4" w:space="0" w:color="000000"/>
              <w:right w:val="single" w:sz="12" w:space="0" w:color="000000"/>
            </w:tcBorders>
            <w:shd w:val="clear" w:color="auto" w:fill="D2D2D2"/>
          </w:tcPr>
          <w:p>
            <w:pPr>
              <w:pStyle w:val="TableParagraph"/>
              <w:spacing w:line="288" w:lineRule="auto" w:before="35"/>
              <w:ind w:left="1206" w:right="91" w:hanging="1100"/>
              <w:jc w:val="left"/>
              <w:rPr>
                <w:rFonts w:ascii="宋体" w:hAnsi="宋体" w:cs="宋体" w:eastAsia="宋体" w:hint="default"/>
                <w:sz w:val="20"/>
                <w:szCs w:val="20"/>
              </w:rPr>
            </w:pPr>
            <w:r>
              <w:rPr>
                <w:rFonts w:ascii="宋体" w:hAnsi="宋体" w:cs="宋体" w:eastAsia="宋体" w:hint="default"/>
                <w:sz w:val="20"/>
                <w:szCs w:val="20"/>
              </w:rPr>
              <w:t>计入当期非经常性损益的金</w:t>
            </w:r>
            <w:r>
              <w:rPr>
                <w:rFonts w:ascii="宋体" w:hAnsi="宋体" w:cs="宋体" w:eastAsia="宋体" w:hint="default"/>
                <w:w w:val="100"/>
                <w:sz w:val="20"/>
                <w:szCs w:val="20"/>
              </w:rPr>
              <w:t> </w:t>
            </w:r>
            <w:r>
              <w:rPr>
                <w:rFonts w:ascii="宋体" w:hAnsi="宋体" w:cs="宋体" w:eastAsia="宋体" w:hint="default"/>
                <w:sz w:val="20"/>
                <w:szCs w:val="20"/>
              </w:rPr>
              <w:t>额</w:t>
            </w:r>
          </w:p>
        </w:tc>
      </w:tr>
      <w:tr>
        <w:trPr>
          <w:trHeight w:val="392" w:hRule="exact"/>
        </w:trPr>
        <w:tc>
          <w:tcPr>
            <w:tcW w:w="238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35"/>
              <w:ind w:right="16"/>
              <w:jc w:val="center"/>
              <w:rPr>
                <w:rFonts w:ascii="宋体" w:hAnsi="宋体" w:cs="宋体" w:eastAsia="宋体" w:hint="default"/>
                <w:sz w:val="20"/>
                <w:szCs w:val="20"/>
              </w:rPr>
            </w:pPr>
            <w:r>
              <w:rPr>
                <w:rFonts w:ascii="宋体" w:hAnsi="宋体" w:cs="宋体" w:eastAsia="宋体" w:hint="default"/>
                <w:sz w:val="20"/>
                <w:szCs w:val="20"/>
              </w:rPr>
              <w:t>项目</w:t>
            </w:r>
          </w:p>
        </w:tc>
        <w:tc>
          <w:tcPr>
            <w:tcW w:w="21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left="56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left="699"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2622" w:type="dxa"/>
            <w:vMerge/>
            <w:tcBorders>
              <w:left w:val="single" w:sz="4" w:space="0" w:color="000000"/>
              <w:right w:val="single" w:sz="12" w:space="0" w:color="000000"/>
            </w:tcBorders>
            <w:shd w:val="clear" w:color="auto" w:fill="D2D2D2"/>
          </w:tcPr>
          <w:p>
            <w:pPr/>
          </w:p>
        </w:tc>
      </w:tr>
      <w:tr>
        <w:trPr>
          <w:trHeight w:val="161" w:hRule="exact"/>
        </w:trPr>
        <w:tc>
          <w:tcPr>
            <w:tcW w:w="2384" w:type="dxa"/>
            <w:tcBorders>
              <w:top w:val="nil" w:sz="6" w:space="0" w:color="auto"/>
              <w:left w:val="single" w:sz="12" w:space="0" w:color="000000"/>
              <w:bottom w:val="single" w:sz="4" w:space="0" w:color="000000"/>
              <w:right w:val="single" w:sz="4" w:space="0" w:color="000000"/>
            </w:tcBorders>
            <w:shd w:val="clear" w:color="auto" w:fill="D2D2D2"/>
          </w:tcPr>
          <w:p>
            <w:pPr/>
          </w:p>
        </w:tc>
        <w:tc>
          <w:tcPr>
            <w:tcW w:w="2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2" w:type="dxa"/>
            <w:vMerge/>
            <w:tcBorders>
              <w:left w:val="single" w:sz="4" w:space="0" w:color="000000"/>
              <w:bottom w:val="single" w:sz="4" w:space="0" w:color="000000"/>
              <w:right w:val="single" w:sz="12" w:space="0" w:color="000000"/>
            </w:tcBorders>
            <w:shd w:val="clear" w:color="auto" w:fill="D2D2D2"/>
          </w:tcPr>
          <w:p>
            <w:pPr/>
          </w:p>
        </w:tc>
      </w:tr>
      <w:tr>
        <w:trPr>
          <w:trHeight w:val="407" w:hRule="exact"/>
        </w:trPr>
        <w:tc>
          <w:tcPr>
            <w:tcW w:w="2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9"/>
              <w:ind w:left="6"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2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47,275.66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43,953.26</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4"/>
              <w:ind w:right="9"/>
              <w:jc w:val="right"/>
              <w:rPr>
                <w:rFonts w:ascii="Times New Roman" w:hAnsi="Times New Roman" w:cs="Times New Roman" w:eastAsia="Times New Roman" w:hint="default"/>
                <w:sz w:val="20"/>
                <w:szCs w:val="20"/>
              </w:rPr>
            </w:pPr>
            <w:r>
              <w:rPr>
                <w:rFonts w:ascii="Times New Roman"/>
                <w:spacing w:val="-1"/>
                <w:sz w:val="20"/>
              </w:rPr>
              <w:t>47,275.66</w:t>
            </w:r>
          </w:p>
        </w:tc>
      </w:tr>
      <w:tr>
        <w:trPr>
          <w:trHeight w:val="407" w:hRule="exact"/>
        </w:trPr>
        <w:tc>
          <w:tcPr>
            <w:tcW w:w="2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9"/>
              <w:ind w:left="6"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2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47,275.66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43,953.26</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4"/>
              <w:ind w:right="9"/>
              <w:jc w:val="right"/>
              <w:rPr>
                <w:rFonts w:ascii="Times New Roman" w:hAnsi="Times New Roman" w:cs="Times New Roman" w:eastAsia="Times New Roman" w:hint="default"/>
                <w:sz w:val="20"/>
                <w:szCs w:val="20"/>
              </w:rPr>
            </w:pPr>
            <w:r>
              <w:rPr>
                <w:rFonts w:ascii="Times New Roman"/>
                <w:spacing w:val="-1"/>
                <w:sz w:val="20"/>
              </w:rPr>
              <w:t>47,275.66</w:t>
            </w:r>
          </w:p>
        </w:tc>
      </w:tr>
      <w:tr>
        <w:trPr>
          <w:trHeight w:val="408" w:hRule="exact"/>
        </w:trPr>
        <w:tc>
          <w:tcPr>
            <w:tcW w:w="2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9"/>
              <w:ind w:left="6"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32,041,589.31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spacing w:val="-1"/>
                <w:sz w:val="20"/>
              </w:rPr>
              <w:t>23,313,166.41</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4"/>
              <w:ind w:right="9"/>
              <w:jc w:val="right"/>
              <w:rPr>
                <w:rFonts w:ascii="Times New Roman" w:hAnsi="Times New Roman" w:cs="Times New Roman" w:eastAsia="Times New Roman" w:hint="default"/>
                <w:sz w:val="20"/>
                <w:szCs w:val="20"/>
              </w:rPr>
            </w:pPr>
            <w:r>
              <w:rPr>
                <w:rFonts w:ascii="Times New Roman"/>
                <w:spacing w:val="-1"/>
                <w:sz w:val="20"/>
              </w:rPr>
              <w:t>25,987,319.34</w:t>
            </w:r>
          </w:p>
        </w:tc>
      </w:tr>
      <w:tr>
        <w:trPr>
          <w:trHeight w:val="407" w:hRule="exact"/>
        </w:trPr>
        <w:tc>
          <w:tcPr>
            <w:tcW w:w="23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left="8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12,183,703.19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1,472,308.98</w:t>
            </w:r>
          </w:p>
        </w:tc>
        <w:tc>
          <w:tcPr>
            <w:tcW w:w="26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1"/>
              <w:ind w:right="89"/>
              <w:jc w:val="right"/>
              <w:rPr>
                <w:rFonts w:ascii="Times New Roman" w:hAnsi="Times New Roman" w:cs="Times New Roman" w:eastAsia="Times New Roman" w:hint="default"/>
                <w:sz w:val="20"/>
                <w:szCs w:val="20"/>
              </w:rPr>
            </w:pPr>
            <w:r>
              <w:rPr>
                <w:rFonts w:ascii="Times New Roman"/>
                <w:spacing w:val="-1"/>
                <w:sz w:val="20"/>
              </w:rPr>
              <w:t>12,183,703.19</w:t>
            </w:r>
          </w:p>
        </w:tc>
      </w:tr>
      <w:tr>
        <w:trPr>
          <w:trHeight w:val="417" w:hRule="exact"/>
        </w:trPr>
        <w:tc>
          <w:tcPr>
            <w:tcW w:w="238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35"/>
              <w:ind w:left="8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44,272,568.16</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24,829,428.65</w:t>
            </w:r>
          </w:p>
        </w:tc>
        <w:tc>
          <w:tcPr>
            <w:tcW w:w="26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1"/>
              <w:ind w:right="89"/>
              <w:jc w:val="right"/>
              <w:rPr>
                <w:rFonts w:ascii="Times New Roman" w:hAnsi="Times New Roman" w:cs="Times New Roman" w:eastAsia="Times New Roman" w:hint="default"/>
                <w:sz w:val="20"/>
                <w:szCs w:val="20"/>
              </w:rPr>
            </w:pPr>
            <w:r>
              <w:rPr>
                <w:rFonts w:ascii="Times New Roman"/>
                <w:spacing w:val="-1"/>
                <w:sz w:val="20"/>
              </w:rPr>
              <w:t>38,218,298.19</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1266" w:top="1160" w:bottom="1460" w:left="980" w:right="0"/>
        </w:sectPr>
      </w:pPr>
    </w:p>
    <w:p>
      <w:pPr>
        <w:spacing w:before="51"/>
        <w:ind w:left="140"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3155"/>
        <w:gridCol w:w="2268"/>
        <w:gridCol w:w="566"/>
        <w:gridCol w:w="2268"/>
        <w:gridCol w:w="1134"/>
        <w:gridCol w:w="708"/>
        <w:gridCol w:w="1276"/>
        <w:gridCol w:w="1277"/>
        <w:gridCol w:w="1133"/>
      </w:tblGrid>
      <w:tr>
        <w:trPr>
          <w:trHeight w:val="1348" w:hRule="exact"/>
        </w:trPr>
        <w:tc>
          <w:tcPr>
            <w:tcW w:w="315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26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发 放 原 因</w:t>
            </w:r>
          </w:p>
        </w:tc>
        <w:tc>
          <w:tcPr>
            <w:tcW w:w="226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13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1"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9" w:right="167"/>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2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42" w:right="18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27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42" w:right="183"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13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19" w:lineRule="auto" w:before="76"/>
              <w:ind w:left="471" w:right="144" w:hanging="3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714"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宋体" w:hAnsi="宋体" w:cs="宋体" w:eastAsia="宋体" w:hint="default"/>
                <w:sz w:val="18"/>
                <w:szCs w:val="18"/>
              </w:rPr>
              <w:t>-</w:t>
            </w:r>
            <w:r>
              <w:rPr>
                <w:rFonts w:ascii="宋体" w:hAnsi="宋体" w:cs="宋体" w:eastAsia="宋体" w:hint="default"/>
                <w:sz w:val="18"/>
                <w:szCs w:val="18"/>
              </w:rPr>
              <w:t>金融云</w:t>
            </w:r>
            <w:r>
              <w:rPr>
                <w:rFonts w:ascii="宋体" w:hAnsi="宋体" w:cs="宋体" w:eastAsia="宋体" w:hint="default"/>
                <w:spacing w:val="-46"/>
                <w:sz w:val="18"/>
                <w:szCs w:val="18"/>
              </w:rPr>
              <w:t> </w:t>
            </w:r>
            <w:r>
              <w:rPr>
                <w:rFonts w:ascii="宋体" w:hAnsi="宋体" w:cs="宋体" w:eastAsia="宋体" w:hint="default"/>
                <w:sz w:val="18"/>
                <w:szCs w:val="18"/>
              </w:rPr>
              <w:t>SAAS</w:t>
            </w:r>
            <w:r>
              <w:rPr>
                <w:rFonts w:ascii="宋体" w:hAnsi="宋体" w:cs="宋体" w:eastAsia="宋体" w:hint="default"/>
                <w:spacing w:val="-46"/>
                <w:sz w:val="18"/>
                <w:szCs w:val="18"/>
              </w:rPr>
              <w:t> </w:t>
            </w:r>
            <w:r>
              <w:rPr>
                <w:rFonts w:ascii="宋体" w:hAnsi="宋体" w:cs="宋体" w:eastAsia="宋体" w:hint="default"/>
                <w:sz w:val="18"/>
                <w:szCs w:val="18"/>
              </w:rPr>
              <w:t>服务平台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2,025,209.72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2,025,209.71</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pacing w:val="2"/>
                <w:sz w:val="18"/>
                <w:szCs w:val="18"/>
              </w:rPr>
              <w:t>基于安全可靠软硬件的集成开发工具</w:t>
            </w:r>
          </w:p>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IDE</w:t>
            </w:r>
            <w:r>
              <w:rPr>
                <w:rFonts w:ascii="宋体" w:hAnsi="宋体" w:cs="宋体" w:eastAsia="宋体" w:hint="default"/>
                <w:sz w:val="18"/>
                <w:szCs w:val="18"/>
              </w:rPr>
              <w:t>）研发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6,122,751.53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中国人口与发展研究中心项目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中国人口与发展研究中心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因承担国家为保障某种公 用事业或社会必要产品供 应或价格控制职能而获得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2,894,000.00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105"/>
              <w:jc w:val="left"/>
              <w:rPr>
                <w:rFonts w:ascii="宋体" w:hAnsi="宋体" w:cs="宋体" w:eastAsia="宋体" w:hint="default"/>
                <w:sz w:val="18"/>
                <w:szCs w:val="18"/>
              </w:rPr>
            </w:pPr>
            <w:r>
              <w:rPr>
                <w:rFonts w:ascii="宋体" w:hAnsi="宋体" w:cs="宋体" w:eastAsia="宋体" w:hint="default"/>
                <w:spacing w:val="2"/>
                <w:sz w:val="18"/>
                <w:szCs w:val="18"/>
              </w:rPr>
              <w:t>以人为中心的智慧城市公共服务支撑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技术与系统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中华人民共和国科技部</w:t>
            </w:r>
            <w:r>
              <w:rPr>
                <w:rFonts w:ascii="宋体" w:hAnsi="宋体" w:cs="宋体" w:eastAsia="宋体" w:hint="default"/>
                <w:spacing w:val="14"/>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中关村海淀园管委会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因承担国家为保障某种公 用事业或社会必要产品供 应或价格控制职能而获得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1,567,209.40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617,368.42</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1"/>
              <w:ind w:left="93" w:right="105"/>
              <w:jc w:val="left"/>
              <w:rPr>
                <w:rFonts w:ascii="宋体" w:hAnsi="宋体" w:cs="宋体" w:eastAsia="宋体" w:hint="default"/>
                <w:sz w:val="18"/>
                <w:szCs w:val="18"/>
              </w:rPr>
            </w:pPr>
            <w:r>
              <w:rPr>
                <w:rFonts w:ascii="宋体" w:hAnsi="宋体" w:cs="宋体" w:eastAsia="宋体" w:hint="default"/>
                <w:spacing w:val="2"/>
                <w:sz w:val="18"/>
                <w:szCs w:val="18"/>
              </w:rPr>
              <w:t>面向中小银行的大数据营销分析系统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的研制和应用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1,377,322.35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中关村科技园区海淀区管 </w:t>
            </w:r>
            <w:r>
              <w:rPr>
                <w:rFonts w:ascii="宋体" w:hAnsi="宋体" w:cs="宋体" w:eastAsia="宋体" w:hint="default"/>
                <w:sz w:val="18"/>
                <w:szCs w:val="18"/>
              </w:rPr>
              <w:t>理委员会</w:t>
            </w:r>
            <w:r>
              <w:rPr>
                <w:rFonts w:ascii="宋体" w:hAnsi="宋体" w:cs="宋体" w:eastAsia="宋体" w:hint="default"/>
                <w:sz w:val="18"/>
                <w:szCs w:val="18"/>
              </w:rPr>
              <w:t>/</w:t>
            </w:r>
            <w:r>
              <w:rPr>
                <w:rFonts w:ascii="宋体" w:hAnsi="宋体" w:cs="宋体" w:eastAsia="宋体" w:hint="default"/>
                <w:sz w:val="18"/>
                <w:szCs w:val="18"/>
              </w:rPr>
              <w:t>科技部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1,126,786.77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4" w:hRule="exact"/>
        </w:trPr>
        <w:tc>
          <w:tcPr>
            <w:tcW w:w="315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316" w:lineRule="auto" w:before="51"/>
              <w:ind w:left="93" w:right="105"/>
              <w:jc w:val="left"/>
              <w:rPr>
                <w:rFonts w:ascii="宋体" w:hAnsi="宋体" w:cs="宋体" w:eastAsia="宋体" w:hint="default"/>
                <w:sz w:val="18"/>
                <w:szCs w:val="18"/>
              </w:rPr>
            </w:pPr>
            <w:r>
              <w:rPr>
                <w:rFonts w:ascii="宋体" w:hAnsi="宋体" w:cs="宋体" w:eastAsia="宋体" w:hint="default"/>
                <w:spacing w:val="2"/>
                <w:sz w:val="18"/>
                <w:szCs w:val="18"/>
              </w:rPr>
              <w:t>基于智慧城市技术架构的信息惠民公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共服务平台研发及产业化</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1"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中关村科技园区海淀园管 </w:t>
            </w:r>
            <w:r>
              <w:rPr>
                <w:rFonts w:ascii="宋体" w:hAnsi="宋体" w:cs="宋体" w:eastAsia="宋体" w:hint="default"/>
                <w:sz w:val="18"/>
                <w:szCs w:val="18"/>
              </w:rPr>
              <w:t>理委员会</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942,609.26</w:t>
            </w:r>
          </w:p>
        </w:tc>
        <w:tc>
          <w:tcPr>
            <w:tcW w:w="1277" w:type="dxa"/>
            <w:tcBorders>
              <w:top w:val="single" w:sz="4" w:space="0" w:color="000000"/>
              <w:left w:val="single" w:sz="4" w:space="0" w:color="000000"/>
              <w:bottom w:val="single" w:sz="12" w:space="0" w:color="000000"/>
              <w:right w:val="single" w:sz="4" w:space="0" w:color="000000"/>
            </w:tcBorders>
          </w:tcPr>
          <w:p>
            <w:pP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headerReference w:type="default" r:id="rId64"/>
          <w:footerReference w:type="default" r:id="rId65"/>
          <w:pgSz w:w="16840" w:h="11910" w:orient="landscape"/>
          <w:pgMar w:header="918" w:footer="1266" w:top="1160" w:bottom="1460" w:left="1300" w:right="0"/>
          <w:pgNumType w:start="168"/>
        </w:sectPr>
      </w:pPr>
    </w:p>
    <w:tbl>
      <w:tblPr>
        <w:tblW w:w="0" w:type="auto"/>
        <w:jc w:val="left"/>
        <w:tblInd w:w="125" w:type="dxa"/>
        <w:tblLayout w:type="fixed"/>
        <w:tblCellMar>
          <w:top w:w="0" w:type="dxa"/>
          <w:left w:w="0" w:type="dxa"/>
          <w:bottom w:w="0" w:type="dxa"/>
          <w:right w:w="0" w:type="dxa"/>
        </w:tblCellMar>
        <w:tblLook w:val="01E0"/>
      </w:tblPr>
      <w:tblGrid>
        <w:gridCol w:w="3153"/>
        <w:gridCol w:w="2269"/>
        <w:gridCol w:w="566"/>
        <w:gridCol w:w="2268"/>
        <w:gridCol w:w="1134"/>
        <w:gridCol w:w="708"/>
        <w:gridCol w:w="1276"/>
        <w:gridCol w:w="1277"/>
        <w:gridCol w:w="1133"/>
      </w:tblGrid>
      <w:tr>
        <w:trPr>
          <w:trHeight w:val="723" w:hRule="exact"/>
        </w:trPr>
        <w:tc>
          <w:tcPr>
            <w:tcW w:w="31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基于构件化应用服务器技术的市民服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务融合平台产业化项目</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885,772.48</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1,327,592.00</w:t>
            </w:r>
          </w:p>
        </w:tc>
        <w:tc>
          <w:tcPr>
            <w:tcW w:w="11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年度江苏省工业和信息产业转型 升级专项引导资金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95"/>
              <w:jc w:val="left"/>
              <w:rPr>
                <w:rFonts w:ascii="宋体" w:hAnsi="宋体" w:cs="宋体" w:eastAsia="宋体" w:hint="default"/>
                <w:sz w:val="18"/>
                <w:szCs w:val="18"/>
              </w:rPr>
            </w:pPr>
            <w:r>
              <w:rPr>
                <w:rFonts w:ascii="宋体" w:hAnsi="宋体" w:cs="宋体" w:eastAsia="宋体" w:hint="default"/>
                <w:spacing w:val="7"/>
                <w:sz w:val="18"/>
                <w:szCs w:val="18"/>
              </w:rPr>
              <w:t>苏州市经济和信息化委员 </w:t>
            </w:r>
            <w:r>
              <w:rPr>
                <w:rFonts w:ascii="宋体" w:hAnsi="宋体" w:cs="宋体" w:eastAsia="宋体" w:hint="default"/>
                <w:sz w:val="18"/>
                <w:szCs w:val="18"/>
              </w:rPr>
              <w:t>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637,941.65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神州数码智慧课堂平台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苏州市发改委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网络空间身份证</w:t>
            </w:r>
            <w:r>
              <w:rPr>
                <w:rFonts w:ascii="宋体" w:hAnsi="宋体" w:cs="宋体" w:eastAsia="宋体" w:hint="default"/>
                <w:spacing w:val="-46"/>
                <w:sz w:val="18"/>
                <w:szCs w:val="18"/>
              </w:rPr>
              <w:t> </w:t>
            </w:r>
            <w:r>
              <w:rPr>
                <w:rFonts w:ascii="宋体" w:hAnsi="宋体" w:cs="宋体" w:eastAsia="宋体" w:hint="default"/>
                <w:sz w:val="18"/>
                <w:szCs w:val="18"/>
              </w:rPr>
              <w:t>EID</w:t>
            </w:r>
            <w:r>
              <w:rPr>
                <w:rFonts w:ascii="宋体" w:hAnsi="宋体" w:cs="宋体" w:eastAsia="宋体" w:hint="default"/>
                <w:spacing w:val="-46"/>
                <w:sz w:val="18"/>
                <w:szCs w:val="18"/>
              </w:rPr>
              <w:t> </w:t>
            </w:r>
            <w:r>
              <w:rPr>
                <w:rFonts w:ascii="宋体" w:hAnsi="宋体" w:cs="宋体" w:eastAsia="宋体" w:hint="default"/>
                <w:sz w:val="18"/>
                <w:szCs w:val="18"/>
              </w:rPr>
              <w:t>管理技术及系统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公安部第三研究所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359,928.97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年度电子信息产业发展基金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因从事国家鼓励和扶持特 定行业、产业而获得的补 助（按国家级政策规定依 </w:t>
            </w:r>
            <w:r>
              <w:rPr>
                <w:rFonts w:ascii="宋体" w:hAnsi="宋体" w:cs="宋体" w:eastAsia="宋体" w:hint="default"/>
                <w:sz w:val="18"/>
                <w:szCs w:val="18"/>
              </w:rPr>
              <w:t>法取得）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349,703.65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194,330.81</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104"/>
              <w:jc w:val="left"/>
              <w:rPr>
                <w:rFonts w:ascii="宋体" w:hAnsi="宋体" w:cs="宋体" w:eastAsia="宋体" w:hint="default"/>
                <w:sz w:val="18"/>
                <w:szCs w:val="18"/>
              </w:rPr>
            </w:pPr>
            <w:r>
              <w:rPr>
                <w:rFonts w:ascii="宋体" w:hAnsi="宋体" w:cs="宋体" w:eastAsia="宋体" w:hint="default"/>
                <w:spacing w:val="2"/>
                <w:sz w:val="18"/>
                <w:szCs w:val="18"/>
              </w:rPr>
              <w:t>神州数码集装箱物流公共信息平台项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95"/>
              <w:jc w:val="both"/>
              <w:rPr>
                <w:rFonts w:ascii="宋体" w:hAnsi="宋体" w:cs="宋体" w:eastAsia="宋体" w:hint="default"/>
                <w:sz w:val="18"/>
                <w:szCs w:val="18"/>
              </w:rPr>
            </w:pPr>
            <w:r>
              <w:rPr>
                <w:rFonts w:ascii="宋体" w:hAnsi="宋体" w:cs="宋体" w:eastAsia="宋体" w:hint="default"/>
                <w:spacing w:val="7"/>
                <w:sz w:val="18"/>
                <w:szCs w:val="18"/>
              </w:rPr>
              <w:t>科技部科技型中小企业技 术创新基金管理中心江苏 </w:t>
            </w:r>
            <w:r>
              <w:rPr>
                <w:rFonts w:ascii="宋体" w:hAnsi="宋体" w:cs="宋体" w:eastAsia="宋体" w:hint="default"/>
                <w:sz w:val="18"/>
                <w:szCs w:val="18"/>
              </w:rPr>
              <w:t>省科学技术厅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97,872.27</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4"/>
                <w:sz w:val="18"/>
                <w:szCs w:val="18"/>
              </w:rPr>
              <w:t> </w:t>
            </w:r>
            <w:r>
              <w:rPr>
                <w:rFonts w:ascii="宋体" w:hAnsi="宋体" w:cs="宋体" w:eastAsia="宋体" w:hint="default"/>
                <w:sz w:val="18"/>
                <w:szCs w:val="18"/>
              </w:rPr>
              <w:t>年第二批软件和集成电路发展专 项资金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95"/>
              <w:jc w:val="left"/>
              <w:rPr>
                <w:rFonts w:ascii="宋体" w:hAnsi="宋体" w:cs="宋体" w:eastAsia="宋体" w:hint="default"/>
                <w:sz w:val="18"/>
                <w:szCs w:val="18"/>
              </w:rPr>
            </w:pPr>
            <w:r>
              <w:rPr>
                <w:rFonts w:ascii="宋体" w:hAnsi="宋体" w:cs="宋体" w:eastAsia="宋体" w:hint="default"/>
                <w:spacing w:val="7"/>
                <w:sz w:val="18"/>
                <w:szCs w:val="18"/>
              </w:rPr>
              <w:t>上海市经济和信息化委员 </w:t>
            </w:r>
            <w:r>
              <w:rPr>
                <w:rFonts w:ascii="宋体" w:hAnsi="宋体" w:cs="宋体" w:eastAsia="宋体" w:hint="default"/>
                <w:sz w:val="18"/>
                <w:szCs w:val="18"/>
              </w:rPr>
              <w:t>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238,071.31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63,030.23</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176,381.64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242,696.00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基于云计算的金融风险管理平台产业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化项目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143,311.00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网构化软件生产、构造和复用技术与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北京大学、科技部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117,250.15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1,905.00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4" w:hRule="exact"/>
        </w:trPr>
        <w:tc>
          <w:tcPr>
            <w:tcW w:w="31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基于云计算的市民融合服务平台建设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与示范</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02"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中关村科技园区海淀区管 </w:t>
            </w:r>
            <w:r>
              <w:rPr>
                <w:rFonts w:ascii="宋体" w:hAnsi="宋体" w:cs="宋体" w:eastAsia="宋体" w:hint="default"/>
                <w:sz w:val="18"/>
                <w:szCs w:val="18"/>
              </w:rPr>
              <w:t>理委员会</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113,097.44</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66,000.00</w:t>
            </w: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918" w:footer="1266" w:top="1200" w:bottom="1460" w:left="1300" w:right="0"/>
        </w:sectPr>
      </w:pPr>
    </w:p>
    <w:tbl>
      <w:tblPr>
        <w:tblW w:w="0" w:type="auto"/>
        <w:jc w:val="left"/>
        <w:tblInd w:w="125" w:type="dxa"/>
        <w:tblLayout w:type="fixed"/>
        <w:tblCellMar>
          <w:top w:w="0" w:type="dxa"/>
          <w:left w:w="0" w:type="dxa"/>
          <w:bottom w:w="0" w:type="dxa"/>
          <w:right w:w="0" w:type="dxa"/>
        </w:tblCellMar>
        <w:tblLook w:val="01E0"/>
      </w:tblPr>
      <w:tblGrid>
        <w:gridCol w:w="3153"/>
        <w:gridCol w:w="2269"/>
        <w:gridCol w:w="566"/>
        <w:gridCol w:w="2268"/>
        <w:gridCol w:w="1134"/>
        <w:gridCol w:w="708"/>
        <w:gridCol w:w="1276"/>
        <w:gridCol w:w="1277"/>
        <w:gridCol w:w="1133"/>
      </w:tblGrid>
      <w:tr>
        <w:trPr>
          <w:trHeight w:val="1035" w:hRule="exact"/>
        </w:trPr>
        <w:tc>
          <w:tcPr>
            <w:tcW w:w="31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
              <w:jc w:val="left"/>
              <w:rPr>
                <w:rFonts w:ascii="宋体" w:hAnsi="宋体" w:cs="宋体" w:eastAsia="宋体" w:hint="default"/>
                <w:sz w:val="18"/>
                <w:szCs w:val="18"/>
              </w:rPr>
            </w:pPr>
            <w:r>
              <w:rPr>
                <w:rFonts w:ascii="宋体" w:hAnsi="宋体" w:cs="宋体" w:eastAsia="宋体" w:hint="default"/>
                <w:spacing w:val="2"/>
                <w:sz w:val="18"/>
                <w:szCs w:val="18"/>
              </w:rPr>
              <w:t>中关村科技园区海淀园管理委员会到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款转信息技术服务运行维护第</w:t>
            </w:r>
            <w:r>
              <w:rPr>
                <w:rFonts w:ascii="宋体" w:hAnsi="宋体" w:cs="宋体" w:eastAsia="宋体" w:hint="default"/>
                <w:spacing w:val="-61"/>
                <w:sz w:val="18"/>
                <w:szCs w:val="18"/>
              </w:rPr>
              <w:t> </w:t>
            </w:r>
            <w:r>
              <w:rPr>
                <w:rFonts w:ascii="宋体" w:hAnsi="宋体" w:cs="宋体" w:eastAsia="宋体" w:hint="default"/>
                <w:sz w:val="18"/>
                <w:szCs w:val="18"/>
              </w:rPr>
              <w:t>2</w:t>
            </w:r>
            <w:r>
              <w:rPr>
                <w:rFonts w:ascii="宋体" w:hAnsi="宋体" w:cs="宋体" w:eastAsia="宋体" w:hint="default"/>
                <w:spacing w:val="-62"/>
                <w:sz w:val="18"/>
                <w:szCs w:val="18"/>
              </w:rPr>
              <w:t> </w:t>
            </w:r>
            <w:r>
              <w:rPr>
                <w:rFonts w:ascii="宋体" w:hAnsi="宋体" w:cs="宋体" w:eastAsia="宋体" w:hint="default"/>
                <w:sz w:val="18"/>
                <w:szCs w:val="18"/>
              </w:rPr>
              <w:t>部分： 交付规范补贴收入</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中关村科技园区海淀区管 </w:t>
            </w:r>
            <w:r>
              <w:rPr>
                <w:rFonts w:ascii="宋体" w:hAnsi="宋体" w:cs="宋体" w:eastAsia="宋体" w:hint="default"/>
                <w:sz w:val="18"/>
                <w:szCs w:val="18"/>
              </w:rPr>
              <w:t>理委员会</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86,000.00</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1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三农综合信息服务平台示范运营课题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65,991.94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333,634.04</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2"/>
              <w:jc w:val="both"/>
              <w:rPr>
                <w:rFonts w:ascii="宋体" w:hAnsi="宋体" w:cs="宋体" w:eastAsia="宋体" w:hint="default"/>
                <w:sz w:val="18"/>
                <w:szCs w:val="18"/>
              </w:rPr>
            </w:pPr>
            <w:r>
              <w:rPr>
                <w:rFonts w:ascii="宋体" w:hAnsi="宋体" w:cs="宋体" w:eastAsia="宋体" w:hint="default"/>
                <w:spacing w:val="2"/>
                <w:sz w:val="18"/>
                <w:szCs w:val="18"/>
              </w:rPr>
              <w:t>江苏省财政厅、江苏省科学技术奖励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2012</w:t>
            </w:r>
            <w:r>
              <w:rPr>
                <w:rFonts w:ascii="宋体" w:hAnsi="宋体" w:cs="宋体" w:eastAsia="宋体" w:hint="default"/>
                <w:spacing w:val="-34"/>
                <w:sz w:val="18"/>
                <w:szCs w:val="18"/>
              </w:rPr>
              <w:t> </w:t>
            </w:r>
            <w:r>
              <w:rPr>
                <w:rFonts w:ascii="宋体" w:hAnsi="宋体" w:cs="宋体" w:eastAsia="宋体" w:hint="default"/>
                <w:sz w:val="18"/>
                <w:szCs w:val="18"/>
              </w:rPr>
              <w:t>年度省级科技创新与成果转化专 项引导资金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52,218.80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123,062.12</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智能卡云服务平台研发与示范项目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佛山市禅城区经济促进局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27,535.77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安全可靠环境下的工具集项目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24,586.37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1"/>
              <w:jc w:val="left"/>
              <w:rPr>
                <w:rFonts w:ascii="宋体" w:hAnsi="宋体" w:cs="宋体" w:eastAsia="宋体" w:hint="default"/>
                <w:sz w:val="18"/>
                <w:szCs w:val="18"/>
              </w:rPr>
            </w:pPr>
            <w:r>
              <w:rPr>
                <w:rFonts w:ascii="宋体" w:hAnsi="宋体" w:cs="宋体" w:eastAsia="宋体" w:hint="default"/>
                <w:sz w:val="18"/>
                <w:szCs w:val="18"/>
              </w:rPr>
              <w:t>信息技术服务运行维护第 </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部分：交 付规范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#N/A</w:t>
            </w:r>
          </w:p>
        </w:tc>
        <w:tc>
          <w:tcPr>
            <w:tcW w:w="56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349,554.20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面向智慧城市的云计算中心业务支撑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平台研发及产业化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104"/>
              <w:jc w:val="left"/>
              <w:rPr>
                <w:rFonts w:ascii="宋体" w:hAnsi="宋体" w:cs="宋体" w:eastAsia="宋体" w:hint="default"/>
                <w:sz w:val="18"/>
                <w:szCs w:val="18"/>
              </w:rPr>
            </w:pPr>
            <w:r>
              <w:rPr>
                <w:rFonts w:ascii="宋体" w:hAnsi="宋体" w:cs="宋体" w:eastAsia="宋体" w:hint="default"/>
                <w:spacing w:val="2"/>
                <w:sz w:val="18"/>
                <w:szCs w:val="18"/>
              </w:rPr>
              <w:t>行业应用支撑平台的云计算环境适应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性改造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海淀园自主创新和产业发展专项基金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中关村科技园区海淀园管 </w:t>
            </w:r>
            <w:r>
              <w:rPr>
                <w:rFonts w:ascii="宋体" w:hAnsi="宋体" w:cs="宋体" w:eastAsia="宋体" w:hint="default"/>
                <w:sz w:val="18"/>
                <w:szCs w:val="18"/>
              </w:rPr>
              <w:t>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8" w:hRule="exact"/>
        </w:trPr>
        <w:tc>
          <w:tcPr>
            <w:tcW w:w="31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因从事国家鼓励和扶持特 定行业、产业而获得的补 助（按国家级政策规定依 </w:t>
            </w:r>
            <w:r>
              <w:rPr>
                <w:rFonts w:ascii="宋体" w:hAnsi="宋体" w:cs="宋体" w:eastAsia="宋体" w:hint="default"/>
                <w:sz w:val="18"/>
                <w:szCs w:val="18"/>
              </w:rPr>
              <w:t>法取得）</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6,054,269.97</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4,057,537.12</w:t>
            </w: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918" w:footer="1266" w:top="1200" w:bottom="1460" w:left="1300" w:right="0"/>
        </w:sectPr>
      </w:pPr>
    </w:p>
    <w:tbl>
      <w:tblPr>
        <w:tblW w:w="0" w:type="auto"/>
        <w:jc w:val="left"/>
        <w:tblInd w:w="125" w:type="dxa"/>
        <w:tblLayout w:type="fixed"/>
        <w:tblCellMar>
          <w:top w:w="0" w:type="dxa"/>
          <w:left w:w="0" w:type="dxa"/>
          <w:bottom w:w="0" w:type="dxa"/>
          <w:right w:w="0" w:type="dxa"/>
        </w:tblCellMar>
        <w:tblLook w:val="01E0"/>
      </w:tblPr>
      <w:tblGrid>
        <w:gridCol w:w="3153"/>
        <w:gridCol w:w="2269"/>
        <w:gridCol w:w="566"/>
        <w:gridCol w:w="2268"/>
        <w:gridCol w:w="1134"/>
        <w:gridCol w:w="708"/>
        <w:gridCol w:w="1276"/>
        <w:gridCol w:w="1277"/>
        <w:gridCol w:w="1133"/>
      </w:tblGrid>
      <w:tr>
        <w:trPr>
          <w:trHeight w:val="1035" w:hRule="exact"/>
        </w:trPr>
        <w:tc>
          <w:tcPr>
            <w:tcW w:w="31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瞪羚企业贴息贴保费</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95"/>
              <w:jc w:val="left"/>
              <w:rPr>
                <w:rFonts w:ascii="宋体" w:hAnsi="宋体" w:cs="宋体" w:eastAsia="宋体" w:hint="default"/>
                <w:sz w:val="18"/>
                <w:szCs w:val="18"/>
              </w:rPr>
            </w:pPr>
            <w:r>
              <w:rPr>
                <w:rFonts w:ascii="宋体" w:hAnsi="宋体" w:cs="宋体" w:eastAsia="宋体" w:hint="default"/>
                <w:spacing w:val="7"/>
                <w:sz w:val="18"/>
                <w:szCs w:val="18"/>
              </w:rPr>
              <w:t>北京中关村科技融资担保 </w:t>
            </w:r>
            <w:r>
              <w:rPr>
                <w:rFonts w:ascii="宋体" w:hAnsi="宋体" w:cs="宋体" w:eastAsia="宋体" w:hint="default"/>
                <w:sz w:val="18"/>
                <w:szCs w:val="18"/>
              </w:rPr>
              <w:t>有限公司</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564,135.82</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1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pacing w:val="2"/>
                <w:sz w:val="18"/>
                <w:szCs w:val="18"/>
              </w:rPr>
              <w:t>长宁区财政局支持企业经济发展房租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等补贴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上海市长宁区财政局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3" w:right="0"/>
              <w:jc w:val="left"/>
              <w:rPr>
                <w:rFonts w:ascii="宋体" w:hAnsi="宋体" w:cs="宋体" w:eastAsia="宋体" w:hint="default"/>
                <w:sz w:val="18"/>
                <w:szCs w:val="18"/>
              </w:rPr>
            </w:pPr>
            <w:r>
              <w:rPr>
                <w:rFonts w:ascii="宋体" w:hAnsi="宋体" w:cs="宋体" w:eastAsia="宋体" w:hint="default"/>
                <w:sz w:val="18"/>
                <w:szCs w:val="18"/>
              </w:rPr>
              <w:t>海南生态软件园税收扶持资金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海南生态软件园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104"/>
              <w:jc w:val="left"/>
              <w:rPr>
                <w:rFonts w:ascii="宋体" w:hAnsi="宋体" w:cs="宋体" w:eastAsia="宋体" w:hint="default"/>
                <w:sz w:val="18"/>
                <w:szCs w:val="18"/>
              </w:rPr>
            </w:pPr>
            <w:r>
              <w:rPr>
                <w:rFonts w:ascii="宋体" w:hAnsi="宋体" w:cs="宋体" w:eastAsia="宋体" w:hint="default"/>
                <w:spacing w:val="2"/>
                <w:sz w:val="18"/>
                <w:szCs w:val="18"/>
              </w:rPr>
              <w:t>上海市长宁财政局企业职工职业培训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补贴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上海市长宁财政局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49,400.00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100"/>
              <w:jc w:val="both"/>
              <w:rPr>
                <w:rFonts w:ascii="宋体" w:hAnsi="宋体" w:cs="宋体" w:eastAsia="宋体" w:hint="default"/>
                <w:sz w:val="18"/>
                <w:szCs w:val="18"/>
              </w:rPr>
            </w:pPr>
            <w:r>
              <w:rPr>
                <w:rFonts w:ascii="宋体" w:hAnsi="宋体" w:cs="宋体" w:eastAsia="宋体" w:hint="default"/>
                <w:sz w:val="18"/>
                <w:szCs w:val="18"/>
              </w:rPr>
              <w:t>中华人民共和国财政部到款</w:t>
            </w:r>
            <w:r>
              <w:rPr>
                <w:rFonts w:ascii="宋体" w:hAnsi="宋体" w:cs="宋体" w:eastAsia="宋体" w:hint="default"/>
                <w:spacing w:val="-61"/>
                <w:sz w:val="18"/>
                <w:szCs w:val="18"/>
              </w:rPr>
              <w:t> </w:t>
            </w: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年国家 </w:t>
            </w:r>
            <w:r>
              <w:rPr>
                <w:rFonts w:ascii="宋体" w:hAnsi="宋体" w:cs="宋体" w:eastAsia="宋体" w:hint="default"/>
                <w:spacing w:val="2"/>
                <w:sz w:val="18"/>
                <w:szCs w:val="18"/>
              </w:rPr>
              <w:t>科技支撑计划课题五个系统软件开发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与试点应用（成都、咸阳）</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2" w:right="95"/>
              <w:jc w:val="left"/>
              <w:rPr>
                <w:rFonts w:ascii="宋体" w:hAnsi="宋体" w:cs="宋体" w:eastAsia="宋体" w:hint="default"/>
                <w:sz w:val="18"/>
                <w:szCs w:val="18"/>
              </w:rPr>
            </w:pPr>
            <w:r>
              <w:rPr>
                <w:rFonts w:ascii="宋体" w:hAnsi="宋体" w:cs="宋体" w:eastAsia="宋体" w:hint="default"/>
                <w:spacing w:val="7"/>
                <w:sz w:val="18"/>
                <w:szCs w:val="18"/>
              </w:rPr>
              <w:t>中华人民共和国科学技术 </w:t>
            </w:r>
            <w:r>
              <w:rPr>
                <w:rFonts w:ascii="宋体" w:hAnsi="宋体" w:cs="宋体" w:eastAsia="宋体" w:hint="default"/>
                <w:sz w:val="18"/>
                <w:szCs w:val="18"/>
              </w:rPr>
              <w:t>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因从事国家鼓励和扶持特 定行业、产业而获得的补 助（按国家级政策规定依 </w:t>
            </w:r>
            <w:r>
              <w:rPr>
                <w:rFonts w:ascii="宋体" w:hAnsi="宋体" w:cs="宋体" w:eastAsia="宋体" w:hint="default"/>
                <w:sz w:val="18"/>
                <w:szCs w:val="18"/>
              </w:rPr>
              <w:t>法取得）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智慧城市安全服务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北京市发展和改革委员会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因从事国家鼓励和扶持特 定行业、产业而获得的补 助（按国家级政策规定依 </w:t>
            </w:r>
            <w:r>
              <w:rPr>
                <w:rFonts w:ascii="宋体" w:hAnsi="宋体" w:cs="宋体" w:eastAsia="宋体" w:hint="default"/>
                <w:sz w:val="18"/>
                <w:szCs w:val="18"/>
              </w:rPr>
              <w:t>法取得）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68,625.09</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1"/>
              <w:ind w:left="93" w:right="104"/>
              <w:jc w:val="left"/>
              <w:rPr>
                <w:rFonts w:ascii="宋体" w:hAnsi="宋体" w:cs="宋体" w:eastAsia="宋体" w:hint="default"/>
                <w:sz w:val="18"/>
                <w:szCs w:val="18"/>
              </w:rPr>
            </w:pPr>
            <w:r>
              <w:rPr>
                <w:rFonts w:ascii="宋体" w:hAnsi="宋体" w:cs="宋体" w:eastAsia="宋体" w:hint="default"/>
                <w:spacing w:val="2"/>
                <w:sz w:val="18"/>
                <w:szCs w:val="18"/>
              </w:rPr>
              <w:t>面向金税三期的新一代核心征管系统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研发与示范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95"/>
              <w:jc w:val="left"/>
              <w:rPr>
                <w:rFonts w:ascii="宋体" w:hAnsi="宋体" w:cs="宋体" w:eastAsia="宋体" w:hint="default"/>
                <w:sz w:val="18"/>
                <w:szCs w:val="18"/>
              </w:rPr>
            </w:pPr>
            <w:r>
              <w:rPr>
                <w:rFonts w:ascii="宋体" w:hAnsi="宋体" w:cs="宋体" w:eastAsia="宋体" w:hint="default"/>
                <w:spacing w:val="7"/>
                <w:sz w:val="18"/>
                <w:szCs w:val="18"/>
              </w:rPr>
              <w:t>北京市海淀区科学技术委 </w:t>
            </w:r>
            <w:r>
              <w:rPr>
                <w:rFonts w:ascii="宋体" w:hAnsi="宋体" w:cs="宋体" w:eastAsia="宋体" w:hint="default"/>
                <w:sz w:val="18"/>
                <w:szCs w:val="18"/>
              </w:rPr>
              <w:t>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37,842.52</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31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长宁区财政局拨款支持企业发展</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长宁区财政局</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1,600,000.00</w:t>
            </w: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918" w:footer="1266" w:top="1200" w:bottom="1460" w:left="1300" w:right="0"/>
        </w:sectPr>
      </w:pPr>
    </w:p>
    <w:tbl>
      <w:tblPr>
        <w:tblW w:w="0" w:type="auto"/>
        <w:jc w:val="left"/>
        <w:tblInd w:w="125" w:type="dxa"/>
        <w:tblLayout w:type="fixed"/>
        <w:tblCellMar>
          <w:top w:w="0" w:type="dxa"/>
          <w:left w:w="0" w:type="dxa"/>
          <w:bottom w:w="0" w:type="dxa"/>
          <w:right w:w="0" w:type="dxa"/>
        </w:tblCellMar>
        <w:tblLook w:val="01E0"/>
      </w:tblPr>
      <w:tblGrid>
        <w:gridCol w:w="3153"/>
        <w:gridCol w:w="2269"/>
        <w:gridCol w:w="566"/>
        <w:gridCol w:w="2268"/>
        <w:gridCol w:w="1134"/>
        <w:gridCol w:w="708"/>
        <w:gridCol w:w="1276"/>
        <w:gridCol w:w="1277"/>
        <w:gridCol w:w="1133"/>
      </w:tblGrid>
      <w:tr>
        <w:trPr>
          <w:trHeight w:val="723" w:hRule="exact"/>
        </w:trPr>
        <w:tc>
          <w:tcPr>
            <w:tcW w:w="31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苏州工业园区管委会奖励</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苏州工业园区管委会</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199,444.00</w:t>
            </w:r>
          </w:p>
        </w:tc>
        <w:tc>
          <w:tcPr>
            <w:tcW w:w="11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长宁区中小企业扶持发展资金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长宁区财政局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扬州市财政局奖励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扬州市财政局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10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4"/>
                <w:sz w:val="18"/>
                <w:szCs w:val="18"/>
              </w:rPr>
              <w:t> </w:t>
            </w:r>
            <w:r>
              <w:rPr>
                <w:rFonts w:ascii="宋体" w:hAnsi="宋体" w:cs="宋体" w:eastAsia="宋体" w:hint="default"/>
                <w:sz w:val="18"/>
                <w:szCs w:val="18"/>
              </w:rPr>
              <w:t>年度苏州市市级快信息化建设专 项资金扶持项目公示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95"/>
              <w:jc w:val="left"/>
              <w:rPr>
                <w:rFonts w:ascii="宋体" w:hAnsi="宋体" w:cs="宋体" w:eastAsia="宋体" w:hint="default"/>
                <w:sz w:val="18"/>
                <w:szCs w:val="18"/>
              </w:rPr>
            </w:pPr>
            <w:r>
              <w:rPr>
                <w:rFonts w:ascii="宋体" w:hAnsi="宋体" w:cs="宋体" w:eastAsia="宋体" w:hint="default"/>
                <w:spacing w:val="7"/>
                <w:sz w:val="18"/>
                <w:szCs w:val="18"/>
              </w:rPr>
              <w:t>苏州市经济和信息化委员 </w:t>
            </w:r>
            <w:r>
              <w:rPr>
                <w:rFonts w:ascii="宋体" w:hAnsi="宋体" w:cs="宋体" w:eastAsia="宋体" w:hint="default"/>
                <w:sz w:val="18"/>
                <w:szCs w:val="18"/>
              </w:rPr>
              <w:t>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9" w:lineRule="auto" w:before="52"/>
              <w:ind w:left="93" w:right="92"/>
              <w:jc w:val="left"/>
              <w:rPr>
                <w:rFonts w:ascii="宋体" w:hAnsi="宋体" w:cs="宋体" w:eastAsia="宋体" w:hint="default"/>
                <w:sz w:val="18"/>
                <w:szCs w:val="18"/>
              </w:rPr>
            </w:pPr>
            <w:r>
              <w:rPr>
                <w:rFonts w:ascii="宋体" w:hAnsi="宋体" w:cs="宋体" w:eastAsia="宋体" w:hint="default"/>
                <w:spacing w:val="9"/>
                <w:sz w:val="18"/>
                <w:szCs w:val="18"/>
              </w:rPr>
              <w:t>苏州工业园区科技发展局</w:t>
            </w:r>
            <w:r>
              <w:rPr>
                <w:rFonts w:ascii="宋体" w:hAnsi="宋体" w:cs="宋体" w:eastAsia="宋体" w:hint="default"/>
                <w:spacing w:val="9"/>
                <w:sz w:val="18"/>
                <w:szCs w:val="18"/>
              </w:rPr>
              <w:t>-</w:t>
            </w:r>
            <w:r>
              <w:rPr>
                <w:rFonts w:ascii="宋体" w:hAnsi="宋体" w:cs="宋体" w:eastAsia="宋体" w:hint="default"/>
                <w:spacing w:val="9"/>
                <w:sz w:val="18"/>
                <w:szCs w:val="18"/>
              </w:rPr>
              <w:t>高新技术</w:t>
            </w:r>
            <w:r>
              <w:rPr>
                <w:rFonts w:ascii="宋体" w:hAnsi="宋体" w:cs="宋体" w:eastAsia="宋体" w:hint="default"/>
                <w:spacing w:val="-86"/>
                <w:sz w:val="18"/>
                <w:szCs w:val="18"/>
              </w:rPr>
              <w:t> </w:t>
            </w:r>
            <w:r>
              <w:rPr>
                <w:rFonts w:ascii="宋体" w:hAnsi="宋体" w:cs="宋体" w:eastAsia="宋体" w:hint="default"/>
                <w:sz w:val="18"/>
                <w:szCs w:val="18"/>
              </w:rPr>
              <w:t>产品奖励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苏州工业园区科技发展局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栖</w:t>
            </w:r>
            <w:r>
              <w:rPr>
                <w:rFonts w:ascii="宋体" w:hAnsi="宋体" w:cs="宋体" w:eastAsia="宋体" w:hint="default"/>
                <w:spacing w:val="-42"/>
                <w:sz w:val="18"/>
                <w:szCs w:val="18"/>
              </w:rPr>
              <w:t> </w:t>
            </w:r>
            <w:r>
              <w:rPr>
                <w:rFonts w:ascii="宋体" w:hAnsi="宋体" w:cs="宋体" w:eastAsia="宋体" w:hint="default"/>
                <w:sz w:val="18"/>
                <w:szCs w:val="18"/>
              </w:rPr>
              <w:t>霞</w:t>
            </w:r>
            <w:r>
              <w:rPr>
                <w:rFonts w:ascii="宋体" w:hAnsi="宋体" w:cs="宋体" w:eastAsia="宋体" w:hint="default"/>
                <w:spacing w:val="-42"/>
                <w:sz w:val="18"/>
                <w:szCs w:val="18"/>
              </w:rPr>
              <w:t> </w:t>
            </w:r>
            <w:r>
              <w:rPr>
                <w:rFonts w:ascii="宋体" w:hAnsi="宋体" w:cs="宋体" w:eastAsia="宋体" w:hint="default"/>
                <w:sz w:val="18"/>
                <w:szCs w:val="18"/>
              </w:rPr>
              <w:t>区</w:t>
            </w:r>
            <w:r>
              <w:rPr>
                <w:rFonts w:ascii="宋体" w:hAnsi="宋体" w:cs="宋体" w:eastAsia="宋体" w:hint="default"/>
                <w:spacing w:val="-40"/>
                <w:sz w:val="18"/>
                <w:szCs w:val="18"/>
              </w:rPr>
              <w:t> </w:t>
            </w:r>
            <w:r>
              <w:rPr>
                <w:rFonts w:ascii="宋体" w:hAnsi="宋体" w:cs="宋体" w:eastAsia="宋体" w:hint="default"/>
                <w:sz w:val="18"/>
                <w:szCs w:val="18"/>
              </w:rPr>
              <w:t>龙</w:t>
            </w:r>
            <w:r>
              <w:rPr>
                <w:rFonts w:ascii="宋体" w:hAnsi="宋体" w:cs="宋体" w:eastAsia="宋体" w:hint="default"/>
                <w:spacing w:val="-42"/>
                <w:sz w:val="18"/>
                <w:szCs w:val="18"/>
              </w:rPr>
              <w:t> </w:t>
            </w:r>
            <w:r>
              <w:rPr>
                <w:rFonts w:ascii="宋体" w:hAnsi="宋体" w:cs="宋体" w:eastAsia="宋体" w:hint="default"/>
                <w:sz w:val="18"/>
                <w:szCs w:val="18"/>
              </w:rPr>
              <w:t>潭</w:t>
            </w:r>
            <w:r>
              <w:rPr>
                <w:rFonts w:ascii="宋体" w:hAnsi="宋体" w:cs="宋体" w:eastAsia="宋体" w:hint="default"/>
                <w:spacing w:val="-40"/>
                <w:sz w:val="18"/>
                <w:szCs w:val="18"/>
              </w:rPr>
              <w:t> </w:t>
            </w:r>
            <w:r>
              <w:rPr>
                <w:rFonts w:ascii="宋体" w:hAnsi="宋体" w:cs="宋体" w:eastAsia="宋体" w:hint="default"/>
                <w:sz w:val="18"/>
                <w:szCs w:val="18"/>
              </w:rPr>
              <w:t>街</w:t>
            </w:r>
            <w:r>
              <w:rPr>
                <w:rFonts w:ascii="宋体" w:hAnsi="宋体" w:cs="宋体" w:eastAsia="宋体" w:hint="default"/>
                <w:spacing w:val="-42"/>
                <w:sz w:val="18"/>
                <w:szCs w:val="18"/>
              </w:rPr>
              <w:t> </w:t>
            </w:r>
            <w:r>
              <w:rPr>
                <w:rFonts w:ascii="宋体" w:hAnsi="宋体" w:cs="宋体" w:eastAsia="宋体" w:hint="default"/>
                <w:sz w:val="18"/>
                <w:szCs w:val="18"/>
              </w:rPr>
              <w:t>道</w:t>
            </w:r>
            <w:r>
              <w:rPr>
                <w:rFonts w:ascii="宋体" w:hAnsi="宋体" w:cs="宋体" w:eastAsia="宋体" w:hint="default"/>
                <w:spacing w:val="-42"/>
                <w:sz w:val="18"/>
                <w:szCs w:val="18"/>
              </w:rPr>
              <w:t> </w:t>
            </w:r>
            <w:r>
              <w:rPr>
                <w:rFonts w:ascii="宋体" w:hAnsi="宋体" w:cs="宋体" w:eastAsia="宋体" w:hint="default"/>
                <w:sz w:val="18"/>
                <w:szCs w:val="18"/>
              </w:rPr>
              <w:t>税</w:t>
            </w:r>
            <w:r>
              <w:rPr>
                <w:rFonts w:ascii="宋体" w:hAnsi="宋体" w:cs="宋体" w:eastAsia="宋体" w:hint="default"/>
                <w:spacing w:val="-40"/>
                <w:sz w:val="18"/>
                <w:szCs w:val="18"/>
              </w:rPr>
              <w:t> </w:t>
            </w:r>
            <w:r>
              <w:rPr>
                <w:rFonts w:ascii="宋体" w:hAnsi="宋体" w:cs="宋体" w:eastAsia="宋体" w:hint="default"/>
                <w:sz w:val="18"/>
                <w:szCs w:val="18"/>
              </w:rPr>
              <w:t>收</w:t>
            </w:r>
            <w:r>
              <w:rPr>
                <w:rFonts w:ascii="宋体" w:hAnsi="宋体" w:cs="宋体" w:eastAsia="宋体" w:hint="default"/>
                <w:spacing w:val="-42"/>
                <w:sz w:val="18"/>
                <w:szCs w:val="18"/>
              </w:rPr>
              <w:t> </w:t>
            </w:r>
            <w:r>
              <w:rPr>
                <w:rFonts w:ascii="宋体" w:hAnsi="宋体" w:cs="宋体" w:eastAsia="宋体" w:hint="default"/>
                <w:sz w:val="18"/>
                <w:szCs w:val="18"/>
              </w:rPr>
              <w:t>财</w:t>
            </w:r>
            <w:r>
              <w:rPr>
                <w:rFonts w:ascii="宋体" w:hAnsi="宋体" w:cs="宋体" w:eastAsia="宋体" w:hint="default"/>
                <w:spacing w:val="-40"/>
                <w:sz w:val="18"/>
                <w:szCs w:val="18"/>
              </w:rPr>
              <w:t> </w:t>
            </w:r>
            <w:r>
              <w:rPr>
                <w:rFonts w:ascii="宋体" w:hAnsi="宋体" w:cs="宋体" w:eastAsia="宋体" w:hint="default"/>
                <w:sz w:val="18"/>
                <w:szCs w:val="18"/>
              </w:rPr>
              <w:t>力</w:t>
            </w:r>
            <w:r>
              <w:rPr>
                <w:rFonts w:ascii="宋体" w:hAnsi="宋体" w:cs="宋体" w:eastAsia="宋体" w:hint="default"/>
                <w:spacing w:val="-42"/>
                <w:sz w:val="18"/>
                <w:szCs w:val="18"/>
              </w:rPr>
              <w:t> </w:t>
            </w:r>
            <w:r>
              <w:rPr>
                <w:rFonts w:ascii="宋体" w:hAnsi="宋体" w:cs="宋体" w:eastAsia="宋体" w:hint="default"/>
                <w:sz w:val="18"/>
                <w:szCs w:val="18"/>
              </w:rPr>
              <w:t>补</w:t>
            </w:r>
            <w:r>
              <w:rPr>
                <w:rFonts w:ascii="宋体" w:hAnsi="宋体" w:cs="宋体" w:eastAsia="宋体" w:hint="default"/>
                <w:spacing w:val="-42"/>
                <w:sz w:val="18"/>
                <w:szCs w:val="18"/>
              </w:rPr>
              <w:t> </w:t>
            </w:r>
            <w:r>
              <w:rPr>
                <w:rFonts w:ascii="宋体" w:hAnsi="宋体" w:cs="宋体" w:eastAsia="宋体" w:hint="default"/>
                <w:sz w:val="18"/>
                <w:szCs w:val="18"/>
              </w:rPr>
              <w:t>贴</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南京市栖霞区龙潭办事处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141,700.00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52"/>
              <w:ind w:left="93" w:right="104"/>
              <w:jc w:val="left"/>
              <w:rPr>
                <w:rFonts w:ascii="宋体" w:hAnsi="宋体" w:cs="宋体" w:eastAsia="宋体" w:hint="default"/>
                <w:sz w:val="18"/>
                <w:szCs w:val="18"/>
              </w:rPr>
            </w:pPr>
            <w:r>
              <w:rPr>
                <w:rFonts w:ascii="宋体" w:hAnsi="宋体" w:cs="宋体" w:eastAsia="宋体" w:hint="default"/>
                <w:spacing w:val="2"/>
                <w:sz w:val="18"/>
                <w:szCs w:val="18"/>
              </w:rPr>
              <w:t>海淀区加快核心区自主创新和产业发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展专项资金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95"/>
              <w:jc w:val="left"/>
              <w:rPr>
                <w:rFonts w:ascii="宋体" w:hAnsi="宋体" w:cs="宋体" w:eastAsia="宋体" w:hint="default"/>
                <w:sz w:val="18"/>
                <w:szCs w:val="18"/>
              </w:rPr>
            </w:pPr>
            <w:r>
              <w:rPr>
                <w:rFonts w:ascii="宋体" w:hAnsi="宋体" w:cs="宋体" w:eastAsia="宋体" w:hint="default"/>
                <w:spacing w:val="7"/>
                <w:sz w:val="18"/>
                <w:szCs w:val="18"/>
              </w:rPr>
              <w:t>中关村科技园区海淀园管 </w:t>
            </w:r>
            <w:r>
              <w:rPr>
                <w:rFonts w:ascii="宋体" w:hAnsi="宋体" w:cs="宋体" w:eastAsia="宋体" w:hint="default"/>
                <w:sz w:val="18"/>
                <w:szCs w:val="18"/>
              </w:rPr>
              <w:t>理委员会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72"/>
              <w:jc w:val="left"/>
              <w:rPr>
                <w:rFonts w:ascii="宋体" w:hAnsi="宋体" w:cs="宋体" w:eastAsia="宋体" w:hint="default"/>
                <w:sz w:val="18"/>
                <w:szCs w:val="18"/>
              </w:rPr>
            </w:pPr>
            <w:r>
              <w:rPr>
                <w:rFonts w:ascii="宋体" w:hAnsi="宋体" w:cs="宋体" w:eastAsia="宋体" w:hint="default"/>
                <w:sz w:val="18"/>
                <w:szCs w:val="18"/>
              </w:rPr>
              <w:t>补 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4"/>
              <w:jc w:val="left"/>
              <w:rPr>
                <w:rFonts w:ascii="宋体" w:hAnsi="宋体" w:cs="宋体" w:eastAsia="宋体" w:hint="default"/>
                <w:sz w:val="18"/>
                <w:szCs w:val="18"/>
              </w:rPr>
            </w:pPr>
            <w:r>
              <w:rPr>
                <w:rFonts w:ascii="宋体" w:hAnsi="宋体" w:cs="宋体" w:eastAsia="宋体" w:hint="default"/>
                <w:spacing w:val="7"/>
                <w:sz w:val="18"/>
                <w:szCs w:val="18"/>
              </w:rPr>
              <w:t>因研究开发、技术更新及 </w:t>
            </w:r>
            <w:r>
              <w:rPr>
                <w:rFonts w:ascii="宋体" w:hAnsi="宋体" w:cs="宋体" w:eastAsia="宋体" w:hint="default"/>
                <w:sz w:val="18"/>
                <w:szCs w:val="18"/>
              </w:rPr>
              <w:t>改造等获得的补助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500,000.00</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15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272"/>
              <w:jc w:val="left"/>
              <w:rPr>
                <w:rFonts w:ascii="宋体" w:hAnsi="宋体" w:cs="宋体" w:eastAsia="宋体" w:hint="default"/>
                <w:sz w:val="18"/>
                <w:szCs w:val="18"/>
              </w:rPr>
            </w:pPr>
            <w:r>
              <w:rPr>
                <w:rFonts w:ascii="宋体" w:hAnsi="宋体" w:cs="宋体" w:eastAsia="宋体" w:hint="default"/>
                <w:sz w:val="18"/>
                <w:szCs w:val="18"/>
              </w:rPr>
              <w:t>奖 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4"/>
              <w:jc w:val="both"/>
              <w:rPr>
                <w:rFonts w:ascii="宋体" w:hAnsi="宋体" w:cs="宋体" w:eastAsia="宋体" w:hint="default"/>
                <w:sz w:val="18"/>
                <w:szCs w:val="18"/>
              </w:rPr>
            </w:pPr>
            <w:r>
              <w:rPr>
                <w:rFonts w:ascii="宋体" w:hAnsi="宋体" w:cs="宋体" w:eastAsia="宋体" w:hint="default"/>
                <w:spacing w:val="7"/>
                <w:sz w:val="18"/>
                <w:szCs w:val="18"/>
              </w:rPr>
              <w:t>因符合地方政府招商引资 等地方性扶持政策而获得 </w:t>
            </w:r>
            <w:r>
              <w:rPr>
                <w:rFonts w:ascii="宋体" w:hAnsi="宋体" w:cs="宋体" w:eastAsia="宋体" w:hint="default"/>
                <w:sz w:val="18"/>
                <w:szCs w:val="18"/>
              </w:rPr>
              <w:t>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140,657.52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171,762.88</w:t>
            </w:r>
          </w:p>
        </w:tc>
        <w:tc>
          <w:tcPr>
            <w:tcW w:w="11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5" w:hRule="exact"/>
        </w:trPr>
        <w:tc>
          <w:tcPr>
            <w:tcW w:w="31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2"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1" w:right="0"/>
              <w:jc w:val="lef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32,041,589.31</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23,313,166.41</w:t>
            </w:r>
          </w:p>
        </w:tc>
        <w:tc>
          <w:tcPr>
            <w:tcW w:w="11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918" w:footer="1266" w:top="1200" w:bottom="1460" w:left="130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43、营业外支出" w:id="285"/>
      <w:bookmarkEnd w:id="28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392"/>
        <w:gridCol w:w="2391"/>
      </w:tblGrid>
      <w:tr>
        <w:trPr>
          <w:trHeight w:val="725" w:hRule="exact"/>
        </w:trPr>
        <w:tc>
          <w:tcPr>
            <w:tcW w:w="23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92"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88" w:lineRule="auto" w:before="35"/>
              <w:ind w:left="991" w:right="77" w:hanging="900"/>
              <w:jc w:val="left"/>
              <w:rPr>
                <w:rFonts w:ascii="宋体" w:hAnsi="宋体" w:cs="宋体" w:eastAsia="宋体" w:hint="default"/>
                <w:sz w:val="20"/>
                <w:szCs w:val="20"/>
              </w:rPr>
            </w:pPr>
            <w:r>
              <w:rPr>
                <w:rFonts w:ascii="宋体" w:hAnsi="宋体" w:cs="宋体" w:eastAsia="宋体" w:hint="default"/>
                <w:sz w:val="20"/>
                <w:szCs w:val="20"/>
              </w:rPr>
              <w:t>计入当期非经常性损益的</w:t>
            </w:r>
            <w:r>
              <w:rPr>
                <w:rFonts w:ascii="宋体" w:hAnsi="宋体" w:cs="宋体" w:eastAsia="宋体" w:hint="default"/>
                <w:w w:val="100"/>
                <w:sz w:val="20"/>
                <w:szCs w:val="20"/>
              </w:rPr>
              <w:t> </w:t>
            </w:r>
            <w:r>
              <w:rPr>
                <w:rFonts w:ascii="宋体" w:hAnsi="宋体" w:cs="宋体" w:eastAsia="宋体" w:hint="default"/>
                <w:sz w:val="20"/>
                <w:szCs w:val="20"/>
              </w:rPr>
              <w:t>金额</w:t>
            </w:r>
          </w:p>
        </w:tc>
      </w:tr>
      <w:tr>
        <w:trPr>
          <w:trHeight w:val="464" w:hRule="exact"/>
        </w:trPr>
        <w:tc>
          <w:tcPr>
            <w:tcW w:w="2390" w:type="dxa"/>
            <w:tcBorders>
              <w:top w:val="single" w:sz="4"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7,475,563.62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500,174.67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7,475,563.62</w:t>
            </w:r>
          </w:p>
        </w:tc>
      </w:tr>
      <w:tr>
        <w:trPr>
          <w:trHeight w:val="463" w:hRule="exact"/>
        </w:trPr>
        <w:tc>
          <w:tcPr>
            <w:tcW w:w="239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7,475,563.62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500,174.67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7,475,563.62</w:t>
            </w:r>
          </w:p>
        </w:tc>
      </w:tr>
      <w:tr>
        <w:trPr>
          <w:trHeight w:val="464" w:hRule="exact"/>
        </w:trPr>
        <w:tc>
          <w:tcPr>
            <w:tcW w:w="239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322,892.72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1,271,419.30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322,892.72</w:t>
            </w:r>
          </w:p>
        </w:tc>
      </w:tr>
      <w:tr>
        <w:trPr>
          <w:trHeight w:val="475" w:hRule="exact"/>
        </w:trPr>
        <w:tc>
          <w:tcPr>
            <w:tcW w:w="23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7,798,456.34</w:t>
            </w:r>
          </w:p>
        </w:tc>
        <w:tc>
          <w:tcPr>
            <w:tcW w:w="2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1,771,593.97</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7,798,456.34</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4、所得税费用" w:id="286"/>
      <w:bookmarkEnd w:id="28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所得税费用表" w:id="287"/>
      <w:bookmarkEnd w:id="28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4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319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70,550,743.03</w:t>
            </w:r>
          </w:p>
        </w:tc>
        <w:tc>
          <w:tcPr>
            <w:tcW w:w="3188"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50,242,362.03</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15,518,232.65</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-6,416,493.34</w:t>
            </w: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86,068,975.68</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43,825,868.69</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会计利润与所得税费用调整过程" w:id="288"/>
      <w:bookmarkEnd w:id="28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6239"/>
        <w:gridCol w:w="3330"/>
      </w:tblGrid>
      <w:tr>
        <w:trPr>
          <w:trHeight w:val="458" w:hRule="exact"/>
        </w:trPr>
        <w:tc>
          <w:tcPr>
            <w:tcW w:w="623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3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本期发生额</w:t>
            </w:r>
          </w:p>
        </w:tc>
      </w:tr>
      <w:tr>
        <w:trPr>
          <w:trHeight w:val="464"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3330" w:type="dxa"/>
            <w:tcBorders>
              <w:top w:val="single" w:sz="16" w:space="0" w:color="D2D2D2"/>
              <w:left w:val="single" w:sz="13" w:space="0" w:color="D2D2D2"/>
              <w:bottom w:val="single" w:sz="4" w:space="0" w:color="000000"/>
              <w:right w:val="single" w:sz="12" w:space="0" w:color="000000"/>
            </w:tcBorders>
          </w:tcPr>
          <w:p>
            <w:pPr>
              <w:pStyle w:val="TableParagraph"/>
              <w:spacing w:line="240" w:lineRule="auto" w:before="96"/>
              <w:ind w:right="9"/>
              <w:jc w:val="right"/>
              <w:rPr>
                <w:rFonts w:ascii="Times New Roman" w:hAnsi="Times New Roman" w:cs="Times New Roman" w:eastAsia="Times New Roman" w:hint="default"/>
                <w:sz w:val="20"/>
                <w:szCs w:val="20"/>
              </w:rPr>
            </w:pPr>
            <w:r>
              <w:rPr>
                <w:rFonts w:ascii="Times New Roman"/>
                <w:spacing w:val="-1"/>
                <w:sz w:val="20"/>
              </w:rPr>
              <w:t>458,056,235.17</w:t>
            </w:r>
          </w:p>
        </w:tc>
      </w:tr>
      <w:tr>
        <w:trPr>
          <w:trHeight w:val="464"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按法定</w:t>
            </w:r>
            <w:r>
              <w:rPr>
                <w:rFonts w:ascii="宋体" w:hAnsi="宋体" w:cs="宋体" w:eastAsia="宋体" w:hint="default"/>
                <w:sz w:val="20"/>
                <w:szCs w:val="20"/>
              </w:rPr>
              <w:t>/</w:t>
            </w:r>
            <w:r>
              <w:rPr>
                <w:rFonts w:ascii="宋体" w:hAnsi="宋体" w:cs="宋体" w:eastAsia="宋体" w:hint="default"/>
                <w:sz w:val="20"/>
                <w:szCs w:val="20"/>
              </w:rPr>
              <w:t>适用税率计算的所得税费用</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114,514,058.79</w:t>
            </w:r>
          </w:p>
        </w:tc>
      </w:tr>
      <w:tr>
        <w:trPr>
          <w:trHeight w:val="448"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-22,348,447.18</w:t>
            </w:r>
          </w:p>
        </w:tc>
      </w:tr>
      <w:tr>
        <w:trPr>
          <w:trHeight w:val="479"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13" w:right="0"/>
              <w:jc w:val="left"/>
              <w:rPr>
                <w:rFonts w:ascii="宋体" w:hAnsi="宋体" w:cs="宋体" w:eastAsia="宋体" w:hint="default"/>
                <w:sz w:val="20"/>
                <w:szCs w:val="20"/>
              </w:rPr>
            </w:pPr>
            <w:r>
              <w:rPr>
                <w:rFonts w:ascii="宋体" w:hAnsi="宋体" w:cs="宋体" w:eastAsia="宋体" w:hint="default"/>
                <w:sz w:val="20"/>
                <w:szCs w:val="20"/>
              </w:rPr>
              <w:t>调整以前期间所得税的影响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9"/>
              <w:jc w:val="right"/>
              <w:rPr>
                <w:rFonts w:ascii="Times New Roman" w:hAnsi="Times New Roman" w:cs="Times New Roman" w:eastAsia="Times New Roman" w:hint="default"/>
                <w:sz w:val="20"/>
                <w:szCs w:val="20"/>
              </w:rPr>
            </w:pPr>
            <w:r>
              <w:rPr>
                <w:rFonts w:ascii="Times New Roman"/>
                <w:spacing w:val="-1"/>
                <w:sz w:val="20"/>
              </w:rPr>
              <w:t>697,981.63</w:t>
            </w:r>
          </w:p>
        </w:tc>
      </w:tr>
      <w:tr>
        <w:trPr>
          <w:trHeight w:val="464"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非应税收入的影响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-24,410,449.77</w:t>
            </w:r>
          </w:p>
        </w:tc>
      </w:tr>
      <w:tr>
        <w:trPr>
          <w:trHeight w:val="463"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8,446,714.33</w:t>
            </w:r>
          </w:p>
        </w:tc>
      </w:tr>
      <w:tr>
        <w:trPr>
          <w:trHeight w:val="464" w:hRule="exact"/>
        </w:trPr>
        <w:tc>
          <w:tcPr>
            <w:tcW w:w="62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使用前期未确认递延所得税资产的可抵扣亏损的影响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-6,911,024.32</w:t>
            </w:r>
          </w:p>
        </w:tc>
      </w:tr>
      <w:tr>
        <w:trPr>
          <w:trHeight w:val="465" w:hRule="exact"/>
        </w:trPr>
        <w:tc>
          <w:tcPr>
            <w:tcW w:w="623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left="13" w:right="0"/>
              <w:jc w:val="left"/>
              <w:rPr>
                <w:rFonts w:ascii="宋体" w:hAnsi="宋体" w:cs="宋体" w:eastAsia="宋体" w:hint="default"/>
                <w:sz w:val="20"/>
                <w:szCs w:val="20"/>
              </w:rPr>
            </w:pPr>
            <w:r>
              <w:rPr>
                <w:rFonts w:ascii="宋体" w:hAnsi="宋体" w:cs="宋体" w:eastAsia="宋体" w:hint="default"/>
                <w:sz w:val="20"/>
                <w:szCs w:val="20"/>
              </w:rPr>
              <w:t>本期未确认递延所得税资产的可抵扣暂时性差异或可抵扣亏损的影响</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561,909.55</w:t>
            </w:r>
          </w:p>
        </w:tc>
      </w:tr>
      <w:tr>
        <w:trPr>
          <w:trHeight w:val="464" w:hRule="exact"/>
        </w:trPr>
        <w:tc>
          <w:tcPr>
            <w:tcW w:w="623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5"/>
              <w:ind w:left="13" w:right="0"/>
              <w:jc w:val="left"/>
              <w:rPr>
                <w:rFonts w:ascii="宋体" w:hAnsi="宋体" w:cs="宋体" w:eastAsia="宋体" w:hint="default"/>
                <w:sz w:val="20"/>
                <w:szCs w:val="20"/>
              </w:rPr>
            </w:pPr>
            <w:r>
              <w:rPr>
                <w:rFonts w:ascii="宋体" w:hAnsi="宋体" w:cs="宋体" w:eastAsia="宋体" w:hint="default"/>
                <w:sz w:val="20"/>
                <w:szCs w:val="20"/>
              </w:rPr>
              <w:t>递延所得税</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15,518,232.65</w:t>
            </w:r>
          </w:p>
        </w:tc>
      </w:tr>
      <w:tr>
        <w:trPr>
          <w:trHeight w:val="474" w:hRule="exact"/>
        </w:trPr>
        <w:tc>
          <w:tcPr>
            <w:tcW w:w="623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33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1"/>
              <w:ind w:right="9"/>
              <w:jc w:val="right"/>
              <w:rPr>
                <w:rFonts w:ascii="Times New Roman" w:hAnsi="Times New Roman" w:cs="Times New Roman" w:eastAsia="Times New Roman" w:hint="default"/>
                <w:sz w:val="20"/>
                <w:szCs w:val="20"/>
              </w:rPr>
            </w:pPr>
            <w:r>
              <w:rPr>
                <w:rFonts w:ascii="Times New Roman"/>
                <w:spacing w:val="-1"/>
                <w:sz w:val="20"/>
              </w:rPr>
              <w:t>86,068,975.68</w:t>
            </w:r>
          </w:p>
        </w:tc>
      </w:tr>
    </w:tbl>
    <w:p>
      <w:pPr>
        <w:spacing w:after="0" w:line="240" w:lineRule="auto"/>
        <w:jc w:val="right"/>
        <w:rPr>
          <w:rFonts w:ascii="Times New Roman" w:hAnsi="Times New Roman" w:cs="Times New Roman" w:eastAsia="Times New Roman" w:hint="default"/>
          <w:sz w:val="20"/>
          <w:szCs w:val="20"/>
        </w:rPr>
        <w:sectPr>
          <w:headerReference w:type="default" r:id="rId66"/>
          <w:footerReference w:type="default" r:id="rId67"/>
          <w:pgSz w:w="11910" w:h="16840"/>
          <w:pgMar w:header="918" w:footer="1266" w:top="1160" w:bottom="1460" w:left="980" w:right="0"/>
          <w:pgNumType w:start="173"/>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45、其他综合收益" w:id="289"/>
      <w:bookmarkEnd w:id="289"/>
      <w:r>
        <w:rPr>
          <w:b w:val="0"/>
          <w:bCs w:val="0"/>
        </w:rPr>
      </w:r>
      <w:r>
        <w:rPr>
          <w:rFonts w:ascii="Times New Roman" w:hAnsi="Times New Roman" w:cs="Times New Roman" w:eastAsia="Times New Roman" w:hint="default"/>
        </w:rPr>
        <w:t>45</w:t>
      </w:r>
      <w:r>
        <w:rPr/>
        <w:t>、其他综合收益</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4" w:right="1135"/>
        <w:jc w:val="left"/>
      </w:pPr>
      <w:r>
        <w:rPr/>
        <w:t>详见附注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其他综合收益</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46、现金流量表项目" w:id="290"/>
      <w:bookmarkEnd w:id="290"/>
      <w:r>
        <w:rPr>
          <w:b w:val="0"/>
          <w:bCs w:val="0"/>
        </w:rPr>
      </w:r>
      <w:r>
        <w:rPr>
          <w:rFonts w:ascii="Times New Roman" w:hAnsi="Times New Roman" w:cs="Times New Roman" w:eastAsia="Times New Roman" w:hint="default"/>
        </w:rPr>
        <w:t>46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135"/>
        <w:jc w:val="left"/>
        <w:rPr>
          <w:b w:val="0"/>
          <w:bCs w:val="0"/>
        </w:rPr>
      </w:pPr>
      <w:bookmarkStart w:name="（1）收到的其他与经营活动有关的现金" w:id="291"/>
      <w:bookmarkEnd w:id="29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58" w:hRule="exact"/>
        </w:trPr>
        <w:tc>
          <w:tcPr>
            <w:tcW w:w="3188" w:type="dxa"/>
            <w:tcBorders>
              <w:top w:val="single" w:sz="12"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40,214,426.22</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11,952,506.88</w:t>
            </w:r>
          </w:p>
        </w:tc>
      </w:tr>
      <w:tr>
        <w:trPr>
          <w:trHeight w:val="46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23,326,884.65</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36,561,487.01</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26,339,732.51</w:t>
            </w:r>
          </w:p>
        </w:tc>
      </w:tr>
      <w:tr>
        <w:trPr>
          <w:trHeight w:val="464" w:hRule="exact"/>
        </w:trPr>
        <w:tc>
          <w:tcPr>
            <w:tcW w:w="3188" w:type="dxa"/>
            <w:tcBorders>
              <w:top w:val="single" w:sz="4" w:space="0" w:color="000000"/>
              <w:left w:val="single" w:sz="12" w:space="0" w:color="000000"/>
              <w:bottom w:val="single" w:sz="16" w:space="0" w:color="D2D2D2"/>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1,760,363.81</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775,153.10</w:t>
            </w:r>
          </w:p>
        </w:tc>
      </w:tr>
      <w:tr>
        <w:trPr>
          <w:trHeight w:val="473" w:hRule="exact"/>
        </w:trPr>
        <w:tc>
          <w:tcPr>
            <w:tcW w:w="3188" w:type="dxa"/>
            <w:tcBorders>
              <w:top w:val="single" w:sz="16" w:space="0" w:color="D9D9D9"/>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78,536,277.04</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62,394,277.14</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支付的其他与经营活动有关的现金" w:id="292"/>
      <w:bookmarkEnd w:id="29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3"/>
        <w:gridCol w:w="3191"/>
        <w:gridCol w:w="3192"/>
      </w:tblGrid>
      <w:tr>
        <w:trPr>
          <w:trHeight w:val="473"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1"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5"/>
              <w:ind w:left="1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99,411,366.05</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69,896,886.96</w:t>
            </w:r>
          </w:p>
        </w:tc>
      </w:tr>
      <w:tr>
        <w:trPr>
          <w:trHeight w:val="46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70,738,374.84</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73,441,799.20</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房租及物业费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23,000,714.31</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25,824,736.54</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保证金、房租押金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731,500.00</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49,306.98</w:t>
            </w:r>
          </w:p>
        </w:tc>
      </w:tr>
      <w:tr>
        <w:trPr>
          <w:trHeight w:val="46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交通费及运输仓储费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51,998,477.42</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31,702,616.35</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技术协作费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65,785,637.40</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80,017,620.33</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33,713,897.67</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8,983,513.77</w:t>
            </w:r>
          </w:p>
        </w:tc>
      </w:tr>
      <w:tr>
        <w:trPr>
          <w:trHeight w:val="46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投标保函费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16,787,246.32</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11,083,943.30</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6,490,616.99</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10,293,004.83</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市场服务费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8,122,648.95</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2,577,078.92</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中介费用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10,847,179.70</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15,347,235.29</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36,907,746.95</w:t>
            </w:r>
          </w:p>
        </w:tc>
        <w:tc>
          <w:tcPr>
            <w:tcW w:w="31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49,363,237.80</w:t>
            </w:r>
          </w:p>
        </w:tc>
      </w:tr>
      <w:tr>
        <w:trPr>
          <w:trHeight w:val="475"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424,535,406.60</w:t>
            </w:r>
          </w:p>
        </w:tc>
        <w:tc>
          <w:tcPr>
            <w:tcW w:w="319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378,580,980.27</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3）收到的其他与投资活动有关的现金" w:id="293"/>
      <w:bookmarkEnd w:id="29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080"/>
        <w:gridCol w:w="3276"/>
        <w:gridCol w:w="3276"/>
      </w:tblGrid>
      <w:tr>
        <w:trPr>
          <w:trHeight w:val="444" w:hRule="exact"/>
        </w:trPr>
        <w:tc>
          <w:tcPr>
            <w:tcW w:w="308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2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276"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08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收到的理财产品款项</w:t>
            </w:r>
          </w:p>
        </w:tc>
        <w:tc>
          <w:tcPr>
            <w:tcW w:w="3276"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0"/>
                <w:szCs w:val="20"/>
              </w:rPr>
            </w:pPr>
            <w:r>
              <w:rPr>
                <w:rFonts w:ascii="Times New Roman"/>
                <w:spacing w:val="-1"/>
                <w:sz w:val="20"/>
              </w:rPr>
              <w:t>1,410,000,000.00</w:t>
            </w:r>
          </w:p>
        </w:tc>
        <w:tc>
          <w:tcPr>
            <w:tcW w:w="3276"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right="90"/>
              <w:jc w:val="right"/>
              <w:rPr>
                <w:rFonts w:ascii="Times New Roman" w:hAnsi="Times New Roman" w:cs="Times New Roman" w:eastAsia="Times New Roman" w:hint="default"/>
                <w:sz w:val="20"/>
                <w:szCs w:val="20"/>
              </w:rPr>
            </w:pPr>
            <w:r>
              <w:rPr>
                <w:rFonts w:ascii="Times New Roman"/>
                <w:spacing w:val="-1"/>
                <w:sz w:val="20"/>
              </w:rPr>
              <w:t>2,595,000,000.00</w:t>
            </w:r>
          </w:p>
        </w:tc>
      </w:tr>
      <w:tr>
        <w:trPr>
          <w:trHeight w:val="475" w:hRule="exact"/>
        </w:trPr>
        <w:tc>
          <w:tcPr>
            <w:tcW w:w="308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1,410,000,000.00</w:t>
            </w:r>
          </w:p>
        </w:tc>
        <w:tc>
          <w:tcPr>
            <w:tcW w:w="32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90"/>
              <w:jc w:val="right"/>
              <w:rPr>
                <w:rFonts w:ascii="Times New Roman" w:hAnsi="Times New Roman" w:cs="Times New Roman" w:eastAsia="Times New Roman" w:hint="default"/>
                <w:sz w:val="20"/>
                <w:szCs w:val="20"/>
              </w:rPr>
            </w:pPr>
            <w:r>
              <w:rPr>
                <w:rFonts w:ascii="Times New Roman"/>
                <w:spacing w:val="-1"/>
                <w:sz w:val="20"/>
              </w:rPr>
              <w:t>2,595,000,000.00</w:t>
            </w:r>
          </w:p>
        </w:tc>
      </w:tr>
    </w:tbl>
    <w:p>
      <w:pPr>
        <w:spacing w:line="240" w:lineRule="auto" w:before="3"/>
        <w:rPr>
          <w:rFonts w:ascii="宋体" w:hAnsi="宋体" w:cs="宋体" w:eastAsia="宋体" w:hint="default"/>
          <w:sz w:val="5"/>
          <w:szCs w:val="5"/>
        </w:rPr>
      </w:pPr>
    </w:p>
    <w:p>
      <w:pPr>
        <w:pStyle w:val="BodyText"/>
        <w:spacing w:line="444" w:lineRule="auto" w:before="35"/>
        <w:ind w:left="574" w:right="1135" w:hanging="420"/>
        <w:jc w:val="left"/>
      </w:pPr>
      <w:r>
        <w:rPr/>
        <w:t>收到的其他与投资活动有关的现金说明： 本公司收到及支付的理财产品款项系利用临时资金结余投资的期限不超过</w:t>
      </w:r>
      <w:r>
        <w:rPr>
          <w:rFonts w:ascii="Times New Roman" w:hAnsi="Times New Roman" w:cs="Times New Roman" w:eastAsia="Times New Roman" w:hint="default"/>
        </w:rPr>
        <w:t>3</w:t>
      </w:r>
      <w:r>
        <w:rPr/>
        <w:t>个月的短期银行理财产品</w:t>
      </w:r>
    </w:p>
    <w:p>
      <w:pPr>
        <w:pStyle w:val="BodyText"/>
        <w:spacing w:line="256" w:lineRule="exact"/>
        <w:ind w:left="154" w:right="1135"/>
        <w:jc w:val="left"/>
      </w:pPr>
      <w:r>
        <w:rPr/>
        <w:t>之累计投出及累计回收款项。</w:t>
      </w:r>
    </w:p>
    <w:p>
      <w:pPr>
        <w:spacing w:line="240" w:lineRule="auto" w:before="0"/>
        <w:rPr>
          <w:rFonts w:ascii="宋体" w:hAnsi="宋体" w:cs="宋体" w:eastAsia="宋体" w:hint="default"/>
          <w:sz w:val="20"/>
          <w:szCs w:val="20"/>
        </w:rPr>
      </w:pPr>
    </w:p>
    <w:p>
      <w:pPr>
        <w:pStyle w:val="Heading6"/>
        <w:spacing w:line="240" w:lineRule="auto" w:before="152"/>
        <w:ind w:right="1135"/>
        <w:jc w:val="left"/>
        <w:rPr>
          <w:b w:val="0"/>
          <w:bCs w:val="0"/>
        </w:rPr>
      </w:pPr>
      <w:bookmarkStart w:name="（4）支付的其他与投资活动有关的现金" w:id="294"/>
      <w:bookmarkEnd w:id="29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829"/>
        <w:gridCol w:w="2887"/>
        <w:gridCol w:w="2888"/>
      </w:tblGrid>
      <w:tr>
        <w:trPr>
          <w:trHeight w:val="473" w:hRule="exact"/>
        </w:trPr>
        <w:tc>
          <w:tcPr>
            <w:tcW w:w="382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288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93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888"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940"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64"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支付的理财产品以及衍生品款项</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1,210,520,000.20</w:t>
            </w:r>
          </w:p>
        </w:tc>
        <w:tc>
          <w:tcPr>
            <w:tcW w:w="28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0"/>
              <w:jc w:val="right"/>
              <w:rPr>
                <w:rFonts w:ascii="Times New Roman" w:hAnsi="Times New Roman" w:cs="Times New Roman" w:eastAsia="Times New Roman" w:hint="default"/>
                <w:sz w:val="20"/>
                <w:szCs w:val="20"/>
              </w:rPr>
            </w:pPr>
            <w:r>
              <w:rPr>
                <w:rFonts w:ascii="Times New Roman"/>
                <w:spacing w:val="-1"/>
                <w:sz w:val="20"/>
              </w:rPr>
              <w:t>2,795,000,000.00</w:t>
            </w:r>
          </w:p>
        </w:tc>
      </w:tr>
      <w:tr>
        <w:trPr>
          <w:trHeight w:val="464"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支付的发行股份购买资产中介机构费用</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6,000,000.00</w:t>
            </w:r>
          </w:p>
        </w:tc>
        <w:tc>
          <w:tcPr>
            <w:tcW w:w="28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2,340,000.00</w:t>
            </w:r>
          </w:p>
        </w:tc>
      </w:tr>
      <w:tr>
        <w:trPr>
          <w:trHeight w:val="464" w:hRule="exact"/>
        </w:trPr>
        <w:tc>
          <w:tcPr>
            <w:tcW w:w="3829" w:type="dxa"/>
            <w:tcBorders>
              <w:top w:val="single" w:sz="4" w:space="0" w:color="000000"/>
              <w:left w:val="single" w:sz="12" w:space="0" w:color="000000"/>
              <w:bottom w:val="single" w:sz="17" w:space="0" w:color="D2D2D2"/>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支付股权登记费等</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900,000.00</w:t>
            </w:r>
          </w:p>
        </w:tc>
        <w:tc>
          <w:tcPr>
            <w:tcW w:w="28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27,593.51</w:t>
            </w:r>
          </w:p>
        </w:tc>
      </w:tr>
      <w:tr>
        <w:trPr>
          <w:trHeight w:val="475" w:hRule="exact"/>
        </w:trPr>
        <w:tc>
          <w:tcPr>
            <w:tcW w:w="38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8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1,217,420,000.20</w:t>
            </w:r>
          </w:p>
        </w:tc>
        <w:tc>
          <w:tcPr>
            <w:tcW w:w="28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2,797,367,593.51</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5）收到的其他与筹资活动有关的现金" w:id="295"/>
      <w:bookmarkEnd w:id="29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3"/>
        <w:gridCol w:w="3198"/>
        <w:gridCol w:w="3199"/>
      </w:tblGrid>
      <w:tr>
        <w:trPr>
          <w:trHeight w:val="473"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1"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9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5"/>
              <w:ind w:left="11"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6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收到的票据保证金</w:t>
            </w:r>
          </w:p>
        </w:tc>
        <w:tc>
          <w:tcPr>
            <w:tcW w:w="3198" w:type="dxa"/>
            <w:tcBorders>
              <w:top w:val="single" w:sz="4" w:space="0" w:color="000000"/>
              <w:left w:val="single" w:sz="4" w:space="0" w:color="000000"/>
              <w:bottom w:val="single" w:sz="4" w:space="0" w:color="000000"/>
              <w:right w:val="single" w:sz="4" w:space="0" w:color="000000"/>
            </w:tcBorders>
          </w:tcPr>
          <w:p>
            <w:pPr/>
          </w:p>
        </w:tc>
        <w:tc>
          <w:tcPr>
            <w:tcW w:w="31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57,000.00</w:t>
            </w:r>
          </w:p>
        </w:tc>
      </w:tr>
      <w:tr>
        <w:trPr>
          <w:trHeight w:val="46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收到的反担保保证金押金</w:t>
            </w:r>
          </w:p>
        </w:tc>
        <w:tc>
          <w:tcPr>
            <w:tcW w:w="3198" w:type="dxa"/>
            <w:tcBorders>
              <w:top w:val="single" w:sz="4" w:space="0" w:color="000000"/>
              <w:left w:val="single" w:sz="4" w:space="0" w:color="000000"/>
              <w:bottom w:val="single" w:sz="4" w:space="0" w:color="000000"/>
              <w:right w:val="single" w:sz="4" w:space="0" w:color="000000"/>
            </w:tcBorders>
          </w:tcPr>
          <w:p>
            <w:pPr/>
          </w:p>
        </w:tc>
        <w:tc>
          <w:tcPr>
            <w:tcW w:w="31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22,400,000.00</w:t>
            </w:r>
          </w:p>
        </w:tc>
      </w:tr>
      <w:tr>
        <w:trPr>
          <w:trHeight w:val="475"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8" w:type="dxa"/>
            <w:tcBorders>
              <w:top w:val="single" w:sz="4" w:space="0" w:color="000000"/>
              <w:left w:val="single" w:sz="4" w:space="0" w:color="000000"/>
              <w:bottom w:val="single" w:sz="12" w:space="0" w:color="000000"/>
              <w:right w:val="single" w:sz="4" w:space="0" w:color="000000"/>
            </w:tcBorders>
          </w:tcPr>
          <w:p>
            <w:pPr/>
          </w:p>
        </w:tc>
        <w:tc>
          <w:tcPr>
            <w:tcW w:w="31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22,457,000.00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6）支付的其他与筹资活动有关的现金" w:id="296"/>
      <w:bookmarkEnd w:id="29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75" w:hRule="exact"/>
        </w:trPr>
        <w:tc>
          <w:tcPr>
            <w:tcW w:w="3188" w:type="dxa"/>
            <w:tcBorders>
              <w:top w:val="single" w:sz="12" w:space="0" w:color="000000"/>
              <w:left w:val="single" w:sz="12" w:space="0" w:color="000000"/>
              <w:bottom w:val="single" w:sz="12" w:space="0" w:color="D9D9D9"/>
              <w:right w:val="single" w:sz="4" w:space="0" w:color="000000"/>
            </w:tcBorders>
            <w:shd w:val="clear" w:color="auto" w:fill="D2D2D2"/>
          </w:tcPr>
          <w:p>
            <w:pPr>
              <w:pStyle w:val="TableParagraph"/>
              <w:spacing w:line="240" w:lineRule="auto" w:before="35"/>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31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5"/>
              <w:ind w:left="1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手续费及担保费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030" w:right="0"/>
              <w:jc w:val="left"/>
              <w:rPr>
                <w:rFonts w:ascii="Times New Roman" w:hAnsi="Times New Roman" w:cs="Times New Roman" w:eastAsia="Times New Roman" w:hint="default"/>
                <w:sz w:val="20"/>
                <w:szCs w:val="20"/>
              </w:rPr>
            </w:pPr>
            <w:r>
              <w:rPr>
                <w:rFonts w:ascii="Times New Roman"/>
                <w:sz w:val="20"/>
              </w:rPr>
              <w:t>1,427,544.17</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22,688.55</w:t>
            </w:r>
          </w:p>
        </w:tc>
      </w:tr>
      <w:tr>
        <w:trPr>
          <w:trHeight w:val="641"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3194" w:type="dxa"/>
            <w:tcBorders>
              <w:top w:val="single" w:sz="4" w:space="0" w:color="000000"/>
              <w:left w:val="single" w:sz="4" w:space="0" w:color="000000"/>
              <w:bottom w:val="single" w:sz="12" w:space="0" w:color="000000"/>
              <w:right w:val="single" w:sz="4" w:space="0" w:color="000000"/>
            </w:tcBorders>
          </w:tcPr>
          <w:p>
            <w:pP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2,554,716.98</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7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支付的保函保证金及相关费用</w:t>
            </w:r>
          </w:p>
        </w:tc>
        <w:tc>
          <w:tcPr>
            <w:tcW w:w="31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17,372,466.64</w:t>
            </w:r>
          </w:p>
        </w:tc>
        <w:tc>
          <w:tcPr>
            <w:tcW w:w="3188"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745,283.01</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19,545,293.82</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left="2026" w:right="0"/>
              <w:jc w:val="left"/>
              <w:rPr>
                <w:rFonts w:ascii="Times New Roman" w:hAnsi="Times New Roman" w:cs="Times New Roman" w:eastAsia="Times New Roman" w:hint="default"/>
                <w:sz w:val="20"/>
                <w:szCs w:val="20"/>
              </w:rPr>
            </w:pPr>
            <w:r>
              <w:rPr>
                <w:rFonts w:ascii="Times New Roman"/>
                <w:sz w:val="20"/>
              </w:rPr>
              <w:t>2,577,405.53</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7、现金流量表补充资料" w:id="297"/>
      <w:bookmarkEnd w:id="297"/>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现金流量表补充资料" w:id="298"/>
      <w:bookmarkEnd w:id="29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5388"/>
        <w:gridCol w:w="2091"/>
        <w:gridCol w:w="2090"/>
      </w:tblGrid>
      <w:tr>
        <w:trPr>
          <w:trHeight w:val="443" w:hRule="exact"/>
        </w:trPr>
        <w:tc>
          <w:tcPr>
            <w:tcW w:w="53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0"/>
              <w:ind w:right="6"/>
              <w:jc w:val="center"/>
              <w:rPr>
                <w:rFonts w:ascii="宋体" w:hAnsi="宋体" w:cs="宋体" w:eastAsia="宋体" w:hint="default"/>
                <w:sz w:val="20"/>
                <w:szCs w:val="20"/>
              </w:rPr>
            </w:pPr>
            <w:r>
              <w:rPr>
                <w:rFonts w:ascii="宋体" w:hAnsi="宋体" w:cs="宋体" w:eastAsia="宋体" w:hint="default"/>
                <w:sz w:val="20"/>
                <w:szCs w:val="20"/>
              </w:rPr>
              <w:t>补充资料</w:t>
            </w:r>
          </w:p>
        </w:tc>
        <w:tc>
          <w:tcPr>
            <w:tcW w:w="20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39"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09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0"/>
              <w:ind w:left="639"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43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．将净利润调节为经营活动现金流量：</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20"/>
                <w:szCs w:val="20"/>
              </w:rPr>
            </w:pPr>
            <w:r>
              <w:rPr>
                <w:rFonts w:ascii="宋体"/>
                <w:sz w:val="20"/>
              </w:rPr>
              <w:t>--</w:t>
            </w:r>
          </w:p>
        </w:tc>
        <w:tc>
          <w:tcPr>
            <w:tcW w:w="2090"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20"/>
                <w:szCs w:val="20"/>
              </w:rPr>
            </w:pPr>
            <w:r>
              <w:rPr>
                <w:rFonts w:ascii="宋体"/>
                <w:sz w:val="20"/>
              </w:rPr>
              <w:t>--</w:t>
            </w:r>
          </w:p>
        </w:tc>
      </w:tr>
      <w:tr>
        <w:trPr>
          <w:trHeight w:val="480"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091"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371,987,259.49</w:t>
            </w:r>
          </w:p>
        </w:tc>
        <w:tc>
          <w:tcPr>
            <w:tcW w:w="2090"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287,124,636.69</w:t>
            </w:r>
          </w:p>
        </w:tc>
      </w:tr>
      <w:tr>
        <w:trPr>
          <w:trHeight w:val="46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0"/>
                <w:szCs w:val="20"/>
              </w:rPr>
            </w:pPr>
            <w:r>
              <w:rPr>
                <w:rFonts w:ascii="Times New Roman"/>
                <w:spacing w:val="-1"/>
                <w:sz w:val="20"/>
              </w:rPr>
              <w:t>-25,048,628.08</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4,758,400.30</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40,169,667.10</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45,903,917.03</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9,132,307.52</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3,855,131.88</w:t>
            </w:r>
          </w:p>
        </w:tc>
      </w:tr>
      <w:tr>
        <w:trPr>
          <w:trHeight w:val="46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2,488,362.57</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2,602,773.90</w:t>
            </w:r>
          </w:p>
        </w:tc>
      </w:tr>
      <w:tr>
        <w:trPr>
          <w:trHeight w:val="71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85" w:lineRule="auto" w:before="36"/>
              <w:ind w:left="13" w:right="25"/>
              <w:jc w:val="left"/>
              <w:rPr>
                <w:rFonts w:ascii="宋体" w:hAnsi="宋体" w:cs="宋体" w:eastAsia="宋体" w:hint="default"/>
                <w:sz w:val="20"/>
                <w:szCs w:val="20"/>
              </w:rPr>
            </w:pPr>
            <w:r>
              <w:rPr>
                <w:rFonts w:ascii="宋体" w:hAnsi="宋体" w:cs="宋体" w:eastAsia="宋体" w:hint="default"/>
                <w:spacing w:val="11"/>
                <w:sz w:val="20"/>
                <w:szCs w:val="20"/>
              </w:rPr>
              <w:t>处置固定资产、无形资产和其他长期资产的损失（收益以</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7,428,287.96</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20"/>
                <w:szCs w:val="20"/>
              </w:rPr>
            </w:pPr>
            <w:r>
              <w:rPr>
                <w:rFonts w:ascii="Times New Roman"/>
                <w:spacing w:val="-1"/>
                <w:sz w:val="20"/>
              </w:rPr>
              <w:t>456,221.41</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财务费用（收益以“－”号填列）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25,481,454.85</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32,525,472.57</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投资损失（收益以“－”号填列）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0"/>
                <w:szCs w:val="20"/>
              </w:rPr>
            </w:pPr>
            <w:r>
              <w:rPr>
                <w:rFonts w:ascii="Times New Roman"/>
                <w:spacing w:val="-1"/>
                <w:sz w:val="20"/>
              </w:rPr>
              <w:t>-25,740,459.71</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-35,761,040.55</w:t>
            </w:r>
          </w:p>
        </w:tc>
      </w:tr>
      <w:tr>
        <w:trPr>
          <w:trHeight w:val="46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15,983,232.61</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-6,826,946.34</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-465,000.00</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2,286,250.00</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存货的减少（增加以“－”号填列）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-566,238,342.92</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118,964,868.19</w:t>
            </w:r>
          </w:p>
        </w:tc>
      </w:tr>
      <w:tr>
        <w:trPr>
          <w:trHeight w:val="46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-326,231,001.61</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504,765,147.53</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经营性应付项目的增加（减少以“－”号填列）</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549,439,499.00</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-457,521,289.96</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78,386,638.78</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503,133,542.65</w:t>
            </w:r>
          </w:p>
        </w:tc>
      </w:tr>
      <w:tr>
        <w:trPr>
          <w:trHeight w:val="463"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．不涉及现金收支的重大投资和筹资活动：</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sz w:val="20"/>
              </w:rPr>
              <w:t>--</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left="10" w:right="0"/>
              <w:jc w:val="center"/>
              <w:rPr>
                <w:rFonts w:ascii="Times New Roman" w:hAnsi="Times New Roman" w:cs="Times New Roman" w:eastAsia="Times New Roman" w:hint="default"/>
                <w:sz w:val="20"/>
                <w:szCs w:val="20"/>
              </w:rPr>
            </w:pPr>
            <w:r>
              <w:rPr>
                <w:rFonts w:ascii="Times New Roman"/>
                <w:sz w:val="20"/>
              </w:rPr>
              <w:t>--</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．现金及现金等价物净变动情况：</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0"/>
                <w:szCs w:val="20"/>
              </w:rPr>
            </w:pPr>
            <w:r>
              <w:rPr>
                <w:rFonts w:ascii="Times New Roman"/>
                <w:sz w:val="20"/>
              </w:rPr>
              <w:t>--</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10" w:right="0"/>
              <w:jc w:val="center"/>
              <w:rPr>
                <w:rFonts w:ascii="Times New Roman" w:hAnsi="Times New Roman" w:cs="Times New Roman" w:eastAsia="Times New Roman" w:hint="default"/>
                <w:sz w:val="20"/>
                <w:szCs w:val="20"/>
              </w:rPr>
            </w:pPr>
            <w:r>
              <w:rPr>
                <w:rFonts w:ascii="Times New Roman"/>
                <w:sz w:val="20"/>
              </w:rPr>
              <w:t>--</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0"/>
                <w:szCs w:val="20"/>
              </w:rPr>
            </w:pPr>
            <w:r>
              <w:rPr>
                <w:rFonts w:ascii="Times New Roman"/>
                <w:spacing w:val="-1"/>
                <w:sz w:val="20"/>
              </w:rPr>
              <w:t>1,879,936,445.81</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1,700,793,859.88</w:t>
            </w:r>
          </w:p>
        </w:tc>
      </w:tr>
      <w:tr>
        <w:trPr>
          <w:trHeight w:val="464" w:hRule="exact"/>
        </w:trPr>
        <w:tc>
          <w:tcPr>
            <w:tcW w:w="5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0"/>
                <w:szCs w:val="20"/>
              </w:rPr>
            </w:pPr>
            <w:r>
              <w:rPr>
                <w:rFonts w:ascii="Times New Roman"/>
                <w:spacing w:val="-1"/>
                <w:sz w:val="20"/>
              </w:rPr>
              <w:t>1,700,793,859.88</w:t>
            </w:r>
          </w:p>
        </w:tc>
        <w:tc>
          <w:tcPr>
            <w:tcW w:w="2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1,532,414,749.33</w:t>
            </w:r>
          </w:p>
        </w:tc>
      </w:tr>
      <w:tr>
        <w:trPr>
          <w:trHeight w:val="475" w:hRule="exact"/>
        </w:trPr>
        <w:tc>
          <w:tcPr>
            <w:tcW w:w="53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179,142,585.93</w:t>
            </w:r>
          </w:p>
        </w:tc>
        <w:tc>
          <w:tcPr>
            <w:tcW w:w="20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right="8"/>
              <w:jc w:val="right"/>
              <w:rPr>
                <w:rFonts w:ascii="Times New Roman" w:hAnsi="Times New Roman" w:cs="Times New Roman" w:eastAsia="Times New Roman" w:hint="default"/>
                <w:sz w:val="20"/>
                <w:szCs w:val="20"/>
              </w:rPr>
            </w:pPr>
            <w:r>
              <w:rPr>
                <w:rFonts w:ascii="Times New Roman"/>
                <w:spacing w:val="-1"/>
                <w:sz w:val="20"/>
              </w:rPr>
              <w:t>168,379,110.55</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sz w:val="17"/>
          <w:szCs w:val="17"/>
        </w:rPr>
      </w:pPr>
    </w:p>
    <w:p>
      <w:pPr>
        <w:pStyle w:val="Heading6"/>
        <w:spacing w:line="240" w:lineRule="auto" w:before="35"/>
        <w:ind w:right="1135"/>
        <w:jc w:val="left"/>
        <w:rPr>
          <w:b w:val="0"/>
          <w:bCs w:val="0"/>
        </w:rPr>
      </w:pPr>
      <w:bookmarkStart w:name="（2）现金和现金等价物的构成" w:id="299"/>
      <w:bookmarkEnd w:id="29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329"/>
        <w:gridCol w:w="3057"/>
        <w:gridCol w:w="3183"/>
      </w:tblGrid>
      <w:tr>
        <w:trPr>
          <w:trHeight w:val="444" w:hRule="exact"/>
        </w:trPr>
        <w:tc>
          <w:tcPr>
            <w:tcW w:w="332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3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18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79" w:hRule="exact"/>
        </w:trPr>
        <w:tc>
          <w:tcPr>
            <w:tcW w:w="33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305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0"/>
                <w:szCs w:val="20"/>
              </w:rPr>
            </w:pPr>
            <w:r>
              <w:rPr>
                <w:rFonts w:ascii="Times New Roman"/>
                <w:spacing w:val="-1"/>
                <w:sz w:val="20"/>
              </w:rPr>
              <w:t>1,879,936,445.81</w:t>
            </w:r>
          </w:p>
        </w:tc>
        <w:tc>
          <w:tcPr>
            <w:tcW w:w="3183" w:type="dxa"/>
            <w:tcBorders>
              <w:top w:val="single" w:sz="12" w:space="0" w:color="D2D2D2"/>
              <w:left w:val="single" w:sz="4" w:space="0" w:color="000000"/>
              <w:bottom w:val="single" w:sz="4" w:space="0" w:color="000000"/>
              <w:right w:val="single" w:sz="12" w:space="0" w:color="000000"/>
            </w:tcBorders>
          </w:tcPr>
          <w:p>
            <w:pPr>
              <w:pStyle w:val="TableParagraph"/>
              <w:spacing w:line="240" w:lineRule="auto" w:before="117"/>
              <w:ind w:right="9"/>
              <w:jc w:val="right"/>
              <w:rPr>
                <w:rFonts w:ascii="Times New Roman" w:hAnsi="Times New Roman" w:cs="Times New Roman" w:eastAsia="Times New Roman" w:hint="default"/>
                <w:sz w:val="20"/>
                <w:szCs w:val="20"/>
              </w:rPr>
            </w:pPr>
            <w:r>
              <w:rPr>
                <w:rFonts w:ascii="Times New Roman"/>
                <w:spacing w:val="-1"/>
                <w:sz w:val="20"/>
              </w:rPr>
              <w:t>1,700,793,859.88</w:t>
            </w:r>
          </w:p>
        </w:tc>
      </w:tr>
      <w:tr>
        <w:trPr>
          <w:trHeight w:val="464" w:hRule="exact"/>
        </w:trPr>
        <w:tc>
          <w:tcPr>
            <w:tcW w:w="33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18,255.22</w:t>
            </w:r>
          </w:p>
        </w:tc>
      </w:tr>
      <w:tr>
        <w:trPr>
          <w:trHeight w:val="464" w:hRule="exact"/>
        </w:trPr>
        <w:tc>
          <w:tcPr>
            <w:tcW w:w="33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614"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1,879,936,445.81</w:t>
            </w:r>
          </w:p>
        </w:tc>
        <w:tc>
          <w:tcPr>
            <w:tcW w:w="31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1,700,775,604.66</w:t>
            </w:r>
          </w:p>
        </w:tc>
      </w:tr>
      <w:tr>
        <w:trPr>
          <w:trHeight w:val="473" w:hRule="exact"/>
        </w:trPr>
        <w:tc>
          <w:tcPr>
            <w:tcW w:w="33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3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1,879,936,445.81</w:t>
            </w:r>
          </w:p>
        </w:tc>
        <w:tc>
          <w:tcPr>
            <w:tcW w:w="31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1,700,793,859.88</w:t>
            </w:r>
          </w:p>
        </w:tc>
      </w:tr>
    </w:tbl>
    <w:p>
      <w:pPr>
        <w:spacing w:line="240" w:lineRule="auto" w:before="2"/>
        <w:rPr>
          <w:rFonts w:ascii="宋体" w:hAnsi="宋体" w:cs="宋体" w:eastAsia="宋体" w:hint="default"/>
          <w:sz w:val="14"/>
          <w:szCs w:val="14"/>
        </w:rPr>
      </w:pPr>
    </w:p>
    <w:p>
      <w:pPr>
        <w:pStyle w:val="Heading5"/>
        <w:spacing w:line="240" w:lineRule="auto" w:before="31"/>
        <w:ind w:right="1135"/>
        <w:jc w:val="left"/>
      </w:pPr>
      <w:r>
        <w:rPr/>
        <w:t>注：现金和现金等价物与货币资金之间的差额，参见本附注七、</w:t>
      </w:r>
      <w:r>
        <w:rPr>
          <w:rFonts w:ascii="Times New Roman" w:hAnsi="Times New Roman" w:cs="Times New Roman" w:eastAsia="Times New Roman" w:hint="default"/>
        </w:rPr>
        <w:t>1</w:t>
      </w:r>
      <w:r>
        <w:rPr/>
        <w:t>所述。</w:t>
      </w:r>
    </w:p>
    <w:p>
      <w:pPr>
        <w:spacing w:line="240" w:lineRule="auto" w:before="3"/>
        <w:rPr>
          <w:rFonts w:ascii="宋体" w:hAnsi="宋体" w:cs="宋体" w:eastAsia="宋体" w:hint="default"/>
          <w:sz w:val="24"/>
          <w:szCs w:val="24"/>
        </w:rPr>
      </w:pPr>
    </w:p>
    <w:p>
      <w:pPr>
        <w:pStyle w:val="Heading6"/>
        <w:spacing w:line="240" w:lineRule="auto"/>
        <w:ind w:left="153" w:right="1135"/>
        <w:jc w:val="left"/>
        <w:rPr>
          <w:b w:val="0"/>
          <w:bCs w:val="0"/>
        </w:rPr>
      </w:pPr>
      <w:bookmarkStart w:name="48、所有权或使用权受到限制的资产" w:id="300"/>
      <w:bookmarkEnd w:id="300"/>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329"/>
        <w:gridCol w:w="3120"/>
        <w:gridCol w:w="3120"/>
      </w:tblGrid>
      <w:tr>
        <w:trPr>
          <w:trHeight w:val="458" w:hRule="exact"/>
        </w:trPr>
        <w:tc>
          <w:tcPr>
            <w:tcW w:w="332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20"/>
                <w:szCs w:val="20"/>
              </w:rPr>
            </w:pPr>
            <w:r>
              <w:rPr>
                <w:rFonts w:ascii="宋体" w:hAnsi="宋体" w:cs="宋体" w:eastAsia="宋体" w:hint="default"/>
                <w:sz w:val="20"/>
                <w:szCs w:val="20"/>
              </w:rPr>
              <w:t>项目</w:t>
            </w:r>
          </w:p>
        </w:tc>
        <w:tc>
          <w:tcPr>
            <w:tcW w:w="31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4" w:right="0"/>
              <w:jc w:val="left"/>
              <w:rPr>
                <w:rFonts w:ascii="宋体" w:hAnsi="宋体" w:cs="宋体" w:eastAsia="宋体" w:hint="default"/>
                <w:sz w:val="20"/>
                <w:szCs w:val="20"/>
              </w:rPr>
            </w:pPr>
            <w:r>
              <w:rPr>
                <w:rFonts w:ascii="宋体" w:hAnsi="宋体" w:cs="宋体" w:eastAsia="宋体" w:hint="default"/>
                <w:sz w:val="20"/>
                <w:szCs w:val="20"/>
              </w:rPr>
              <w:t>期末账面价值</w:t>
            </w:r>
          </w:p>
        </w:tc>
        <w:tc>
          <w:tcPr>
            <w:tcW w:w="31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464" w:hRule="exact"/>
        </w:trPr>
        <w:tc>
          <w:tcPr>
            <w:tcW w:w="33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15,882,500.00</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履约保函和融资性保函保证金</w:t>
            </w:r>
          </w:p>
        </w:tc>
      </w:tr>
      <w:tr>
        <w:trPr>
          <w:trHeight w:val="473" w:hRule="exact"/>
        </w:trPr>
        <w:tc>
          <w:tcPr>
            <w:tcW w:w="33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15,882,500.00</w:t>
            </w:r>
          </w:p>
        </w:tc>
        <w:tc>
          <w:tcPr>
            <w:tcW w:w="3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left="11" w:right="0"/>
              <w:jc w:val="center"/>
              <w:rPr>
                <w:rFonts w:ascii="宋体" w:hAnsi="宋体" w:cs="宋体" w:eastAsia="宋体" w:hint="default"/>
                <w:sz w:val="20"/>
                <w:szCs w:val="20"/>
              </w:rPr>
            </w:pPr>
            <w:r>
              <w:rPr>
                <w:rFonts w:ascii="宋体"/>
                <w:sz w:val="20"/>
              </w:rPr>
              <w:t>--</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49、外币货币性项目" w:id="301"/>
      <w:bookmarkEnd w:id="301"/>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外币货币性项目" w:id="302"/>
      <w:bookmarkEnd w:id="3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388"/>
        <w:gridCol w:w="2397"/>
        <w:gridCol w:w="2397"/>
        <w:gridCol w:w="2395"/>
      </w:tblGrid>
      <w:tr>
        <w:trPr>
          <w:trHeight w:val="412" w:hRule="exact"/>
        </w:trPr>
        <w:tc>
          <w:tcPr>
            <w:tcW w:w="23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left="9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39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92" w:right="0"/>
              <w:jc w:val="left"/>
              <w:rPr>
                <w:rFonts w:ascii="宋体" w:hAnsi="宋体" w:cs="宋体" w:eastAsia="宋体" w:hint="default"/>
                <w:sz w:val="20"/>
                <w:szCs w:val="20"/>
              </w:rPr>
            </w:pPr>
            <w:r>
              <w:rPr>
                <w:rFonts w:ascii="宋体" w:hAnsi="宋体" w:cs="宋体" w:eastAsia="宋体" w:hint="default"/>
                <w:sz w:val="20"/>
                <w:szCs w:val="20"/>
              </w:rPr>
              <w:t>期末外币余额</w:t>
            </w:r>
          </w:p>
        </w:tc>
        <w:tc>
          <w:tcPr>
            <w:tcW w:w="239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93" w:right="0"/>
              <w:jc w:val="left"/>
              <w:rPr>
                <w:rFonts w:ascii="宋体" w:hAnsi="宋体" w:cs="宋体" w:eastAsia="宋体" w:hint="default"/>
                <w:sz w:val="20"/>
                <w:szCs w:val="20"/>
              </w:rPr>
            </w:pPr>
            <w:r>
              <w:rPr>
                <w:rFonts w:ascii="宋体" w:hAnsi="宋体" w:cs="宋体" w:eastAsia="宋体" w:hint="default"/>
                <w:sz w:val="20"/>
                <w:szCs w:val="20"/>
              </w:rPr>
              <w:t>折算汇率</w:t>
            </w:r>
          </w:p>
        </w:tc>
        <w:tc>
          <w:tcPr>
            <w:tcW w:w="2395"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291" w:right="0"/>
              <w:jc w:val="left"/>
              <w:rPr>
                <w:rFonts w:ascii="宋体" w:hAnsi="宋体" w:cs="宋体" w:eastAsia="宋体" w:hint="default"/>
                <w:sz w:val="20"/>
                <w:szCs w:val="20"/>
              </w:rPr>
            </w:pPr>
            <w:r>
              <w:rPr>
                <w:rFonts w:ascii="宋体" w:hAnsi="宋体" w:cs="宋体" w:eastAsia="宋体" w:hint="default"/>
                <w:sz w:val="20"/>
                <w:szCs w:val="20"/>
              </w:rPr>
              <w:t>期末折算人民币余额</w:t>
            </w:r>
          </w:p>
        </w:tc>
      </w:tr>
      <w:tr>
        <w:trPr>
          <w:trHeight w:val="480"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97" w:type="dxa"/>
            <w:tcBorders>
              <w:top w:val="single" w:sz="16" w:space="0" w:color="D9D9D9"/>
              <w:left w:val="single" w:sz="4" w:space="0" w:color="000000"/>
              <w:bottom w:val="single" w:sz="4" w:space="0" w:color="000000"/>
              <w:right w:val="single" w:sz="4" w:space="0" w:color="000000"/>
            </w:tcBorders>
          </w:tcPr>
          <w:p>
            <w:pPr/>
          </w:p>
        </w:tc>
        <w:tc>
          <w:tcPr>
            <w:tcW w:w="2397" w:type="dxa"/>
            <w:tcBorders>
              <w:top w:val="single" w:sz="16" w:space="0" w:color="D9D9D9"/>
              <w:left w:val="single" w:sz="4" w:space="0" w:color="000000"/>
              <w:bottom w:val="single" w:sz="4" w:space="0" w:color="000000"/>
              <w:right w:val="single" w:sz="4" w:space="0" w:color="000000"/>
            </w:tcBorders>
          </w:tcPr>
          <w:p>
            <w:pPr/>
          </w:p>
        </w:tc>
        <w:tc>
          <w:tcPr>
            <w:tcW w:w="2395" w:type="dxa"/>
            <w:tcBorders>
              <w:top w:val="single" w:sz="16" w:space="0" w:color="D9D9D9"/>
              <w:left w:val="single" w:sz="4" w:space="0" w:color="000000"/>
              <w:bottom w:val="single" w:sz="4" w:space="0" w:color="000000"/>
              <w:right w:val="single" w:sz="12" w:space="0" w:color="000000"/>
            </w:tcBorders>
          </w:tcPr>
          <w:p>
            <w:pP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31,360,131.26</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203,840,853.19</w:t>
            </w: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2"/>
              <w:jc w:val="right"/>
              <w:rPr>
                <w:rFonts w:ascii="宋体" w:hAnsi="宋体" w:cs="宋体" w:eastAsia="宋体" w:hint="default"/>
                <w:sz w:val="20"/>
                <w:szCs w:val="20"/>
              </w:rPr>
            </w:pPr>
            <w:r>
              <w:rPr>
                <w:rFonts w:ascii="宋体" w:hAnsi="宋体" w:cs="宋体" w:eastAsia="宋体" w:hint="default"/>
                <w:spacing w:val="-2"/>
                <w:sz w:val="20"/>
                <w:szCs w:val="20"/>
              </w:rPr>
              <w:t>欧元</w:t>
            </w:r>
            <w:r>
              <w:rPr>
                <w:rFonts w:ascii="宋体" w:hAnsi="宋体" w:cs="宋体" w:eastAsia="宋体" w:hint="default"/>
                <w:sz w:val="20"/>
                <w:szCs w:val="20"/>
              </w:rPr>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35,490.21</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7.20000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255,529.51</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2"/>
              <w:jc w:val="right"/>
              <w:rPr>
                <w:rFonts w:ascii="宋体" w:hAnsi="宋体" w:cs="宋体" w:eastAsia="宋体" w:hint="default"/>
                <w:sz w:val="20"/>
                <w:szCs w:val="20"/>
              </w:rPr>
            </w:pPr>
            <w:r>
              <w:rPr>
                <w:rFonts w:ascii="宋体" w:hAnsi="宋体" w:cs="宋体" w:eastAsia="宋体" w:hint="default"/>
                <w:spacing w:val="-2"/>
                <w:sz w:val="20"/>
                <w:szCs w:val="20"/>
              </w:rPr>
              <w:t>港币</w:t>
            </w:r>
            <w:r>
              <w:rPr>
                <w:rFonts w:ascii="宋体" w:hAnsi="宋体" w:cs="宋体" w:eastAsia="宋体" w:hint="default"/>
                <w:sz w:val="20"/>
                <w:szCs w:val="20"/>
              </w:rPr>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2,305,445.07</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1,933,599.83</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1"/>
              <w:jc w:val="right"/>
              <w:rPr>
                <w:rFonts w:ascii="宋体" w:hAnsi="宋体" w:cs="宋体" w:eastAsia="宋体" w:hint="default"/>
                <w:sz w:val="20"/>
                <w:szCs w:val="20"/>
              </w:rPr>
            </w:pPr>
            <w:r>
              <w:rPr>
                <w:rFonts w:ascii="宋体" w:hAnsi="宋体" w:cs="宋体" w:eastAsia="宋体" w:hint="default"/>
                <w:sz w:val="20"/>
                <w:szCs w:val="20"/>
              </w:rPr>
              <w:t>日元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176,994.00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0.05276</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9,338.20</w:t>
            </w: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5,658,209.24</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36,778,360.06</w:t>
            </w:r>
          </w:p>
        </w:tc>
      </w:tr>
      <w:tr>
        <w:trPr>
          <w:trHeight w:val="465"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2"/>
              <w:jc w:val="right"/>
              <w:rPr>
                <w:rFonts w:ascii="宋体" w:hAnsi="宋体" w:cs="宋体" w:eastAsia="宋体" w:hint="default"/>
                <w:sz w:val="20"/>
                <w:szCs w:val="20"/>
              </w:rPr>
            </w:pPr>
            <w:r>
              <w:rPr>
                <w:rFonts w:ascii="宋体" w:hAnsi="宋体" w:cs="宋体" w:eastAsia="宋体" w:hint="default"/>
                <w:spacing w:val="-2"/>
                <w:sz w:val="20"/>
                <w:szCs w:val="20"/>
              </w:rPr>
              <w:t>港币</w:t>
            </w:r>
            <w:r>
              <w:rPr>
                <w:rFonts w:ascii="宋体" w:hAnsi="宋体" w:cs="宋体" w:eastAsia="宋体" w:hint="default"/>
                <w:sz w:val="20"/>
                <w:szCs w:val="20"/>
              </w:rPr>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31,136.53</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26,114.52</w:t>
            </w: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3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211,748.91</w:t>
            </w:r>
          </w:p>
        </w:tc>
        <w:tc>
          <w:tcPr>
            <w:tcW w:w="2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1,376,367.92</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2388"/>
        <w:gridCol w:w="2397"/>
        <w:gridCol w:w="2397"/>
        <w:gridCol w:w="2395"/>
      </w:tblGrid>
      <w:tr>
        <w:trPr>
          <w:trHeight w:val="473" w:hRule="exact"/>
        </w:trPr>
        <w:tc>
          <w:tcPr>
            <w:tcW w:w="23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97" w:type="dxa"/>
            <w:tcBorders>
              <w:top w:val="single" w:sz="12" w:space="0" w:color="000000"/>
              <w:left w:val="single" w:sz="4" w:space="0" w:color="000000"/>
              <w:bottom w:val="single" w:sz="4" w:space="0" w:color="000000"/>
              <w:right w:val="single" w:sz="4" w:space="0" w:color="000000"/>
            </w:tcBorders>
          </w:tcPr>
          <w:p>
            <w:pPr/>
          </w:p>
        </w:tc>
        <w:tc>
          <w:tcPr>
            <w:tcW w:w="2397" w:type="dxa"/>
            <w:tcBorders>
              <w:top w:val="single" w:sz="12" w:space="0" w:color="000000"/>
              <w:left w:val="single" w:sz="4" w:space="0" w:color="000000"/>
              <w:bottom w:val="single" w:sz="4" w:space="0" w:color="000000"/>
              <w:right w:val="single" w:sz="4" w:space="0" w:color="000000"/>
            </w:tcBorders>
          </w:tcPr>
          <w:p>
            <w:pPr/>
          </w:p>
        </w:tc>
        <w:tc>
          <w:tcPr>
            <w:tcW w:w="2395" w:type="dxa"/>
            <w:tcBorders>
              <w:top w:val="single" w:sz="12" w:space="0" w:color="000000"/>
              <w:left w:val="single" w:sz="4" w:space="0" w:color="000000"/>
              <w:bottom w:val="single" w:sz="4" w:space="0" w:color="000000"/>
              <w:right w:val="single" w:sz="12" w:space="0" w:color="000000"/>
            </w:tcBorders>
          </w:tcPr>
          <w:p>
            <w:pP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其中：港币</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10,000.00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8,387.10</w:t>
            </w:r>
          </w:p>
        </w:tc>
      </w:tr>
      <w:tr>
        <w:trPr>
          <w:trHeight w:val="465"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28,692,695.27</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186,502,519.26</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1"/>
              <w:jc w:val="right"/>
              <w:rPr>
                <w:rFonts w:ascii="宋体" w:hAnsi="宋体" w:cs="宋体" w:eastAsia="宋体" w:hint="default"/>
                <w:sz w:val="20"/>
                <w:szCs w:val="20"/>
              </w:rPr>
            </w:pPr>
            <w:r>
              <w:rPr>
                <w:rFonts w:ascii="宋体" w:hAnsi="宋体" w:cs="宋体" w:eastAsia="宋体" w:hint="default"/>
                <w:sz w:val="20"/>
                <w:szCs w:val="20"/>
              </w:rPr>
              <w:t>港币</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7,564,630.34</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6,344,531.11</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1,871,673.00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12,165,874.50</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1"/>
              <w:jc w:val="right"/>
              <w:rPr>
                <w:rFonts w:ascii="宋体" w:hAnsi="宋体" w:cs="宋体" w:eastAsia="宋体" w:hint="default"/>
                <w:sz w:val="20"/>
                <w:szCs w:val="20"/>
              </w:rPr>
            </w:pPr>
            <w:r>
              <w:rPr>
                <w:rFonts w:ascii="宋体" w:hAnsi="宋体" w:cs="宋体" w:eastAsia="宋体" w:hint="default"/>
                <w:sz w:val="20"/>
                <w:szCs w:val="20"/>
              </w:rPr>
              <w:t>港币</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461,911.01</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387,409.38</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4,000.00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26,000.00</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1"/>
              <w:jc w:val="right"/>
              <w:rPr>
                <w:rFonts w:ascii="宋体" w:hAnsi="宋体" w:cs="宋体" w:eastAsia="宋体" w:hint="default"/>
                <w:sz w:val="20"/>
                <w:szCs w:val="20"/>
              </w:rPr>
            </w:pPr>
            <w:r>
              <w:rPr>
                <w:rFonts w:ascii="宋体" w:hAnsi="宋体" w:cs="宋体" w:eastAsia="宋体" w:hint="default"/>
                <w:sz w:val="20"/>
                <w:szCs w:val="20"/>
              </w:rPr>
              <w:t>港币</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442,000.00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370,709.82</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16,389,913.43</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6.50000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106,534,437.30</w:t>
            </w:r>
          </w:p>
        </w:tc>
      </w:tr>
      <w:tr>
        <w:trPr>
          <w:trHeight w:val="464"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1271"/>
              <w:jc w:val="right"/>
              <w:rPr>
                <w:rFonts w:ascii="宋体" w:hAnsi="宋体" w:cs="宋体" w:eastAsia="宋体" w:hint="default"/>
                <w:sz w:val="20"/>
                <w:szCs w:val="20"/>
              </w:rPr>
            </w:pPr>
            <w:r>
              <w:rPr>
                <w:rFonts w:ascii="宋体" w:hAnsi="宋体" w:cs="宋体" w:eastAsia="宋体" w:hint="default"/>
                <w:sz w:val="20"/>
                <w:szCs w:val="20"/>
              </w:rPr>
              <w:t>欧元</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78,463,851.90</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7.2000</w:t>
            </w:r>
          </w:p>
        </w:tc>
        <w:tc>
          <w:tcPr>
            <w:tcW w:w="23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564,939,733.68</w:t>
            </w:r>
          </w:p>
        </w:tc>
      </w:tr>
      <w:tr>
        <w:trPr>
          <w:trHeight w:val="465" w:hRule="exact"/>
        </w:trPr>
        <w:tc>
          <w:tcPr>
            <w:tcW w:w="2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9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23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其中：港币</w:t>
            </w:r>
          </w:p>
        </w:tc>
        <w:tc>
          <w:tcPr>
            <w:tcW w:w="2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300,000,000.00</w:t>
            </w:r>
          </w:p>
        </w:tc>
        <w:tc>
          <w:tcPr>
            <w:tcW w:w="2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0.83871</w:t>
            </w:r>
          </w:p>
        </w:tc>
        <w:tc>
          <w:tcPr>
            <w:tcW w:w="23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251,613,000.00</w:t>
            </w:r>
          </w:p>
        </w:tc>
      </w:tr>
    </w:tbl>
    <w:p>
      <w:pPr>
        <w:spacing w:line="240" w:lineRule="auto" w:before="2"/>
        <w:rPr>
          <w:rFonts w:ascii="宋体" w:hAnsi="宋体" w:cs="宋体" w:eastAsia="宋体" w:hint="default"/>
          <w:sz w:val="19"/>
          <w:szCs w:val="19"/>
        </w:rPr>
      </w:pPr>
    </w:p>
    <w:p>
      <w:pPr>
        <w:pStyle w:val="Heading6"/>
        <w:spacing w:line="259" w:lineRule="auto" w:before="35"/>
        <w:ind w:right="1135"/>
        <w:jc w:val="left"/>
        <w:rPr>
          <w:b w:val="0"/>
          <w:bCs w:val="0"/>
        </w:rPr>
      </w:pPr>
      <w:bookmarkStart w:name="（2）境外经营实体说明，包括对于重要的境外经营实体，应披露其境外主要经营地、记账" w:id="303"/>
      <w:bookmarkEnd w:id="3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八、合并范围的变更" w:id="304"/>
      <w:bookmarkEnd w:id="304"/>
      <w:r>
        <w:rPr>
          <w:rFonts w:ascii="宋体" w:hAnsi="宋体" w:cs="宋体" w:eastAsia="宋体" w:hint="default"/>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其他原因的合并范围变动" w:id="305"/>
      <w:bookmarkEnd w:id="30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398" w:lineRule="auto" w:before="159"/>
        <w:ind w:right="0"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年，本公司之子公司北京中农信达信息技术有限公司分别与袁隆平农业高科技股份有限公司、贵 </w:t>
      </w:r>
      <w:r>
        <w:rPr>
          <w:spacing w:val="-1"/>
        </w:rPr>
        <w:t>州厚森投资管理有限公司共同组建成立湖南中农信达信息科技有限公司、贵州中农信达信息技术有限公司，</w:t>
      </w:r>
      <w:r>
        <w:rPr>
          <w:spacing w:val="-80"/>
        </w:rPr>
        <w:t> </w:t>
      </w:r>
      <w:r>
        <w:rPr>
          <w:spacing w:val="-80"/>
        </w:rPr>
      </w:r>
      <w:r>
        <w:rPr/>
        <w:t>出资比例均为</w:t>
      </w:r>
      <w:r>
        <w:rPr>
          <w:spacing w:val="-61"/>
        </w:rPr>
        <w:t> </w:t>
      </w:r>
      <w:r>
        <w:rPr>
          <w:rFonts w:ascii="Times New Roman" w:hAnsi="Times New Roman" w:cs="Times New Roman" w:eastAsia="Times New Roman" w:hint="default"/>
        </w:rPr>
        <w:t>60%</w:t>
      </w:r>
      <w:r>
        <w:rPr/>
        <w:t>，并按照出资比例行使表决权比例；本公司之子公司神州数码融信软件有限公司投资新 设全资子公司神州数码融信云技术服务有限公司。故本年合并范围增加湖南中农信达信息科技有限公司、</w:t>
      </w:r>
      <w:r>
        <w:rPr>
          <w:spacing w:val="-35"/>
        </w:rPr>
        <w:t> </w:t>
      </w:r>
      <w:r>
        <w:rPr>
          <w:spacing w:val="-35"/>
        </w:rPr>
      </w:r>
      <w:r>
        <w:rPr/>
        <w:t>贵州中农信达信息技术有限公司公司、神州数码融信云技术服务有限公司。</w:t>
      </w:r>
    </w:p>
    <w:p>
      <w:pPr>
        <w:pStyle w:val="BodyText"/>
        <w:spacing w:line="240" w:lineRule="auto" w:before="94"/>
        <w:ind w:left="573" w:right="1135"/>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年注销子公司神州数码</w:t>
      </w:r>
      <w:r>
        <w:rPr>
          <w:rFonts w:ascii="Times New Roman" w:hAnsi="Times New Roman" w:cs="Times New Roman" w:eastAsia="Times New Roman" w:hint="default"/>
        </w:rPr>
        <w:t>(</w:t>
      </w:r>
      <w:r>
        <w:rPr/>
        <w:t>西安</w:t>
      </w:r>
      <w:r>
        <w:rPr>
          <w:rFonts w:ascii="Times New Roman" w:hAnsi="Times New Roman" w:cs="Times New Roman" w:eastAsia="Times New Roman" w:hint="default"/>
        </w:rPr>
        <w:t>)</w:t>
      </w:r>
      <w:r>
        <w:rPr/>
        <w:t>软件有限公司，本年合并范围减少此公司。</w:t>
      </w:r>
    </w:p>
    <w:p>
      <w:pPr>
        <w:spacing w:after="0" w:line="240" w:lineRule="auto"/>
        <w:jc w:val="left"/>
        <w:sectPr>
          <w:pgSz w:w="11910" w:h="16840"/>
          <w:pgMar w:header="918" w:footer="1266" w:top="1160" w:bottom="1460" w:left="980" w:right="0"/>
        </w:sectPr>
      </w:pPr>
    </w:p>
    <w:p>
      <w:pPr>
        <w:spacing w:line="240" w:lineRule="auto" w:before="6"/>
        <w:rPr>
          <w:rFonts w:ascii="宋体" w:hAnsi="宋体" w:cs="宋体" w:eastAsia="宋体" w:hint="default"/>
          <w:sz w:val="16"/>
          <w:szCs w:val="16"/>
        </w:rPr>
      </w:pPr>
    </w:p>
    <w:p>
      <w:pPr>
        <w:pStyle w:val="Heading2"/>
        <w:spacing w:line="240" w:lineRule="auto" w:before="26"/>
        <w:ind w:left="274" w:right="0"/>
        <w:jc w:val="left"/>
        <w:rPr>
          <w:b w:val="0"/>
          <w:bCs w:val="0"/>
        </w:rPr>
      </w:pPr>
      <w:bookmarkStart w:name="九、在其他主体中的权益" w:id="306"/>
      <w:bookmarkEnd w:id="30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74" w:right="0"/>
        <w:jc w:val="left"/>
        <w:rPr>
          <w:b w:val="0"/>
          <w:bCs w:val="0"/>
        </w:rPr>
      </w:pPr>
      <w:bookmarkStart w:name="1、在子公司中的权益" w:id="307"/>
      <w:bookmarkEnd w:id="30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274" w:right="0"/>
        <w:jc w:val="left"/>
        <w:rPr>
          <w:b w:val="0"/>
          <w:bCs w:val="0"/>
        </w:rPr>
      </w:pPr>
      <w:bookmarkStart w:name="（1）企业集团的构成" w:id="308"/>
      <w:bookmarkEnd w:id="3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265"/>
        <w:gridCol w:w="658"/>
        <w:gridCol w:w="826"/>
        <w:gridCol w:w="1525"/>
        <w:gridCol w:w="981"/>
        <w:gridCol w:w="938"/>
        <w:gridCol w:w="1595"/>
      </w:tblGrid>
      <w:tr>
        <w:trPr>
          <w:trHeight w:val="459" w:hRule="exact"/>
        </w:trPr>
        <w:tc>
          <w:tcPr>
            <w:tcW w:w="3265"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子公司名称</w:t>
            </w:r>
          </w:p>
        </w:tc>
        <w:tc>
          <w:tcPr>
            <w:tcW w:w="658" w:type="dxa"/>
            <w:vMerge w:val="restart"/>
            <w:tcBorders>
              <w:top w:val="single" w:sz="12" w:space="0" w:color="000000"/>
              <w:left w:val="single" w:sz="4" w:space="0" w:color="000000"/>
              <w:right w:val="single" w:sz="4" w:space="0" w:color="000000"/>
            </w:tcBorders>
            <w:shd w:val="clear" w:color="auto" w:fill="D9D9D9"/>
          </w:tcPr>
          <w:p>
            <w:pPr>
              <w:pStyle w:val="TableParagraph"/>
              <w:spacing w:line="285" w:lineRule="auto" w:before="35"/>
              <w:ind w:left="123" w:right="123"/>
              <w:jc w:val="both"/>
              <w:rPr>
                <w:rFonts w:ascii="宋体" w:hAnsi="宋体" w:cs="宋体" w:eastAsia="宋体" w:hint="default"/>
                <w:sz w:val="20"/>
                <w:szCs w:val="20"/>
              </w:rPr>
            </w:pPr>
            <w:r>
              <w:rPr>
                <w:rFonts w:ascii="宋体" w:hAnsi="宋体" w:cs="宋体" w:eastAsia="宋体" w:hint="default"/>
                <w:sz w:val="20"/>
                <w:szCs w:val="20"/>
              </w:rPr>
              <w:t>主要</w:t>
            </w:r>
            <w:r>
              <w:rPr>
                <w:rFonts w:ascii="宋体" w:hAnsi="宋体" w:cs="宋体" w:eastAsia="宋体" w:hint="default"/>
                <w:w w:val="100"/>
                <w:sz w:val="20"/>
                <w:szCs w:val="20"/>
              </w:rPr>
              <w:t> </w:t>
            </w:r>
            <w:r>
              <w:rPr>
                <w:rFonts w:ascii="宋体" w:hAnsi="宋体" w:cs="宋体" w:eastAsia="宋体" w:hint="default"/>
                <w:sz w:val="20"/>
                <w:szCs w:val="20"/>
              </w:rPr>
              <w:t>经营</w:t>
            </w:r>
            <w:r>
              <w:rPr>
                <w:rFonts w:ascii="宋体" w:hAnsi="宋体" w:cs="宋体" w:eastAsia="宋体" w:hint="default"/>
                <w:w w:val="100"/>
                <w:sz w:val="20"/>
                <w:szCs w:val="20"/>
              </w:rPr>
              <w:t> </w:t>
            </w:r>
            <w:r>
              <w:rPr>
                <w:rFonts w:ascii="宋体" w:hAnsi="宋体" w:cs="宋体" w:eastAsia="宋体" w:hint="default"/>
                <w:sz w:val="20"/>
                <w:szCs w:val="20"/>
              </w:rPr>
              <w:t>地</w:t>
            </w:r>
          </w:p>
        </w:tc>
        <w:tc>
          <w:tcPr>
            <w:tcW w:w="826"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525"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1919"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53"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1595" w:type="dxa"/>
            <w:vMerge w:val="restart"/>
            <w:tcBorders>
              <w:top w:val="single" w:sz="12" w:space="0" w:color="000000"/>
              <w:left w:val="single" w:sz="4" w:space="0" w:color="000000"/>
              <w:right w:val="single" w:sz="12"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391" w:right="0"/>
              <w:jc w:val="left"/>
              <w:rPr>
                <w:rFonts w:ascii="宋体" w:hAnsi="宋体" w:cs="宋体" w:eastAsia="宋体" w:hint="default"/>
                <w:sz w:val="20"/>
                <w:szCs w:val="20"/>
              </w:rPr>
            </w:pPr>
            <w:r>
              <w:rPr>
                <w:rFonts w:ascii="宋体" w:hAnsi="宋体" w:cs="宋体" w:eastAsia="宋体" w:hint="default"/>
                <w:sz w:val="20"/>
                <w:szCs w:val="20"/>
              </w:rPr>
              <w:t>取得方式</w:t>
            </w:r>
          </w:p>
        </w:tc>
      </w:tr>
      <w:tr>
        <w:trPr>
          <w:trHeight w:val="577" w:hRule="exact"/>
        </w:trPr>
        <w:tc>
          <w:tcPr>
            <w:tcW w:w="3265" w:type="dxa"/>
            <w:vMerge/>
            <w:tcBorders>
              <w:left w:val="single" w:sz="12" w:space="0" w:color="000000"/>
              <w:bottom w:val="single" w:sz="4" w:space="0" w:color="000000"/>
              <w:right w:val="single" w:sz="4" w:space="0" w:color="000000"/>
            </w:tcBorders>
            <w:shd w:val="clear" w:color="auto" w:fill="D9D9D9"/>
          </w:tcPr>
          <w:p>
            <w:pPr/>
          </w:p>
        </w:tc>
        <w:tc>
          <w:tcPr>
            <w:tcW w:w="658" w:type="dxa"/>
            <w:vMerge/>
            <w:tcBorders>
              <w:left w:val="single" w:sz="4" w:space="0" w:color="000000"/>
              <w:bottom w:val="single" w:sz="4" w:space="0" w:color="000000"/>
              <w:right w:val="single" w:sz="4" w:space="0" w:color="000000"/>
            </w:tcBorders>
            <w:shd w:val="clear" w:color="auto" w:fill="D9D9D9"/>
          </w:tcPr>
          <w:p>
            <w:pPr/>
          </w:p>
        </w:tc>
        <w:tc>
          <w:tcPr>
            <w:tcW w:w="826" w:type="dxa"/>
            <w:vMerge/>
            <w:tcBorders>
              <w:left w:val="single" w:sz="4" w:space="0" w:color="000000"/>
              <w:bottom w:val="single" w:sz="4" w:space="0" w:color="000000"/>
              <w:right w:val="single" w:sz="4" w:space="0" w:color="000000"/>
            </w:tcBorders>
            <w:shd w:val="clear" w:color="auto" w:fill="D9D9D9"/>
          </w:tcPr>
          <w:p>
            <w:pPr/>
          </w:p>
        </w:tc>
        <w:tc>
          <w:tcPr>
            <w:tcW w:w="1525" w:type="dxa"/>
            <w:vMerge/>
            <w:tcBorders>
              <w:left w:val="single" w:sz="4" w:space="0" w:color="000000"/>
              <w:bottom w:val="single" w:sz="4" w:space="0" w:color="000000"/>
              <w:right w:val="single" w:sz="4" w:space="0" w:color="000000"/>
            </w:tcBorders>
            <w:shd w:val="clear" w:color="auto" w:fill="D9D9D9"/>
          </w:tcPr>
          <w:p>
            <w:pPr/>
          </w:p>
        </w:tc>
        <w:tc>
          <w:tcPr>
            <w:tcW w:w="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left="285"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left="263" w:right="0"/>
              <w:jc w:val="left"/>
              <w:rPr>
                <w:rFonts w:ascii="宋体" w:hAnsi="宋体" w:cs="宋体" w:eastAsia="宋体" w:hint="default"/>
                <w:sz w:val="20"/>
                <w:szCs w:val="20"/>
              </w:rPr>
            </w:pPr>
            <w:r>
              <w:rPr>
                <w:rFonts w:ascii="宋体" w:hAnsi="宋体" w:cs="宋体" w:eastAsia="宋体" w:hint="default"/>
                <w:sz w:val="20"/>
                <w:szCs w:val="20"/>
              </w:rPr>
              <w:t>间接</w:t>
            </w:r>
          </w:p>
        </w:tc>
        <w:tc>
          <w:tcPr>
            <w:tcW w:w="1595" w:type="dxa"/>
            <w:vMerge/>
            <w:tcBorders>
              <w:left w:val="single" w:sz="4" w:space="0" w:color="000000"/>
              <w:bottom w:val="single" w:sz="4" w:space="0" w:color="000000"/>
              <w:right w:val="single" w:sz="12" w:space="0" w:color="000000"/>
            </w:tcBorders>
            <w:shd w:val="clear" w:color="auto" w:fill="D9D9D9"/>
          </w:tcPr>
          <w:p>
            <w:pP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神州数码系统集成服务有限公司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北京中农信达信息技术有限公司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101"/>
              <w:jc w:val="left"/>
              <w:rPr>
                <w:rFonts w:ascii="宋体" w:hAnsi="宋体" w:cs="宋体" w:eastAsia="宋体" w:hint="default"/>
                <w:sz w:val="20"/>
                <w:szCs w:val="20"/>
              </w:rPr>
            </w:pPr>
            <w:r>
              <w:rPr>
                <w:rFonts w:ascii="宋体" w:hAnsi="宋体" w:cs="宋体" w:eastAsia="宋体" w:hint="default"/>
                <w:spacing w:val="-14"/>
                <w:w w:val="100"/>
                <w:sz w:val="20"/>
                <w:szCs w:val="20"/>
              </w:rPr>
              <w:t>测绘服务、软件</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昆明中农信息技术有限公司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昆明</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昆明</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软件销售</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上海神州数码信息技术服务有限公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上海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上海</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信息技术</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神州数码信息系统（无锡）有限公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无锡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无锡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信息系统</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神州数码国信信息技术（苏州）有</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苏州</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信息技术</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神州数码金信科技股份有限公司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103"/>
              <w:jc w:val="left"/>
              <w:rPr>
                <w:rFonts w:ascii="宋体" w:hAnsi="宋体" w:cs="宋体" w:eastAsia="宋体" w:hint="default"/>
                <w:sz w:val="20"/>
                <w:szCs w:val="20"/>
              </w:rPr>
            </w:pPr>
            <w:r>
              <w:rPr>
                <w:rFonts w:ascii="宋体" w:hAnsi="宋体" w:cs="宋体" w:eastAsia="宋体" w:hint="default"/>
                <w:spacing w:val="16"/>
                <w:sz w:val="20"/>
                <w:szCs w:val="20"/>
              </w:rPr>
              <w:t>金融专用设备</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10.44%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89.56%</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南京神州金信电子科技有限公司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103"/>
              <w:jc w:val="left"/>
              <w:rPr>
                <w:rFonts w:ascii="宋体" w:hAnsi="宋体" w:cs="宋体" w:eastAsia="宋体" w:hint="default"/>
                <w:sz w:val="20"/>
                <w:szCs w:val="20"/>
              </w:rPr>
            </w:pPr>
            <w:r>
              <w:rPr>
                <w:rFonts w:ascii="宋体" w:hAnsi="宋体" w:cs="宋体" w:eastAsia="宋体" w:hint="default"/>
                <w:spacing w:val="16"/>
                <w:sz w:val="20"/>
                <w:szCs w:val="20"/>
              </w:rPr>
              <w:t>金融专用设备</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广州神州金信电子科技有限公司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广州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广州</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103"/>
              <w:jc w:val="left"/>
              <w:rPr>
                <w:rFonts w:ascii="宋体" w:hAnsi="宋体" w:cs="宋体" w:eastAsia="宋体" w:hint="default"/>
                <w:sz w:val="20"/>
                <w:szCs w:val="20"/>
              </w:rPr>
            </w:pPr>
            <w:r>
              <w:rPr>
                <w:rFonts w:ascii="宋体" w:hAnsi="宋体" w:cs="宋体" w:eastAsia="宋体" w:hint="default"/>
                <w:spacing w:val="16"/>
                <w:sz w:val="20"/>
                <w:szCs w:val="20"/>
              </w:rPr>
              <w:t>金融专用设备</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神州数码信息系统有限公司</w:t>
            </w:r>
            <w:r>
              <w:rPr>
                <w:rFonts w:ascii="宋体" w:hAnsi="宋体" w:cs="宋体" w:eastAsia="宋体" w:hint="default"/>
                <w:sz w:val="20"/>
                <w:szCs w:val="20"/>
              </w:rPr>
              <w:t>*1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信息系统</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46.00%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神州数码信息系统（扬州）有限公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扬州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扬州</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信息系统</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神州数码信息系统（佛山）有限公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佛山</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佛山</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信息系统</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神州数码信息系统（海南）有限公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海南</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海南</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信息系统</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8"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1"/>
              <w:jc w:val="left"/>
              <w:rPr>
                <w:rFonts w:ascii="宋体" w:hAnsi="宋体" w:cs="宋体" w:eastAsia="宋体" w:hint="default"/>
                <w:sz w:val="20"/>
                <w:szCs w:val="20"/>
              </w:rPr>
            </w:pPr>
            <w:r>
              <w:rPr>
                <w:rFonts w:ascii="宋体"/>
                <w:sz w:val="20"/>
              </w:rPr>
              <w:t>Digital China Software</w:t>
            </w:r>
            <w:r>
              <w:rPr>
                <w:rFonts w:ascii="宋体"/>
                <w:spacing w:val="43"/>
                <w:sz w:val="20"/>
              </w:rPr>
              <w:t> </w:t>
            </w:r>
            <w:r>
              <w:rPr>
                <w:rFonts w:ascii="宋体"/>
                <w:sz w:val="20"/>
              </w:rPr>
              <w:t>(BVI)</w:t>
            </w:r>
            <w:r>
              <w:rPr>
                <w:rFonts w:ascii="宋体"/>
                <w:w w:val="100"/>
                <w:sz w:val="20"/>
              </w:rPr>
              <w:t> </w:t>
            </w:r>
            <w:r>
              <w:rPr>
                <w:rFonts w:ascii="宋体"/>
                <w:sz w:val="20"/>
              </w:rPr>
              <w:t>Limited</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sz w:val="20"/>
              </w:rPr>
              <w:t>BVI</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sz w:val="20"/>
              </w:rPr>
              <w:t>BVI</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投资控股</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24" w:hRule="exact"/>
        </w:trPr>
        <w:tc>
          <w:tcPr>
            <w:tcW w:w="326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85" w:lineRule="auto" w:before="35"/>
              <w:ind w:left="93" w:right="103"/>
              <w:jc w:val="left"/>
              <w:rPr>
                <w:rFonts w:ascii="宋体" w:hAnsi="宋体" w:cs="宋体" w:eastAsia="宋体" w:hint="default"/>
                <w:sz w:val="20"/>
                <w:szCs w:val="20"/>
              </w:rPr>
            </w:pPr>
            <w:r>
              <w:rPr>
                <w:rFonts w:ascii="宋体" w:hAnsi="宋体" w:cs="宋体" w:eastAsia="宋体" w:hint="default"/>
                <w:spacing w:val="2"/>
                <w:sz w:val="20"/>
                <w:szCs w:val="20"/>
              </w:rPr>
              <w:t>深圳神州数码信息技术服务有限公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tc>
        <w:tc>
          <w:tcPr>
            <w:tcW w:w="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981" w:type="dxa"/>
            <w:tcBorders>
              <w:top w:val="single" w:sz="4" w:space="0" w:color="000000"/>
              <w:left w:val="single" w:sz="4" w:space="0" w:color="000000"/>
              <w:bottom w:val="single" w:sz="12" w:space="0" w:color="000000"/>
              <w:right w:val="single" w:sz="4" w:space="0" w:color="000000"/>
            </w:tcBorders>
          </w:tcPr>
          <w:p>
            <w:pP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12"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bl>
    <w:p>
      <w:pPr>
        <w:spacing w:after="0" w:line="285" w:lineRule="auto"/>
        <w:jc w:val="left"/>
        <w:rPr>
          <w:rFonts w:ascii="宋体" w:hAnsi="宋体" w:cs="宋体" w:eastAsia="宋体" w:hint="default"/>
          <w:sz w:val="20"/>
          <w:szCs w:val="20"/>
        </w:rPr>
        <w:sectPr>
          <w:pgSz w:w="11910" w:h="16840"/>
          <w:pgMar w:header="918" w:footer="1266" w:top="1160" w:bottom="1460" w:left="860" w:right="0"/>
        </w:sectPr>
      </w:pPr>
    </w:p>
    <w:p>
      <w:pPr>
        <w:spacing w:line="240" w:lineRule="auto" w:before="5"/>
        <w:rPr>
          <w:rFonts w:ascii="宋体" w:hAnsi="宋体" w:cs="宋体" w:eastAsia="宋体" w:hint="default"/>
          <w:b/>
          <w:bCs/>
          <w:sz w:val="21"/>
          <w:szCs w:val="21"/>
        </w:rPr>
      </w:pPr>
    </w:p>
    <w:tbl>
      <w:tblPr>
        <w:tblW w:w="0" w:type="auto"/>
        <w:jc w:val="left"/>
        <w:tblInd w:w="256" w:type="dxa"/>
        <w:tblLayout w:type="fixed"/>
        <w:tblCellMar>
          <w:top w:w="0" w:type="dxa"/>
          <w:left w:w="0" w:type="dxa"/>
          <w:bottom w:w="0" w:type="dxa"/>
          <w:right w:w="0" w:type="dxa"/>
        </w:tblCellMar>
        <w:tblLook w:val="01E0"/>
      </w:tblPr>
      <w:tblGrid>
        <w:gridCol w:w="3264"/>
        <w:gridCol w:w="659"/>
        <w:gridCol w:w="826"/>
        <w:gridCol w:w="1525"/>
        <w:gridCol w:w="981"/>
        <w:gridCol w:w="938"/>
        <w:gridCol w:w="1595"/>
      </w:tblGrid>
      <w:tr>
        <w:trPr>
          <w:trHeight w:val="724" w:hRule="exact"/>
        </w:trPr>
        <w:tc>
          <w:tcPr>
            <w:tcW w:w="326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1"/>
              <w:jc w:val="left"/>
              <w:rPr>
                <w:rFonts w:ascii="宋体" w:hAnsi="宋体" w:cs="宋体" w:eastAsia="宋体" w:hint="default"/>
                <w:sz w:val="20"/>
                <w:szCs w:val="20"/>
              </w:rPr>
            </w:pPr>
            <w:r>
              <w:rPr>
                <w:rFonts w:ascii="宋体"/>
                <w:sz w:val="20"/>
              </w:rPr>
              <w:t>Digital China Advanced</w:t>
            </w:r>
            <w:r>
              <w:rPr>
                <w:rFonts w:ascii="宋体"/>
                <w:spacing w:val="43"/>
                <w:sz w:val="20"/>
              </w:rPr>
              <w:t> </w:t>
            </w:r>
            <w:r>
              <w:rPr>
                <w:rFonts w:ascii="宋体"/>
                <w:sz w:val="20"/>
              </w:rPr>
              <w:t>Systems</w:t>
            </w:r>
            <w:r>
              <w:rPr>
                <w:rFonts w:ascii="宋体"/>
                <w:w w:val="100"/>
                <w:sz w:val="20"/>
              </w:rPr>
              <w:t> </w:t>
            </w:r>
            <w:r>
              <w:rPr>
                <w:rFonts w:ascii="宋体"/>
                <w:sz w:val="20"/>
              </w:rPr>
              <w:t>Limited</w:t>
            </w:r>
          </w:p>
        </w:tc>
        <w:tc>
          <w:tcPr>
            <w:tcW w:w="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香港</w:t>
            </w:r>
          </w:p>
        </w:tc>
        <w:tc>
          <w:tcPr>
            <w:tcW w:w="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981" w:type="dxa"/>
            <w:tcBorders>
              <w:top w:val="single" w:sz="12" w:space="0" w:color="000000"/>
              <w:left w:val="single" w:sz="4" w:space="0" w:color="000000"/>
              <w:bottom w:val="single" w:sz="4" w:space="0" w:color="000000"/>
              <w:right w:val="single" w:sz="4" w:space="0" w:color="000000"/>
            </w:tcBorders>
          </w:tcPr>
          <w:p>
            <w:pPr/>
          </w:p>
        </w:tc>
        <w:tc>
          <w:tcPr>
            <w:tcW w:w="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12" w:space="0" w:color="000000"/>
              <w:left w:val="single" w:sz="4" w:space="0" w:color="000000"/>
              <w:bottom w:val="single" w:sz="4"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0"/>
              <w:jc w:val="left"/>
              <w:rPr>
                <w:rFonts w:ascii="宋体" w:hAnsi="宋体" w:cs="宋体" w:eastAsia="宋体" w:hint="default"/>
                <w:sz w:val="20"/>
                <w:szCs w:val="20"/>
              </w:rPr>
            </w:pPr>
            <w:r>
              <w:rPr>
                <w:rFonts w:ascii="宋体"/>
                <w:sz w:val="20"/>
              </w:rPr>
              <w:t>Digital China GuoFeng</w:t>
            </w:r>
            <w:r>
              <w:rPr>
                <w:rFonts w:ascii="宋体"/>
                <w:spacing w:val="45"/>
                <w:sz w:val="20"/>
              </w:rPr>
              <w:t> </w:t>
            </w:r>
            <w:r>
              <w:rPr>
                <w:rFonts w:ascii="宋体"/>
                <w:sz w:val="20"/>
              </w:rPr>
              <w:t>Holding</w:t>
            </w:r>
            <w:r>
              <w:rPr>
                <w:rFonts w:ascii="宋体"/>
                <w:w w:val="100"/>
                <w:sz w:val="20"/>
              </w:rPr>
              <w:t> </w:t>
            </w:r>
            <w:r>
              <w:rPr>
                <w:rFonts w:ascii="宋体"/>
                <w:sz w:val="20"/>
              </w:rPr>
              <w:t>Limited</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香港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投资控股</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0"/>
              <w:jc w:val="left"/>
              <w:rPr>
                <w:rFonts w:ascii="宋体" w:hAnsi="宋体" w:cs="宋体" w:eastAsia="宋体" w:hint="default"/>
                <w:sz w:val="20"/>
                <w:szCs w:val="20"/>
              </w:rPr>
            </w:pPr>
            <w:r>
              <w:rPr>
                <w:rFonts w:ascii="宋体"/>
                <w:sz w:val="20"/>
              </w:rPr>
              <w:t>Digital China Financial</w:t>
            </w:r>
            <w:r>
              <w:rPr>
                <w:rFonts w:ascii="宋体"/>
                <w:spacing w:val="-56"/>
                <w:sz w:val="20"/>
              </w:rPr>
              <w:t> </w:t>
            </w:r>
            <w:r>
              <w:rPr>
                <w:rFonts w:ascii="宋体"/>
                <w:sz w:val="20"/>
              </w:rPr>
              <w:t>Service</w:t>
            </w:r>
            <w:r>
              <w:rPr>
                <w:rFonts w:ascii="宋体"/>
                <w:w w:val="100"/>
                <w:sz w:val="20"/>
              </w:rPr>
              <w:t> </w:t>
            </w:r>
            <w:r>
              <w:rPr>
                <w:rFonts w:ascii="宋体"/>
                <w:sz w:val="20"/>
              </w:rPr>
              <w:t>Holding</w:t>
            </w:r>
            <w:r>
              <w:rPr>
                <w:rFonts w:ascii="宋体"/>
                <w:spacing w:val="-2"/>
                <w:sz w:val="20"/>
              </w:rPr>
              <w:t> </w:t>
            </w:r>
            <w:r>
              <w:rPr>
                <w:rFonts w:ascii="宋体"/>
                <w:sz w:val="20"/>
              </w:rPr>
              <w:t>Limited</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香港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1"/>
              <w:jc w:val="left"/>
              <w:rPr>
                <w:rFonts w:ascii="宋体" w:hAnsi="宋体" w:cs="宋体" w:eastAsia="宋体" w:hint="default"/>
                <w:sz w:val="20"/>
                <w:szCs w:val="20"/>
              </w:rPr>
            </w:pPr>
            <w:r>
              <w:rPr>
                <w:rFonts w:ascii="宋体" w:hAnsi="宋体" w:cs="宋体" w:eastAsia="宋体" w:hint="default"/>
                <w:spacing w:val="-14"/>
                <w:w w:val="100"/>
                <w:sz w:val="20"/>
                <w:szCs w:val="20"/>
              </w:rPr>
              <w:t>投资控股、技术</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服务</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神州数码融信软件有限公司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软件开发</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5"/>
              <w:ind w:left="101" w:right="92"/>
              <w:jc w:val="left"/>
              <w:rPr>
                <w:rFonts w:ascii="宋体" w:hAnsi="宋体" w:cs="宋体" w:eastAsia="宋体" w:hint="default"/>
                <w:sz w:val="20"/>
                <w:szCs w:val="20"/>
              </w:rPr>
            </w:pPr>
            <w:r>
              <w:rPr>
                <w:rFonts w:ascii="宋体" w:hAnsi="宋体" w:cs="宋体" w:eastAsia="宋体" w:hint="default"/>
                <w:sz w:val="20"/>
                <w:szCs w:val="20"/>
              </w:rPr>
              <w:t>非</w:t>
            </w:r>
            <w:r>
              <w:rPr>
                <w:rFonts w:ascii="宋体" w:hAnsi="宋体" w:cs="宋体" w:eastAsia="宋体" w:hint="default"/>
                <w:spacing w:val="-65"/>
                <w:sz w:val="20"/>
                <w:szCs w:val="20"/>
              </w:rPr>
              <w:t> </w:t>
            </w:r>
            <w:r>
              <w:rPr>
                <w:rFonts w:ascii="宋体" w:hAnsi="宋体" w:cs="宋体" w:eastAsia="宋体" w:hint="default"/>
                <w:sz w:val="20"/>
                <w:szCs w:val="20"/>
              </w:rPr>
              <w:t>同</w:t>
            </w:r>
            <w:r>
              <w:rPr>
                <w:rFonts w:ascii="宋体" w:hAnsi="宋体" w:cs="宋体" w:eastAsia="宋体" w:hint="default"/>
                <w:spacing w:val="-65"/>
                <w:sz w:val="20"/>
                <w:szCs w:val="20"/>
              </w:rPr>
              <w:t> </w:t>
            </w:r>
            <w:r>
              <w:rPr>
                <w:rFonts w:ascii="宋体" w:hAnsi="宋体" w:cs="宋体" w:eastAsia="宋体" w:hint="default"/>
                <w:sz w:val="20"/>
                <w:szCs w:val="20"/>
              </w:rPr>
              <w:t>一</w:t>
            </w:r>
            <w:r>
              <w:rPr>
                <w:rFonts w:ascii="宋体" w:hAnsi="宋体" w:cs="宋体" w:eastAsia="宋体" w:hint="default"/>
                <w:spacing w:val="-65"/>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6"/>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企业合并</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2"/>
              <w:jc w:val="left"/>
              <w:rPr>
                <w:rFonts w:ascii="宋体" w:hAnsi="宋体" w:cs="宋体" w:eastAsia="宋体" w:hint="default"/>
                <w:sz w:val="20"/>
                <w:szCs w:val="20"/>
              </w:rPr>
            </w:pPr>
            <w:r>
              <w:rPr>
                <w:rFonts w:ascii="宋体" w:hAnsi="宋体" w:cs="宋体" w:eastAsia="宋体" w:hint="default"/>
                <w:spacing w:val="2"/>
                <w:sz w:val="20"/>
                <w:szCs w:val="20"/>
              </w:rPr>
              <w:t>北京神州数码锐行快捷信息技术服</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务有限公司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信息技术服务</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65.00%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新设</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湖南中农信达信息科技有限公司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湖南</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湖南</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1"/>
              <w:jc w:val="left"/>
              <w:rPr>
                <w:rFonts w:ascii="宋体" w:hAnsi="宋体" w:cs="宋体" w:eastAsia="宋体" w:hint="default"/>
                <w:sz w:val="20"/>
                <w:szCs w:val="20"/>
              </w:rPr>
            </w:pPr>
            <w:r>
              <w:rPr>
                <w:rFonts w:ascii="宋体" w:hAnsi="宋体" w:cs="宋体" w:eastAsia="宋体" w:hint="default"/>
                <w:spacing w:val="-14"/>
                <w:w w:val="100"/>
                <w:sz w:val="20"/>
                <w:szCs w:val="20"/>
              </w:rPr>
              <w:t>测绘服务、软件</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新设</w:t>
            </w:r>
          </w:p>
        </w:tc>
      </w:tr>
      <w:tr>
        <w:trPr>
          <w:trHeight w:val="714" w:hRule="exact"/>
        </w:trPr>
        <w:tc>
          <w:tcPr>
            <w:tcW w:w="32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贵州中农信达信息技术有限公司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z w:val="20"/>
                <w:szCs w:val="20"/>
              </w:rPr>
              <w:t>贵州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贵州</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1"/>
              <w:jc w:val="left"/>
              <w:rPr>
                <w:rFonts w:ascii="宋体" w:hAnsi="宋体" w:cs="宋体" w:eastAsia="宋体" w:hint="default"/>
                <w:sz w:val="20"/>
                <w:szCs w:val="20"/>
              </w:rPr>
            </w:pPr>
            <w:r>
              <w:rPr>
                <w:rFonts w:ascii="宋体" w:hAnsi="宋体" w:cs="宋体" w:eastAsia="宋体" w:hint="default"/>
                <w:spacing w:val="-14"/>
                <w:w w:val="100"/>
                <w:sz w:val="20"/>
                <w:szCs w:val="20"/>
              </w:rPr>
              <w:t>测绘服务、软件</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销售</w:t>
            </w:r>
          </w:p>
        </w:tc>
        <w:tc>
          <w:tcPr>
            <w:tcW w:w="9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60.00%</w:t>
            </w:r>
          </w:p>
        </w:tc>
        <w:tc>
          <w:tcPr>
            <w:tcW w:w="15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新设</w:t>
            </w:r>
          </w:p>
        </w:tc>
      </w:tr>
      <w:tr>
        <w:trPr>
          <w:trHeight w:val="640" w:hRule="exact"/>
        </w:trPr>
        <w:tc>
          <w:tcPr>
            <w:tcW w:w="326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49"/>
              <w:ind w:left="93" w:right="0"/>
              <w:jc w:val="left"/>
              <w:rPr>
                <w:rFonts w:ascii="宋体" w:hAnsi="宋体" w:cs="宋体" w:eastAsia="宋体" w:hint="default"/>
                <w:sz w:val="20"/>
                <w:szCs w:val="20"/>
              </w:rPr>
            </w:pPr>
            <w:r>
              <w:rPr>
                <w:rFonts w:ascii="宋体" w:hAnsi="宋体" w:cs="宋体" w:eastAsia="宋体" w:hint="default"/>
                <w:sz w:val="20"/>
                <w:szCs w:val="20"/>
              </w:rPr>
              <w:t>神州数码融信云技术服务有限公司</w:t>
            </w:r>
          </w:p>
        </w:tc>
        <w:tc>
          <w:tcPr>
            <w:tcW w:w="6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123"/>
              <w:jc w:val="right"/>
              <w:rPr>
                <w:rFonts w:ascii="宋体" w:hAnsi="宋体" w:cs="宋体" w:eastAsia="宋体" w:hint="default"/>
                <w:sz w:val="20"/>
                <w:szCs w:val="20"/>
              </w:rPr>
            </w:pPr>
            <w:r>
              <w:rPr>
                <w:rFonts w:ascii="宋体" w:hAnsi="宋体" w:cs="宋体" w:eastAsia="宋体" w:hint="default"/>
                <w:sz w:val="20"/>
                <w:szCs w:val="20"/>
              </w:rPr>
              <w:t>北京</w:t>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981" w:type="dxa"/>
            <w:tcBorders>
              <w:top w:val="single" w:sz="4" w:space="0" w:color="000000"/>
              <w:left w:val="single" w:sz="4" w:space="0" w:color="000000"/>
              <w:bottom w:val="single" w:sz="12" w:space="0" w:color="000000"/>
              <w:right w:val="single" w:sz="4" w:space="0" w:color="000000"/>
            </w:tcBorders>
          </w:tcPr>
          <w:p>
            <w:pP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5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9"/>
              <w:ind w:left="101" w:right="0"/>
              <w:jc w:val="left"/>
              <w:rPr>
                <w:rFonts w:ascii="宋体" w:hAnsi="宋体" w:cs="宋体" w:eastAsia="宋体" w:hint="default"/>
                <w:sz w:val="20"/>
                <w:szCs w:val="20"/>
              </w:rPr>
            </w:pPr>
            <w:r>
              <w:rPr>
                <w:rFonts w:ascii="宋体" w:hAnsi="宋体" w:cs="宋体" w:eastAsia="宋体" w:hint="default"/>
                <w:sz w:val="20"/>
                <w:szCs w:val="20"/>
              </w:rPr>
              <w:t>新设</w:t>
            </w:r>
          </w:p>
        </w:tc>
      </w:tr>
    </w:tbl>
    <w:p>
      <w:pPr>
        <w:spacing w:line="240" w:lineRule="auto" w:before="3"/>
        <w:rPr>
          <w:rFonts w:ascii="宋体" w:hAnsi="宋体" w:cs="宋体" w:eastAsia="宋体" w:hint="default"/>
          <w:b/>
          <w:bCs/>
          <w:sz w:val="5"/>
          <w:szCs w:val="5"/>
        </w:rPr>
      </w:pPr>
    </w:p>
    <w:p>
      <w:pPr>
        <w:pStyle w:val="BodyText"/>
        <w:spacing w:line="240" w:lineRule="auto" w:before="35"/>
        <w:ind w:left="414" w:right="0"/>
        <w:jc w:val="both"/>
      </w:pPr>
      <w:r>
        <w:rPr/>
        <w:t>持有半数或以下表决权但仍控制被投资单位、以及持有半数以上表决权但不控制被投资单位的依据：</w:t>
      </w:r>
    </w:p>
    <w:p>
      <w:pPr>
        <w:spacing w:line="240" w:lineRule="auto" w:before="10"/>
        <w:rPr>
          <w:rFonts w:ascii="宋体" w:hAnsi="宋体" w:cs="宋体" w:eastAsia="宋体" w:hint="default"/>
          <w:sz w:val="17"/>
          <w:szCs w:val="17"/>
        </w:rPr>
      </w:pPr>
    </w:p>
    <w:p>
      <w:pPr>
        <w:pStyle w:val="BodyText"/>
        <w:spacing w:line="410" w:lineRule="auto"/>
        <w:ind w:left="413" w:right="1131"/>
        <w:jc w:val="both"/>
      </w:pPr>
      <w:r>
        <w:rPr>
          <w:rFonts w:ascii="宋体" w:hAnsi="宋体" w:cs="宋体" w:eastAsia="宋体" w:hint="default"/>
        </w:rPr>
        <w:t>*1</w:t>
      </w:r>
      <w:r>
        <w:rPr/>
        <w:t>、本公司对神州数码信息系统有限公司（以下简称信息系统公司）持股比例</w:t>
      </w:r>
      <w:r>
        <w:rPr>
          <w:rFonts w:ascii="宋体" w:hAnsi="宋体" w:cs="宋体" w:eastAsia="宋体" w:hint="default"/>
        </w:rPr>
        <w:t>46%</w:t>
      </w:r>
      <w:r>
        <w:rPr/>
        <w:t>，但由于本公司为信息</w:t>
      </w:r>
      <w:r>
        <w:rPr>
          <w:spacing w:val="-29"/>
        </w:rPr>
        <w:t> </w:t>
      </w:r>
      <w:r>
        <w:rPr>
          <w:spacing w:val="-29"/>
        </w:rPr>
      </w:r>
      <w:r>
        <w:rPr>
          <w:spacing w:val="-1"/>
        </w:rPr>
        <w:t>系统公司的第一大股东，且信息系统公司董事会成员中半数以上系本公司推荐，故本公司在信息系统公司</w:t>
      </w:r>
      <w:r>
        <w:rPr>
          <w:spacing w:val="-81"/>
        </w:rPr>
        <w:t> </w:t>
      </w:r>
      <w:r>
        <w:rPr>
          <w:spacing w:val="-81"/>
        </w:rPr>
      </w:r>
      <w:r>
        <w:rPr/>
        <w:t>有多数表决权。</w:t>
      </w:r>
    </w:p>
    <w:p>
      <w:pPr>
        <w:spacing w:line="240" w:lineRule="auto" w:before="3"/>
        <w:rPr>
          <w:rFonts w:ascii="宋体" w:hAnsi="宋体" w:cs="宋体" w:eastAsia="宋体" w:hint="default"/>
          <w:sz w:val="20"/>
          <w:szCs w:val="20"/>
        </w:rPr>
      </w:pPr>
    </w:p>
    <w:p>
      <w:pPr>
        <w:pStyle w:val="Heading6"/>
        <w:spacing w:line="240" w:lineRule="auto"/>
        <w:ind w:left="413" w:right="0"/>
        <w:jc w:val="both"/>
        <w:rPr>
          <w:b w:val="0"/>
          <w:bCs w:val="0"/>
        </w:rPr>
      </w:pPr>
      <w:bookmarkStart w:name="（2）重要的非全资子公司" w:id="309"/>
      <w:bookmarkEnd w:id="3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2904"/>
        <w:gridCol w:w="1572"/>
        <w:gridCol w:w="1732"/>
        <w:gridCol w:w="1733"/>
        <w:gridCol w:w="1732"/>
      </w:tblGrid>
      <w:tr>
        <w:trPr>
          <w:trHeight w:val="1315" w:hRule="exact"/>
        </w:trPr>
        <w:tc>
          <w:tcPr>
            <w:tcW w:w="290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36"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157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88" w:lineRule="auto"/>
              <w:ind w:left="580" w:right="178" w:hanging="400"/>
              <w:jc w:val="left"/>
              <w:rPr>
                <w:rFonts w:ascii="宋体" w:hAnsi="宋体" w:cs="宋体" w:eastAsia="宋体" w:hint="default"/>
                <w:sz w:val="20"/>
                <w:szCs w:val="20"/>
              </w:rPr>
            </w:pPr>
            <w:r>
              <w:rPr>
                <w:rFonts w:ascii="宋体" w:hAnsi="宋体" w:cs="宋体" w:eastAsia="宋体" w:hint="default"/>
                <w:sz w:val="20"/>
                <w:szCs w:val="20"/>
              </w:rPr>
              <w:t>少数股东持股</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173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88" w:lineRule="auto"/>
              <w:ind w:left="361" w:right="158" w:hanging="201"/>
              <w:jc w:val="left"/>
              <w:rPr>
                <w:rFonts w:ascii="宋体" w:hAnsi="宋体" w:cs="宋体" w:eastAsia="宋体" w:hint="default"/>
                <w:sz w:val="20"/>
                <w:szCs w:val="20"/>
              </w:rPr>
            </w:pPr>
            <w:r>
              <w:rPr>
                <w:rFonts w:ascii="宋体" w:hAnsi="宋体" w:cs="宋体" w:eastAsia="宋体" w:hint="default"/>
                <w:sz w:val="20"/>
                <w:szCs w:val="20"/>
              </w:rPr>
              <w:t>本期归属于少数</w:t>
            </w:r>
            <w:r>
              <w:rPr>
                <w:rFonts w:ascii="宋体" w:hAnsi="宋体" w:cs="宋体" w:eastAsia="宋体" w:hint="default"/>
                <w:w w:val="100"/>
                <w:sz w:val="20"/>
                <w:szCs w:val="20"/>
              </w:rPr>
              <w:t> </w:t>
            </w:r>
            <w:r>
              <w:rPr>
                <w:rFonts w:ascii="宋体" w:hAnsi="宋体" w:cs="宋体" w:eastAsia="宋体" w:hint="default"/>
                <w:sz w:val="20"/>
                <w:szCs w:val="20"/>
              </w:rPr>
              <w:t>股东的损益</w:t>
            </w:r>
          </w:p>
        </w:tc>
        <w:tc>
          <w:tcPr>
            <w:tcW w:w="1733"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88" w:lineRule="auto"/>
              <w:ind w:left="160" w:right="160"/>
              <w:jc w:val="left"/>
              <w:rPr>
                <w:rFonts w:ascii="宋体" w:hAnsi="宋体" w:cs="宋体" w:eastAsia="宋体" w:hint="default"/>
                <w:sz w:val="20"/>
                <w:szCs w:val="20"/>
              </w:rPr>
            </w:pPr>
            <w:r>
              <w:rPr>
                <w:rFonts w:ascii="宋体" w:hAnsi="宋体" w:cs="宋体" w:eastAsia="宋体" w:hint="default"/>
                <w:sz w:val="20"/>
                <w:szCs w:val="20"/>
              </w:rPr>
              <w:t>本期向少数股东</w:t>
            </w:r>
            <w:r>
              <w:rPr>
                <w:rFonts w:ascii="宋体" w:hAnsi="宋体" w:cs="宋体" w:eastAsia="宋体" w:hint="default"/>
                <w:w w:val="100"/>
                <w:sz w:val="20"/>
                <w:szCs w:val="20"/>
              </w:rPr>
              <w:t> </w:t>
            </w:r>
            <w:r>
              <w:rPr>
                <w:rFonts w:ascii="宋体" w:hAnsi="宋体" w:cs="宋体" w:eastAsia="宋体" w:hint="default"/>
                <w:sz w:val="20"/>
                <w:szCs w:val="20"/>
              </w:rPr>
              <w:t>宣告分派的股利</w:t>
            </w:r>
          </w:p>
        </w:tc>
        <w:tc>
          <w:tcPr>
            <w:tcW w:w="173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88" w:lineRule="auto"/>
              <w:ind w:left="561" w:right="149" w:hanging="401"/>
              <w:jc w:val="left"/>
              <w:rPr>
                <w:rFonts w:ascii="宋体" w:hAnsi="宋体" w:cs="宋体" w:eastAsia="宋体" w:hint="default"/>
                <w:sz w:val="20"/>
                <w:szCs w:val="20"/>
              </w:rPr>
            </w:pPr>
            <w:r>
              <w:rPr>
                <w:rFonts w:ascii="宋体" w:hAnsi="宋体" w:cs="宋体" w:eastAsia="宋体" w:hint="default"/>
                <w:sz w:val="20"/>
                <w:szCs w:val="20"/>
              </w:rPr>
              <w:t>期末少数股东权</w:t>
            </w:r>
            <w:r>
              <w:rPr>
                <w:rFonts w:ascii="宋体" w:hAnsi="宋体" w:cs="宋体" w:eastAsia="宋体" w:hint="default"/>
                <w:w w:val="100"/>
                <w:sz w:val="20"/>
                <w:szCs w:val="20"/>
              </w:rPr>
              <w:t> </w:t>
            </w:r>
            <w:r>
              <w:rPr>
                <w:rFonts w:ascii="宋体" w:hAnsi="宋体" w:cs="宋体" w:eastAsia="宋体" w:hint="default"/>
                <w:sz w:val="20"/>
                <w:szCs w:val="20"/>
              </w:rPr>
              <w:t>益余额</w:t>
            </w:r>
          </w:p>
        </w:tc>
      </w:tr>
      <w:tr>
        <w:trPr>
          <w:trHeight w:val="475" w:hRule="exact"/>
        </w:trPr>
        <w:tc>
          <w:tcPr>
            <w:tcW w:w="290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92" w:right="0"/>
              <w:jc w:val="left"/>
              <w:rPr>
                <w:rFonts w:ascii="宋体" w:hAnsi="宋体" w:cs="宋体" w:eastAsia="宋体" w:hint="default"/>
                <w:sz w:val="20"/>
                <w:szCs w:val="20"/>
              </w:rPr>
            </w:pPr>
            <w:r>
              <w:rPr>
                <w:rFonts w:ascii="宋体" w:hAnsi="宋体" w:cs="宋体" w:eastAsia="宋体" w:hint="default"/>
                <w:sz w:val="20"/>
                <w:szCs w:val="20"/>
              </w:rPr>
              <w:t>神州数码信息系统有限公司</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842" w:right="0"/>
              <w:jc w:val="left"/>
              <w:rPr>
                <w:rFonts w:ascii="Times New Roman" w:hAnsi="Times New Roman" w:cs="Times New Roman" w:eastAsia="Times New Roman" w:hint="default"/>
                <w:sz w:val="20"/>
                <w:szCs w:val="20"/>
              </w:rPr>
            </w:pPr>
            <w:r>
              <w:rPr>
                <w:rFonts w:ascii="Times New Roman"/>
                <w:sz w:val="20"/>
              </w:rPr>
              <w:t>54.00%</w:t>
            </w:r>
          </w:p>
        </w:tc>
        <w:tc>
          <w:tcPr>
            <w:tcW w:w="1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469" w:right="0"/>
              <w:jc w:val="left"/>
              <w:rPr>
                <w:rFonts w:ascii="Times New Roman" w:hAnsi="Times New Roman" w:cs="Times New Roman" w:eastAsia="Times New Roman" w:hint="default"/>
                <w:sz w:val="20"/>
                <w:szCs w:val="20"/>
              </w:rPr>
            </w:pPr>
            <w:r>
              <w:rPr>
                <w:rFonts w:ascii="Times New Roman"/>
                <w:sz w:val="20"/>
              </w:rPr>
              <w:t>21,163,184.84</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568" w:right="0"/>
              <w:jc w:val="left"/>
              <w:rPr>
                <w:rFonts w:ascii="Times New Roman" w:hAnsi="Times New Roman" w:cs="Times New Roman" w:eastAsia="Times New Roman" w:hint="default"/>
                <w:sz w:val="20"/>
                <w:szCs w:val="20"/>
              </w:rPr>
            </w:pPr>
            <w:r>
              <w:rPr>
                <w:rFonts w:ascii="Times New Roman"/>
                <w:sz w:val="20"/>
              </w:rPr>
              <w:t>6,210,000.00</w:t>
            </w:r>
          </w:p>
        </w:tc>
        <w:tc>
          <w:tcPr>
            <w:tcW w:w="17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left="470" w:right="0"/>
              <w:jc w:val="left"/>
              <w:rPr>
                <w:rFonts w:ascii="Times New Roman" w:hAnsi="Times New Roman" w:cs="Times New Roman" w:eastAsia="Times New Roman" w:hint="default"/>
                <w:sz w:val="20"/>
                <w:szCs w:val="20"/>
              </w:rPr>
            </w:pPr>
            <w:r>
              <w:rPr>
                <w:rFonts w:ascii="Times New Roman"/>
                <w:sz w:val="20"/>
              </w:rPr>
              <w:t>45,601,993.77</w:t>
            </w:r>
          </w:p>
        </w:tc>
      </w:tr>
    </w:tbl>
    <w:p>
      <w:pPr>
        <w:spacing w:line="240" w:lineRule="auto" w:before="12"/>
        <w:rPr>
          <w:rFonts w:ascii="宋体" w:hAnsi="宋体" w:cs="宋体" w:eastAsia="宋体" w:hint="default"/>
          <w:sz w:val="21"/>
          <w:szCs w:val="21"/>
        </w:rPr>
      </w:pPr>
    </w:p>
    <w:p>
      <w:pPr>
        <w:pStyle w:val="Heading6"/>
        <w:spacing w:line="240" w:lineRule="auto"/>
        <w:ind w:left="413" w:right="0"/>
        <w:jc w:val="both"/>
        <w:rPr>
          <w:b w:val="0"/>
          <w:bCs w:val="0"/>
        </w:rPr>
      </w:pPr>
      <w:bookmarkStart w:name="（3）重要非全资子公司的主要财务信息" w:id="310"/>
      <w:bookmarkEnd w:id="3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543"/>
        <w:gridCol w:w="1364"/>
        <w:gridCol w:w="1366"/>
        <w:gridCol w:w="1364"/>
        <w:gridCol w:w="1366"/>
        <w:gridCol w:w="1362"/>
        <w:gridCol w:w="1363"/>
      </w:tblGrid>
      <w:tr>
        <w:trPr>
          <w:trHeight w:val="459" w:hRule="exact"/>
        </w:trPr>
        <w:tc>
          <w:tcPr>
            <w:tcW w:w="1543"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85" w:type="dxa"/>
            <w:gridSpan w:val="6"/>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9" w:hRule="exact"/>
        </w:trPr>
        <w:tc>
          <w:tcPr>
            <w:tcW w:w="1543" w:type="dxa"/>
            <w:vMerge/>
            <w:tcBorders>
              <w:left w:val="single" w:sz="12" w:space="0" w:color="000000"/>
              <w:bottom w:val="single" w:sz="4" w:space="0" w:color="000000"/>
              <w:right w:val="single" w:sz="4" w:space="0" w:color="000000"/>
            </w:tcBorders>
            <w:shd w:val="clear" w:color="auto" w:fill="D9D9D9"/>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2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2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3"/>
              <w:ind w:left="10"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759" w:hRule="exact"/>
        </w:trPr>
        <w:tc>
          <w:tcPr>
            <w:tcW w:w="154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316" w:lineRule="auto" w:before="87"/>
              <w:ind w:left="93" w:right="93"/>
              <w:jc w:val="left"/>
              <w:rPr>
                <w:rFonts w:ascii="宋体" w:hAnsi="宋体" w:cs="宋体" w:eastAsia="宋体" w:hint="default"/>
                <w:sz w:val="18"/>
                <w:szCs w:val="18"/>
              </w:rPr>
            </w:pPr>
            <w:r>
              <w:rPr>
                <w:rFonts w:ascii="宋体" w:hAnsi="宋体" w:cs="宋体" w:eastAsia="宋体" w:hint="default"/>
                <w:spacing w:val="10"/>
                <w:sz w:val="18"/>
                <w:szCs w:val="18"/>
              </w:rPr>
              <w:t>神州数码信息系 </w:t>
            </w:r>
            <w:r>
              <w:rPr>
                <w:rFonts w:ascii="宋体" w:hAnsi="宋体" w:cs="宋体" w:eastAsia="宋体" w:hint="default"/>
                <w:sz w:val="18"/>
                <w:szCs w:val="18"/>
              </w:rPr>
              <w:t>统有限公司</w:t>
            </w:r>
          </w:p>
        </w:tc>
        <w:tc>
          <w:tcPr>
            <w:tcW w:w="1364"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592,376,181.25</w:t>
            </w:r>
          </w:p>
        </w:tc>
        <w:tc>
          <w:tcPr>
            <w:tcW w:w="1366"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32,189,600.32</w:t>
            </w:r>
          </w:p>
        </w:tc>
        <w:tc>
          <w:tcPr>
            <w:tcW w:w="1364"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624,565,781.57</w:t>
            </w:r>
          </w:p>
        </w:tc>
        <w:tc>
          <w:tcPr>
            <w:tcW w:w="1366"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506,674,057.83</w:t>
            </w:r>
          </w:p>
        </w:tc>
        <w:tc>
          <w:tcPr>
            <w:tcW w:w="1362" w:type="dxa"/>
            <w:tcBorders>
              <w:top w:val="single" w:sz="12" w:space="0" w:color="D9D9D9"/>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30,787,654.88</w:t>
            </w:r>
          </w:p>
        </w:tc>
        <w:tc>
          <w:tcPr>
            <w:tcW w:w="1363" w:type="dxa"/>
            <w:tcBorders>
              <w:top w:val="single" w:sz="12" w:space="0" w:color="D9D9D9"/>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537,461,712.71</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1266" w:top="1160" w:bottom="1460" w:left="7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65"/>
        <w:gridCol w:w="1369"/>
        <w:gridCol w:w="1371"/>
        <w:gridCol w:w="1370"/>
        <w:gridCol w:w="1370"/>
        <w:gridCol w:w="1371"/>
        <w:gridCol w:w="1370"/>
      </w:tblGrid>
      <w:tr>
        <w:trPr>
          <w:trHeight w:val="458" w:hRule="exact"/>
        </w:trPr>
        <w:tc>
          <w:tcPr>
            <w:tcW w:w="1265"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21" w:type="dxa"/>
            <w:gridSpan w:val="6"/>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9" w:hRule="exact"/>
        </w:trPr>
        <w:tc>
          <w:tcPr>
            <w:tcW w:w="1265" w:type="dxa"/>
            <w:vMerge/>
            <w:tcBorders>
              <w:left w:val="single" w:sz="12" w:space="0" w:color="000000"/>
              <w:bottom w:val="single" w:sz="4" w:space="0" w:color="000000"/>
              <w:right w:val="single" w:sz="4" w:space="0" w:color="000000"/>
            </w:tcBorders>
            <w:shd w:val="clear" w:color="auto" w:fill="D9D9D9"/>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3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3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0"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3"/>
              <w:ind w:left="10"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72" w:hRule="exact"/>
        </w:trPr>
        <w:tc>
          <w:tcPr>
            <w:tcW w:w="126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316" w:lineRule="auto" w:before="87"/>
              <w:ind w:left="93" w:right="102"/>
              <w:jc w:val="both"/>
              <w:rPr>
                <w:rFonts w:ascii="宋体" w:hAnsi="宋体" w:cs="宋体" w:eastAsia="宋体" w:hint="default"/>
                <w:sz w:val="18"/>
                <w:szCs w:val="18"/>
              </w:rPr>
            </w:pPr>
            <w:r>
              <w:rPr>
                <w:rFonts w:ascii="宋体" w:hAnsi="宋体" w:cs="宋体" w:eastAsia="宋体" w:hint="default"/>
                <w:sz w:val="18"/>
                <w:szCs w:val="18"/>
              </w:rPr>
              <w:t>神</w:t>
            </w:r>
            <w:r>
              <w:rPr>
                <w:rFonts w:ascii="宋体" w:hAnsi="宋体" w:cs="宋体" w:eastAsia="宋体" w:hint="default"/>
                <w:spacing w:val="-53"/>
                <w:sz w:val="18"/>
                <w:szCs w:val="18"/>
              </w:rPr>
              <w:t> </w:t>
            </w:r>
            <w:r>
              <w:rPr>
                <w:rFonts w:ascii="宋体" w:hAnsi="宋体" w:cs="宋体" w:eastAsia="宋体" w:hint="default"/>
                <w:sz w:val="18"/>
                <w:szCs w:val="18"/>
              </w:rPr>
              <w:t>州</w:t>
            </w:r>
            <w:r>
              <w:rPr>
                <w:rFonts w:ascii="宋体" w:hAnsi="宋体" w:cs="宋体" w:eastAsia="宋体" w:hint="default"/>
                <w:spacing w:val="-53"/>
                <w:sz w:val="18"/>
                <w:szCs w:val="18"/>
              </w:rPr>
              <w:t> </w:t>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码</w:t>
            </w:r>
            <w:r>
              <w:rPr>
                <w:rFonts w:ascii="宋体" w:hAnsi="宋体" w:cs="宋体" w:eastAsia="宋体" w:hint="default"/>
                <w:spacing w:val="-53"/>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53"/>
                <w:sz w:val="18"/>
                <w:szCs w:val="18"/>
              </w:rPr>
              <w:t> </w:t>
            </w:r>
            <w:r>
              <w:rPr>
                <w:rFonts w:ascii="宋体" w:hAnsi="宋体" w:cs="宋体" w:eastAsia="宋体" w:hint="default"/>
                <w:sz w:val="18"/>
                <w:szCs w:val="18"/>
              </w:rPr>
              <w:t>系</w:t>
            </w:r>
            <w:r>
              <w:rPr>
                <w:rFonts w:ascii="宋体" w:hAnsi="宋体" w:cs="宋体" w:eastAsia="宋体" w:hint="default"/>
                <w:spacing w:val="-53"/>
                <w:sz w:val="18"/>
                <w:szCs w:val="18"/>
              </w:rPr>
              <w:t> </w:t>
            </w:r>
            <w:r>
              <w:rPr>
                <w:rFonts w:ascii="宋体" w:hAnsi="宋体" w:cs="宋体" w:eastAsia="宋体" w:hint="default"/>
                <w:sz w:val="18"/>
                <w:szCs w:val="18"/>
              </w:rPr>
              <w:t>统</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69"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425,453,357.02</w:t>
            </w:r>
          </w:p>
        </w:tc>
        <w:tc>
          <w:tcPr>
            <w:tcW w:w="1371"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39,613,424.83</w:t>
            </w:r>
          </w:p>
        </w:tc>
        <w:tc>
          <w:tcPr>
            <w:tcW w:w="1370"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465,066,781.85</w:t>
            </w:r>
          </w:p>
        </w:tc>
        <w:tc>
          <w:tcPr>
            <w:tcW w:w="1370"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381,897,898.35</w:t>
            </w:r>
          </w:p>
        </w:tc>
        <w:tc>
          <w:tcPr>
            <w:tcW w:w="1371"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23,755,897.65</w:t>
            </w:r>
          </w:p>
        </w:tc>
        <w:tc>
          <w:tcPr>
            <w:tcW w:w="1370" w:type="dxa"/>
            <w:tcBorders>
              <w:top w:val="single" w:sz="16" w:space="0" w:color="D9D9D9"/>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405,653,796.00</w:t>
            </w:r>
          </w:p>
        </w:tc>
      </w:tr>
    </w:tbl>
    <w:p>
      <w:pPr>
        <w:spacing w:line="240" w:lineRule="auto" w:before="5"/>
        <w:rPr>
          <w:rFonts w:ascii="宋体" w:hAnsi="宋体" w:cs="宋体" w:eastAsia="宋体" w:hint="default"/>
          <w:sz w:val="27"/>
          <w:szCs w:val="2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411"/>
        <w:gridCol w:w="1776"/>
        <w:gridCol w:w="1776"/>
        <w:gridCol w:w="1776"/>
        <w:gridCol w:w="1739"/>
      </w:tblGrid>
      <w:tr>
        <w:trPr>
          <w:trHeight w:val="458" w:hRule="exact"/>
        </w:trPr>
        <w:tc>
          <w:tcPr>
            <w:tcW w:w="241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68"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28" w:hRule="exact"/>
        </w:trPr>
        <w:tc>
          <w:tcPr>
            <w:tcW w:w="2411" w:type="dxa"/>
            <w:vMerge/>
            <w:tcBorders>
              <w:left w:val="single" w:sz="12" w:space="0" w:color="000000"/>
              <w:bottom w:val="single" w:sz="4" w:space="0" w:color="000000"/>
              <w:right w:val="single" w:sz="4" w:space="0" w:color="000000"/>
            </w:tcBorders>
            <w:shd w:val="clear" w:color="auto" w:fill="D9D9D9"/>
          </w:tcPr>
          <w:p>
            <w:pP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5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6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34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39"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2"/>
              <w:ind w:right="13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509" w:hRule="exact"/>
        </w:trPr>
        <w:tc>
          <w:tcPr>
            <w:tcW w:w="241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776"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42"/>
              <w:ind w:left="543" w:right="0"/>
              <w:jc w:val="left"/>
              <w:rPr>
                <w:rFonts w:ascii="Times New Roman" w:hAnsi="Times New Roman" w:cs="Times New Roman" w:eastAsia="Times New Roman" w:hint="default"/>
                <w:sz w:val="18"/>
                <w:szCs w:val="18"/>
              </w:rPr>
            </w:pPr>
            <w:r>
              <w:rPr>
                <w:rFonts w:ascii="Times New Roman"/>
                <w:sz w:val="18"/>
              </w:rPr>
              <w:t>678,118,205.89</w:t>
            </w:r>
          </w:p>
        </w:tc>
        <w:tc>
          <w:tcPr>
            <w:tcW w:w="1776"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42"/>
              <w:ind w:left="627" w:right="0"/>
              <w:jc w:val="left"/>
              <w:rPr>
                <w:rFonts w:ascii="Times New Roman" w:hAnsi="Times New Roman" w:cs="Times New Roman" w:eastAsia="Times New Roman" w:hint="default"/>
                <w:sz w:val="18"/>
                <w:szCs w:val="18"/>
              </w:rPr>
            </w:pPr>
            <w:r>
              <w:rPr>
                <w:rFonts w:ascii="Times New Roman"/>
                <w:sz w:val="18"/>
              </w:rPr>
              <w:t>39,191,083.01</w:t>
            </w:r>
          </w:p>
        </w:tc>
        <w:tc>
          <w:tcPr>
            <w:tcW w:w="1776"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42"/>
              <w:ind w:left="627" w:right="0"/>
              <w:jc w:val="left"/>
              <w:rPr>
                <w:rFonts w:ascii="Times New Roman" w:hAnsi="Times New Roman" w:cs="Times New Roman" w:eastAsia="Times New Roman" w:hint="default"/>
                <w:sz w:val="18"/>
                <w:szCs w:val="18"/>
              </w:rPr>
            </w:pPr>
            <w:r>
              <w:rPr>
                <w:rFonts w:ascii="Times New Roman"/>
                <w:sz w:val="18"/>
              </w:rPr>
              <w:t>39,191,083.01</w:t>
            </w:r>
          </w:p>
        </w:tc>
        <w:tc>
          <w:tcPr>
            <w:tcW w:w="1739" w:type="dxa"/>
            <w:tcBorders>
              <w:top w:val="single" w:sz="16" w:space="0" w:color="D9D9D9"/>
              <w:left w:val="single" w:sz="4" w:space="0" w:color="000000"/>
              <w:bottom w:val="single" w:sz="12" w:space="0" w:color="000000"/>
              <w:right w:val="single" w:sz="12" w:space="0" w:color="000000"/>
            </w:tcBorders>
          </w:tcPr>
          <w:p>
            <w:pPr>
              <w:pStyle w:val="TableParagraph"/>
              <w:spacing w:line="240" w:lineRule="auto" w:before="142"/>
              <w:ind w:right="91"/>
              <w:jc w:val="right"/>
              <w:rPr>
                <w:rFonts w:ascii="Times New Roman" w:hAnsi="Times New Roman" w:cs="Times New Roman" w:eastAsia="Times New Roman" w:hint="default"/>
                <w:sz w:val="18"/>
                <w:szCs w:val="18"/>
              </w:rPr>
            </w:pPr>
            <w:r>
              <w:rPr>
                <w:rFonts w:ascii="Times New Roman"/>
                <w:spacing w:val="-1"/>
                <w:sz w:val="18"/>
              </w:rPr>
              <w:t>24,360,237.93</w:t>
            </w:r>
          </w:p>
        </w:tc>
      </w:tr>
    </w:tbl>
    <w:p>
      <w:pPr>
        <w:spacing w:line="240" w:lineRule="auto" w:before="6"/>
        <w:rPr>
          <w:rFonts w:ascii="宋体" w:hAnsi="宋体" w:cs="宋体" w:eastAsia="宋体" w:hint="default"/>
          <w:sz w:val="27"/>
          <w:szCs w:val="2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411"/>
        <w:gridCol w:w="1774"/>
        <w:gridCol w:w="1774"/>
        <w:gridCol w:w="1775"/>
        <w:gridCol w:w="1759"/>
      </w:tblGrid>
      <w:tr>
        <w:trPr>
          <w:trHeight w:val="458" w:hRule="exact"/>
        </w:trPr>
        <w:tc>
          <w:tcPr>
            <w:tcW w:w="241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1"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2411" w:type="dxa"/>
            <w:vMerge/>
            <w:tcBorders>
              <w:left w:val="single" w:sz="12" w:space="0" w:color="000000"/>
              <w:bottom w:val="single" w:sz="4" w:space="0" w:color="000000"/>
              <w:right w:val="single" w:sz="4" w:space="0" w:color="000000"/>
            </w:tcBorders>
            <w:shd w:val="clear" w:color="auto" w:fill="D9D9D9"/>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5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6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34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59"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2"/>
              <w:ind w:right="14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73" w:hRule="exact"/>
        </w:trPr>
        <w:tc>
          <w:tcPr>
            <w:tcW w:w="241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1774"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617,056,419.53</w:t>
            </w:r>
          </w:p>
        </w:tc>
        <w:tc>
          <w:tcPr>
            <w:tcW w:w="1774"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06"/>
              <w:ind w:left="626" w:right="0"/>
              <w:jc w:val="left"/>
              <w:rPr>
                <w:rFonts w:ascii="Times New Roman" w:hAnsi="Times New Roman" w:cs="Times New Roman" w:eastAsia="Times New Roman" w:hint="default"/>
                <w:sz w:val="18"/>
                <w:szCs w:val="18"/>
              </w:rPr>
            </w:pPr>
            <w:r>
              <w:rPr>
                <w:rFonts w:ascii="Times New Roman"/>
                <w:sz w:val="18"/>
              </w:rPr>
              <w:t>16,128,642.07</w:t>
            </w:r>
          </w:p>
        </w:tc>
        <w:tc>
          <w:tcPr>
            <w:tcW w:w="1775" w:type="dxa"/>
            <w:tcBorders>
              <w:top w:val="single" w:sz="16" w:space="0" w:color="D9D9D9"/>
              <w:left w:val="single" w:sz="4" w:space="0" w:color="000000"/>
              <w:bottom w:val="single" w:sz="12" w:space="0" w:color="000000"/>
              <w:right w:val="single" w:sz="4" w:space="0" w:color="000000"/>
            </w:tcBorders>
          </w:tcPr>
          <w:p>
            <w:pPr>
              <w:pStyle w:val="TableParagraph"/>
              <w:spacing w:line="240" w:lineRule="auto" w:before="106"/>
              <w:ind w:left="626" w:right="0"/>
              <w:jc w:val="left"/>
              <w:rPr>
                <w:rFonts w:ascii="Times New Roman" w:hAnsi="Times New Roman" w:cs="Times New Roman" w:eastAsia="Times New Roman" w:hint="default"/>
                <w:sz w:val="18"/>
                <w:szCs w:val="18"/>
              </w:rPr>
            </w:pPr>
            <w:r>
              <w:rPr>
                <w:rFonts w:ascii="Times New Roman"/>
                <w:sz w:val="18"/>
              </w:rPr>
              <w:t>16,128,642.07</w:t>
            </w:r>
          </w:p>
        </w:tc>
        <w:tc>
          <w:tcPr>
            <w:tcW w:w="1759" w:type="dxa"/>
            <w:tcBorders>
              <w:top w:val="single" w:sz="16" w:space="0" w:color="D9D9D9"/>
              <w:left w:val="single" w:sz="4" w:space="0" w:color="000000"/>
              <w:bottom w:val="single" w:sz="12" w:space="0" w:color="000000"/>
              <w:right w:val="single" w:sz="12" w:space="0" w:color="000000"/>
            </w:tcBorders>
          </w:tcPr>
          <w:p>
            <w:pPr>
              <w:pStyle w:val="TableParagraph"/>
              <w:spacing w:line="240" w:lineRule="auto" w:before="106"/>
              <w:ind w:right="89"/>
              <w:jc w:val="right"/>
              <w:rPr>
                <w:rFonts w:ascii="Times New Roman" w:hAnsi="Times New Roman" w:cs="Times New Roman" w:eastAsia="Times New Roman" w:hint="default"/>
                <w:sz w:val="18"/>
                <w:szCs w:val="18"/>
              </w:rPr>
            </w:pPr>
            <w:r>
              <w:rPr>
                <w:rFonts w:ascii="Times New Roman"/>
                <w:spacing w:val="-1"/>
                <w:sz w:val="18"/>
              </w:rPr>
              <w:t>-283,333,500.37</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在合营安排或联营企业中的权益" w:id="311"/>
      <w:bookmarkEnd w:id="31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重要的合营企业或联营企业" w:id="312"/>
      <w:bookmarkEnd w:id="3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129"/>
        <w:gridCol w:w="1274"/>
        <w:gridCol w:w="851"/>
        <w:gridCol w:w="1417"/>
        <w:gridCol w:w="992"/>
        <w:gridCol w:w="993"/>
        <w:gridCol w:w="1864"/>
      </w:tblGrid>
      <w:tr>
        <w:trPr>
          <w:trHeight w:val="473" w:hRule="exact"/>
        </w:trPr>
        <w:tc>
          <w:tcPr>
            <w:tcW w:w="212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1"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64" w:type="dxa"/>
            <w:vMerge w:val="restart"/>
            <w:tcBorders>
              <w:top w:val="single" w:sz="12" w:space="0" w:color="000000"/>
              <w:left w:val="single" w:sz="4" w:space="0" w:color="000000"/>
              <w:right w:val="single" w:sz="12" w:space="0" w:color="000000"/>
            </w:tcBorders>
            <w:shd w:val="clear" w:color="auto" w:fill="D2D2D2"/>
          </w:tcPr>
          <w:p>
            <w:pPr>
              <w:pStyle w:val="TableParagraph"/>
              <w:spacing w:line="316" w:lineRule="auto" w:before="158"/>
              <w:ind w:left="116" w:right="17"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64" w:hRule="exact"/>
        </w:trPr>
        <w:tc>
          <w:tcPr>
            <w:tcW w:w="2129" w:type="dxa"/>
            <w:vMerge/>
            <w:tcBorders>
              <w:left w:val="single" w:sz="12"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64" w:type="dxa"/>
            <w:vMerge/>
            <w:tcBorders>
              <w:left w:val="single" w:sz="4" w:space="0" w:color="000000"/>
              <w:bottom w:val="single" w:sz="4" w:space="0" w:color="000000"/>
              <w:right w:val="single" w:sz="12" w:space="0" w:color="000000"/>
            </w:tcBorders>
            <w:shd w:val="clear" w:color="auto" w:fill="D2D2D2"/>
          </w:tcPr>
          <w:p>
            <w:pPr/>
          </w:p>
        </w:tc>
      </w:tr>
      <w:tr>
        <w:trPr>
          <w:trHeight w:val="473" w:hRule="exact"/>
        </w:trPr>
        <w:tc>
          <w:tcPr>
            <w:tcW w:w="21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992" w:type="dxa"/>
            <w:tcBorders>
              <w:top w:val="single" w:sz="4" w:space="0" w:color="000000"/>
              <w:left w:val="single" w:sz="4" w:space="0" w:color="000000"/>
              <w:bottom w:val="single" w:sz="12" w:space="0" w:color="000000"/>
              <w:right w:val="single" w:sz="4" w:space="0" w:color="000000"/>
            </w:tcBorders>
          </w:tcPr>
          <w:p>
            <w:pP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405" w:right="0"/>
              <w:jc w:val="left"/>
              <w:rPr>
                <w:rFonts w:ascii="Times New Roman" w:hAnsi="Times New Roman" w:cs="Times New Roman" w:eastAsia="Times New Roman" w:hint="default"/>
                <w:sz w:val="18"/>
                <w:szCs w:val="18"/>
              </w:rPr>
            </w:pPr>
            <w:r>
              <w:rPr>
                <w:rFonts w:ascii="Times New Roman"/>
                <w:sz w:val="18"/>
              </w:rPr>
              <w:t>17.91%</w:t>
            </w:r>
          </w:p>
        </w:tc>
        <w:tc>
          <w:tcPr>
            <w:tcW w:w="18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6"/>
        <w:spacing w:line="240" w:lineRule="auto" w:before="35"/>
        <w:ind w:right="1135"/>
        <w:jc w:val="left"/>
        <w:rPr>
          <w:b w:val="0"/>
          <w:bCs w:val="0"/>
        </w:rPr>
      </w:pPr>
      <w:bookmarkStart w:name="（2）重要联营企业的主要财务信息" w:id="313"/>
      <w:bookmarkEnd w:id="313"/>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191"/>
        <w:gridCol w:w="3186"/>
        <w:gridCol w:w="3186"/>
      </w:tblGrid>
      <w:tr>
        <w:trPr>
          <w:trHeight w:val="526"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1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37"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w:t>
            </w:r>
            <w:r>
              <w:rPr>
                <w:rFonts w:ascii="宋体" w:hAnsi="宋体" w:cs="宋体" w:eastAsia="宋体" w:hint="default"/>
                <w:sz w:val="20"/>
                <w:szCs w:val="20"/>
              </w:rPr>
              <w:t>本期发生额</w:t>
            </w:r>
          </w:p>
        </w:tc>
        <w:tc>
          <w:tcPr>
            <w:tcW w:w="318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2"/>
              <w:ind w:left="637"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w:t>
            </w:r>
            <w:r>
              <w:rPr>
                <w:rFonts w:ascii="宋体" w:hAnsi="宋体" w:cs="宋体" w:eastAsia="宋体" w:hint="default"/>
                <w:sz w:val="20"/>
                <w:szCs w:val="20"/>
              </w:rPr>
              <w:t>上期发生额</w:t>
            </w:r>
          </w:p>
        </w:tc>
      </w:tr>
      <w:tr>
        <w:trPr>
          <w:trHeight w:val="521"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3"/>
              <w:ind w:left="1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3186" w:type="dxa"/>
            <w:tcBorders>
              <w:top w:val="single" w:sz="49" w:space="0" w:color="D2D2D2"/>
              <w:left w:val="single" w:sz="13" w:space="0" w:color="D2D2D2"/>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1,006,832,619.34</w:t>
            </w:r>
          </w:p>
        </w:tc>
        <w:tc>
          <w:tcPr>
            <w:tcW w:w="3186" w:type="dxa"/>
            <w:tcBorders>
              <w:top w:val="single" w:sz="49" w:space="0" w:color="D2D2D2"/>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1,250,188,524.99</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545,141,328.17</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225,621,884.23</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1,550,707,884.67</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1,475,810,409.22</w:t>
            </w:r>
          </w:p>
        </w:tc>
      </w:tr>
      <w:tr>
        <w:trPr>
          <w:trHeight w:val="475"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417,234,105.47</w:t>
            </w:r>
          </w:p>
        </w:tc>
        <w:tc>
          <w:tcPr>
            <w:tcW w:w="3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327,855,164.81</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5"/>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191"/>
        <w:gridCol w:w="3186"/>
        <w:gridCol w:w="3186"/>
      </w:tblGrid>
      <w:tr>
        <w:trPr>
          <w:trHeight w:val="473"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531,903.82</w:t>
            </w:r>
          </w:p>
        </w:tc>
        <w:tc>
          <w:tcPr>
            <w:tcW w:w="31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1,205,064.10</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spacing w:val="-1"/>
                <w:sz w:val="20"/>
              </w:rPr>
              <w:t>417,766,009.29</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10"/>
              <w:jc w:val="right"/>
              <w:rPr>
                <w:rFonts w:ascii="Times New Roman" w:hAnsi="Times New Roman" w:cs="Times New Roman" w:eastAsia="Times New Roman" w:hint="default"/>
                <w:sz w:val="20"/>
                <w:szCs w:val="20"/>
              </w:rPr>
            </w:pPr>
            <w:r>
              <w:rPr>
                <w:rFonts w:ascii="Times New Roman"/>
                <w:spacing w:val="-1"/>
                <w:sz w:val="20"/>
              </w:rPr>
              <w:t>329,060,228.91</w:t>
            </w:r>
          </w:p>
        </w:tc>
      </w:tr>
      <w:tr>
        <w:trPr>
          <w:trHeight w:val="465"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4,999,644.71</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52,947.79</w:t>
            </w:r>
          </w:p>
        </w:tc>
      </w:tr>
      <w:tr>
        <w:trPr>
          <w:trHeight w:val="463"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1,127,942,230.67</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1,146,697,232.52</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202,014,453.51</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205,373,474.34</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商誉</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146,086,014.65</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146,086,014.65</w:t>
            </w:r>
          </w:p>
        </w:tc>
      </w:tr>
      <w:tr>
        <w:trPr>
          <w:trHeight w:val="463"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其他</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1,429.25</w:t>
            </w: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对联营企业权益投资的账面价值</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348,101,897.41</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351,459,488.99</w:t>
            </w:r>
          </w:p>
        </w:tc>
      </w:tr>
      <w:tr>
        <w:trPr>
          <w:trHeight w:val="71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88" w:lineRule="auto" w:before="35"/>
              <w:ind w:left="13" w:right="23"/>
              <w:jc w:val="left"/>
              <w:rPr>
                <w:rFonts w:ascii="宋体" w:hAnsi="宋体" w:cs="宋体" w:eastAsia="宋体" w:hint="default"/>
                <w:sz w:val="20"/>
                <w:szCs w:val="20"/>
              </w:rPr>
            </w:pPr>
            <w:r>
              <w:rPr>
                <w:rFonts w:ascii="宋体" w:hAnsi="宋体" w:cs="宋体" w:eastAsia="宋体" w:hint="default"/>
                <w:spacing w:val="7"/>
                <w:sz w:val="20"/>
                <w:szCs w:val="20"/>
              </w:rPr>
              <w:t>存在公开报价的联营企业权益投资</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的公允价值</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2,092,679,358.36</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20"/>
                <w:szCs w:val="20"/>
              </w:rPr>
            </w:pPr>
            <w:r>
              <w:rPr>
                <w:rFonts w:ascii="Times New Roman"/>
                <w:spacing w:val="-1"/>
                <w:sz w:val="20"/>
              </w:rPr>
              <w:t>987,086,828.70</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1,020,116,619.02</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1,053,186,652.15</w:t>
            </w:r>
          </w:p>
        </w:tc>
      </w:tr>
      <w:tr>
        <w:trPr>
          <w:trHeight w:val="463"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12,156,896.47</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62,972,888.61</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828,279.54</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-12,572,187.81</w:t>
            </w:r>
          </w:p>
        </w:tc>
      </w:tr>
      <w:tr>
        <w:trPr>
          <w:trHeight w:val="464" w:hRule="exact"/>
        </w:trPr>
        <w:tc>
          <w:tcPr>
            <w:tcW w:w="31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12,985,176.01</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50,400,700.80</w:t>
            </w:r>
          </w:p>
        </w:tc>
      </w:tr>
      <w:tr>
        <w:trPr>
          <w:trHeight w:val="473" w:hRule="exact"/>
        </w:trPr>
        <w:tc>
          <w:tcPr>
            <w:tcW w:w="31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本年度收到的来自联营企业的股利</w:t>
            </w:r>
          </w:p>
        </w:tc>
        <w:tc>
          <w:tcPr>
            <w:tcW w:w="3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5,529,898.20</w:t>
            </w:r>
          </w:p>
        </w:tc>
        <w:tc>
          <w:tcPr>
            <w:tcW w:w="3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6,380,651.70</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3）不重要的合营企业和联营企业的汇总财务信息" w:id="314"/>
      <w:bookmarkEnd w:id="314"/>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325"/>
        <w:gridCol w:w="3059"/>
        <w:gridCol w:w="3186"/>
      </w:tblGrid>
      <w:tr>
        <w:trPr>
          <w:trHeight w:val="640" w:hRule="exact"/>
        </w:trPr>
        <w:tc>
          <w:tcPr>
            <w:tcW w:w="3325" w:type="dxa"/>
            <w:tcBorders>
              <w:top w:val="single" w:sz="12" w:space="0" w:color="000000"/>
              <w:left w:val="single" w:sz="12" w:space="0" w:color="000000"/>
              <w:bottom w:val="single" w:sz="4" w:space="0" w:color="000000"/>
              <w:right w:val="single" w:sz="4" w:space="0" w:color="000000"/>
            </w:tcBorders>
            <w:shd w:val="clear" w:color="auto" w:fill="D9D9D9"/>
          </w:tcPr>
          <w:p>
            <w:pPr/>
          </w:p>
        </w:tc>
        <w:tc>
          <w:tcPr>
            <w:tcW w:w="30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73"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w:t>
            </w:r>
            <w:r>
              <w:rPr>
                <w:rFonts w:ascii="宋体" w:hAnsi="宋体" w:cs="宋体" w:eastAsia="宋体" w:hint="default"/>
                <w:sz w:val="20"/>
                <w:szCs w:val="20"/>
              </w:rPr>
              <w:t>本期发生额</w:t>
            </w:r>
          </w:p>
        </w:tc>
        <w:tc>
          <w:tcPr>
            <w:tcW w:w="318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49"/>
              <w:ind w:left="637"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w:t>
            </w:r>
            <w:r>
              <w:rPr>
                <w:rFonts w:ascii="宋体" w:hAnsi="宋体" w:cs="宋体" w:eastAsia="宋体" w:hint="default"/>
                <w:sz w:val="20"/>
                <w:szCs w:val="20"/>
              </w:rPr>
              <w:t>上期发生额</w:t>
            </w:r>
          </w:p>
        </w:tc>
      </w:tr>
      <w:tr>
        <w:trPr>
          <w:trHeight w:val="464"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5,985,244.00</w:t>
            </w: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-1,854,756.00</w:t>
            </w: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-1,854,756.00</w:t>
            </w: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6,761,735.74</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6,995,985.78</w:t>
            </w:r>
          </w:p>
        </w:tc>
      </w:tr>
      <w:tr>
        <w:trPr>
          <w:trHeight w:val="463"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12" w:space="0" w:color="000000"/>
            </w:tcBorders>
          </w:tcPr>
          <w:p>
            <w:pPr/>
          </w:p>
        </w:tc>
      </w:tr>
      <w:tr>
        <w:trPr>
          <w:trHeight w:val="465" w:hRule="exact"/>
        </w:trPr>
        <w:tc>
          <w:tcPr>
            <w:tcW w:w="332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8"/>
              <w:ind w:left="9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3,744,830.30</w:t>
            </w:r>
          </w:p>
        </w:tc>
        <w:tc>
          <w:tcPr>
            <w:tcW w:w="3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3,524,418.05</w:t>
            </w:r>
          </w:p>
        </w:tc>
      </w:tr>
      <w:tr>
        <w:trPr>
          <w:trHeight w:val="475" w:hRule="exact"/>
        </w:trPr>
        <w:tc>
          <w:tcPr>
            <w:tcW w:w="332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综合收益总额</w:t>
            </w:r>
          </w:p>
        </w:tc>
        <w:tc>
          <w:tcPr>
            <w:tcW w:w="3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3,744,830.30</w:t>
            </w:r>
          </w:p>
        </w:tc>
        <w:tc>
          <w:tcPr>
            <w:tcW w:w="3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3,524,418.05</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sz w:val="16"/>
          <w:szCs w:val="16"/>
        </w:rPr>
      </w:pPr>
    </w:p>
    <w:p>
      <w:pPr>
        <w:pStyle w:val="Heading2"/>
        <w:spacing w:line="240" w:lineRule="auto" w:before="26"/>
        <w:ind w:left="154" w:right="0"/>
        <w:jc w:val="both"/>
        <w:rPr>
          <w:b w:val="0"/>
          <w:bCs w:val="0"/>
        </w:rPr>
      </w:pPr>
      <w:bookmarkStart w:name="十、与金融工具相关的风险" w:id="315"/>
      <w:bookmarkEnd w:id="315"/>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10" w:lineRule="auto"/>
        <w:ind w:left="154" w:right="1131" w:firstLine="420"/>
        <w:jc w:val="both"/>
      </w:pPr>
      <w:r>
        <w:rPr>
          <w:spacing w:val="-1"/>
        </w:rPr>
        <w:t>本公司的主要金融工具包括借款、应收款项、应付款项、可供出售金融资产等，各项金融工具的详细</w:t>
      </w:r>
      <w:r>
        <w:rPr/>
        <w:t> </w:t>
      </w:r>
      <w:r>
        <w:rPr>
          <w:spacing w:val="-1"/>
        </w:rPr>
        <w:t>情况说明见附注六。本公司金融工具所产生的主要风险为汇率风险和利率风险。本公司为降低这些风险所</w:t>
      </w:r>
      <w:r>
        <w:rPr>
          <w:spacing w:val="-81"/>
        </w:rPr>
        <w:t> </w:t>
      </w:r>
      <w:r>
        <w:rPr>
          <w:spacing w:val="-81"/>
        </w:rPr>
      </w:r>
      <w:r>
        <w:rPr/>
        <w:t>采取的风险管理政策如下所述。</w:t>
      </w:r>
    </w:p>
    <w:p>
      <w:pPr>
        <w:pStyle w:val="BodyText"/>
        <w:spacing w:line="444" w:lineRule="auto" w:before="83"/>
        <w:ind w:left="574" w:right="0"/>
        <w:jc w:val="left"/>
      </w:pPr>
      <w:r>
        <w:rPr/>
        <w:t>（</w:t>
      </w:r>
      <w:r>
        <w:rPr>
          <w:rFonts w:ascii="宋体" w:hAnsi="宋体" w:cs="宋体" w:eastAsia="宋体" w:hint="default"/>
        </w:rPr>
        <w:t>1</w:t>
      </w:r>
      <w:r>
        <w:rPr/>
        <w:t>）风险管理目标和政策 </w:t>
      </w:r>
      <w:r>
        <w:rPr>
          <w:spacing w:val="-1"/>
        </w:rPr>
        <w:t>本公司从事风险管理的目标是在风险和收益之间取得适当的平衡，将风险对本公司经营业绩的负面影</w:t>
      </w:r>
    </w:p>
    <w:p>
      <w:pPr>
        <w:pStyle w:val="BodyText"/>
        <w:spacing w:line="410" w:lineRule="auto" w:before="14"/>
        <w:ind w:left="154" w:right="1131"/>
        <w:jc w:val="both"/>
      </w:pPr>
      <w:r>
        <w:rPr>
          <w:spacing w:val="-1"/>
        </w:rPr>
        <w:t>响降低到最低水平，使股东及其它权益投资者的利益最大化。基于该风险管理目标，本公司风险管理的基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本策略是确定和分析本公司所面临的各种风险，建立适当的风险承受底线并进行风险管理，并及时可靠地</w:t>
      </w:r>
      <w:r>
        <w:rPr>
          <w:spacing w:val="-81"/>
        </w:rPr>
        <w:t> </w:t>
      </w:r>
      <w:r>
        <w:rPr>
          <w:spacing w:val="-81"/>
        </w:rPr>
      </w:r>
      <w:r>
        <w:rPr/>
        <w:t>对各种风险进行监督，将风险控制在限定的范围之内。</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444" w:lineRule="auto"/>
        <w:ind w:left="574" w:right="8967"/>
        <w:jc w:val="left"/>
      </w:pPr>
      <w:r>
        <w:rPr/>
        <w:t>（</w:t>
      </w:r>
      <w:r>
        <w:rPr>
          <w:rFonts w:ascii="宋体" w:hAnsi="宋体" w:cs="宋体" w:eastAsia="宋体" w:hint="default"/>
        </w:rPr>
        <w:t>2</w:t>
      </w:r>
      <w:r>
        <w:rPr/>
        <w:t>）市场风险 </w:t>
      </w:r>
      <w:r>
        <w:rPr>
          <w:rFonts w:ascii="宋体" w:hAnsi="宋体" w:cs="宋体" w:eastAsia="宋体" w:hint="default"/>
        </w:rPr>
        <w:t>1</w:t>
      </w:r>
      <w:r>
        <w:rPr/>
        <w:t>）外汇风险</w:t>
      </w:r>
    </w:p>
    <w:p>
      <w:pPr>
        <w:pStyle w:val="BodyText"/>
        <w:spacing w:line="408" w:lineRule="auto" w:before="53"/>
        <w:ind w:right="0" w:firstLine="420"/>
        <w:jc w:val="left"/>
      </w:pPr>
      <w:r>
        <w:rPr/>
        <w:t>外汇风险指因汇率变动产生损失的风险。本公司承受外汇风险主要与美元、港币、欧元和日元有关， 除境外子公司和本公司的几个下属子公司以美元进行采购和销售外，本公司的其它主要业务活动以人民币 计价结算。于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日，除下表所述资产及负债的美元、港币、港币余额以及零星的日元余额外，</w:t>
      </w:r>
      <w:r>
        <w:rPr>
          <w:spacing w:val="-35"/>
        </w:rPr>
        <w:t> </w:t>
      </w:r>
      <w:r>
        <w:rPr>
          <w:spacing w:val="-35"/>
        </w:rPr>
      </w:r>
      <w:r>
        <w:rPr/>
        <w:t>本公司的资产及负债均为人民币余额。</w:t>
      </w:r>
    </w:p>
    <w:p>
      <w:pPr>
        <w:spacing w:line="240" w:lineRule="auto" w:before="1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864"/>
        <w:gridCol w:w="2168"/>
        <w:gridCol w:w="2169"/>
        <w:gridCol w:w="2168"/>
        <w:gridCol w:w="2169"/>
      </w:tblGrid>
      <w:tr>
        <w:trPr>
          <w:trHeight w:val="459" w:hRule="exact"/>
        </w:trPr>
        <w:tc>
          <w:tcPr>
            <w:tcW w:w="864"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币种</w:t>
            </w:r>
          </w:p>
        </w:tc>
        <w:tc>
          <w:tcPr>
            <w:tcW w:w="4337"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c>
          <w:tcPr>
            <w:tcW w:w="4337"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7"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r>
      <w:tr>
        <w:trPr>
          <w:trHeight w:val="463" w:hRule="exact"/>
        </w:trPr>
        <w:tc>
          <w:tcPr>
            <w:tcW w:w="864" w:type="dxa"/>
            <w:vMerge/>
            <w:tcBorders>
              <w:left w:val="single" w:sz="12" w:space="0" w:color="000000"/>
              <w:bottom w:val="single" w:sz="4" w:space="0" w:color="000000"/>
              <w:right w:val="single" w:sz="4" w:space="0" w:color="000000"/>
            </w:tcBorders>
            <w:shd w:val="clear" w:color="auto" w:fill="D9D9D9"/>
          </w:tcPr>
          <w:p>
            <w:pPr/>
          </w:p>
        </w:tc>
        <w:tc>
          <w:tcPr>
            <w:tcW w:w="2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资产</w:t>
            </w:r>
          </w:p>
        </w:tc>
        <w:tc>
          <w:tcPr>
            <w:tcW w:w="2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负债</w:t>
            </w:r>
          </w:p>
        </w:tc>
        <w:tc>
          <w:tcPr>
            <w:tcW w:w="2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资产</w:t>
            </w:r>
          </w:p>
        </w:tc>
        <w:tc>
          <w:tcPr>
            <w:tcW w:w="2169"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0" w:right="0"/>
              <w:jc w:val="center"/>
              <w:rPr>
                <w:rFonts w:ascii="宋体" w:hAnsi="宋体" w:cs="宋体" w:eastAsia="宋体" w:hint="default"/>
                <w:sz w:val="20"/>
                <w:szCs w:val="20"/>
              </w:rPr>
            </w:pPr>
            <w:r>
              <w:rPr>
                <w:rFonts w:ascii="宋体" w:hAnsi="宋体" w:cs="宋体" w:eastAsia="宋体" w:hint="default"/>
                <w:sz w:val="20"/>
                <w:szCs w:val="20"/>
              </w:rPr>
              <w:t>负债</w:t>
            </w:r>
          </w:p>
        </w:tc>
      </w:tr>
      <w:tr>
        <w:trPr>
          <w:trHeight w:val="464" w:hRule="exact"/>
        </w:trPr>
        <w:tc>
          <w:tcPr>
            <w:tcW w:w="8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美元</w:t>
            </w:r>
          </w:p>
        </w:tc>
        <w:tc>
          <w:tcPr>
            <w:tcW w:w="2168"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37,230,089.41</w:t>
            </w:r>
          </w:p>
        </w:tc>
        <w:tc>
          <w:tcPr>
            <w:tcW w:w="216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46,958,281.70</w:t>
            </w:r>
          </w:p>
        </w:tc>
        <w:tc>
          <w:tcPr>
            <w:tcW w:w="2168"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22,783,499.98</w:t>
            </w:r>
          </w:p>
        </w:tc>
        <w:tc>
          <w:tcPr>
            <w:tcW w:w="2169"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96"/>
              <w:ind w:right="90"/>
              <w:jc w:val="right"/>
              <w:rPr>
                <w:rFonts w:ascii="Times New Roman" w:hAnsi="Times New Roman" w:cs="Times New Roman" w:eastAsia="Times New Roman" w:hint="default"/>
                <w:sz w:val="20"/>
                <w:szCs w:val="20"/>
              </w:rPr>
            </w:pPr>
            <w:r>
              <w:rPr>
                <w:rFonts w:ascii="Times New Roman"/>
                <w:spacing w:val="-1"/>
                <w:sz w:val="20"/>
              </w:rPr>
              <w:t>116,179,932.03</w:t>
            </w:r>
          </w:p>
        </w:tc>
      </w:tr>
      <w:tr>
        <w:trPr>
          <w:trHeight w:val="464" w:hRule="exact"/>
        </w:trPr>
        <w:tc>
          <w:tcPr>
            <w:tcW w:w="8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港币</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2,346,581.60</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308,468,541.35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3,161,218.58</w:t>
            </w:r>
          </w:p>
        </w:tc>
        <w:tc>
          <w:tcPr>
            <w:tcW w:w="2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422,514,714.76</w:t>
            </w:r>
          </w:p>
        </w:tc>
      </w:tr>
      <w:tr>
        <w:trPr>
          <w:trHeight w:val="463" w:hRule="exact"/>
        </w:trPr>
        <w:tc>
          <w:tcPr>
            <w:tcW w:w="86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日元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176,994.00</w:t>
            </w:r>
          </w:p>
        </w:tc>
        <w:tc>
          <w:tcPr>
            <w:tcW w:w="2169"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176,958.00</w:t>
            </w:r>
          </w:p>
        </w:tc>
        <w:tc>
          <w:tcPr>
            <w:tcW w:w="2169"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86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欧元</w:t>
            </w:r>
          </w:p>
        </w:tc>
        <w:tc>
          <w:tcPr>
            <w:tcW w:w="2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35,490.21</w:t>
            </w:r>
          </w:p>
        </w:tc>
        <w:tc>
          <w:tcPr>
            <w:tcW w:w="2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78,463,851.90</w:t>
            </w:r>
          </w:p>
        </w:tc>
        <w:tc>
          <w:tcPr>
            <w:tcW w:w="2168" w:type="dxa"/>
            <w:tcBorders>
              <w:top w:val="single" w:sz="4" w:space="0" w:color="000000"/>
              <w:left w:val="single" w:sz="4" w:space="0" w:color="000000"/>
              <w:bottom w:val="single" w:sz="12" w:space="0" w:color="000000"/>
              <w:right w:val="single" w:sz="4" w:space="0" w:color="000000"/>
            </w:tcBorders>
          </w:tcPr>
          <w:p>
            <w:pPr/>
          </w:p>
        </w:tc>
        <w:tc>
          <w:tcPr>
            <w:tcW w:w="216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left="573" w:right="918"/>
        <w:jc w:val="left"/>
      </w:pPr>
      <w:r>
        <w:rPr/>
        <w:t>本公司目前并无外币对冲政策，但管理层监控外币汇兑风险并将考虑在需要时对冲重大外币风险。 </w:t>
      </w:r>
      <w:r>
        <w:rPr>
          <w:rFonts w:ascii="宋体" w:hAnsi="宋体" w:cs="宋体" w:eastAsia="宋体" w:hint="default"/>
        </w:rPr>
        <w:t>2</w:t>
      </w:r>
      <w:r>
        <w:rPr/>
        <w:t>）利率风险 </w:t>
      </w:r>
      <w:r>
        <w:rPr>
          <w:spacing w:val="-1"/>
        </w:rPr>
        <w:t>本公司的利率风险产生于银行借款等带息债务。浮动利率的金融负债使本公司面临现金流量利率风险，</w:t>
      </w:r>
    </w:p>
    <w:p>
      <w:pPr>
        <w:pStyle w:val="BodyText"/>
        <w:spacing w:line="408" w:lineRule="auto" w:before="15"/>
        <w:ind w:right="1131"/>
        <w:jc w:val="both"/>
      </w:pPr>
      <w:r>
        <w:rPr>
          <w:spacing w:val="-1"/>
        </w:rPr>
        <w:t>固定利率的金融负债使本公司面临公允价值利率风险。本公司根据当时的市场环境来决定固定利率及浮动</w:t>
      </w:r>
      <w:r>
        <w:rPr>
          <w:spacing w:val="-81"/>
        </w:rPr>
        <w:t> </w:t>
      </w:r>
      <w:r>
        <w:rPr>
          <w:spacing w:val="-81"/>
        </w:rPr>
      </w:r>
      <w:r>
        <w:rPr>
          <w:spacing w:val="-1"/>
        </w:rPr>
        <w:t>利率合同的相对比例。于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日，本公司的带息债务主要为人民币、美元和港币计价的浮动利率</w:t>
      </w:r>
      <w:r>
        <w:rPr>
          <w:spacing w:val="-83"/>
        </w:rPr>
        <w:t> </w:t>
      </w:r>
      <w:r>
        <w:rPr>
          <w:spacing w:val="-83"/>
        </w:rPr>
      </w:r>
      <w:r>
        <w:rPr/>
        <w:t>借款合同，金额合计为</w:t>
      </w:r>
      <w:r>
        <w:rPr>
          <w:rFonts w:ascii="宋体" w:hAnsi="宋体" w:cs="宋体" w:eastAsia="宋体" w:hint="default"/>
        </w:rPr>
        <w:t>92,308.73</w:t>
      </w:r>
      <w:r>
        <w:rPr/>
        <w:t>万元（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日金额为</w:t>
      </w:r>
      <w:r>
        <w:rPr>
          <w:rFonts w:ascii="宋体" w:hAnsi="宋体" w:cs="宋体" w:eastAsia="宋体" w:hint="default"/>
        </w:rPr>
        <w:t>100,269.25</w:t>
      </w:r>
      <w:r>
        <w:rPr/>
        <w:t>万元）。本公司目前没有利率</w:t>
      </w:r>
    </w:p>
    <w:p>
      <w:pPr>
        <w:spacing w:after="0" w:line="408" w:lineRule="auto"/>
        <w:jc w:val="both"/>
        <w:sectPr>
          <w:pgSz w:w="11910" w:h="16840"/>
          <w:pgMar w:header="918" w:footer="1266" w:top="1160" w:bottom="1460" w:left="980" w:right="0"/>
        </w:sectPr>
      </w:pPr>
    </w:p>
    <w:p>
      <w:pPr>
        <w:spacing w:line="240" w:lineRule="auto" w:before="7"/>
        <w:rPr>
          <w:rFonts w:ascii="宋体" w:hAnsi="宋体" w:cs="宋体" w:eastAsia="宋体" w:hint="default"/>
          <w:sz w:val="23"/>
          <w:szCs w:val="23"/>
        </w:rPr>
      </w:pPr>
    </w:p>
    <w:p>
      <w:pPr>
        <w:pStyle w:val="BodyText"/>
        <w:spacing w:line="410" w:lineRule="auto" w:before="35"/>
        <w:ind w:left="154" w:right="1116"/>
        <w:jc w:val="left"/>
      </w:pPr>
      <w:r>
        <w:rPr>
          <w:spacing w:val="-1"/>
        </w:rPr>
        <w:t>对冲政策，然而，管理层对利率风险实施监察，若预期将会出现重大利率风险，将会考虑采取其他必要的</w:t>
      </w:r>
      <w:r>
        <w:rPr>
          <w:spacing w:val="-86"/>
        </w:rPr>
        <w:t> </w:t>
      </w:r>
      <w:r>
        <w:rPr>
          <w:spacing w:val="-86"/>
        </w:rPr>
      </w:r>
      <w:r>
        <w:rPr/>
        <w:t>行动。</w:t>
      </w:r>
    </w:p>
    <w:p>
      <w:pPr>
        <w:pStyle w:val="BodyText"/>
        <w:spacing w:line="410" w:lineRule="auto" w:before="82"/>
        <w:ind w:left="154" w:right="0" w:firstLine="420"/>
        <w:jc w:val="left"/>
      </w:pPr>
      <w:r>
        <w:rPr>
          <w:spacing w:val="-1"/>
        </w:rPr>
        <w:t>本公司因利率变动引起金融工具公允价值变动的风险主要与固定利率银行借款有关。对于固定利率借</w:t>
      </w:r>
      <w:r>
        <w:rPr/>
        <w:t> 款，本公司的目标是保持其浮动利率。</w:t>
      </w:r>
    </w:p>
    <w:p>
      <w:pPr>
        <w:pStyle w:val="BodyText"/>
        <w:spacing w:line="410" w:lineRule="auto" w:before="83"/>
        <w:ind w:left="154" w:right="0" w:firstLine="420"/>
        <w:jc w:val="left"/>
      </w:pPr>
      <w:r>
        <w:rPr>
          <w:spacing w:val="-1"/>
        </w:rPr>
        <w:t>本公司因利率变动引起金融工具现金流量变动的风险主要与浮动利率银行借款有关。本公司的政策是</w:t>
      </w:r>
      <w:r>
        <w:rPr/>
        <w:t> 保持这些借款的浮动利率，以消除利率变动的公允价值风险。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444" w:lineRule="auto"/>
        <w:ind w:left="573" w:right="0"/>
        <w:jc w:val="left"/>
      </w:pPr>
      <w:r>
        <w:rPr/>
        <w:t>（</w:t>
      </w:r>
      <w:r>
        <w:rPr>
          <w:rFonts w:ascii="宋体" w:hAnsi="宋体" w:cs="宋体" w:eastAsia="宋体" w:hint="default"/>
        </w:rPr>
        <w:t>3</w:t>
      </w:r>
      <w:r>
        <w:rPr/>
        <w:t>）敏感性分析 </w:t>
      </w:r>
      <w:r>
        <w:rPr>
          <w:spacing w:val="-1"/>
        </w:rPr>
        <w:t>本公司采用敏感性分析技术分析风险变量的合理、可能变化对当期损益或所有者权益可能产生的影响。</w:t>
      </w:r>
    </w:p>
    <w:p>
      <w:pPr>
        <w:pStyle w:val="BodyText"/>
        <w:spacing w:line="410" w:lineRule="auto" w:before="14"/>
        <w:ind w:right="0"/>
        <w:jc w:val="left"/>
      </w:pPr>
      <w:r>
        <w:rPr>
          <w:spacing w:val="-1"/>
        </w:rPr>
        <w:t>由于任何风险变量很少孤立的发生变化，而变量之间存在的相关性对某一风险变量变化的最终影响金额将</w:t>
      </w:r>
      <w:r>
        <w:rPr>
          <w:spacing w:val="-81"/>
        </w:rPr>
        <w:t> </w:t>
      </w:r>
      <w:r>
        <w:rPr>
          <w:spacing w:val="-81"/>
        </w:rPr>
      </w:r>
      <w:r>
        <w:rPr/>
        <w:t>产生重大作用，因此下述内容是在假设每一变量的变化是独立的情况下进行的。</w:t>
      </w:r>
    </w:p>
    <w:p>
      <w:pPr>
        <w:pStyle w:val="BodyText"/>
        <w:spacing w:line="444" w:lineRule="auto" w:before="83"/>
        <w:ind w:left="573" w:right="1116"/>
        <w:jc w:val="left"/>
      </w:pPr>
      <w:r>
        <w:rPr>
          <w:rFonts w:ascii="宋体" w:hAnsi="宋体" w:cs="宋体" w:eastAsia="宋体" w:hint="default"/>
        </w:rPr>
        <w:t>1)</w:t>
      </w:r>
      <w:r>
        <w:rPr/>
        <w:t>外汇风险敏感性分析 外汇风险敏感性分析假设：所有境外经营净投资套期及现金流量套期均高度有效。 </w:t>
      </w:r>
      <w:r>
        <w:rPr>
          <w:spacing w:val="-1"/>
        </w:rPr>
        <w:t>在上述假设的基础上，在其它变量不变的情况下，汇率可能发生的合理变动对当期损益和权益的税后</w:t>
      </w:r>
    </w:p>
    <w:p>
      <w:pPr>
        <w:pStyle w:val="BodyText"/>
        <w:spacing w:line="240" w:lineRule="auto" w:before="16"/>
        <w:ind w:right="1135"/>
        <w:jc w:val="left"/>
      </w:pPr>
      <w:r>
        <w:rPr/>
        <w:t>影响如下：</w:t>
      </w:r>
    </w:p>
    <w:p>
      <w:pPr>
        <w:pStyle w:val="BodyText"/>
        <w:spacing w:line="240" w:lineRule="auto" w:before="154"/>
        <w:ind w:left="0" w:right="1130"/>
        <w:jc w:val="right"/>
      </w:pPr>
      <w:r>
        <w:rPr/>
        <w:t>（单位：万元）</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852"/>
        <w:gridCol w:w="1858"/>
        <w:gridCol w:w="1707"/>
        <w:gridCol w:w="1708"/>
        <w:gridCol w:w="1707"/>
        <w:gridCol w:w="1707"/>
      </w:tblGrid>
      <w:tr>
        <w:trPr>
          <w:trHeight w:val="475" w:hRule="exact"/>
        </w:trPr>
        <w:tc>
          <w:tcPr>
            <w:tcW w:w="852"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11" w:right="0"/>
              <w:jc w:val="left"/>
              <w:rPr>
                <w:rFonts w:ascii="宋体" w:hAnsi="宋体" w:cs="宋体" w:eastAsia="宋体" w:hint="default"/>
                <w:sz w:val="20"/>
                <w:szCs w:val="20"/>
              </w:rPr>
            </w:pPr>
            <w:r>
              <w:rPr>
                <w:rFonts w:ascii="宋体" w:hAnsi="宋体" w:cs="宋体" w:eastAsia="宋体" w:hint="default"/>
                <w:sz w:val="20"/>
                <w:szCs w:val="20"/>
              </w:rPr>
              <w:t>币种</w:t>
            </w:r>
          </w:p>
        </w:tc>
        <w:tc>
          <w:tcPr>
            <w:tcW w:w="1858"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523"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414"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年度</w:t>
            </w:r>
          </w:p>
        </w:tc>
        <w:tc>
          <w:tcPr>
            <w:tcW w:w="3414"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2"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w:t>
            </w:r>
          </w:p>
        </w:tc>
      </w:tr>
      <w:tr>
        <w:trPr>
          <w:trHeight w:val="714" w:hRule="exact"/>
        </w:trPr>
        <w:tc>
          <w:tcPr>
            <w:tcW w:w="852" w:type="dxa"/>
            <w:vMerge/>
            <w:tcBorders>
              <w:left w:val="single" w:sz="12" w:space="0" w:color="000000"/>
              <w:bottom w:val="single" w:sz="4" w:space="0" w:color="000000"/>
              <w:right w:val="single" w:sz="4" w:space="0" w:color="000000"/>
            </w:tcBorders>
            <w:shd w:val="clear" w:color="auto" w:fill="D9D9D9"/>
          </w:tcPr>
          <w:p>
            <w:pPr/>
          </w:p>
        </w:tc>
        <w:tc>
          <w:tcPr>
            <w:tcW w:w="1858" w:type="dxa"/>
            <w:vMerge/>
            <w:tcBorders>
              <w:left w:val="single" w:sz="4" w:space="0" w:color="000000"/>
              <w:bottom w:val="single" w:sz="4" w:space="0" w:color="000000"/>
              <w:right w:val="single" w:sz="4" w:space="0" w:color="000000"/>
            </w:tcBorders>
            <w:shd w:val="clear" w:color="auto" w:fill="D9D9D9"/>
          </w:tcPr>
          <w:p>
            <w:pP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sz w:val="20"/>
                <w:szCs w:val="20"/>
              </w:rPr>
              <w:t>对净利润的影响</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649" w:right="146" w:hanging="501"/>
              <w:jc w:val="left"/>
              <w:rPr>
                <w:rFonts w:ascii="宋体" w:hAnsi="宋体" w:cs="宋体" w:eastAsia="宋体" w:hint="default"/>
                <w:sz w:val="20"/>
                <w:szCs w:val="20"/>
              </w:rPr>
            </w:pPr>
            <w:r>
              <w:rPr>
                <w:rFonts w:ascii="宋体" w:hAnsi="宋体" w:cs="宋体" w:eastAsia="宋体" w:hint="default"/>
                <w:sz w:val="20"/>
                <w:szCs w:val="20"/>
              </w:rPr>
              <w:t>对所有者权益的</w:t>
            </w:r>
            <w:r>
              <w:rPr>
                <w:rFonts w:ascii="宋体" w:hAnsi="宋体" w:cs="宋体" w:eastAsia="宋体" w:hint="default"/>
                <w:w w:val="100"/>
                <w:sz w:val="20"/>
                <w:szCs w:val="20"/>
              </w:rPr>
              <w:t> </w:t>
            </w:r>
            <w:r>
              <w:rPr>
                <w:rFonts w:ascii="宋体" w:hAnsi="宋体" w:cs="宋体" w:eastAsia="宋体" w:hint="default"/>
                <w:sz w:val="20"/>
                <w:szCs w:val="20"/>
              </w:rPr>
              <w:t>影响</w:t>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20"/>
                <w:szCs w:val="20"/>
              </w:rPr>
            </w:pPr>
            <w:r>
              <w:rPr>
                <w:rFonts w:ascii="宋体" w:hAnsi="宋体" w:cs="宋体" w:eastAsia="宋体" w:hint="default"/>
                <w:spacing w:val="-1"/>
                <w:sz w:val="20"/>
                <w:szCs w:val="20"/>
              </w:rPr>
              <w:t>对净利润的影响</w:t>
            </w:r>
          </w:p>
        </w:tc>
        <w:tc>
          <w:tcPr>
            <w:tcW w:w="1707"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85" w:lineRule="auto" w:before="35"/>
              <w:ind w:left="649" w:right="136" w:hanging="501"/>
              <w:jc w:val="left"/>
              <w:rPr>
                <w:rFonts w:ascii="宋体" w:hAnsi="宋体" w:cs="宋体" w:eastAsia="宋体" w:hint="default"/>
                <w:sz w:val="20"/>
                <w:szCs w:val="20"/>
              </w:rPr>
            </w:pPr>
            <w:r>
              <w:rPr>
                <w:rFonts w:ascii="宋体" w:hAnsi="宋体" w:cs="宋体" w:eastAsia="宋体" w:hint="default"/>
                <w:sz w:val="20"/>
                <w:szCs w:val="20"/>
              </w:rPr>
              <w:t>对所有者权益的</w:t>
            </w:r>
            <w:r>
              <w:rPr>
                <w:rFonts w:ascii="宋体" w:hAnsi="宋体" w:cs="宋体" w:eastAsia="宋体" w:hint="default"/>
                <w:w w:val="100"/>
                <w:sz w:val="20"/>
                <w:szCs w:val="20"/>
              </w:rPr>
              <w:t> </w:t>
            </w:r>
            <w:r>
              <w:rPr>
                <w:rFonts w:ascii="宋体" w:hAnsi="宋体" w:cs="宋体" w:eastAsia="宋体" w:hint="default"/>
                <w:sz w:val="20"/>
                <w:szCs w:val="20"/>
              </w:rPr>
              <w:t>影响</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美元</w:t>
            </w:r>
          </w:p>
        </w:tc>
        <w:tc>
          <w:tcPr>
            <w:tcW w:w="1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若人民币升值</w:t>
            </w:r>
            <w:r>
              <w:rPr>
                <w:rFonts w:ascii="宋体" w:hAnsi="宋体" w:cs="宋体" w:eastAsia="宋体" w:hint="default"/>
                <w:sz w:val="20"/>
                <w:szCs w:val="20"/>
              </w:rPr>
              <w:t>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1,549.89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1,549.89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2,895.29</w:t>
            </w:r>
          </w:p>
        </w:tc>
        <w:tc>
          <w:tcPr>
            <w:tcW w:w="17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2,895.29</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港币</w:t>
            </w:r>
          </w:p>
        </w:tc>
        <w:tc>
          <w:tcPr>
            <w:tcW w:w="185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-1.14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358.15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1,677.41</w:t>
            </w:r>
          </w:p>
        </w:tc>
        <w:tc>
          <w:tcPr>
            <w:tcW w:w="17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1,677.41</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日元</w:t>
            </w:r>
          </w:p>
        </w:tc>
        <w:tc>
          <w:tcPr>
            <w:tcW w:w="185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z w:val="20"/>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z w:val="20"/>
              </w:rPr>
              <w:t>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-0.05</w:t>
            </w:r>
          </w:p>
        </w:tc>
        <w:tc>
          <w:tcPr>
            <w:tcW w:w="17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-0.05</w:t>
            </w:r>
          </w:p>
        </w:tc>
      </w:tr>
      <w:tr>
        <w:trPr>
          <w:trHeight w:val="499"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欧元</w:t>
            </w:r>
          </w:p>
        </w:tc>
        <w:tc>
          <w:tcPr>
            <w:tcW w:w="1858" w:type="dxa"/>
            <w:vMerge/>
            <w:tcBorders>
              <w:left w:val="single" w:sz="4" w:space="0" w:color="000000"/>
              <w:bottom w:val="single" w:sz="16" w:space="0" w:color="D9D9D9"/>
              <w:right w:val="single" w:sz="4" w:space="0" w:color="000000"/>
            </w:tcBorders>
          </w:tcPr>
          <w:p>
            <w:pPr/>
          </w:p>
        </w:tc>
        <w:tc>
          <w:tcPr>
            <w:tcW w:w="1707"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2,104.70</w:t>
            </w:r>
          </w:p>
        </w:tc>
        <w:tc>
          <w:tcPr>
            <w:tcW w:w="1708"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2,104.70</w:t>
            </w:r>
          </w:p>
        </w:tc>
        <w:tc>
          <w:tcPr>
            <w:tcW w:w="1707" w:type="dxa"/>
            <w:tcBorders>
              <w:top w:val="single" w:sz="4" w:space="0" w:color="000000"/>
              <w:left w:val="single" w:sz="4" w:space="0" w:color="000000"/>
              <w:bottom w:val="single" w:sz="16" w:space="0" w:color="D9D9D9"/>
              <w:right w:val="single" w:sz="4" w:space="0" w:color="000000"/>
            </w:tcBorders>
          </w:tcPr>
          <w:p>
            <w:pPr/>
          </w:p>
        </w:tc>
        <w:tc>
          <w:tcPr>
            <w:tcW w:w="1707" w:type="dxa"/>
            <w:tcBorders>
              <w:top w:val="single" w:sz="4" w:space="0" w:color="000000"/>
              <w:left w:val="single" w:sz="4" w:space="0" w:color="000000"/>
              <w:bottom w:val="single" w:sz="16" w:space="0" w:color="D9D9D9"/>
              <w:right w:val="single" w:sz="12" w:space="0" w:color="000000"/>
            </w:tcBorders>
          </w:tcPr>
          <w:p>
            <w:pPr/>
          </w:p>
        </w:tc>
      </w:tr>
      <w:tr>
        <w:trPr>
          <w:trHeight w:val="428"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30"/>
              <w:ind w:right="6"/>
              <w:jc w:val="center"/>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3,653.45</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4,012.74</w:t>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4,572.65</w:t>
            </w:r>
          </w:p>
        </w:tc>
        <w:tc>
          <w:tcPr>
            <w:tcW w:w="1707"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76"/>
              <w:ind w:right="89"/>
              <w:jc w:val="right"/>
              <w:rPr>
                <w:rFonts w:ascii="Times New Roman" w:hAnsi="Times New Roman" w:cs="Times New Roman" w:eastAsia="Times New Roman" w:hint="default"/>
                <w:sz w:val="20"/>
                <w:szCs w:val="20"/>
              </w:rPr>
            </w:pPr>
            <w:r>
              <w:rPr>
                <w:rFonts w:ascii="Times New Roman"/>
                <w:spacing w:val="-1"/>
                <w:sz w:val="20"/>
              </w:rPr>
              <w:t>4,572.65</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美元</w:t>
            </w:r>
          </w:p>
        </w:tc>
        <w:tc>
          <w:tcPr>
            <w:tcW w:w="1858" w:type="dxa"/>
            <w:vMerge w:val="restart"/>
            <w:tcBorders>
              <w:top w:val="single" w:sz="16" w:space="0" w:color="D9D9D9"/>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若人民币贬值</w:t>
            </w:r>
            <w:r>
              <w:rPr>
                <w:rFonts w:ascii="宋体" w:hAnsi="宋体" w:cs="宋体" w:eastAsia="宋体" w:hint="default"/>
                <w:sz w:val="20"/>
                <w:szCs w:val="20"/>
              </w:rPr>
              <w:t>5%</w:t>
            </w:r>
          </w:p>
        </w:tc>
        <w:tc>
          <w:tcPr>
            <w:tcW w:w="1707"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-1,549.89</w:t>
            </w:r>
          </w:p>
        </w:tc>
        <w:tc>
          <w:tcPr>
            <w:tcW w:w="1708"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0"/>
                <w:szCs w:val="20"/>
              </w:rPr>
            </w:pPr>
            <w:r>
              <w:rPr>
                <w:rFonts w:ascii="Times New Roman"/>
                <w:spacing w:val="-1"/>
                <w:sz w:val="20"/>
              </w:rPr>
              <w:t>-1,549.89</w:t>
            </w:r>
          </w:p>
        </w:tc>
        <w:tc>
          <w:tcPr>
            <w:tcW w:w="1707"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0"/>
                <w:szCs w:val="20"/>
              </w:rPr>
            </w:pPr>
            <w:r>
              <w:rPr>
                <w:rFonts w:ascii="Times New Roman"/>
                <w:spacing w:val="-1"/>
                <w:sz w:val="20"/>
              </w:rPr>
              <w:t>-2,895.29</w:t>
            </w:r>
          </w:p>
        </w:tc>
        <w:tc>
          <w:tcPr>
            <w:tcW w:w="1707"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96"/>
              <w:ind w:right="90"/>
              <w:jc w:val="right"/>
              <w:rPr>
                <w:rFonts w:ascii="Times New Roman" w:hAnsi="Times New Roman" w:cs="Times New Roman" w:eastAsia="Times New Roman" w:hint="default"/>
                <w:sz w:val="20"/>
                <w:szCs w:val="20"/>
              </w:rPr>
            </w:pPr>
            <w:r>
              <w:rPr>
                <w:rFonts w:ascii="Times New Roman"/>
                <w:spacing w:val="-1"/>
                <w:sz w:val="20"/>
              </w:rPr>
              <w:t>-2,895.29</w:t>
            </w:r>
          </w:p>
        </w:tc>
      </w:tr>
      <w:tr>
        <w:trPr>
          <w:trHeight w:val="463"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港币</w:t>
            </w:r>
          </w:p>
        </w:tc>
        <w:tc>
          <w:tcPr>
            <w:tcW w:w="185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z w:val="20"/>
              </w:rPr>
              <w:t>1.14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-358.15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-1,677.41</w:t>
            </w:r>
          </w:p>
        </w:tc>
        <w:tc>
          <w:tcPr>
            <w:tcW w:w="17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-1,677.41</w:t>
            </w:r>
          </w:p>
        </w:tc>
      </w:tr>
      <w:tr>
        <w:trPr>
          <w:trHeight w:val="465"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日元</w:t>
            </w:r>
          </w:p>
        </w:tc>
        <w:tc>
          <w:tcPr>
            <w:tcW w:w="185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z w:val="20"/>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z w:val="20"/>
              </w:rPr>
              <w:t>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z w:val="20"/>
              </w:rPr>
              <w:t>0.05</w:t>
            </w:r>
          </w:p>
        </w:tc>
        <w:tc>
          <w:tcPr>
            <w:tcW w:w="17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z w:val="20"/>
              </w:rPr>
              <w:t>0.05</w:t>
            </w:r>
          </w:p>
        </w:tc>
      </w:tr>
      <w:tr>
        <w:trPr>
          <w:trHeight w:val="464" w:hRule="exact"/>
        </w:trPr>
        <w:tc>
          <w:tcPr>
            <w:tcW w:w="8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欧元</w:t>
            </w:r>
          </w:p>
        </w:tc>
        <w:tc>
          <w:tcPr>
            <w:tcW w:w="1858"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-2,104.70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-2,104.70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852"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4" w:space="0" w:color="000000"/>
              <w:left w:val="single" w:sz="4" w:space="0" w:color="000000"/>
              <w:bottom w:val="single" w:sz="12" w:space="0" w:color="000000"/>
              <w:right w:val="single" w:sz="4" w:space="0" w:color="000000"/>
            </w:tcBorders>
          </w:tcPr>
          <w:p>
            <w:pP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-3,653.45</w:t>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-4,012.74</w:t>
            </w: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pacing w:val="-1"/>
                <w:sz w:val="20"/>
              </w:rPr>
              <w:t>-4,572.65</w:t>
            </w:r>
          </w:p>
        </w:tc>
        <w:tc>
          <w:tcPr>
            <w:tcW w:w="17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-4,572.65</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444" w:lineRule="auto" w:before="35"/>
        <w:ind w:left="574" w:right="5082"/>
        <w:jc w:val="left"/>
      </w:pPr>
      <w:r>
        <w:rPr>
          <w:rFonts w:ascii="宋体" w:hAnsi="宋体" w:cs="宋体" w:eastAsia="宋体" w:hint="default"/>
        </w:rPr>
        <w:t>2</w:t>
      </w:r>
      <w:r>
        <w:rPr/>
        <w:t>）利率风险敏感性分析 利率风险敏感性分析基于下述假设： 市场利率变化影响可变利率金融工具的利息收入或费用；</w:t>
      </w:r>
    </w:p>
    <w:p>
      <w:pPr>
        <w:pStyle w:val="BodyText"/>
        <w:spacing w:line="441" w:lineRule="auto" w:before="54"/>
        <w:ind w:left="573" w:right="1135"/>
        <w:jc w:val="left"/>
      </w:pPr>
      <w:r>
        <w:rPr/>
        <w:t>对于以公允价值计量的固定利率金融工具，市场利率变化仅仅影响其利息收入或费用； </w:t>
      </w:r>
      <w:r>
        <w:rPr>
          <w:spacing w:val="3"/>
        </w:rPr>
        <w:t>以资产负债表日市场利率采用现金流量折现法计算衍生金融工具及其它金融资产和负债的公允价值</w:t>
      </w:r>
    </w:p>
    <w:p>
      <w:pPr>
        <w:pStyle w:val="BodyText"/>
        <w:spacing w:line="240" w:lineRule="auto" w:before="18"/>
        <w:ind w:right="1135"/>
        <w:jc w:val="left"/>
      </w:pPr>
      <w:r>
        <w:rPr/>
        <w:t>变化。</w:t>
      </w:r>
    </w:p>
    <w:p>
      <w:pPr>
        <w:spacing w:line="240" w:lineRule="auto" w:before="10"/>
        <w:rPr>
          <w:rFonts w:ascii="宋体" w:hAnsi="宋体" w:cs="宋体" w:eastAsia="宋体" w:hint="default"/>
          <w:sz w:val="17"/>
          <w:szCs w:val="17"/>
        </w:rPr>
      </w:pPr>
    </w:p>
    <w:p>
      <w:pPr>
        <w:pStyle w:val="BodyText"/>
        <w:spacing w:line="410" w:lineRule="auto"/>
        <w:ind w:right="1116" w:firstLine="420"/>
        <w:jc w:val="left"/>
      </w:pPr>
      <w:r>
        <w:rPr>
          <w:spacing w:val="-1"/>
        </w:rPr>
        <w:t>在上述假设的基础上，在其它变量不变的情况下，利率可能发生的合理变动对当期损益和权益的税后</w:t>
      </w:r>
      <w:r>
        <w:rPr/>
        <w:t> 影响如下：</w:t>
      </w:r>
    </w:p>
    <w:p>
      <w:pPr>
        <w:spacing w:line="240" w:lineRule="auto" w:before="9"/>
        <w:rPr>
          <w:rFonts w:ascii="宋体" w:hAnsi="宋体" w:cs="宋体" w:eastAsia="宋体" w:hint="default"/>
          <w:sz w:val="15"/>
          <w:szCs w:val="15"/>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31"/>
        <w:gridCol w:w="1740"/>
        <w:gridCol w:w="1890"/>
        <w:gridCol w:w="1654"/>
        <w:gridCol w:w="1977"/>
      </w:tblGrid>
      <w:tr>
        <w:trPr>
          <w:trHeight w:val="514" w:hRule="exact"/>
        </w:trPr>
        <w:tc>
          <w:tcPr>
            <w:tcW w:w="2231"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03" w:right="0"/>
              <w:jc w:val="left"/>
              <w:rPr>
                <w:rFonts w:ascii="宋体" w:hAnsi="宋体" w:cs="宋体" w:eastAsia="宋体" w:hint="default"/>
                <w:sz w:val="20"/>
                <w:szCs w:val="20"/>
              </w:rPr>
            </w:pPr>
            <w:r>
              <w:rPr>
                <w:rFonts w:ascii="宋体" w:hAnsi="宋体" w:cs="宋体" w:eastAsia="宋体" w:hint="default"/>
                <w:sz w:val="20"/>
                <w:szCs w:val="20"/>
              </w:rPr>
              <w:t>利率变动</w:t>
            </w:r>
          </w:p>
        </w:tc>
        <w:tc>
          <w:tcPr>
            <w:tcW w:w="3630" w:type="dxa"/>
            <w:gridSpan w:val="2"/>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1"/>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年度</w:t>
            </w:r>
          </w:p>
        </w:tc>
        <w:tc>
          <w:tcPr>
            <w:tcW w:w="3631"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76"/>
              <w:ind w:left="11"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w:t>
            </w:r>
          </w:p>
        </w:tc>
      </w:tr>
      <w:tr>
        <w:trPr>
          <w:trHeight w:val="463" w:hRule="exact"/>
        </w:trPr>
        <w:tc>
          <w:tcPr>
            <w:tcW w:w="2231" w:type="dxa"/>
            <w:vMerge/>
            <w:tcBorders>
              <w:left w:val="single" w:sz="12" w:space="0" w:color="000000"/>
              <w:bottom w:val="single" w:sz="4" w:space="0" w:color="000000"/>
              <w:right w:val="single" w:sz="4" w:space="0" w:color="000000"/>
            </w:tcBorders>
            <w:shd w:val="clear" w:color="auto" w:fill="D9D9D9"/>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63" w:right="0"/>
              <w:jc w:val="left"/>
              <w:rPr>
                <w:rFonts w:ascii="宋体" w:hAnsi="宋体" w:cs="宋体" w:eastAsia="宋体" w:hint="default"/>
                <w:sz w:val="20"/>
                <w:szCs w:val="20"/>
              </w:rPr>
            </w:pPr>
            <w:r>
              <w:rPr>
                <w:rFonts w:ascii="宋体" w:hAnsi="宋体" w:cs="宋体" w:eastAsia="宋体" w:hint="default"/>
                <w:sz w:val="20"/>
                <w:szCs w:val="20"/>
              </w:rPr>
              <w:t>对净利润的影响</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37"/>
              <w:jc w:val="right"/>
              <w:rPr>
                <w:rFonts w:ascii="宋体" w:hAnsi="宋体" w:cs="宋体" w:eastAsia="宋体" w:hint="default"/>
                <w:sz w:val="20"/>
                <w:szCs w:val="20"/>
              </w:rPr>
            </w:pPr>
            <w:r>
              <w:rPr>
                <w:rFonts w:ascii="宋体" w:hAnsi="宋体" w:cs="宋体" w:eastAsia="宋体" w:hint="default"/>
                <w:spacing w:val="-1"/>
                <w:sz w:val="20"/>
                <w:szCs w:val="20"/>
              </w:rPr>
              <w:t>对所有者权益的影响</w:t>
            </w: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21" w:right="0"/>
              <w:jc w:val="left"/>
              <w:rPr>
                <w:rFonts w:ascii="宋体" w:hAnsi="宋体" w:cs="宋体" w:eastAsia="宋体" w:hint="default"/>
                <w:sz w:val="20"/>
                <w:szCs w:val="20"/>
              </w:rPr>
            </w:pPr>
            <w:r>
              <w:rPr>
                <w:rFonts w:ascii="宋体" w:hAnsi="宋体" w:cs="宋体" w:eastAsia="宋体" w:hint="default"/>
                <w:sz w:val="20"/>
                <w:szCs w:val="20"/>
              </w:rPr>
              <w:t>对净利润的影响</w:t>
            </w:r>
          </w:p>
        </w:tc>
        <w:tc>
          <w:tcPr>
            <w:tcW w:w="1977"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5"/>
              <w:ind w:left="83" w:right="0"/>
              <w:jc w:val="left"/>
              <w:rPr>
                <w:rFonts w:ascii="宋体" w:hAnsi="宋体" w:cs="宋体" w:eastAsia="宋体" w:hint="default"/>
                <w:sz w:val="20"/>
                <w:szCs w:val="20"/>
              </w:rPr>
            </w:pPr>
            <w:r>
              <w:rPr>
                <w:rFonts w:ascii="宋体" w:hAnsi="宋体" w:cs="宋体" w:eastAsia="宋体" w:hint="default"/>
                <w:sz w:val="20"/>
                <w:szCs w:val="20"/>
              </w:rPr>
              <w:t>对所有者权益的影响</w:t>
            </w:r>
          </w:p>
        </w:tc>
      </w:tr>
      <w:tr>
        <w:trPr>
          <w:trHeight w:val="485" w:hRule="exact"/>
        </w:trPr>
        <w:tc>
          <w:tcPr>
            <w:tcW w:w="2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7"/>
              <w:ind w:right="0"/>
              <w:jc w:val="left"/>
              <w:rPr>
                <w:rFonts w:ascii="宋体" w:hAnsi="宋体" w:cs="宋体" w:eastAsia="宋体" w:hint="default"/>
                <w:sz w:val="20"/>
                <w:szCs w:val="20"/>
              </w:rPr>
            </w:pPr>
            <w:r>
              <w:rPr>
                <w:rFonts w:ascii="宋体" w:hAnsi="宋体" w:cs="宋体" w:eastAsia="宋体" w:hint="default"/>
                <w:sz w:val="20"/>
                <w:szCs w:val="20"/>
              </w:rPr>
              <w:t>若利率增加</w:t>
            </w:r>
            <w:r>
              <w:rPr>
                <w:rFonts w:ascii="宋体" w:hAnsi="宋体" w:cs="宋体" w:eastAsia="宋体" w:hint="default"/>
                <w:sz w:val="20"/>
                <w:szCs w:val="20"/>
              </w:rPr>
              <w:t>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
              <w:jc w:val="right"/>
              <w:rPr>
                <w:rFonts w:ascii="Times New Roman" w:hAnsi="Times New Roman" w:cs="Times New Roman" w:eastAsia="Times New Roman" w:hint="default"/>
                <w:sz w:val="20"/>
                <w:szCs w:val="20"/>
              </w:rPr>
            </w:pPr>
            <w:r>
              <w:rPr>
                <w:rFonts w:ascii="Times New Roman"/>
                <w:spacing w:val="-1"/>
                <w:sz w:val="20"/>
              </w:rPr>
              <w:t>-1,258.09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
              <w:jc w:val="right"/>
              <w:rPr>
                <w:rFonts w:ascii="Times New Roman" w:hAnsi="Times New Roman" w:cs="Times New Roman" w:eastAsia="Times New Roman" w:hint="default"/>
                <w:sz w:val="20"/>
                <w:szCs w:val="20"/>
              </w:rPr>
            </w:pPr>
            <w:r>
              <w:rPr>
                <w:rFonts w:ascii="Times New Roman"/>
                <w:spacing w:val="-1"/>
                <w:sz w:val="20"/>
              </w:rPr>
              <w:t>-1,258.09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
              <w:jc w:val="right"/>
              <w:rPr>
                <w:rFonts w:ascii="Times New Roman" w:hAnsi="Times New Roman" w:cs="Times New Roman" w:eastAsia="Times New Roman" w:hint="default"/>
                <w:sz w:val="20"/>
                <w:szCs w:val="20"/>
              </w:rPr>
            </w:pPr>
            <w:r>
              <w:rPr>
                <w:rFonts w:ascii="Times New Roman"/>
                <w:spacing w:val="-1"/>
                <w:sz w:val="20"/>
              </w:rPr>
              <w:t>-1,002.69</w:t>
            </w:r>
          </w:p>
        </w:tc>
        <w:tc>
          <w:tcPr>
            <w:tcW w:w="19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3"/>
              <w:ind w:right="-7"/>
              <w:jc w:val="right"/>
              <w:rPr>
                <w:rFonts w:ascii="Times New Roman" w:hAnsi="Times New Roman" w:cs="Times New Roman" w:eastAsia="Times New Roman" w:hint="default"/>
                <w:sz w:val="20"/>
                <w:szCs w:val="20"/>
              </w:rPr>
            </w:pPr>
            <w:r>
              <w:rPr>
                <w:rFonts w:ascii="Times New Roman"/>
                <w:spacing w:val="-1"/>
                <w:sz w:val="20"/>
              </w:rPr>
              <w:t>-1,002.69</w:t>
            </w:r>
          </w:p>
        </w:tc>
      </w:tr>
      <w:tr>
        <w:trPr>
          <w:trHeight w:val="494" w:hRule="exact"/>
        </w:trPr>
        <w:tc>
          <w:tcPr>
            <w:tcW w:w="223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76"/>
              <w:ind w:right="0"/>
              <w:jc w:val="left"/>
              <w:rPr>
                <w:rFonts w:ascii="宋体" w:hAnsi="宋体" w:cs="宋体" w:eastAsia="宋体" w:hint="default"/>
                <w:sz w:val="20"/>
                <w:szCs w:val="20"/>
              </w:rPr>
            </w:pPr>
            <w:r>
              <w:rPr>
                <w:rFonts w:ascii="宋体" w:hAnsi="宋体" w:cs="宋体" w:eastAsia="宋体" w:hint="default"/>
                <w:sz w:val="20"/>
                <w:szCs w:val="20"/>
              </w:rPr>
              <w:t>若利率减少</w:t>
            </w:r>
            <w:r>
              <w:rPr>
                <w:rFonts w:ascii="宋体" w:hAnsi="宋体" w:cs="宋体" w:eastAsia="宋体" w:hint="default"/>
                <w:sz w:val="20"/>
                <w:szCs w:val="20"/>
              </w:rPr>
              <w:t>1%</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3"/>
              <w:jc w:val="right"/>
              <w:rPr>
                <w:rFonts w:ascii="Times New Roman" w:hAnsi="Times New Roman" w:cs="Times New Roman" w:eastAsia="Times New Roman" w:hint="default"/>
                <w:sz w:val="20"/>
                <w:szCs w:val="20"/>
              </w:rPr>
            </w:pPr>
            <w:r>
              <w:rPr>
                <w:rFonts w:ascii="Times New Roman"/>
                <w:spacing w:val="-1"/>
                <w:sz w:val="20"/>
              </w:rPr>
              <w:t>1,258.09</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3"/>
              <w:jc w:val="right"/>
              <w:rPr>
                <w:rFonts w:ascii="Times New Roman" w:hAnsi="Times New Roman" w:cs="Times New Roman" w:eastAsia="Times New Roman" w:hint="default"/>
                <w:sz w:val="20"/>
                <w:szCs w:val="20"/>
              </w:rPr>
            </w:pPr>
            <w:r>
              <w:rPr>
                <w:rFonts w:ascii="Times New Roman"/>
                <w:spacing w:val="-1"/>
                <w:sz w:val="20"/>
              </w:rPr>
              <w:t>1,258.09</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right="2"/>
              <w:jc w:val="right"/>
              <w:rPr>
                <w:rFonts w:ascii="Times New Roman" w:hAnsi="Times New Roman" w:cs="Times New Roman" w:eastAsia="Times New Roman" w:hint="default"/>
                <w:sz w:val="20"/>
                <w:szCs w:val="20"/>
              </w:rPr>
            </w:pPr>
            <w:r>
              <w:rPr>
                <w:rFonts w:ascii="Times New Roman"/>
                <w:spacing w:val="-1"/>
                <w:sz w:val="20"/>
              </w:rPr>
              <w:t>1,002.69</w:t>
            </w:r>
          </w:p>
        </w:tc>
        <w:tc>
          <w:tcPr>
            <w:tcW w:w="19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1"/>
              <w:ind w:right="-7"/>
              <w:jc w:val="right"/>
              <w:rPr>
                <w:rFonts w:ascii="Times New Roman" w:hAnsi="Times New Roman" w:cs="Times New Roman" w:eastAsia="Times New Roman" w:hint="default"/>
                <w:sz w:val="20"/>
                <w:szCs w:val="20"/>
              </w:rPr>
            </w:pPr>
            <w:r>
              <w:rPr>
                <w:rFonts w:ascii="Times New Roman"/>
                <w:spacing w:val="-1"/>
                <w:sz w:val="20"/>
              </w:rPr>
              <w:t>1,002.69</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一、关联方及关联交易" w:id="316"/>
      <w:bookmarkEnd w:id="316"/>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本企业的母公司情况" w:id="317"/>
      <w:bookmarkEnd w:id="31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553"/>
        <w:gridCol w:w="991"/>
        <w:gridCol w:w="1132"/>
        <w:gridCol w:w="1594"/>
        <w:gridCol w:w="1595"/>
        <w:gridCol w:w="1594"/>
      </w:tblGrid>
      <w:tr>
        <w:trPr>
          <w:trHeight w:val="1036"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762" w:right="0"/>
              <w:jc w:val="left"/>
              <w:rPr>
                <w:rFonts w:ascii="宋体" w:hAnsi="宋体" w:cs="宋体" w:eastAsia="宋体" w:hint="default"/>
                <w:sz w:val="20"/>
                <w:szCs w:val="20"/>
              </w:rPr>
            </w:pPr>
            <w:r>
              <w:rPr>
                <w:rFonts w:ascii="宋体" w:hAnsi="宋体" w:cs="宋体" w:eastAsia="宋体" w:hint="default"/>
                <w:sz w:val="20"/>
                <w:szCs w:val="20"/>
              </w:rPr>
              <w:t>母公司名称</w:t>
            </w:r>
          </w:p>
        </w:tc>
        <w:tc>
          <w:tcPr>
            <w:tcW w:w="99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90"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13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15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391"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59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85" w:lineRule="auto"/>
              <w:ind w:left="191" w:right="190"/>
              <w:jc w:val="left"/>
              <w:rPr>
                <w:rFonts w:ascii="宋体" w:hAnsi="宋体" w:cs="宋体" w:eastAsia="宋体" w:hint="default"/>
                <w:sz w:val="20"/>
                <w:szCs w:val="20"/>
              </w:rPr>
            </w:pPr>
            <w:r>
              <w:rPr>
                <w:rFonts w:ascii="宋体" w:hAnsi="宋体" w:cs="宋体" w:eastAsia="宋体" w:hint="default"/>
                <w:sz w:val="20"/>
                <w:szCs w:val="20"/>
              </w:rPr>
              <w:t>母公司对本企</w:t>
            </w:r>
            <w:r>
              <w:rPr>
                <w:rFonts w:ascii="宋体" w:hAnsi="宋体" w:cs="宋体" w:eastAsia="宋体" w:hint="default"/>
                <w:w w:val="100"/>
                <w:sz w:val="20"/>
                <w:szCs w:val="20"/>
              </w:rPr>
              <w:t> </w:t>
            </w:r>
            <w:r>
              <w:rPr>
                <w:rFonts w:ascii="宋体" w:hAnsi="宋体" w:cs="宋体" w:eastAsia="宋体" w:hint="default"/>
                <w:sz w:val="20"/>
                <w:szCs w:val="20"/>
              </w:rPr>
              <w:t>业的持股比例</w:t>
            </w:r>
          </w:p>
        </w:tc>
        <w:tc>
          <w:tcPr>
            <w:tcW w:w="1594"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85" w:lineRule="auto" w:before="35"/>
              <w:ind w:left="190" w:right="180"/>
              <w:jc w:val="center"/>
              <w:rPr>
                <w:rFonts w:ascii="宋体" w:hAnsi="宋体" w:cs="宋体" w:eastAsia="宋体" w:hint="default"/>
                <w:sz w:val="20"/>
                <w:szCs w:val="20"/>
              </w:rPr>
            </w:pPr>
            <w:r>
              <w:rPr>
                <w:rFonts w:ascii="宋体" w:hAnsi="宋体" w:cs="宋体" w:eastAsia="宋体" w:hint="default"/>
                <w:sz w:val="20"/>
                <w:szCs w:val="20"/>
              </w:rPr>
              <w:t>母公司对本企</w:t>
            </w:r>
            <w:r>
              <w:rPr>
                <w:rFonts w:ascii="宋体" w:hAnsi="宋体" w:cs="宋体" w:eastAsia="宋体" w:hint="default"/>
                <w:w w:val="100"/>
                <w:sz w:val="20"/>
                <w:szCs w:val="20"/>
              </w:rPr>
              <w:t> </w:t>
            </w:r>
            <w:r>
              <w:rPr>
                <w:rFonts w:ascii="宋体" w:hAnsi="宋体" w:cs="宋体" w:eastAsia="宋体" w:hint="default"/>
                <w:sz w:val="20"/>
                <w:szCs w:val="20"/>
              </w:rPr>
              <w:t>业的表决权比</w:t>
            </w:r>
            <w:r>
              <w:rPr>
                <w:rFonts w:ascii="宋体" w:hAnsi="宋体" w:cs="宋体" w:eastAsia="宋体" w:hint="default"/>
                <w:w w:val="100"/>
                <w:sz w:val="20"/>
                <w:szCs w:val="20"/>
              </w:rPr>
              <w:t> </w:t>
            </w:r>
            <w:r>
              <w:rPr>
                <w:rFonts w:ascii="宋体" w:hAnsi="宋体" w:cs="宋体" w:eastAsia="宋体" w:hint="default"/>
                <w:sz w:val="20"/>
                <w:szCs w:val="20"/>
              </w:rPr>
              <w:t>例</w:t>
            </w:r>
          </w:p>
        </w:tc>
      </w:tr>
      <w:tr>
        <w:trPr>
          <w:trHeight w:val="473"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35"/>
              <w:ind w:left="93" w:right="0"/>
              <w:jc w:val="left"/>
              <w:rPr>
                <w:rFonts w:ascii="宋体" w:hAnsi="宋体" w:cs="宋体" w:eastAsia="宋体" w:hint="default"/>
                <w:sz w:val="20"/>
                <w:szCs w:val="20"/>
              </w:rPr>
            </w:pPr>
            <w:r>
              <w:rPr>
                <w:rFonts w:ascii="宋体" w:hAnsi="宋体" w:cs="宋体" w:eastAsia="宋体" w:hint="default"/>
                <w:sz w:val="20"/>
                <w:szCs w:val="20"/>
              </w:rPr>
              <w:t>神州数码软件有限公司</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投资控股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600</w:t>
            </w:r>
            <w:r>
              <w:rPr>
                <w:rFonts w:ascii="宋体" w:hAnsi="宋体" w:cs="宋体" w:eastAsia="宋体" w:hint="default"/>
                <w:spacing w:val="-50"/>
                <w:sz w:val="20"/>
                <w:szCs w:val="20"/>
              </w:rPr>
              <w:t> </w:t>
            </w:r>
            <w:r>
              <w:rPr>
                <w:rFonts w:ascii="宋体" w:hAnsi="宋体" w:cs="宋体" w:eastAsia="宋体" w:hint="default"/>
                <w:sz w:val="20"/>
                <w:szCs w:val="20"/>
              </w:rPr>
              <w:t>万美元</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864" w:right="0"/>
              <w:jc w:val="left"/>
              <w:rPr>
                <w:rFonts w:ascii="Times New Roman" w:hAnsi="Times New Roman" w:cs="Times New Roman" w:eastAsia="Times New Roman" w:hint="default"/>
                <w:sz w:val="20"/>
                <w:szCs w:val="20"/>
              </w:rPr>
            </w:pPr>
            <w:r>
              <w:rPr>
                <w:rFonts w:ascii="Times New Roman"/>
                <w:sz w:val="20"/>
              </w:rPr>
              <w:t>42.44%</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left="863" w:right="0"/>
              <w:jc w:val="left"/>
              <w:rPr>
                <w:rFonts w:ascii="Times New Roman" w:hAnsi="Times New Roman" w:cs="Times New Roman" w:eastAsia="Times New Roman" w:hint="default"/>
                <w:sz w:val="20"/>
                <w:szCs w:val="20"/>
              </w:rPr>
            </w:pPr>
            <w:r>
              <w:rPr>
                <w:rFonts w:ascii="Times New Roman"/>
                <w:sz w:val="20"/>
              </w:rPr>
              <w:t>42.44%</w:t>
            </w:r>
          </w:p>
        </w:tc>
      </w:tr>
    </w:tbl>
    <w:p>
      <w:pPr>
        <w:spacing w:line="240" w:lineRule="auto" w:before="3"/>
        <w:rPr>
          <w:rFonts w:ascii="宋体" w:hAnsi="宋体" w:cs="宋体" w:eastAsia="宋体" w:hint="default"/>
          <w:b/>
          <w:bCs/>
          <w:sz w:val="5"/>
          <w:szCs w:val="5"/>
        </w:rPr>
      </w:pPr>
    </w:p>
    <w:p>
      <w:pPr>
        <w:pStyle w:val="BodyText"/>
        <w:spacing w:line="240" w:lineRule="auto" w:before="35"/>
        <w:ind w:left="154" w:right="1135"/>
        <w:jc w:val="left"/>
      </w:pPr>
      <w:r>
        <w:rPr/>
        <w:t>本企业的母公司情况的说明</w:t>
      </w:r>
    </w:p>
    <w:p>
      <w:pPr>
        <w:spacing w:line="240" w:lineRule="auto" w:before="12"/>
        <w:rPr>
          <w:rFonts w:ascii="宋体" w:hAnsi="宋体" w:cs="宋体" w:eastAsia="宋体" w:hint="default"/>
          <w:sz w:val="17"/>
          <w:szCs w:val="17"/>
        </w:rPr>
      </w:pPr>
    </w:p>
    <w:p>
      <w:pPr>
        <w:spacing w:line="568" w:lineRule="auto" w:before="0"/>
        <w:ind w:left="153" w:right="4214" w:firstLine="0"/>
        <w:jc w:val="left"/>
        <w:rPr>
          <w:rFonts w:ascii="宋体" w:hAnsi="宋体" w:cs="宋体" w:eastAsia="宋体" w:hint="default"/>
          <w:sz w:val="21"/>
          <w:szCs w:val="21"/>
        </w:rPr>
      </w:pPr>
      <w:r>
        <w:rPr>
          <w:rFonts w:ascii="宋体" w:hAnsi="宋体" w:cs="宋体" w:eastAsia="宋体" w:hint="default"/>
          <w:sz w:val="21"/>
          <w:szCs w:val="21"/>
        </w:rPr>
        <w:t>本企业最终控制方是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Digital</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China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Holdings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 </w:t>
      </w:r>
      <w:bookmarkStart w:name="2、本企业的子公司情况" w:id="318"/>
      <w:bookmarkEnd w:id="318"/>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）企业集团的构成</w:t>
      </w:r>
      <w:r>
        <w:rPr>
          <w:rFonts w:ascii="Times New Roman" w:hAnsi="Times New Roman" w:cs="Times New Roman" w:eastAsia="Times New Roman" w:hint="default"/>
          <w:sz w:val="21"/>
          <w:szCs w:val="21"/>
        </w:rPr>
        <w:t>”</w:t>
      </w:r>
      <w:r>
        <w:rPr>
          <w:rFonts w:ascii="宋体" w:hAnsi="宋体" w:cs="宋体" w:eastAsia="宋体" w:hint="default"/>
          <w:sz w:val="21"/>
          <w:szCs w:val="21"/>
        </w:rPr>
        <w:t>相关内容。 </w:t>
      </w:r>
      <w:bookmarkStart w:name="3、本企业合营和联营企业情况" w:id="319"/>
      <w:bookmarkEnd w:id="319"/>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420" w:lineRule="auto" w:before="83"/>
        <w:ind w:right="0"/>
        <w:jc w:val="left"/>
      </w:pPr>
      <w:r>
        <w:rPr/>
        <w:t>本企业重要的合营或联营企业详见附注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 </w:t>
      </w:r>
      <w:r>
        <w:rPr>
          <w:spacing w:val="-1"/>
        </w:rPr>
        <w:t>本期与本公司发生关联方交易，或前期与本公司发生关联方交易形成余额的其他合营或联营企业情况如下：</w:t>
      </w:r>
    </w:p>
    <w:p>
      <w:pPr>
        <w:spacing w:after="0" w:line="420" w:lineRule="auto"/>
        <w:jc w:val="left"/>
        <w:sectPr>
          <w:pgSz w:w="11910" w:h="16840"/>
          <w:pgMar w:header="918" w:footer="1266" w:top="1160" w:bottom="1460" w:left="980" w:right="0"/>
        </w:sectPr>
      </w:pPr>
    </w:p>
    <w:p>
      <w:pPr>
        <w:spacing w:line="240" w:lineRule="auto" w:before="12"/>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675"/>
        <w:gridCol w:w="4785"/>
      </w:tblGrid>
      <w:tr>
        <w:trPr>
          <w:trHeight w:val="412" w:hRule="exact"/>
        </w:trPr>
        <w:tc>
          <w:tcPr>
            <w:tcW w:w="467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left="1422" w:right="0"/>
              <w:jc w:val="left"/>
              <w:rPr>
                <w:rFonts w:ascii="宋体" w:hAnsi="宋体" w:cs="宋体" w:eastAsia="宋体" w:hint="default"/>
                <w:sz w:val="20"/>
                <w:szCs w:val="20"/>
              </w:rPr>
            </w:pPr>
            <w:r>
              <w:rPr>
                <w:rFonts w:ascii="宋体" w:hAnsi="宋体" w:cs="宋体" w:eastAsia="宋体" w:hint="default"/>
                <w:sz w:val="20"/>
                <w:szCs w:val="20"/>
              </w:rPr>
              <w:t>合营或联营企业名称</w:t>
            </w:r>
          </w:p>
        </w:tc>
        <w:tc>
          <w:tcPr>
            <w:tcW w:w="4785"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11" w:right="0"/>
              <w:jc w:val="center"/>
              <w:rPr>
                <w:rFonts w:ascii="宋体" w:hAnsi="宋体" w:cs="宋体" w:eastAsia="宋体" w:hint="default"/>
                <w:sz w:val="20"/>
                <w:szCs w:val="20"/>
              </w:rPr>
            </w:pPr>
            <w:r>
              <w:rPr>
                <w:rFonts w:ascii="宋体" w:hAnsi="宋体" w:cs="宋体" w:eastAsia="宋体" w:hint="default"/>
                <w:sz w:val="20"/>
                <w:szCs w:val="20"/>
              </w:rPr>
              <w:t>与本企业关系</w:t>
            </w:r>
          </w:p>
        </w:tc>
      </w:tr>
      <w:tr>
        <w:trPr>
          <w:trHeight w:val="480" w:hRule="exact"/>
        </w:trPr>
        <w:tc>
          <w:tcPr>
            <w:tcW w:w="467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3"/>
              <w:ind w:left="93" w:right="0"/>
              <w:jc w:val="left"/>
              <w:rPr>
                <w:rFonts w:ascii="宋体" w:hAnsi="宋体" w:cs="宋体" w:eastAsia="宋体" w:hint="default"/>
                <w:sz w:val="20"/>
                <w:szCs w:val="20"/>
              </w:rPr>
            </w:pPr>
            <w:r>
              <w:rPr>
                <w:rFonts w:ascii="宋体" w:hAnsi="宋体" w:cs="宋体" w:eastAsia="宋体" w:hint="default"/>
                <w:sz w:val="20"/>
                <w:szCs w:val="20"/>
              </w:rPr>
              <w:t>苏州神州数码捷通科技有限公司</w:t>
            </w:r>
          </w:p>
        </w:tc>
        <w:tc>
          <w:tcPr>
            <w:tcW w:w="4785" w:type="dxa"/>
            <w:tcBorders>
              <w:top w:val="single" w:sz="16" w:space="0" w:color="D9D9D9"/>
              <w:left w:val="single" w:sz="4" w:space="0" w:color="000000"/>
              <w:bottom w:val="single" w:sz="4" w:space="0" w:color="000000"/>
              <w:right w:val="single" w:sz="12" w:space="0" w:color="000000"/>
            </w:tcBorders>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475" w:hRule="exact"/>
        </w:trPr>
        <w:tc>
          <w:tcPr>
            <w:tcW w:w="467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神州易泰信息服务（北京）有限公司</w:t>
            </w:r>
          </w:p>
        </w:tc>
        <w:tc>
          <w:tcPr>
            <w:tcW w:w="47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其他关联方情况" w:id="320"/>
      <w:bookmarkEnd w:id="32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822"/>
        <w:gridCol w:w="4639"/>
      </w:tblGrid>
      <w:tr>
        <w:trPr>
          <w:trHeight w:val="473" w:hRule="exact"/>
        </w:trPr>
        <w:tc>
          <w:tcPr>
            <w:tcW w:w="4822"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宋体" w:hAnsi="宋体" w:cs="宋体" w:eastAsia="宋体" w:hint="default"/>
                <w:sz w:val="20"/>
                <w:szCs w:val="20"/>
              </w:rPr>
            </w:pPr>
            <w:r>
              <w:rPr>
                <w:rFonts w:ascii="宋体" w:hAnsi="宋体" w:cs="宋体" w:eastAsia="宋体" w:hint="default"/>
                <w:sz w:val="20"/>
                <w:szCs w:val="20"/>
              </w:rPr>
              <w:t>其他关联方名称</w:t>
            </w:r>
          </w:p>
        </w:tc>
        <w:tc>
          <w:tcPr>
            <w:tcW w:w="463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6"/>
              <w:ind w:left="1215" w:right="0"/>
              <w:jc w:val="left"/>
              <w:rPr>
                <w:rFonts w:ascii="宋体" w:hAnsi="宋体" w:cs="宋体" w:eastAsia="宋体" w:hint="default"/>
                <w:sz w:val="20"/>
                <w:szCs w:val="20"/>
              </w:rPr>
            </w:pPr>
            <w:r>
              <w:rPr>
                <w:rFonts w:ascii="宋体" w:hAnsi="宋体" w:cs="宋体" w:eastAsia="宋体" w:hint="default"/>
                <w:sz w:val="20"/>
                <w:szCs w:val="20"/>
              </w:rPr>
              <w:t>其他关联方与本企业关系</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智慧徐州建设投资发展有限公司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天津神州数码融资租赁有限公司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神州数码（南京）信息科技有限公司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南京神州数码有限公司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神州数码网络（北京）有限公司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上海神州数码有限公司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5"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杭州神州数码有限公司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北京神州数码供应链服务有限公司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北京神州数码科捷技术服务有限公司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神州数码（深圳）有限公司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深圳科捷物流有限公司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sz w:val="20"/>
              </w:rPr>
              <w:t>Digital China (HK)</w:t>
            </w:r>
            <w:r>
              <w:rPr>
                <w:rFonts w:ascii="宋体"/>
                <w:spacing w:val="-3"/>
                <w:sz w:val="20"/>
              </w:rPr>
              <w:t> </w:t>
            </w:r>
            <w:r>
              <w:rPr>
                <w:rFonts w:ascii="宋体"/>
                <w:sz w:val="20"/>
              </w:rPr>
              <w:t>Limited</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sz w:val="20"/>
              </w:rPr>
              <w:t>Instant</w:t>
            </w:r>
            <w:r>
              <w:rPr>
                <w:rFonts w:ascii="宋体"/>
                <w:spacing w:val="-51"/>
                <w:sz w:val="20"/>
              </w:rPr>
              <w:t> </w:t>
            </w:r>
            <w:r>
              <w:rPr>
                <w:rFonts w:ascii="宋体"/>
                <w:sz w:val="20"/>
              </w:rPr>
              <w:t>Technology</w:t>
            </w:r>
            <w:r>
              <w:rPr>
                <w:rFonts w:ascii="宋体"/>
                <w:spacing w:val="-51"/>
                <w:sz w:val="20"/>
              </w:rPr>
              <w:t> </w:t>
            </w:r>
            <w:r>
              <w:rPr>
                <w:rFonts w:ascii="宋体"/>
                <w:sz w:val="20"/>
              </w:rPr>
              <w:t>Supply</w:t>
            </w:r>
            <w:r>
              <w:rPr>
                <w:rFonts w:ascii="宋体"/>
                <w:spacing w:val="-51"/>
                <w:sz w:val="20"/>
              </w:rPr>
              <w:t> </w:t>
            </w:r>
            <w:r>
              <w:rPr>
                <w:rFonts w:ascii="宋体"/>
                <w:sz w:val="20"/>
              </w:rPr>
              <w:t>Chain</w:t>
            </w:r>
            <w:r>
              <w:rPr>
                <w:rFonts w:ascii="宋体"/>
                <w:spacing w:val="-51"/>
                <w:sz w:val="20"/>
              </w:rPr>
              <w:t> </w:t>
            </w:r>
            <w:r>
              <w:rPr>
                <w:rFonts w:ascii="宋体"/>
                <w:sz w:val="20"/>
              </w:rPr>
              <w:t>Hong</w:t>
            </w:r>
            <w:r>
              <w:rPr>
                <w:rFonts w:ascii="宋体"/>
                <w:spacing w:val="-50"/>
                <w:sz w:val="20"/>
              </w:rPr>
              <w:t> </w:t>
            </w:r>
            <w:r>
              <w:rPr>
                <w:rFonts w:ascii="宋体"/>
                <w:sz w:val="20"/>
              </w:rPr>
              <w:t>Kong</w:t>
            </w:r>
            <w:r>
              <w:rPr>
                <w:rFonts w:ascii="宋体"/>
                <w:spacing w:val="-51"/>
                <w:sz w:val="20"/>
              </w:rPr>
              <w:t> </w:t>
            </w:r>
            <w:r>
              <w:rPr>
                <w:rFonts w:ascii="宋体"/>
                <w:sz w:val="20"/>
              </w:rPr>
              <w:t>Limited</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济南神州数码有限公司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福州神州数码有限公司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广州神州数码信息科技有限公司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神州数码（合肥）有限公司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3"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西安神州数码实业有限公司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5"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北京科捷物流有限公司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64" w:hRule="exact"/>
        </w:trPr>
        <w:tc>
          <w:tcPr>
            <w:tcW w:w="482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上海科捷物流有限公司</w:t>
            </w:r>
          </w:p>
        </w:tc>
        <w:tc>
          <w:tcPr>
            <w:tcW w:w="46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r>
        <w:trPr>
          <w:trHeight w:val="473" w:hRule="exact"/>
        </w:trPr>
        <w:tc>
          <w:tcPr>
            <w:tcW w:w="4822"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广州神州数码有限公司</w:t>
            </w:r>
          </w:p>
        </w:tc>
        <w:tc>
          <w:tcPr>
            <w:tcW w:w="46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受同一控股股东及最终控制方控制的其他企业</w:t>
            </w:r>
          </w:p>
        </w:tc>
      </w:tr>
    </w:tbl>
    <w:p>
      <w:pPr>
        <w:spacing w:after="0" w:line="240" w:lineRule="auto"/>
        <w:jc w:val="left"/>
        <w:rPr>
          <w:rFonts w:ascii="宋体" w:hAnsi="宋体" w:cs="宋体" w:eastAsia="宋体" w:hint="default"/>
          <w:sz w:val="20"/>
          <w:szCs w:val="20"/>
        </w:rPr>
        <w:sectPr>
          <w:pgSz w:w="11910" w:h="16840"/>
          <w:pgMar w:header="918" w:footer="1266" w:top="1160" w:bottom="1460" w:left="980" w:right="0"/>
        </w:sectPr>
      </w:pPr>
    </w:p>
    <w:p>
      <w:pPr>
        <w:spacing w:line="240" w:lineRule="auto" w:before="5"/>
        <w:rPr>
          <w:rFonts w:ascii="宋体" w:hAnsi="宋体" w:cs="宋体" w:eastAsia="宋体" w:hint="default"/>
          <w:b/>
          <w:bCs/>
          <w:sz w:val="21"/>
          <w:szCs w:val="21"/>
        </w:rPr>
      </w:pPr>
    </w:p>
    <w:tbl>
      <w:tblPr>
        <w:tblW w:w="0" w:type="auto"/>
        <w:jc w:val="left"/>
        <w:tblInd w:w="138" w:type="dxa"/>
        <w:tblLayout w:type="fixed"/>
        <w:tblCellMar>
          <w:top w:w="0" w:type="dxa"/>
          <w:left w:w="0" w:type="dxa"/>
          <w:bottom w:w="0" w:type="dxa"/>
          <w:right w:w="0" w:type="dxa"/>
        </w:tblCellMar>
        <w:tblLook w:val="01E0"/>
      </w:tblPr>
      <w:tblGrid>
        <w:gridCol w:w="4821"/>
        <w:gridCol w:w="4640"/>
      </w:tblGrid>
      <w:tr>
        <w:trPr>
          <w:trHeight w:val="473" w:hRule="exact"/>
        </w:trPr>
        <w:tc>
          <w:tcPr>
            <w:tcW w:w="482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鼎捷软件股份有限公司</w:t>
            </w:r>
          </w:p>
        </w:tc>
        <w:tc>
          <w:tcPr>
            <w:tcW w:w="46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475" w:hRule="exact"/>
        </w:trPr>
        <w:tc>
          <w:tcPr>
            <w:tcW w:w="482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北京鼎捷软件有限公司</w:t>
            </w:r>
          </w:p>
        </w:tc>
        <w:tc>
          <w:tcPr>
            <w:tcW w:w="46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r>
    </w:tbl>
    <w:p>
      <w:pPr>
        <w:spacing w:line="240" w:lineRule="auto" w:before="3"/>
        <w:rPr>
          <w:rFonts w:ascii="宋体" w:hAnsi="宋体" w:cs="宋体" w:eastAsia="宋体" w:hint="default"/>
          <w:b/>
          <w:bCs/>
          <w:sz w:val="19"/>
          <w:szCs w:val="19"/>
        </w:rPr>
      </w:pPr>
    </w:p>
    <w:p>
      <w:pPr>
        <w:pStyle w:val="Heading6"/>
        <w:spacing w:line="240" w:lineRule="auto" w:before="35"/>
        <w:ind w:right="1135"/>
        <w:jc w:val="left"/>
        <w:rPr>
          <w:b w:val="0"/>
          <w:bCs w:val="0"/>
        </w:rPr>
      </w:pPr>
      <w:bookmarkStart w:name="5、关联交易情况" w:id="321"/>
      <w:bookmarkEnd w:id="321"/>
      <w:r>
        <w:rPr>
          <w:b w:val="0"/>
          <w:bCs w:val="0"/>
        </w:rPr>
      </w:r>
      <w:r>
        <w:rPr>
          <w:rFonts w:ascii="Times New Roman" w:hAnsi="Times New Roman" w:cs="Times New Roman" w:eastAsia="Times New Roman" w:hint="default"/>
        </w:rPr>
        <w:t>5</w:t>
      </w:r>
      <w:r>
        <w:rPr/>
        <w:t>、关联交易情况</w:t>
      </w:r>
      <w:r>
        <w:rPr>
          <w:b w:val="0"/>
          <w:bCs w:val="0"/>
        </w:rPr>
      </w:r>
    </w:p>
    <w:p>
      <w:pPr>
        <w:spacing w:line="692" w:lineRule="exact" w:before="14"/>
        <w:ind w:left="154" w:right="6641" w:firstLine="0"/>
        <w:jc w:val="left"/>
        <w:rPr>
          <w:rFonts w:ascii="宋体" w:hAnsi="宋体" w:cs="宋体" w:eastAsia="宋体" w:hint="default"/>
          <w:sz w:val="21"/>
          <w:szCs w:val="21"/>
        </w:rPr>
      </w:pPr>
      <w:bookmarkStart w:name="（1）购销商品、提供和接受劳务的关联交易"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before="7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269"/>
        <w:gridCol w:w="1168"/>
        <w:gridCol w:w="1702"/>
        <w:gridCol w:w="1276"/>
        <w:gridCol w:w="1418"/>
        <w:gridCol w:w="1647"/>
      </w:tblGrid>
      <w:tr>
        <w:trPr>
          <w:trHeight w:val="723" w:hRule="exact"/>
        </w:trPr>
        <w:tc>
          <w:tcPr>
            <w:tcW w:w="226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16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379" w:right="175" w:hanging="201"/>
              <w:jc w:val="left"/>
              <w:rPr>
                <w:rFonts w:ascii="宋体" w:hAnsi="宋体" w:cs="宋体" w:eastAsia="宋体" w:hint="default"/>
                <w:sz w:val="20"/>
                <w:szCs w:val="20"/>
              </w:rPr>
            </w:pPr>
            <w:r>
              <w:rPr>
                <w:rFonts w:ascii="宋体" w:hAnsi="宋体" w:cs="宋体" w:eastAsia="宋体" w:hint="default"/>
                <w:sz w:val="20"/>
                <w:szCs w:val="20"/>
              </w:rPr>
              <w:t>关联交易</w:t>
            </w:r>
            <w:r>
              <w:rPr>
                <w:rFonts w:ascii="宋体" w:hAnsi="宋体" w:cs="宋体" w:eastAsia="宋体" w:hint="default"/>
                <w:w w:val="100"/>
                <w:sz w:val="20"/>
                <w:szCs w:val="20"/>
              </w:rPr>
              <w:t> </w:t>
            </w:r>
            <w:r>
              <w:rPr>
                <w:rFonts w:ascii="宋体" w:hAnsi="宋体" w:cs="宋体" w:eastAsia="宋体" w:hint="default"/>
                <w:sz w:val="20"/>
                <w:szCs w:val="20"/>
              </w:rPr>
              <w:t>内容</w:t>
            </w:r>
          </w:p>
        </w:tc>
        <w:tc>
          <w:tcPr>
            <w:tcW w:w="170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2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433" w:right="130" w:hanging="300"/>
              <w:jc w:val="left"/>
              <w:rPr>
                <w:rFonts w:ascii="宋体" w:hAnsi="宋体" w:cs="宋体" w:eastAsia="宋体" w:hint="default"/>
                <w:sz w:val="20"/>
                <w:szCs w:val="20"/>
              </w:rPr>
            </w:pPr>
            <w:r>
              <w:rPr>
                <w:rFonts w:ascii="宋体" w:hAnsi="宋体" w:cs="宋体" w:eastAsia="宋体" w:hint="default"/>
                <w:sz w:val="20"/>
                <w:szCs w:val="20"/>
              </w:rPr>
              <w:t>获批的交易</w:t>
            </w:r>
            <w:r>
              <w:rPr>
                <w:rFonts w:ascii="宋体" w:hAnsi="宋体" w:cs="宋体" w:eastAsia="宋体" w:hint="default"/>
                <w:w w:val="100"/>
                <w:sz w:val="20"/>
                <w:szCs w:val="20"/>
              </w:rPr>
              <w:t> </w:t>
            </w:r>
            <w:r>
              <w:rPr>
                <w:rFonts w:ascii="宋体" w:hAnsi="宋体" w:cs="宋体" w:eastAsia="宋体" w:hint="default"/>
                <w:sz w:val="20"/>
                <w:szCs w:val="20"/>
              </w:rPr>
              <w:t>额度</w:t>
            </w:r>
          </w:p>
        </w:tc>
        <w:tc>
          <w:tcPr>
            <w:tcW w:w="141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35"/>
              <w:ind w:left="503" w:right="101" w:hanging="401"/>
              <w:jc w:val="left"/>
              <w:rPr>
                <w:rFonts w:ascii="宋体" w:hAnsi="宋体" w:cs="宋体" w:eastAsia="宋体" w:hint="default"/>
                <w:sz w:val="20"/>
                <w:szCs w:val="20"/>
              </w:rPr>
            </w:pPr>
            <w:r>
              <w:rPr>
                <w:rFonts w:ascii="宋体" w:hAnsi="宋体" w:cs="宋体" w:eastAsia="宋体" w:hint="default"/>
                <w:sz w:val="20"/>
                <w:szCs w:val="20"/>
              </w:rPr>
              <w:t>是否超过交易</w:t>
            </w:r>
            <w:r>
              <w:rPr>
                <w:rFonts w:ascii="宋体" w:hAnsi="宋体" w:cs="宋体" w:eastAsia="宋体" w:hint="default"/>
                <w:w w:val="100"/>
                <w:sz w:val="20"/>
                <w:szCs w:val="20"/>
              </w:rPr>
              <w:t> </w:t>
            </w:r>
            <w:r>
              <w:rPr>
                <w:rFonts w:ascii="宋体" w:hAnsi="宋体" w:cs="宋体" w:eastAsia="宋体" w:hint="default"/>
                <w:sz w:val="20"/>
                <w:szCs w:val="20"/>
              </w:rPr>
              <w:t>额度</w:t>
            </w:r>
          </w:p>
        </w:tc>
        <w:tc>
          <w:tcPr>
            <w:tcW w:w="164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6"/>
              <w:ind w:left="93" w:right="102"/>
              <w:jc w:val="left"/>
              <w:rPr>
                <w:rFonts w:ascii="宋体" w:hAnsi="宋体" w:cs="宋体" w:eastAsia="宋体" w:hint="default"/>
                <w:sz w:val="20"/>
                <w:szCs w:val="20"/>
              </w:rPr>
            </w:pPr>
            <w:r>
              <w:rPr>
                <w:rFonts w:ascii="宋体" w:hAnsi="宋体" w:cs="宋体" w:eastAsia="宋体" w:hint="default"/>
                <w:spacing w:val="3"/>
                <w:sz w:val="20"/>
                <w:szCs w:val="20"/>
              </w:rPr>
              <w:t>北京神州数码科捷技术</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服务有限公司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3,772,449.44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3" w:right="0"/>
              <w:jc w:val="left"/>
              <w:rPr>
                <w:rFonts w:ascii="Times New Roman" w:hAnsi="Times New Roman" w:cs="Times New Roman" w:eastAsia="Times New Roman" w:hint="default"/>
                <w:sz w:val="20"/>
                <w:szCs w:val="20"/>
              </w:rPr>
            </w:pPr>
            <w:r>
              <w:rPr>
                <w:rFonts w:ascii="Times New Roman"/>
                <w:sz w:val="20"/>
              </w:rPr>
              <w:t>550,000,000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1,508,493.73</w:t>
            </w: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right="58"/>
              <w:jc w:val="center"/>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10,931,945.37</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13,389,799.33</w:t>
            </w:r>
          </w:p>
        </w:tc>
      </w:tr>
      <w:tr>
        <w:trPr>
          <w:trHeight w:val="631"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right="58"/>
              <w:jc w:val="center"/>
              <w:rPr>
                <w:rFonts w:ascii="宋体" w:hAnsi="宋体" w:cs="宋体" w:eastAsia="宋体" w:hint="default"/>
                <w:sz w:val="20"/>
                <w:szCs w:val="20"/>
              </w:rPr>
            </w:pPr>
            <w:r>
              <w:rPr>
                <w:rFonts w:ascii="宋体" w:hAnsi="宋体" w:cs="宋体" w:eastAsia="宋体" w:hint="default"/>
                <w:sz w:val="20"/>
                <w:szCs w:val="20"/>
              </w:rPr>
              <w:t>福州神州数码有限公司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398,632.48</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广州神州数码信息科技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3,730,734.19</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2,670,541.87</w:t>
            </w:r>
          </w:p>
        </w:tc>
      </w:tr>
      <w:tr>
        <w:trPr>
          <w:trHeight w:val="630"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49"/>
              <w:ind w:right="58"/>
              <w:jc w:val="center"/>
              <w:rPr>
                <w:rFonts w:ascii="宋体" w:hAnsi="宋体" w:cs="宋体" w:eastAsia="宋体" w:hint="default"/>
                <w:sz w:val="20"/>
                <w:szCs w:val="20"/>
              </w:rPr>
            </w:pPr>
            <w:r>
              <w:rPr>
                <w:rFonts w:ascii="宋体" w:hAnsi="宋体" w:cs="宋体" w:eastAsia="宋体" w:hint="default"/>
                <w:sz w:val="20"/>
                <w:szCs w:val="20"/>
              </w:rPr>
              <w:t>杭州神州数码有限公司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682,487.19</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right="58"/>
              <w:jc w:val="center"/>
              <w:rPr>
                <w:rFonts w:ascii="宋体" w:hAnsi="宋体" w:cs="宋体" w:eastAsia="宋体" w:hint="default"/>
                <w:sz w:val="20"/>
                <w:szCs w:val="20"/>
              </w:rPr>
            </w:pPr>
            <w:r>
              <w:rPr>
                <w:rFonts w:ascii="宋体" w:hAnsi="宋体" w:cs="宋体" w:eastAsia="宋体" w:hint="default"/>
                <w:sz w:val="20"/>
                <w:szCs w:val="20"/>
              </w:rPr>
              <w:t>上海神州数码有限公司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2,924,822.94</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473,938.34</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神州数码（合肥）有限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50,522.64</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151,282.05</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神州数码（深圳）有限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1,100,977.54</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404,206.70</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神州数码（中国）有限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200,129,930.56</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195,633,529.09</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神州数码网络（北京）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470,085.47</w:t>
            </w: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647"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58"/>
              <w:jc w:val="center"/>
              <w:rPr>
                <w:rFonts w:ascii="宋体" w:hAnsi="宋体" w:cs="宋体" w:eastAsia="宋体" w:hint="default"/>
                <w:sz w:val="20"/>
                <w:szCs w:val="20"/>
              </w:rPr>
            </w:pPr>
            <w:r>
              <w:rPr>
                <w:rFonts w:ascii="宋体" w:hAnsi="宋体" w:cs="宋体" w:eastAsia="宋体" w:hint="default"/>
                <w:sz w:val="20"/>
                <w:szCs w:val="20"/>
              </w:rPr>
              <w:t>济南神州数码有限公司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Times New Roman" w:hAnsi="Times New Roman" w:cs="Times New Roman" w:eastAsia="Times New Roman" w:hint="default"/>
                <w:sz w:val="20"/>
                <w:szCs w:val="20"/>
              </w:rPr>
            </w:pPr>
            <w:r>
              <w:rPr>
                <w:rFonts w:ascii="Times New Roman"/>
                <w:spacing w:val="-1"/>
                <w:sz w:val="20"/>
              </w:rPr>
              <w:t>21,367.52</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2"/>
              <w:jc w:val="left"/>
              <w:rPr>
                <w:rFonts w:ascii="宋体" w:hAnsi="宋体" w:cs="宋体" w:eastAsia="宋体" w:hint="default"/>
                <w:sz w:val="20"/>
                <w:szCs w:val="20"/>
              </w:rPr>
            </w:pPr>
            <w:r>
              <w:rPr>
                <w:rFonts w:ascii="宋体" w:hAnsi="宋体" w:cs="宋体" w:eastAsia="宋体" w:hint="default"/>
                <w:spacing w:val="3"/>
                <w:sz w:val="20"/>
                <w:szCs w:val="20"/>
              </w:rPr>
              <w:t>北京神州数码供应链服</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务有限公司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9,042.45</w:t>
            </w:r>
          </w:p>
        </w:tc>
      </w:tr>
      <w:tr>
        <w:trPr>
          <w:trHeight w:val="463"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58"/>
              <w:jc w:val="center"/>
              <w:rPr>
                <w:rFonts w:ascii="宋体" w:hAnsi="宋体" w:cs="宋体" w:eastAsia="宋体" w:hint="default"/>
                <w:sz w:val="20"/>
                <w:szCs w:val="20"/>
              </w:rPr>
            </w:pPr>
            <w:r>
              <w:rPr>
                <w:rFonts w:ascii="宋体" w:hAnsi="宋体" w:cs="宋体" w:eastAsia="宋体" w:hint="default"/>
                <w:sz w:val="20"/>
                <w:szCs w:val="20"/>
              </w:rPr>
              <w:t>神州数码软件有限公司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购买商品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1,805.08</w:t>
            </w:r>
          </w:p>
        </w:tc>
      </w:tr>
      <w:tr>
        <w:trPr>
          <w:trHeight w:val="465" w:hRule="exact"/>
        </w:trPr>
        <w:tc>
          <w:tcPr>
            <w:tcW w:w="22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right="58"/>
              <w:jc w:val="center"/>
              <w:rPr>
                <w:rFonts w:ascii="宋体" w:hAnsi="宋体" w:cs="宋体" w:eastAsia="宋体" w:hint="default"/>
                <w:sz w:val="20"/>
                <w:szCs w:val="20"/>
              </w:rPr>
            </w:pPr>
            <w:r>
              <w:rPr>
                <w:rFonts w:ascii="宋体" w:hAnsi="宋体" w:cs="宋体" w:eastAsia="宋体" w:hint="default"/>
                <w:sz w:val="20"/>
                <w:szCs w:val="20"/>
              </w:rPr>
              <w:t>鼎捷软件股份有限公司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软件服务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pacing w:val="-1"/>
                <w:sz w:val="20"/>
              </w:rPr>
              <w:t>61,200.00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9"/>
              <w:jc w:val="right"/>
              <w:rPr>
                <w:rFonts w:ascii="Times New Roman" w:hAnsi="Times New Roman" w:cs="Times New Roman" w:eastAsia="Times New Roman" w:hint="default"/>
                <w:sz w:val="20"/>
                <w:szCs w:val="20"/>
              </w:rPr>
            </w:pPr>
            <w:r>
              <w:rPr>
                <w:rFonts w:ascii="Times New Roman"/>
                <w:spacing w:val="-1"/>
                <w:sz w:val="20"/>
              </w:rPr>
              <w:t>104,622.64</w:t>
            </w:r>
          </w:p>
        </w:tc>
      </w:tr>
      <w:tr>
        <w:trPr>
          <w:trHeight w:val="475" w:hRule="exact"/>
        </w:trPr>
        <w:tc>
          <w:tcPr>
            <w:tcW w:w="226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right="58"/>
              <w:jc w:val="center"/>
              <w:rPr>
                <w:rFonts w:ascii="宋体" w:hAnsi="宋体" w:cs="宋体" w:eastAsia="宋体" w:hint="default"/>
                <w:sz w:val="20"/>
                <w:szCs w:val="20"/>
              </w:rPr>
            </w:pPr>
            <w:r>
              <w:rPr>
                <w:rFonts w:ascii="宋体" w:hAnsi="宋体" w:cs="宋体" w:eastAsia="宋体" w:hint="default"/>
                <w:sz w:val="20"/>
                <w:szCs w:val="20"/>
              </w:rPr>
              <w:t>北京鼎捷软件有限公司</w:t>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软件服务</w:t>
            </w:r>
          </w:p>
        </w:tc>
        <w:tc>
          <w:tcPr>
            <w:tcW w:w="1702"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6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259,246.02</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4" w:right="1135"/>
        <w:jc w:val="left"/>
      </w:pPr>
      <w:r>
        <w:rPr/>
        <w:t>出售商品</w:t>
      </w:r>
      <w:r>
        <w:rPr>
          <w:rFonts w:ascii="Times New Roman" w:hAnsi="Times New Roman" w:cs="Times New Roman" w:eastAsia="Times New Roman" w:hint="default"/>
        </w:rPr>
        <w:t>/</w:t>
      </w:r>
      <w:r>
        <w:rPr/>
        <w:t>提供劳务情况表</w:t>
      </w:r>
    </w:p>
    <w:p>
      <w:pPr>
        <w:spacing w:line="240" w:lineRule="auto" w:before="3"/>
        <w:rPr>
          <w:rFonts w:ascii="宋体" w:hAnsi="宋体" w:cs="宋体" w:eastAsia="宋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263"/>
        <w:gridCol w:w="2409"/>
        <w:gridCol w:w="1949"/>
        <w:gridCol w:w="1871"/>
      </w:tblGrid>
      <w:tr>
        <w:trPr>
          <w:trHeight w:val="458" w:hRule="exact"/>
        </w:trPr>
        <w:tc>
          <w:tcPr>
            <w:tcW w:w="326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24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99" w:right="0"/>
              <w:jc w:val="left"/>
              <w:rPr>
                <w:rFonts w:ascii="宋体" w:hAnsi="宋体" w:cs="宋体" w:eastAsia="宋体" w:hint="default"/>
                <w:sz w:val="20"/>
                <w:szCs w:val="20"/>
              </w:rPr>
            </w:pPr>
            <w:r>
              <w:rPr>
                <w:rFonts w:ascii="宋体" w:hAnsi="宋体" w:cs="宋体" w:eastAsia="宋体" w:hint="default"/>
                <w:sz w:val="20"/>
                <w:szCs w:val="20"/>
              </w:rPr>
              <w:t>关联交易内容</w:t>
            </w:r>
          </w:p>
        </w:tc>
        <w:tc>
          <w:tcPr>
            <w:tcW w:w="19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9"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87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7"/>
              <w:ind w:left="430"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80"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20"/>
                <w:szCs w:val="20"/>
              </w:rPr>
            </w:pPr>
            <w:r>
              <w:rPr>
                <w:rFonts w:ascii="宋体" w:hAnsi="宋体" w:cs="宋体" w:eastAsia="宋体" w:hint="default"/>
                <w:sz w:val="20"/>
                <w:szCs w:val="20"/>
              </w:rPr>
              <w:t>天津神州数码融资租赁有限公司</w:t>
            </w:r>
          </w:p>
        </w:tc>
        <w:tc>
          <w:tcPr>
            <w:tcW w:w="240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金融专用设备销售</w:t>
            </w:r>
          </w:p>
        </w:tc>
        <w:tc>
          <w:tcPr>
            <w:tcW w:w="1949" w:type="dxa"/>
            <w:tcBorders>
              <w:top w:val="single" w:sz="16" w:space="0" w:color="D2D2D2"/>
              <w:left w:val="single" w:sz="4" w:space="0" w:color="000000"/>
              <w:bottom w:val="single" w:sz="4" w:space="0" w:color="000000"/>
              <w:right w:val="single" w:sz="4" w:space="0" w:color="000000"/>
            </w:tcBorders>
          </w:tcPr>
          <w:p>
            <w:pPr/>
          </w:p>
        </w:tc>
        <w:tc>
          <w:tcPr>
            <w:tcW w:w="1871"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4,961,538.46</w:t>
            </w:r>
          </w:p>
        </w:tc>
      </w:tr>
      <w:tr>
        <w:trPr>
          <w:trHeight w:val="71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22" w:right="20"/>
              <w:jc w:val="left"/>
              <w:rPr>
                <w:rFonts w:ascii="宋体" w:hAnsi="宋体" w:cs="宋体" w:eastAsia="宋体" w:hint="default"/>
                <w:sz w:val="20"/>
                <w:szCs w:val="20"/>
              </w:rPr>
            </w:pPr>
            <w:r>
              <w:rPr>
                <w:rFonts w:ascii="宋体" w:hAnsi="宋体" w:cs="宋体" w:eastAsia="宋体" w:hint="default"/>
                <w:spacing w:val="11"/>
                <w:sz w:val="20"/>
                <w:szCs w:val="20"/>
              </w:rPr>
              <w:t>技术服务</w:t>
            </w:r>
            <w:r>
              <w:rPr>
                <w:rFonts w:ascii="宋体" w:hAnsi="宋体" w:cs="宋体" w:eastAsia="宋体" w:hint="default"/>
                <w:spacing w:val="11"/>
                <w:sz w:val="20"/>
                <w:szCs w:val="20"/>
              </w:rPr>
              <w:t>/</w:t>
            </w:r>
            <w:r>
              <w:rPr>
                <w:rFonts w:ascii="宋体" w:hAnsi="宋体" w:cs="宋体" w:eastAsia="宋体" w:hint="default"/>
                <w:spacing w:val="11"/>
                <w:sz w:val="20"/>
                <w:szCs w:val="20"/>
              </w:rPr>
              <w:t>应用软件开发</w:t>
            </w:r>
            <w:r>
              <w:rPr>
                <w:rFonts w:ascii="宋体" w:hAnsi="宋体" w:cs="宋体" w:eastAsia="宋体" w:hint="default"/>
                <w:spacing w:val="11"/>
                <w:sz w:val="20"/>
                <w:szCs w:val="20"/>
              </w:rPr>
              <w:t>/</w:t>
            </w:r>
            <w:r>
              <w:rPr>
                <w:rFonts w:ascii="宋体" w:hAnsi="宋体" w:cs="宋体" w:eastAsia="宋体" w:hint="default"/>
                <w:spacing w:val="-80"/>
                <w:sz w:val="20"/>
                <w:szCs w:val="20"/>
              </w:rPr>
              <w:t> </w:t>
            </w:r>
            <w:r>
              <w:rPr>
                <w:rFonts w:ascii="宋体" w:hAnsi="宋体" w:cs="宋体" w:eastAsia="宋体" w:hint="default"/>
                <w:sz w:val="20"/>
                <w:szCs w:val="20"/>
              </w:rPr>
              <w:t>系统集成</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21,319,302.75</w:t>
            </w: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20"/>
                <w:szCs w:val="20"/>
              </w:rPr>
            </w:pPr>
            <w:r>
              <w:rPr>
                <w:rFonts w:ascii="Times New Roman"/>
                <w:spacing w:val="-1"/>
                <w:sz w:val="20"/>
              </w:rPr>
              <w:t>25,233,004.28</w:t>
            </w:r>
          </w:p>
        </w:tc>
      </w:tr>
      <w:tr>
        <w:trPr>
          <w:trHeight w:val="46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智慧徐州建设投资发展有限公司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应用软件开发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3,106,800.00</w:t>
            </w:r>
          </w:p>
        </w:tc>
        <w:tc>
          <w:tcPr>
            <w:tcW w:w="1871"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神州数码（深圳）有限公司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949"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168,512.39</w:t>
            </w:r>
          </w:p>
        </w:tc>
      </w:tr>
      <w:tr>
        <w:trPr>
          <w:trHeight w:val="46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北京神州数码科捷技术服务有限公司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949"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30,188.68</w:t>
            </w:r>
          </w:p>
        </w:tc>
      </w:tr>
      <w:tr>
        <w:trPr>
          <w:trHeight w:val="71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20"/>
                <w:szCs w:val="20"/>
              </w:rPr>
            </w:pPr>
            <w:r>
              <w:rPr>
                <w:rFonts w:ascii="宋体" w:hAnsi="宋体" w:cs="宋体" w:eastAsia="宋体" w:hint="default"/>
                <w:sz w:val="20"/>
                <w:szCs w:val="20"/>
              </w:rPr>
              <w:t>广州神州数码有限公司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22" w:right="21"/>
              <w:jc w:val="left"/>
              <w:rPr>
                <w:rFonts w:ascii="宋体" w:hAnsi="宋体" w:cs="宋体" w:eastAsia="宋体" w:hint="default"/>
                <w:sz w:val="20"/>
                <w:szCs w:val="20"/>
              </w:rPr>
            </w:pPr>
            <w:r>
              <w:rPr>
                <w:rFonts w:ascii="宋体" w:hAnsi="宋体" w:cs="宋体" w:eastAsia="宋体" w:hint="default"/>
                <w:spacing w:val="3"/>
                <w:sz w:val="20"/>
                <w:szCs w:val="20"/>
              </w:rPr>
              <w:t>金融专用设备销售</w:t>
            </w:r>
            <w:r>
              <w:rPr>
                <w:rFonts w:ascii="宋体" w:hAnsi="宋体" w:cs="宋体" w:eastAsia="宋体" w:hint="default"/>
                <w:spacing w:val="3"/>
                <w:sz w:val="20"/>
                <w:szCs w:val="20"/>
              </w:rPr>
              <w:t>/</w:t>
            </w:r>
            <w:r>
              <w:rPr>
                <w:rFonts w:ascii="宋体" w:hAnsi="宋体" w:cs="宋体" w:eastAsia="宋体" w:hint="default"/>
                <w:spacing w:val="3"/>
                <w:sz w:val="20"/>
                <w:szCs w:val="20"/>
              </w:rPr>
              <w:t>技术服</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务</w:t>
            </w:r>
          </w:p>
        </w:tc>
        <w:tc>
          <w:tcPr>
            <w:tcW w:w="1949"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20"/>
                <w:szCs w:val="20"/>
              </w:rPr>
            </w:pPr>
            <w:r>
              <w:rPr>
                <w:rFonts w:ascii="Times New Roman"/>
                <w:spacing w:val="-1"/>
                <w:sz w:val="20"/>
              </w:rPr>
              <w:t>56,132.07</w:t>
            </w:r>
          </w:p>
        </w:tc>
      </w:tr>
      <w:tr>
        <w:trPr>
          <w:trHeight w:val="46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神州易泰信息服务（北京）有限公司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应用软件开发</w:t>
            </w:r>
            <w:r>
              <w:rPr>
                <w:rFonts w:ascii="宋体" w:hAnsi="宋体" w:cs="宋体" w:eastAsia="宋体" w:hint="default"/>
                <w:sz w:val="20"/>
                <w:szCs w:val="20"/>
              </w:rPr>
              <w:t>/</w:t>
            </w:r>
            <w:r>
              <w:rPr>
                <w:rFonts w:ascii="宋体" w:hAnsi="宋体" w:cs="宋体" w:eastAsia="宋体" w:hint="default"/>
                <w:sz w:val="20"/>
                <w:szCs w:val="20"/>
              </w:rPr>
              <w:t>技术服务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7,592,494.15</w:t>
            </w:r>
          </w:p>
        </w:tc>
        <w:tc>
          <w:tcPr>
            <w:tcW w:w="187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20"/>
              <w:jc w:val="left"/>
              <w:rPr>
                <w:rFonts w:ascii="宋体" w:hAnsi="宋体" w:cs="宋体" w:eastAsia="宋体" w:hint="default"/>
                <w:sz w:val="20"/>
                <w:szCs w:val="20"/>
              </w:rPr>
            </w:pPr>
            <w:r>
              <w:rPr>
                <w:rFonts w:ascii="宋体" w:hAnsi="宋体" w:cs="宋体" w:eastAsia="宋体" w:hint="default"/>
                <w:spacing w:val="11"/>
                <w:sz w:val="20"/>
                <w:szCs w:val="20"/>
              </w:rPr>
              <w:t>技术服务</w:t>
            </w:r>
            <w:r>
              <w:rPr>
                <w:rFonts w:ascii="宋体" w:hAnsi="宋体" w:cs="宋体" w:eastAsia="宋体" w:hint="default"/>
                <w:spacing w:val="11"/>
                <w:sz w:val="20"/>
                <w:szCs w:val="20"/>
              </w:rPr>
              <w:t>/</w:t>
            </w:r>
            <w:r>
              <w:rPr>
                <w:rFonts w:ascii="宋体" w:hAnsi="宋体" w:cs="宋体" w:eastAsia="宋体" w:hint="default"/>
                <w:spacing w:val="11"/>
                <w:sz w:val="20"/>
                <w:szCs w:val="20"/>
              </w:rPr>
              <w:t>应用软件开发</w:t>
            </w:r>
            <w:r>
              <w:rPr>
                <w:rFonts w:ascii="宋体" w:hAnsi="宋体" w:cs="宋体" w:eastAsia="宋体" w:hint="default"/>
                <w:spacing w:val="11"/>
                <w:sz w:val="20"/>
                <w:szCs w:val="20"/>
              </w:rPr>
              <w:t>/</w:t>
            </w:r>
            <w:r>
              <w:rPr>
                <w:rFonts w:ascii="宋体" w:hAnsi="宋体" w:cs="宋体" w:eastAsia="宋体" w:hint="default"/>
                <w:spacing w:val="-80"/>
                <w:sz w:val="20"/>
                <w:szCs w:val="20"/>
              </w:rPr>
              <w:t> </w:t>
            </w:r>
            <w:r>
              <w:rPr>
                <w:rFonts w:ascii="宋体" w:hAnsi="宋体" w:cs="宋体" w:eastAsia="宋体" w:hint="default"/>
                <w:sz w:val="20"/>
                <w:szCs w:val="20"/>
              </w:rPr>
              <w:t>系统集成</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8,921,500.00</w:t>
            </w: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20"/>
                <w:szCs w:val="20"/>
              </w:rPr>
            </w:pPr>
            <w:r>
              <w:rPr>
                <w:rFonts w:ascii="Times New Roman"/>
                <w:spacing w:val="-1"/>
                <w:sz w:val="20"/>
              </w:rPr>
              <w:t>4,312,500.00</w:t>
            </w:r>
          </w:p>
        </w:tc>
      </w:tr>
      <w:tr>
        <w:trPr>
          <w:trHeight w:val="463" w:hRule="exact"/>
        </w:trPr>
        <w:tc>
          <w:tcPr>
            <w:tcW w:w="32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神州数码（南京）信息科技有限公司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1,122,641.51</w:t>
            </w:r>
          </w:p>
        </w:tc>
        <w:tc>
          <w:tcPr>
            <w:tcW w:w="18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1"/>
              <w:jc w:val="right"/>
              <w:rPr>
                <w:rFonts w:ascii="Times New Roman" w:hAnsi="Times New Roman" w:cs="Times New Roman" w:eastAsia="Times New Roman" w:hint="default"/>
                <w:sz w:val="20"/>
                <w:szCs w:val="20"/>
              </w:rPr>
            </w:pPr>
            <w:r>
              <w:rPr>
                <w:rFonts w:ascii="Times New Roman"/>
                <w:spacing w:val="-1"/>
                <w:sz w:val="20"/>
              </w:rPr>
              <w:t>698,113.21</w:t>
            </w:r>
          </w:p>
        </w:tc>
      </w:tr>
      <w:tr>
        <w:trPr>
          <w:trHeight w:val="475" w:hRule="exact"/>
        </w:trPr>
        <w:tc>
          <w:tcPr>
            <w:tcW w:w="326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苏州神州数码捷通科技有限公司</w:t>
            </w:r>
          </w:p>
        </w:tc>
        <w:tc>
          <w:tcPr>
            <w:tcW w:w="2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应用软件开发</w:t>
            </w:r>
          </w:p>
        </w:tc>
        <w:tc>
          <w:tcPr>
            <w:tcW w:w="1949" w:type="dxa"/>
            <w:tcBorders>
              <w:top w:val="single" w:sz="4" w:space="0" w:color="000000"/>
              <w:left w:val="single" w:sz="4" w:space="0" w:color="000000"/>
              <w:bottom w:val="single" w:sz="12" w:space="0" w:color="000000"/>
              <w:right w:val="single" w:sz="4" w:space="0" w:color="000000"/>
            </w:tcBorders>
          </w:tcPr>
          <w:p>
            <w:pPr/>
          </w:p>
        </w:tc>
        <w:tc>
          <w:tcPr>
            <w:tcW w:w="18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10"/>
              <w:jc w:val="right"/>
              <w:rPr>
                <w:rFonts w:ascii="Times New Roman" w:hAnsi="Times New Roman" w:cs="Times New Roman" w:eastAsia="Times New Roman" w:hint="default"/>
                <w:sz w:val="20"/>
                <w:szCs w:val="20"/>
              </w:rPr>
            </w:pPr>
            <w:r>
              <w:rPr>
                <w:rFonts w:ascii="Times New Roman"/>
                <w:spacing w:val="-1"/>
                <w:sz w:val="20"/>
              </w:rPr>
              <w:t>1,360,000.00</w:t>
            </w:r>
          </w:p>
        </w:tc>
      </w:tr>
    </w:tbl>
    <w:p>
      <w:pPr>
        <w:spacing w:line="240" w:lineRule="auto" w:before="3"/>
        <w:rPr>
          <w:rFonts w:ascii="宋体" w:hAnsi="宋体" w:cs="宋体" w:eastAsia="宋体" w:hint="default"/>
          <w:sz w:val="5"/>
          <w:szCs w:val="5"/>
        </w:rPr>
      </w:pPr>
    </w:p>
    <w:p>
      <w:pPr>
        <w:pStyle w:val="BodyText"/>
        <w:spacing w:line="444" w:lineRule="auto" w:before="35"/>
        <w:ind w:left="574" w:right="1135" w:hanging="420"/>
        <w:jc w:val="left"/>
      </w:pPr>
      <w:r>
        <w:rPr/>
        <w:t>购销商品、提供和接受劳务的关联交易说明 向关联方采购商品的价格和接受关联方技术服务支出以市场价格确认</w:t>
      </w:r>
      <w:r>
        <w:rPr>
          <w:rFonts w:ascii="宋体" w:hAnsi="宋体" w:cs="宋体" w:eastAsia="宋体" w:hint="default"/>
        </w:rPr>
        <w:t>;</w:t>
      </w:r>
      <w:r>
        <w:rPr/>
        <w:t>向关联方销售商品价格和向关</w:t>
      </w:r>
    </w:p>
    <w:p>
      <w:pPr>
        <w:pStyle w:val="BodyText"/>
        <w:spacing w:line="240" w:lineRule="auto" w:before="16"/>
        <w:ind w:right="1135"/>
        <w:jc w:val="left"/>
      </w:pPr>
      <w:r>
        <w:rPr/>
        <w:t>联方提供关联方技术服务收入以市场价格确认。</w:t>
      </w:r>
    </w:p>
    <w:p>
      <w:pPr>
        <w:pStyle w:val="BodyText"/>
        <w:spacing w:line="670" w:lineRule="atLeast" w:before="34"/>
        <w:ind w:left="574" w:right="0" w:hanging="420"/>
        <w:jc w:val="left"/>
      </w:pPr>
      <w:bookmarkStart w:name="（2）关联担保情况" w:id="323"/>
      <w:bookmarkEnd w:id="323"/>
      <w:r>
        <w:rPr/>
      </w: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）关联担保情况</w:t>
      </w:r>
      <w:r>
        <w:rPr>
          <w:rFonts w:ascii="宋体" w:hAnsi="宋体" w:cs="宋体" w:eastAsia="宋体" w:hint="default"/>
          <w:b/>
          <w:bCs/>
          <w:w w:val="99"/>
        </w:rPr>
        <w:t> </w:t>
      </w:r>
      <w:r>
        <w:rPr>
          <w:spacing w:val="-1"/>
        </w:rPr>
        <w:t>本公司及其子公司不存在对外担保情况。本公司与子公司之间的担保情况，子公司与子公司之间的担</w:t>
      </w:r>
    </w:p>
    <w:p>
      <w:pPr>
        <w:spacing w:line="240" w:lineRule="auto" w:before="11"/>
        <w:rPr>
          <w:rFonts w:ascii="宋体" w:hAnsi="宋体" w:cs="宋体" w:eastAsia="宋体" w:hint="default"/>
          <w:sz w:val="14"/>
          <w:szCs w:val="14"/>
        </w:rPr>
      </w:pPr>
    </w:p>
    <w:p>
      <w:pPr>
        <w:pStyle w:val="BodyText"/>
        <w:spacing w:line="240" w:lineRule="auto"/>
        <w:ind w:left="154" w:right="1135"/>
        <w:jc w:val="left"/>
      </w:pPr>
      <w:r>
        <w:rPr/>
        <w:t>保情况详见本报告第五节“十七、</w:t>
      </w:r>
      <w:r>
        <w:rPr>
          <w:rFonts w:ascii="宋体" w:hAnsi="宋体" w:cs="宋体" w:eastAsia="宋体" w:hint="default"/>
        </w:rPr>
        <w:t>2</w:t>
      </w:r>
      <w:r>
        <w:rPr/>
        <w:t>、（</w:t>
      </w:r>
      <w:r>
        <w:rPr>
          <w:rFonts w:ascii="宋体" w:hAnsi="宋体" w:cs="宋体" w:eastAsia="宋体" w:hint="default"/>
        </w:rPr>
        <w:t>1</w:t>
      </w:r>
      <w:r>
        <w:rPr/>
        <w:t>）担保情况”。</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3）关联方商标使用情况" w:id="324"/>
      <w:bookmarkEnd w:id="324"/>
      <w:r>
        <w:rPr>
          <w:b w:val="0"/>
          <w:bCs w:val="0"/>
        </w:rPr>
      </w:r>
      <w:r>
        <w:rPr/>
        <w:t>（</w:t>
      </w:r>
      <w:r>
        <w:rPr>
          <w:rFonts w:ascii="Times New Roman" w:hAnsi="Times New Roman" w:cs="Times New Roman" w:eastAsia="Times New Roman" w:hint="default"/>
        </w:rPr>
        <w:t>3</w:t>
      </w:r>
      <w:r>
        <w:rPr/>
        <w:t>）关联方商标使用情况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24" w:firstLine="420"/>
        <w:jc w:val="both"/>
      </w:pPr>
      <w:r>
        <w:rPr>
          <w:rFonts w:ascii="宋体" w:hAnsi="宋体" w:cs="宋体" w:eastAsia="宋体" w:hint="default"/>
        </w:rPr>
        <w:t>2013 </w:t>
      </w:r>
      <w:r>
        <w:rPr/>
        <w:t>年</w:t>
      </w:r>
      <w:r>
        <w:rPr>
          <w:rFonts w:ascii="宋体" w:hAnsi="宋体" w:cs="宋体" w:eastAsia="宋体" w:hint="default"/>
        </w:rPr>
        <w:t>10 </w:t>
      </w:r>
      <w:r>
        <w:rPr/>
        <w:t>月</w:t>
      </w:r>
      <w:r>
        <w:rPr>
          <w:rFonts w:ascii="宋体" w:hAnsi="宋体" w:cs="宋体" w:eastAsia="宋体" w:hint="default"/>
        </w:rPr>
        <w:t>28</w:t>
      </w:r>
      <w:r>
        <w:rPr>
          <w:rFonts w:ascii="宋体" w:hAnsi="宋体" w:cs="宋体" w:eastAsia="宋体" w:hint="default"/>
          <w:spacing w:val="53"/>
        </w:rPr>
        <w:t> </w:t>
      </w:r>
      <w:r>
        <w:rPr/>
        <w:t>日，神州信息与神州数码（中国）签署了《注册商标许可使用合同》，以普通使用 </w:t>
      </w:r>
      <w:r>
        <w:rPr>
          <w:spacing w:val="-5"/>
        </w:rPr>
        <w:t>许可的方式授权神州信息在商标有效期内无限期无偿使用“风火轮”图案相关的</w:t>
      </w:r>
      <w:r>
        <w:rPr>
          <w:rFonts w:ascii="宋体" w:hAnsi="宋体" w:cs="宋体" w:eastAsia="宋体" w:hint="default"/>
          <w:spacing w:val="-5"/>
        </w:rPr>
        <w:t>6 </w:t>
      </w:r>
      <w:r>
        <w:rPr>
          <w:spacing w:val="-8"/>
        </w:rPr>
        <w:t>项商标（注册号分别为：</w:t>
      </w:r>
      <w:r>
        <w:rPr>
          <w:spacing w:val="-63"/>
        </w:rPr>
        <w:t> </w:t>
      </w:r>
      <w:r>
        <w:rPr>
          <w:spacing w:val="-63"/>
        </w:rPr>
      </w:r>
      <w:r>
        <w:rPr>
          <w:rFonts w:ascii="宋体" w:hAnsi="宋体" w:cs="宋体" w:eastAsia="宋体" w:hint="default"/>
        </w:rPr>
        <w:t>1981387</w:t>
      </w:r>
      <w:r>
        <w:rPr/>
        <w:t>、</w:t>
      </w:r>
      <w:r>
        <w:rPr>
          <w:rFonts w:ascii="宋体" w:hAnsi="宋体" w:cs="宋体" w:eastAsia="宋体" w:hint="default"/>
        </w:rPr>
        <w:t>1958296</w:t>
      </w:r>
      <w:r>
        <w:rPr/>
        <w:t>、</w:t>
      </w:r>
      <w:r>
        <w:rPr>
          <w:rFonts w:ascii="宋体" w:hAnsi="宋体" w:cs="宋体" w:eastAsia="宋体" w:hint="default"/>
        </w:rPr>
        <w:t>1958736</w:t>
      </w:r>
      <w:r>
        <w:rPr/>
        <w:t>、</w:t>
      </w:r>
      <w:r>
        <w:rPr>
          <w:rFonts w:ascii="宋体" w:hAnsi="宋体" w:cs="宋体" w:eastAsia="宋体" w:hint="default"/>
        </w:rPr>
        <w:t>1958790</w:t>
      </w:r>
      <w:r>
        <w:rPr/>
        <w:t>、</w:t>
      </w:r>
      <w:r>
        <w:rPr>
          <w:rFonts w:ascii="宋体" w:hAnsi="宋体" w:cs="宋体" w:eastAsia="宋体" w:hint="default"/>
        </w:rPr>
        <w:t>1956439</w:t>
      </w:r>
      <w:r>
        <w:rPr/>
        <w:t>、</w:t>
      </w:r>
      <w:r>
        <w:rPr>
          <w:rFonts w:ascii="宋体" w:hAnsi="宋体" w:cs="宋体" w:eastAsia="宋体" w:hint="default"/>
        </w:rPr>
        <w:t>1964768</w:t>
      </w:r>
      <w:r>
        <w:rPr/>
        <w:t>），目前此系列商标均在有效期内；在前述合 同中，神州数码（中国）以普通使用许可的方式授权神州信息在商标有效期内无限期无偿使用“风火轮”</w:t>
      </w:r>
    </w:p>
    <w:p>
      <w:pPr>
        <w:pStyle w:val="BodyText"/>
        <w:spacing w:line="240" w:lineRule="auto" w:before="46"/>
        <w:ind w:right="0"/>
        <w:jc w:val="left"/>
      </w:pPr>
      <w:r>
        <w:rPr>
          <w:rFonts w:ascii="宋体" w:hAnsi="宋体" w:cs="宋体" w:eastAsia="宋体" w:hint="default"/>
        </w:rPr>
        <w:t>+</w:t>
      </w:r>
      <w:r>
        <w:rPr/>
        <w:t>“神州数码”商标（注册号：</w:t>
      </w:r>
      <w:r>
        <w:rPr>
          <w:rFonts w:ascii="宋体" w:hAnsi="宋体" w:cs="宋体" w:eastAsia="宋体" w:hint="default"/>
        </w:rPr>
        <w:t>3030645</w:t>
      </w:r>
      <w:r>
        <w:rPr/>
        <w:t>），该商标在</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6</w:t>
      </w:r>
      <w:r>
        <w:rPr/>
        <w:t>日已经到期，神州数码（中国）已对该商</w:t>
      </w:r>
    </w:p>
    <w:p>
      <w:pPr>
        <w:spacing w:after="0" w:line="240"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154" w:right="1135"/>
        <w:jc w:val="left"/>
      </w:pPr>
      <w:r>
        <w:rPr/>
        <w:t>标进行续展，续展注册有效期自</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7</w:t>
      </w:r>
      <w:r>
        <w:rPr/>
        <w:t>日至</w:t>
      </w:r>
      <w:r>
        <w:rPr>
          <w:rFonts w:ascii="宋体" w:hAnsi="宋体" w:cs="宋体" w:eastAsia="宋体" w:hint="default"/>
        </w:rPr>
        <w:t>2024</w:t>
      </w:r>
      <w:r>
        <w:rPr/>
        <w:t>年</w:t>
      </w:r>
      <w:r>
        <w:rPr>
          <w:rFonts w:ascii="宋体" w:hAnsi="宋体" w:cs="宋体" w:eastAsia="宋体" w:hint="default"/>
        </w:rPr>
        <w:t>9</w:t>
      </w:r>
      <w:r>
        <w:rPr/>
        <w:t>月</w:t>
      </w:r>
      <w:r>
        <w:rPr>
          <w:rFonts w:ascii="宋体" w:hAnsi="宋体" w:cs="宋体" w:eastAsia="宋体" w:hint="default"/>
        </w:rPr>
        <w:t>6</w:t>
      </w:r>
      <w:r>
        <w:rPr/>
        <w:t>日。</w:t>
      </w:r>
    </w:p>
    <w:p>
      <w:pPr>
        <w:spacing w:line="240" w:lineRule="auto" w:before="0"/>
        <w:rPr>
          <w:rFonts w:ascii="宋体" w:hAnsi="宋体" w:cs="宋体" w:eastAsia="宋体" w:hint="default"/>
          <w:sz w:val="20"/>
          <w:szCs w:val="20"/>
        </w:rPr>
      </w:pPr>
    </w:p>
    <w:p>
      <w:pPr>
        <w:pStyle w:val="Heading6"/>
        <w:spacing w:line="240" w:lineRule="auto" w:before="152"/>
        <w:ind w:left="153" w:right="1135"/>
        <w:jc w:val="left"/>
        <w:rPr>
          <w:b w:val="0"/>
          <w:bCs w:val="0"/>
        </w:rPr>
      </w:pPr>
      <w:bookmarkStart w:name="（4）其他关联交易" w:id="325"/>
      <w:bookmarkEnd w:id="325"/>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254"/>
        <w:gridCol w:w="1598"/>
        <w:gridCol w:w="1869"/>
        <w:gridCol w:w="1855"/>
      </w:tblGrid>
      <w:tr>
        <w:trPr>
          <w:trHeight w:val="459" w:hRule="exact"/>
        </w:trPr>
        <w:tc>
          <w:tcPr>
            <w:tcW w:w="425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6"/>
              <w:jc w:val="center"/>
              <w:rPr>
                <w:rFonts w:ascii="宋体" w:hAnsi="宋体" w:cs="宋体" w:eastAsia="宋体" w:hint="default"/>
                <w:sz w:val="20"/>
                <w:szCs w:val="20"/>
              </w:rPr>
            </w:pPr>
            <w:r>
              <w:rPr>
                <w:rFonts w:ascii="宋体" w:hAnsi="宋体" w:cs="宋体" w:eastAsia="宋体" w:hint="default"/>
                <w:sz w:val="20"/>
                <w:szCs w:val="20"/>
              </w:rPr>
              <w:t>关联方</w:t>
            </w:r>
          </w:p>
        </w:tc>
        <w:tc>
          <w:tcPr>
            <w:tcW w:w="15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393" w:right="0"/>
              <w:jc w:val="left"/>
              <w:rPr>
                <w:rFonts w:ascii="宋体" w:hAnsi="宋体" w:cs="宋体" w:eastAsia="宋体" w:hint="default"/>
                <w:sz w:val="20"/>
                <w:szCs w:val="20"/>
              </w:rPr>
            </w:pPr>
            <w:r>
              <w:rPr>
                <w:rFonts w:ascii="宋体" w:hAnsi="宋体" w:cs="宋体" w:eastAsia="宋体" w:hint="default"/>
                <w:sz w:val="20"/>
                <w:szCs w:val="20"/>
              </w:rPr>
              <w:t>交易性质</w:t>
            </w:r>
          </w:p>
        </w:tc>
        <w:tc>
          <w:tcPr>
            <w:tcW w:w="186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29"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年度</w:t>
            </w:r>
          </w:p>
        </w:tc>
        <w:tc>
          <w:tcPr>
            <w:tcW w:w="1855"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521"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w:t>
            </w:r>
          </w:p>
        </w:tc>
      </w:tr>
      <w:tr>
        <w:trPr>
          <w:trHeight w:val="646"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65"/>
              <w:ind w:left="93" w:right="0"/>
              <w:jc w:val="left"/>
              <w:rPr>
                <w:rFonts w:ascii="宋体" w:hAnsi="宋体" w:cs="宋体" w:eastAsia="宋体" w:hint="default"/>
                <w:sz w:val="20"/>
                <w:szCs w:val="20"/>
              </w:rPr>
            </w:pPr>
            <w:r>
              <w:rPr>
                <w:rFonts w:ascii="宋体"/>
                <w:sz w:val="20"/>
              </w:rPr>
              <w:t>Digital China (HK)</w:t>
            </w:r>
            <w:r>
              <w:rPr>
                <w:rFonts w:ascii="宋体"/>
                <w:spacing w:val="-3"/>
                <w:sz w:val="20"/>
              </w:rPr>
              <w:t> </w:t>
            </w:r>
            <w:r>
              <w:rPr>
                <w:rFonts w:ascii="宋体"/>
                <w:sz w:val="20"/>
              </w:rPr>
              <w:t>Limited</w:t>
            </w:r>
          </w:p>
        </w:tc>
        <w:tc>
          <w:tcPr>
            <w:tcW w:w="1598" w:type="dxa"/>
            <w:vMerge w:val="restart"/>
            <w:tcBorders>
              <w:top w:val="single" w:sz="16" w:space="0" w:color="D9D9D9"/>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left="293" w:right="0"/>
              <w:jc w:val="left"/>
              <w:rPr>
                <w:rFonts w:ascii="宋体" w:hAnsi="宋体" w:cs="宋体" w:eastAsia="宋体" w:hint="default"/>
                <w:sz w:val="20"/>
                <w:szCs w:val="20"/>
              </w:rPr>
            </w:pPr>
            <w:r>
              <w:rPr>
                <w:rFonts w:ascii="宋体" w:hAnsi="宋体" w:cs="宋体" w:eastAsia="宋体" w:hint="default"/>
                <w:sz w:val="20"/>
                <w:szCs w:val="20"/>
              </w:rPr>
              <w:t>行政办公费</w:t>
            </w:r>
          </w:p>
        </w:tc>
        <w:tc>
          <w:tcPr>
            <w:tcW w:w="1869"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481,440.30</w:t>
            </w:r>
          </w:p>
        </w:tc>
        <w:tc>
          <w:tcPr>
            <w:tcW w:w="1855" w:type="dxa"/>
            <w:tcBorders>
              <w:top w:val="single" w:sz="16" w:space="0" w:color="D9D9D9"/>
              <w:left w:val="single" w:sz="4" w:space="0" w:color="000000"/>
              <w:bottom w:val="single" w:sz="4" w:space="0" w:color="000000"/>
              <w:right w:val="single" w:sz="12" w:space="0" w:color="000000"/>
            </w:tcBorders>
          </w:tcPr>
          <w:p>
            <w:pPr/>
          </w:p>
        </w:tc>
      </w:tr>
      <w:tr>
        <w:trPr>
          <w:trHeight w:val="631"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sz w:val="20"/>
              </w:rPr>
              <w:t>Digital China Holdings</w:t>
            </w:r>
            <w:r>
              <w:rPr>
                <w:rFonts w:ascii="宋体"/>
                <w:spacing w:val="-3"/>
                <w:sz w:val="20"/>
              </w:rPr>
              <w:t> </w:t>
            </w:r>
            <w:r>
              <w:rPr>
                <w:rFonts w:ascii="宋体"/>
                <w:sz w:val="20"/>
              </w:rPr>
              <w:t>Limited</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387,145.44</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93" w:right="102"/>
              <w:jc w:val="left"/>
              <w:rPr>
                <w:rFonts w:ascii="宋体" w:hAnsi="宋体" w:cs="宋体" w:eastAsia="宋体" w:hint="default"/>
                <w:sz w:val="20"/>
                <w:szCs w:val="20"/>
              </w:rPr>
            </w:pPr>
            <w:r>
              <w:rPr>
                <w:rFonts w:ascii="宋体"/>
                <w:sz w:val="20"/>
              </w:rPr>
              <w:t>Instant Technology Supply Chain Hong</w:t>
            </w:r>
            <w:r>
              <w:rPr>
                <w:rFonts w:ascii="宋体"/>
                <w:spacing w:val="-69"/>
                <w:sz w:val="20"/>
              </w:rPr>
              <w:t> </w:t>
            </w:r>
            <w:r>
              <w:rPr>
                <w:rFonts w:ascii="宋体"/>
                <w:sz w:val="20"/>
              </w:rPr>
              <w:t>Kong</w:t>
            </w:r>
            <w:r>
              <w:rPr>
                <w:rFonts w:ascii="宋体"/>
                <w:w w:val="100"/>
                <w:sz w:val="20"/>
              </w:rPr>
              <w:t> </w:t>
            </w:r>
            <w:r>
              <w:rPr>
                <w:rFonts w:ascii="宋体"/>
                <w:sz w:val="20"/>
              </w:rPr>
              <w:t>Limited</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188,429.30</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8"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49"/>
              <w:ind w:left="93" w:right="0"/>
              <w:jc w:val="left"/>
              <w:rPr>
                <w:rFonts w:ascii="宋体" w:hAnsi="宋体" w:cs="宋体" w:eastAsia="宋体" w:hint="default"/>
                <w:sz w:val="20"/>
                <w:szCs w:val="20"/>
              </w:rPr>
            </w:pPr>
            <w:r>
              <w:rPr>
                <w:rFonts w:ascii="宋体" w:hAnsi="宋体" w:cs="宋体" w:eastAsia="宋体" w:hint="default"/>
                <w:sz w:val="20"/>
                <w:szCs w:val="20"/>
              </w:rPr>
              <w:t>北京神州数码科捷技术服务有限公司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803,213.70</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456"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9"/>
              <w:ind w:left="93" w:right="0"/>
              <w:jc w:val="left"/>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20"/>
                <w:szCs w:val="20"/>
              </w:rPr>
            </w:pPr>
            <w:r>
              <w:rPr>
                <w:rFonts w:ascii="Times New Roman"/>
                <w:spacing w:val="-1"/>
                <w:sz w:val="20"/>
              </w:rPr>
              <w:t>241,990.00</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right="89"/>
              <w:jc w:val="right"/>
              <w:rPr>
                <w:rFonts w:ascii="Times New Roman" w:hAnsi="Times New Roman" w:cs="Times New Roman" w:eastAsia="Times New Roman" w:hint="default"/>
                <w:sz w:val="20"/>
                <w:szCs w:val="20"/>
              </w:rPr>
            </w:pPr>
            <w:r>
              <w:rPr>
                <w:rFonts w:ascii="Times New Roman"/>
                <w:spacing w:val="-1"/>
                <w:sz w:val="20"/>
              </w:rPr>
              <w:t>1,042,431.57</w:t>
            </w:r>
          </w:p>
        </w:tc>
      </w:tr>
      <w:tr>
        <w:trPr>
          <w:trHeight w:val="631"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福州神州数码有限公司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1,038.03</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0"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49"/>
              <w:ind w:left="93" w:right="0"/>
              <w:jc w:val="left"/>
              <w:rPr>
                <w:rFonts w:ascii="宋体" w:hAnsi="宋体" w:cs="宋体" w:eastAsia="宋体" w:hint="default"/>
                <w:sz w:val="20"/>
                <w:szCs w:val="20"/>
              </w:rPr>
            </w:pPr>
            <w:r>
              <w:rPr>
                <w:rFonts w:ascii="宋体" w:hAnsi="宋体" w:cs="宋体" w:eastAsia="宋体" w:hint="default"/>
                <w:sz w:val="20"/>
                <w:szCs w:val="20"/>
              </w:rPr>
              <w:t>广州神州数码信息科技有限公司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2,971.76</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上海神州数码有限公司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19,050.70</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2"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1"/>
              <w:ind w:left="93" w:right="0"/>
              <w:jc w:val="left"/>
              <w:rPr>
                <w:rFonts w:ascii="宋体" w:hAnsi="宋体" w:cs="宋体" w:eastAsia="宋体" w:hint="default"/>
                <w:sz w:val="20"/>
                <w:szCs w:val="20"/>
              </w:rPr>
            </w:pPr>
            <w:r>
              <w:rPr>
                <w:rFonts w:ascii="宋体" w:hAnsi="宋体" w:cs="宋体" w:eastAsia="宋体" w:hint="default"/>
                <w:sz w:val="20"/>
                <w:szCs w:val="20"/>
              </w:rPr>
              <w:t>神州数码（深圳）有限公司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7,812.89</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13,846,475.04</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12,070,561.56</w:t>
            </w:r>
          </w:p>
        </w:tc>
      </w:tr>
      <w:tr>
        <w:trPr>
          <w:trHeight w:val="631"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神州数码软件有限公司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8,858.27</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西安神州数码实业有限公司</w:t>
            </w:r>
          </w:p>
        </w:tc>
        <w:tc>
          <w:tcPr>
            <w:tcW w:w="1598" w:type="dxa"/>
            <w:vMerge/>
            <w:tcBorders>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153,398.85</w:t>
            </w:r>
          </w:p>
        </w:tc>
        <w:tc>
          <w:tcPr>
            <w:tcW w:w="1855" w:type="dxa"/>
            <w:tcBorders>
              <w:top w:val="single" w:sz="4" w:space="0" w:color="000000"/>
              <w:left w:val="single" w:sz="4" w:space="0" w:color="000000"/>
              <w:bottom w:val="single" w:sz="4" w:space="0" w:color="000000"/>
              <w:right w:val="single" w:sz="12" w:space="0" w:color="000000"/>
            </w:tcBorders>
          </w:tcPr>
          <w:p>
            <w:pPr/>
          </w:p>
        </w:tc>
      </w:tr>
      <w:tr>
        <w:trPr>
          <w:trHeight w:val="630"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49"/>
              <w:ind w:left="9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598"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16,141,824.28</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13,112,993.13</w:t>
            </w:r>
          </w:p>
        </w:tc>
      </w:tr>
      <w:tr>
        <w:trPr>
          <w:trHeight w:val="457"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北京科捷物流有限公司</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货运仓储</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4,022,436.31</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6,081,086.20</w:t>
            </w:r>
          </w:p>
        </w:tc>
      </w:tr>
      <w:tr>
        <w:trPr>
          <w:trHeight w:val="472"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4"/>
              <w:ind w:left="93" w:right="0"/>
              <w:jc w:val="left"/>
              <w:rPr>
                <w:rFonts w:ascii="宋体" w:hAnsi="宋体" w:cs="宋体" w:eastAsia="宋体" w:hint="default"/>
                <w:sz w:val="20"/>
                <w:szCs w:val="20"/>
              </w:rPr>
            </w:pPr>
            <w:r>
              <w:rPr>
                <w:rFonts w:ascii="宋体" w:hAnsi="宋体" w:cs="宋体" w:eastAsia="宋体" w:hint="default"/>
                <w:sz w:val="20"/>
                <w:szCs w:val="20"/>
              </w:rPr>
              <w:t>深圳科捷物流有限公司</w:t>
            </w:r>
          </w:p>
        </w:tc>
        <w:tc>
          <w:tcPr>
            <w:tcW w:w="1598" w:type="dxa"/>
            <w:vMerge/>
            <w:tcBorders>
              <w:left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0"/>
                <w:szCs w:val="20"/>
              </w:rPr>
            </w:pPr>
            <w:r>
              <w:rPr>
                <w:rFonts w:ascii="Times New Roman"/>
                <w:spacing w:val="-1"/>
                <w:sz w:val="20"/>
              </w:rPr>
              <w:t>3,932,016.81</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0"/>
              <w:ind w:right="89"/>
              <w:jc w:val="right"/>
              <w:rPr>
                <w:rFonts w:ascii="Times New Roman" w:hAnsi="Times New Roman" w:cs="Times New Roman" w:eastAsia="Times New Roman" w:hint="default"/>
                <w:sz w:val="20"/>
                <w:szCs w:val="20"/>
              </w:rPr>
            </w:pPr>
            <w:r>
              <w:rPr>
                <w:rFonts w:ascii="Times New Roman"/>
                <w:spacing w:val="-1"/>
                <w:sz w:val="20"/>
              </w:rPr>
              <w:t>3,975,227.59</w:t>
            </w:r>
          </w:p>
        </w:tc>
      </w:tr>
      <w:tr>
        <w:trPr>
          <w:trHeight w:val="463"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上海科捷物流有限公司</w:t>
            </w:r>
          </w:p>
        </w:tc>
        <w:tc>
          <w:tcPr>
            <w:tcW w:w="1598" w:type="dxa"/>
            <w:vMerge/>
            <w:tcBorders>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3,359,996.83</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2,801,751.81</w:t>
            </w:r>
          </w:p>
        </w:tc>
      </w:tr>
      <w:tr>
        <w:trPr>
          <w:trHeight w:val="464" w:hRule="exact"/>
        </w:trPr>
        <w:tc>
          <w:tcPr>
            <w:tcW w:w="425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598"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11,314,449.95</w:t>
            </w:r>
          </w:p>
        </w:tc>
        <w:tc>
          <w:tcPr>
            <w:tcW w:w="1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12,858,065.60</w:t>
            </w:r>
          </w:p>
        </w:tc>
      </w:tr>
      <w:tr>
        <w:trPr>
          <w:trHeight w:val="475" w:hRule="exact"/>
        </w:trPr>
        <w:tc>
          <w:tcPr>
            <w:tcW w:w="425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8" w:type="dxa"/>
            <w:tcBorders>
              <w:top w:val="single" w:sz="4" w:space="0" w:color="000000"/>
              <w:left w:val="single" w:sz="4" w:space="0" w:color="000000"/>
              <w:bottom w:val="single" w:sz="12" w:space="0" w:color="000000"/>
              <w:right w:val="single" w:sz="4" w:space="0" w:color="000000"/>
            </w:tcBorders>
          </w:tcPr>
          <w:p>
            <w:pPr/>
          </w:p>
        </w:tc>
        <w:tc>
          <w:tcPr>
            <w:tcW w:w="1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27,456,274.23</w:t>
            </w:r>
          </w:p>
        </w:tc>
        <w:tc>
          <w:tcPr>
            <w:tcW w:w="18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25,971,058.73</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b/>
          <w:bCs/>
          <w:sz w:val="17"/>
          <w:szCs w:val="17"/>
        </w:rPr>
      </w:pPr>
    </w:p>
    <w:p>
      <w:pPr>
        <w:pStyle w:val="Heading6"/>
        <w:spacing w:line="240" w:lineRule="auto" w:before="35"/>
        <w:ind w:right="1135"/>
        <w:jc w:val="left"/>
        <w:rPr>
          <w:b w:val="0"/>
          <w:bCs w:val="0"/>
        </w:rPr>
      </w:pPr>
      <w:bookmarkStart w:name="6、关联方应收应付款项" w:id="326"/>
      <w:bookmarkEnd w:id="32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应收项目" w:id="327"/>
      <w:bookmarkEnd w:id="32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77"/>
        <w:gridCol w:w="3402"/>
        <w:gridCol w:w="1223"/>
        <w:gridCol w:w="1222"/>
        <w:gridCol w:w="1222"/>
        <w:gridCol w:w="1222"/>
      </w:tblGrid>
      <w:tr>
        <w:trPr>
          <w:trHeight w:val="475" w:hRule="exact"/>
        </w:trPr>
        <w:tc>
          <w:tcPr>
            <w:tcW w:w="127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3402"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44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444"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815"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463" w:hRule="exact"/>
        </w:trPr>
        <w:tc>
          <w:tcPr>
            <w:tcW w:w="1277" w:type="dxa"/>
            <w:vMerge/>
            <w:tcBorders>
              <w:left w:val="single" w:sz="12" w:space="0" w:color="000000"/>
              <w:bottom w:val="single" w:sz="4" w:space="0" w:color="000000"/>
              <w:right w:val="single" w:sz="4" w:space="0" w:color="000000"/>
            </w:tcBorders>
            <w:shd w:val="clear" w:color="auto" w:fill="D2D2D2"/>
          </w:tcPr>
          <w:p>
            <w:pPr/>
          </w:p>
        </w:tc>
        <w:tc>
          <w:tcPr>
            <w:tcW w:w="3402" w:type="dxa"/>
            <w:vMerge/>
            <w:tcBorders>
              <w:left w:val="single" w:sz="4" w:space="0" w:color="000000"/>
              <w:bottom w:val="single" w:sz="4" w:space="0" w:color="000000"/>
              <w:right w:val="single" w:sz="4" w:space="0" w:color="000000"/>
            </w:tcBorders>
            <w:shd w:val="clear" w:color="auto" w:fill="D2D2D2"/>
          </w:tcPr>
          <w:p>
            <w:pP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0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0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0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2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206"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20"/>
                <w:szCs w:val="20"/>
              </w:rPr>
            </w:pPr>
            <w:r>
              <w:rPr>
                <w:rFonts w:ascii="宋体" w:hAnsi="宋体" w:cs="宋体" w:eastAsia="宋体" w:hint="default"/>
                <w:sz w:val="20"/>
                <w:szCs w:val="20"/>
              </w:rPr>
              <w:t>智慧徐州建设投资发展有限公司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3,293,208.00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16" w:space="0" w:color="D2D2D2"/>
              <w:left w:val="single" w:sz="4" w:space="0" w:color="000000"/>
              <w:bottom w:val="single" w:sz="4" w:space="0" w:color="000000"/>
              <w:right w:val="single" w:sz="4" w:space="0" w:color="000000"/>
            </w:tcBorders>
          </w:tcPr>
          <w:p>
            <w:pPr/>
          </w:p>
        </w:tc>
        <w:tc>
          <w:tcPr>
            <w:tcW w:w="1222" w:type="dxa"/>
            <w:tcBorders>
              <w:top w:val="single" w:sz="16" w:space="0" w:color="D2D2D2"/>
              <w:left w:val="single" w:sz="4" w:space="0" w:color="000000"/>
              <w:bottom w:val="single" w:sz="4" w:space="0" w:color="000000"/>
              <w:right w:val="single" w:sz="12" w:space="0" w:color="000000"/>
            </w:tcBorders>
          </w:tcPr>
          <w:p>
            <w:pP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8,921,500.00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4,312,500.00</w:t>
            </w:r>
          </w:p>
        </w:tc>
        <w:tc>
          <w:tcPr>
            <w:tcW w:w="122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201,500.00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20"/>
                <w:szCs w:val="20"/>
              </w:rPr>
            </w:pPr>
            <w:r>
              <w:rPr>
                <w:rFonts w:ascii="宋体" w:hAnsi="宋体" w:cs="宋体" w:eastAsia="宋体" w:hint="default"/>
                <w:sz w:val="20"/>
                <w:szCs w:val="20"/>
              </w:rPr>
              <w:t>神州易泰信息服务（北京）有限公司</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426,400.00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天津神州数码融资租赁有限公司</w:t>
            </w:r>
          </w:p>
        </w:tc>
        <w:tc>
          <w:tcPr>
            <w:tcW w:w="122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5,805,000.00</w:t>
            </w:r>
          </w:p>
        </w:tc>
        <w:tc>
          <w:tcPr>
            <w:tcW w:w="1222"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神州数码（南京）信息科技有限公司</w:t>
            </w:r>
          </w:p>
        </w:tc>
        <w:tc>
          <w:tcPr>
            <w:tcW w:w="122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740,000.00</w:t>
            </w:r>
          </w:p>
        </w:tc>
        <w:tc>
          <w:tcPr>
            <w:tcW w:w="1222"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277"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20"/>
                <w:szCs w:val="20"/>
              </w:rPr>
            </w:pPr>
            <w:r>
              <w:rPr>
                <w:rFonts w:ascii="宋体" w:hAnsi="宋体" w:cs="宋体" w:eastAsia="宋体" w:hint="default"/>
                <w:sz w:val="20"/>
                <w:szCs w:val="20"/>
              </w:rPr>
              <w:t>神州数码</w:t>
            </w:r>
            <w:r>
              <w:rPr>
                <w:rFonts w:ascii="宋体" w:hAnsi="宋体" w:cs="宋体" w:eastAsia="宋体" w:hint="default"/>
                <w:sz w:val="20"/>
                <w:szCs w:val="20"/>
              </w:rPr>
              <w:t>(</w:t>
            </w:r>
            <w:r>
              <w:rPr>
                <w:rFonts w:ascii="宋体" w:hAnsi="宋体" w:cs="宋体" w:eastAsia="宋体" w:hint="default"/>
                <w:sz w:val="20"/>
                <w:szCs w:val="20"/>
              </w:rPr>
              <w:t>中国）有限公司</w:t>
            </w:r>
          </w:p>
        </w:tc>
        <w:tc>
          <w:tcPr>
            <w:tcW w:w="12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1"/>
                <w:sz w:val="20"/>
              </w:rPr>
              <w:t>9,713,762.00</w:t>
            </w:r>
          </w:p>
        </w:tc>
        <w:tc>
          <w:tcPr>
            <w:tcW w:w="1222"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2）应付项目" w:id="328"/>
      <w:bookmarkEnd w:id="32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77"/>
        <w:gridCol w:w="3402"/>
        <w:gridCol w:w="2446"/>
        <w:gridCol w:w="2444"/>
      </w:tblGrid>
      <w:tr>
        <w:trPr>
          <w:trHeight w:val="473" w:hRule="exact"/>
        </w:trPr>
        <w:tc>
          <w:tcPr>
            <w:tcW w:w="12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5"/>
              <w:ind w:left="223"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34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 w:right="0"/>
              <w:jc w:val="center"/>
              <w:rPr>
                <w:rFonts w:ascii="宋体" w:hAnsi="宋体" w:cs="宋体" w:eastAsia="宋体" w:hint="default"/>
                <w:sz w:val="20"/>
                <w:szCs w:val="20"/>
              </w:rPr>
            </w:pPr>
            <w:r>
              <w:rPr>
                <w:rFonts w:ascii="宋体" w:hAnsi="宋体" w:cs="宋体" w:eastAsia="宋体" w:hint="default"/>
                <w:sz w:val="20"/>
                <w:szCs w:val="20"/>
              </w:rPr>
              <w:t>关联方</w:t>
            </w:r>
          </w:p>
        </w:tc>
        <w:tc>
          <w:tcPr>
            <w:tcW w:w="24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617"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244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5"/>
              <w:ind w:left="616" w:right="0"/>
              <w:jc w:val="left"/>
              <w:rPr>
                <w:rFonts w:ascii="宋体" w:hAnsi="宋体" w:cs="宋体" w:eastAsia="宋体" w:hint="default"/>
                <w:sz w:val="20"/>
                <w:szCs w:val="20"/>
              </w:rPr>
            </w:pPr>
            <w:r>
              <w:rPr>
                <w:rFonts w:ascii="宋体" w:hAnsi="宋体" w:cs="宋体" w:eastAsia="宋体" w:hint="default"/>
                <w:sz w:val="20"/>
                <w:szCs w:val="20"/>
              </w:rPr>
              <w:t>期初账面余额</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369,814.30</w:t>
            </w: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369,814.30</w:t>
            </w: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南京神州数码有限公司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301,925.00</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神州数码（中国）有限公司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28,076,438.97</w:t>
            </w: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27,277,508.56</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北京神州数码有限公司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68,010.00</w:t>
            </w: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5,283,388.00</w:t>
            </w: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神州数码网络（北京）有限公司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554,700.48</w:t>
            </w: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4,700.48</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上海神州数码有限公司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528,964.12</w:t>
            </w: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345,688.22</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杭州神州数码有限公司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41,500.00</w:t>
            </w:r>
          </w:p>
        </w:tc>
        <w:tc>
          <w:tcPr>
            <w:tcW w:w="2444"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北京神州数码供应链服务有限公司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75,840.00</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北京鼎捷软件有限公司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134,950.00</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北京神州数码科捷技术服务有限公司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201,529.00</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神州数码（深圳）有限公司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470,000.00</w:t>
            </w:r>
          </w:p>
        </w:tc>
      </w:tr>
      <w:tr>
        <w:trPr>
          <w:trHeight w:val="464" w:hRule="exact"/>
        </w:trPr>
        <w:tc>
          <w:tcPr>
            <w:tcW w:w="127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鼎捷软件股份有限公司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20,000.00</w:t>
            </w:r>
          </w:p>
        </w:tc>
      </w:tr>
      <w:tr>
        <w:trPr>
          <w:trHeight w:val="475" w:hRule="exact"/>
        </w:trPr>
        <w:tc>
          <w:tcPr>
            <w:tcW w:w="1277"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0"/>
                <w:szCs w:val="20"/>
              </w:rPr>
            </w:pPr>
            <w:r>
              <w:rPr>
                <w:rFonts w:ascii="宋体" w:hAnsi="宋体" w:cs="宋体" w:eastAsia="宋体" w:hint="default"/>
                <w:sz w:val="20"/>
                <w:szCs w:val="20"/>
              </w:rPr>
              <w:t>深圳科捷物流有限公司</w:t>
            </w:r>
          </w:p>
        </w:tc>
        <w:tc>
          <w:tcPr>
            <w:tcW w:w="24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86,214.53</w:t>
            </w:r>
          </w:p>
        </w:tc>
        <w:tc>
          <w:tcPr>
            <w:tcW w:w="244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86,214.53</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8"/>
        <w:rPr>
          <w:rFonts w:ascii="宋体" w:hAnsi="宋体" w:cs="宋体" w:eastAsia="宋体" w:hint="default"/>
          <w:sz w:val="16"/>
          <w:szCs w:val="16"/>
        </w:rPr>
      </w:pPr>
    </w:p>
    <w:p>
      <w:pPr>
        <w:pStyle w:val="Heading2"/>
        <w:spacing w:line="240" w:lineRule="auto" w:before="26"/>
        <w:ind w:left="154" w:right="1135"/>
        <w:jc w:val="left"/>
        <w:rPr>
          <w:b w:val="0"/>
          <w:bCs w:val="0"/>
        </w:rPr>
      </w:pPr>
      <w:bookmarkStart w:name="十二、承诺及或有事项" w:id="329"/>
      <w:bookmarkEnd w:id="329"/>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5"/>
        <w:jc w:val="left"/>
        <w:rPr>
          <w:b w:val="0"/>
          <w:bCs w:val="0"/>
        </w:rPr>
      </w:pPr>
      <w:bookmarkStart w:name="1、重要承诺事项" w:id="330"/>
      <w:bookmarkEnd w:id="33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2"/>
        <w:rPr>
          <w:rFonts w:ascii="宋体" w:hAnsi="宋体" w:cs="宋体" w:eastAsia="宋体" w:hint="default"/>
          <w:b/>
          <w:bCs/>
          <w:sz w:val="29"/>
          <w:szCs w:val="29"/>
        </w:rPr>
      </w:pPr>
    </w:p>
    <w:p>
      <w:pPr>
        <w:pStyle w:val="Heading5"/>
        <w:spacing w:line="240" w:lineRule="auto"/>
        <w:ind w:left="594" w:right="0"/>
        <w:jc w:val="left"/>
      </w:pPr>
      <w:r>
        <w:rPr>
          <w:w w:val="99"/>
        </w:rPr>
        <w:t>于</w:t>
      </w:r>
      <w:r>
        <w:rPr>
          <w:rFonts w:ascii="Times New Roman" w:hAnsi="Times New Roman" w:cs="Times New Roman" w:eastAsia="Times New Roman" w:hint="default"/>
          <w:w w:val="99"/>
        </w:rPr>
        <w:t>2015</w:t>
      </w:r>
      <w:r>
        <w:rPr>
          <w:w w:val="99"/>
        </w:rPr>
        <w:t>年</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2</w:t>
      </w:r>
      <w:r>
        <w:rPr>
          <w:w w:val="99"/>
        </w:rPr>
        <w:t>月</w:t>
      </w:r>
      <w:r>
        <w:rPr>
          <w:rFonts w:ascii="Times New Roman" w:hAnsi="Times New Roman" w:cs="Times New Roman" w:eastAsia="Times New Roman" w:hint="default"/>
          <w:w w:val="99"/>
        </w:rPr>
        <w:t>31</w:t>
      </w:r>
      <w:r>
        <w:rPr>
          <w:w w:val="99"/>
        </w:rPr>
        <w:t>日</w:t>
      </w:r>
      <w:r>
        <w:rPr>
          <w:rFonts w:ascii="Times New Roman" w:hAnsi="Times New Roman" w:cs="Times New Roman" w:eastAsia="Times New Roman" w:hint="default"/>
          <w:w w:val="99"/>
        </w:rPr>
        <w:t>(T)</w:t>
      </w:r>
      <w:r>
        <w:rPr>
          <w:spacing w:val="-102"/>
          <w:w w:val="99"/>
        </w:rPr>
        <w:t>，</w:t>
      </w:r>
      <w:r>
        <w:rPr>
          <w:w w:val="99"/>
        </w:rPr>
        <w:t>本公司就房屋租赁等项目之不可撤销经营租赁所需于下列期间承担款</w:t>
      </w:r>
      <w:r>
        <w:rPr>
          <w:spacing w:val="-2"/>
          <w:w w:val="99"/>
        </w:rPr>
        <w:t>项</w:t>
      </w:r>
      <w:r>
        <w:rPr>
          <w:w w:val="99"/>
        </w:rPr>
        <w:t>如</w:t>
      </w:r>
      <w:r>
        <w:rPr/>
      </w:r>
    </w:p>
    <w:p>
      <w:pPr>
        <w:pStyle w:val="Heading5"/>
        <w:spacing w:line="240" w:lineRule="auto" w:before="164"/>
        <w:ind w:right="1135"/>
        <w:jc w:val="left"/>
      </w:pPr>
      <w:r>
        <w:rPr/>
        <w:t>下：</w:t>
      </w:r>
    </w:p>
    <w:p>
      <w:pPr>
        <w:spacing w:line="240" w:lineRule="auto" w:before="6"/>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663"/>
        <w:gridCol w:w="5913"/>
      </w:tblGrid>
      <w:tr>
        <w:trPr>
          <w:trHeight w:val="459" w:hRule="exact"/>
        </w:trPr>
        <w:tc>
          <w:tcPr>
            <w:tcW w:w="366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right="7"/>
              <w:jc w:val="center"/>
              <w:rPr>
                <w:rFonts w:ascii="新宋体" w:hAnsi="新宋体" w:cs="新宋体" w:eastAsia="新宋体" w:hint="default"/>
                <w:sz w:val="20"/>
                <w:szCs w:val="20"/>
              </w:rPr>
            </w:pPr>
            <w:r>
              <w:rPr>
                <w:rFonts w:ascii="新宋体" w:hAnsi="新宋体" w:cs="新宋体" w:eastAsia="新宋体" w:hint="default"/>
                <w:sz w:val="20"/>
                <w:szCs w:val="20"/>
              </w:rPr>
              <w:t>期间</w:t>
            </w:r>
          </w:p>
        </w:tc>
        <w:tc>
          <w:tcPr>
            <w:tcW w:w="591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2" w:right="0"/>
              <w:jc w:val="center"/>
              <w:rPr>
                <w:rFonts w:ascii="新宋体" w:hAnsi="新宋体" w:cs="新宋体" w:eastAsia="新宋体" w:hint="default"/>
                <w:sz w:val="20"/>
                <w:szCs w:val="20"/>
              </w:rPr>
            </w:pPr>
            <w:r>
              <w:rPr>
                <w:rFonts w:ascii="新宋体" w:hAnsi="新宋体" w:cs="新宋体" w:eastAsia="新宋体" w:hint="default"/>
                <w:sz w:val="20"/>
                <w:szCs w:val="20"/>
              </w:rPr>
              <w:t>经营租赁</w:t>
            </w:r>
          </w:p>
        </w:tc>
      </w:tr>
      <w:tr>
        <w:trPr>
          <w:trHeight w:val="479" w:hRule="exact"/>
        </w:trPr>
        <w:tc>
          <w:tcPr>
            <w:tcW w:w="36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新宋体" w:hAnsi="新宋体" w:cs="新宋体" w:eastAsia="新宋体" w:hint="default"/>
                <w:sz w:val="20"/>
                <w:szCs w:val="20"/>
              </w:rPr>
            </w:pPr>
            <w:r>
              <w:rPr>
                <w:rFonts w:ascii="新宋体" w:hAnsi="新宋体" w:cs="新宋体" w:eastAsia="新宋体" w:hint="default"/>
                <w:sz w:val="20"/>
                <w:szCs w:val="20"/>
              </w:rPr>
              <w:t>T+1</w:t>
            </w:r>
            <w:r>
              <w:rPr>
                <w:rFonts w:ascii="新宋体" w:hAnsi="新宋体" w:cs="新宋体" w:eastAsia="新宋体" w:hint="default"/>
                <w:sz w:val="20"/>
                <w:szCs w:val="20"/>
              </w:rPr>
              <w:t>年（</w:t>
            </w:r>
            <w:r>
              <w:rPr>
                <w:rFonts w:ascii="新宋体" w:hAnsi="新宋体" w:cs="新宋体" w:eastAsia="新宋体" w:hint="default"/>
                <w:sz w:val="20"/>
                <w:szCs w:val="20"/>
              </w:rPr>
              <w:t>2016</w:t>
            </w:r>
            <w:r>
              <w:rPr>
                <w:rFonts w:ascii="新宋体" w:hAnsi="新宋体" w:cs="新宋体" w:eastAsia="新宋体" w:hint="default"/>
                <w:sz w:val="20"/>
                <w:szCs w:val="20"/>
              </w:rPr>
              <w:t>年）</w:t>
            </w:r>
          </w:p>
        </w:tc>
        <w:tc>
          <w:tcPr>
            <w:tcW w:w="5913" w:type="dxa"/>
            <w:tcBorders>
              <w:top w:val="single" w:sz="12" w:space="0" w:color="D9D9D9"/>
              <w:left w:val="single" w:sz="4" w:space="0" w:color="000000"/>
              <w:bottom w:val="single" w:sz="4" w:space="0" w:color="000000"/>
              <w:right w:val="single" w:sz="12" w:space="0" w:color="000000"/>
            </w:tcBorders>
          </w:tcPr>
          <w:p>
            <w:pPr>
              <w:pStyle w:val="TableParagraph"/>
              <w:spacing w:line="240" w:lineRule="auto" w:before="117"/>
              <w:ind w:right="88"/>
              <w:jc w:val="right"/>
              <w:rPr>
                <w:rFonts w:ascii="Times New Roman" w:hAnsi="Times New Roman" w:cs="Times New Roman" w:eastAsia="Times New Roman" w:hint="default"/>
                <w:sz w:val="20"/>
                <w:szCs w:val="20"/>
              </w:rPr>
            </w:pPr>
            <w:r>
              <w:rPr>
                <w:rFonts w:ascii="Times New Roman"/>
                <w:spacing w:val="-1"/>
                <w:sz w:val="20"/>
              </w:rPr>
              <w:t>25,300,483.91</w:t>
            </w:r>
          </w:p>
        </w:tc>
      </w:tr>
      <w:tr>
        <w:trPr>
          <w:trHeight w:val="464" w:hRule="exact"/>
        </w:trPr>
        <w:tc>
          <w:tcPr>
            <w:tcW w:w="366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新宋体" w:hAnsi="新宋体" w:cs="新宋体" w:eastAsia="新宋体" w:hint="default"/>
                <w:sz w:val="20"/>
                <w:szCs w:val="20"/>
              </w:rPr>
            </w:pPr>
            <w:r>
              <w:rPr>
                <w:rFonts w:ascii="新宋体" w:hAnsi="新宋体" w:cs="新宋体" w:eastAsia="新宋体" w:hint="default"/>
                <w:sz w:val="20"/>
                <w:szCs w:val="20"/>
              </w:rPr>
              <w:t>T+2</w:t>
            </w:r>
            <w:r>
              <w:rPr>
                <w:rFonts w:ascii="新宋体" w:hAnsi="新宋体" w:cs="新宋体" w:eastAsia="新宋体" w:hint="default"/>
                <w:sz w:val="20"/>
                <w:szCs w:val="20"/>
              </w:rPr>
              <w:t>年（</w:t>
            </w:r>
            <w:r>
              <w:rPr>
                <w:rFonts w:ascii="新宋体" w:hAnsi="新宋体" w:cs="新宋体" w:eastAsia="新宋体" w:hint="default"/>
                <w:sz w:val="20"/>
                <w:szCs w:val="20"/>
              </w:rPr>
              <w:t>2017</w:t>
            </w:r>
            <w:r>
              <w:rPr>
                <w:rFonts w:ascii="新宋体" w:hAnsi="新宋体" w:cs="新宋体" w:eastAsia="新宋体" w:hint="default"/>
                <w:sz w:val="20"/>
                <w:szCs w:val="20"/>
              </w:rPr>
              <w:t>年）</w:t>
            </w:r>
          </w:p>
        </w:tc>
        <w:tc>
          <w:tcPr>
            <w:tcW w:w="5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8"/>
              <w:jc w:val="right"/>
              <w:rPr>
                <w:rFonts w:ascii="Times New Roman" w:hAnsi="Times New Roman" w:cs="Times New Roman" w:eastAsia="Times New Roman" w:hint="default"/>
                <w:sz w:val="20"/>
                <w:szCs w:val="20"/>
              </w:rPr>
            </w:pPr>
            <w:r>
              <w:rPr>
                <w:rFonts w:ascii="Times New Roman"/>
                <w:spacing w:val="-1"/>
                <w:sz w:val="20"/>
              </w:rPr>
              <w:t>1,908,376.65</w:t>
            </w:r>
          </w:p>
        </w:tc>
      </w:tr>
      <w:tr>
        <w:trPr>
          <w:trHeight w:val="475" w:hRule="exact"/>
        </w:trPr>
        <w:tc>
          <w:tcPr>
            <w:tcW w:w="366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701" w:right="0"/>
              <w:jc w:val="left"/>
              <w:rPr>
                <w:rFonts w:ascii="新宋体" w:hAnsi="新宋体" w:cs="新宋体" w:eastAsia="新宋体" w:hint="default"/>
                <w:sz w:val="20"/>
                <w:szCs w:val="20"/>
              </w:rPr>
            </w:pPr>
            <w:r>
              <w:rPr>
                <w:rFonts w:ascii="新宋体" w:hAnsi="新宋体" w:cs="新宋体" w:eastAsia="新宋体" w:hint="default"/>
                <w:sz w:val="20"/>
                <w:szCs w:val="20"/>
              </w:rPr>
              <w:t>合计</w:t>
            </w:r>
          </w:p>
        </w:tc>
        <w:tc>
          <w:tcPr>
            <w:tcW w:w="5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8"/>
              <w:jc w:val="right"/>
              <w:rPr>
                <w:rFonts w:ascii="Times New Roman" w:hAnsi="Times New Roman" w:cs="Times New Roman" w:eastAsia="Times New Roman" w:hint="default"/>
                <w:sz w:val="20"/>
                <w:szCs w:val="20"/>
              </w:rPr>
            </w:pPr>
            <w:r>
              <w:rPr>
                <w:rFonts w:ascii="Times New Roman"/>
                <w:spacing w:val="-1"/>
                <w:sz w:val="20"/>
              </w:rPr>
              <w:t>27,208,860.56</w:t>
            </w:r>
          </w:p>
        </w:tc>
      </w:tr>
    </w:tbl>
    <w:p>
      <w:pPr>
        <w:spacing w:line="240" w:lineRule="auto" w:before="12"/>
        <w:rPr>
          <w:rFonts w:ascii="宋体" w:hAnsi="宋体" w:cs="宋体" w:eastAsia="宋体" w:hint="default"/>
          <w:sz w:val="4"/>
          <w:szCs w:val="4"/>
        </w:rPr>
      </w:pPr>
    </w:p>
    <w:p>
      <w:pPr>
        <w:pStyle w:val="Heading5"/>
        <w:spacing w:line="240" w:lineRule="auto" w:before="31"/>
        <w:ind w:left="594" w:right="1135"/>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日，除上述事项外，本公司无需披露的其他重大承诺事项。</w:t>
      </w:r>
    </w:p>
    <w:p>
      <w:pPr>
        <w:spacing w:line="240" w:lineRule="auto" w:before="3"/>
        <w:rPr>
          <w:rFonts w:ascii="宋体" w:hAnsi="宋体" w:cs="宋体" w:eastAsia="宋体" w:hint="default"/>
          <w:sz w:val="31"/>
          <w:szCs w:val="31"/>
        </w:rPr>
      </w:pPr>
    </w:p>
    <w:p>
      <w:pPr>
        <w:pStyle w:val="Heading6"/>
        <w:spacing w:line="240" w:lineRule="auto"/>
        <w:ind w:right="1135"/>
        <w:jc w:val="left"/>
        <w:rPr>
          <w:b w:val="0"/>
          <w:bCs w:val="0"/>
        </w:rPr>
      </w:pPr>
      <w:bookmarkStart w:name="2、或有事项" w:id="331"/>
      <w:bookmarkEnd w:id="33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资产负债表日存在的重要或有事项" w:id="332"/>
      <w:bookmarkEnd w:id="33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3"/>
        <w:rPr>
          <w:rFonts w:ascii="宋体" w:hAnsi="宋体" w:cs="宋体" w:eastAsia="宋体" w:hint="default"/>
          <w:b/>
          <w:bCs/>
          <w:sz w:val="28"/>
          <w:szCs w:val="28"/>
        </w:rPr>
      </w:pPr>
    </w:p>
    <w:p>
      <w:pPr>
        <w:pStyle w:val="Heading5"/>
        <w:spacing w:line="300" w:lineRule="auto"/>
        <w:ind w:right="1130" w:firstLine="440"/>
        <w:jc w:val="both"/>
      </w:pP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spacing w:val="-3"/>
        </w:rPr>
        <w:t>月，北京北大未名生物工程集团有限公司（简称北大未名）在深圳市生物港投资有限公</w:t>
      </w:r>
      <w:r>
        <w:rPr>
          <w:w w:val="99"/>
        </w:rPr>
        <w:t> </w:t>
      </w:r>
      <w:r>
        <w:rPr>
          <w:spacing w:val="-1"/>
        </w:rPr>
        <w:t>司（简称生物港公司）到期无法偿还银行借款的诉讼事项中。因其他生效判决项下生物港公司无财产</w:t>
      </w:r>
      <w:r>
        <w:rPr>
          <w:w w:val="99"/>
        </w:rPr>
        <w:t> </w:t>
      </w:r>
      <w:r>
        <w:rPr/>
        <w:t>可供人民法院强制向北大未名作出给付，北大未名诉请法院太光电信（太光电信于 </w:t>
      </w:r>
      <w:r>
        <w:rPr>
          <w:rFonts w:ascii="宋体" w:hAnsi="宋体" w:cs="宋体" w:eastAsia="宋体" w:hint="default"/>
        </w:rPr>
        <w:t>2013</w:t>
      </w:r>
      <w:r>
        <w:rPr>
          <w:rFonts w:ascii="宋体" w:hAnsi="宋体" w:cs="宋体" w:eastAsia="宋体" w:hint="default"/>
          <w:spacing w:val="-57"/>
        </w:rPr>
        <w:t> </w:t>
      </w:r>
      <w:r>
        <w:rPr/>
        <w:t>年吸收合并</w:t>
      </w:r>
    </w:p>
    <w:p>
      <w:pPr>
        <w:pStyle w:val="Heading5"/>
        <w:spacing w:line="300" w:lineRule="auto" w:before="17"/>
        <w:ind w:right="1125"/>
        <w:jc w:val="left"/>
      </w:pPr>
      <w:r>
        <w:rPr/>
        <w:t>本公司）作为第五被告在第三人 </w:t>
      </w:r>
      <w:r>
        <w:rPr>
          <w:rFonts w:ascii="宋体" w:hAnsi="宋体" w:cs="宋体" w:eastAsia="宋体" w:hint="default"/>
        </w:rPr>
        <w:t>5000 </w:t>
      </w:r>
      <w:r>
        <w:rPr/>
        <w:t>万元本息范围内，就在签署生效判决书项下的</w:t>
      </w:r>
      <w:r>
        <w:rPr>
          <w:spacing w:val="-53"/>
        </w:rPr>
        <w:t> </w:t>
      </w:r>
      <w:r>
        <w:rPr>
          <w:rFonts w:ascii="宋体" w:hAnsi="宋体" w:cs="宋体" w:eastAsia="宋体" w:hint="default"/>
        </w:rPr>
        <w:t>41,220,424.85</w:t>
      </w:r>
      <w:r>
        <w:rPr>
          <w:rFonts w:ascii="宋体" w:hAnsi="宋体" w:cs="宋体" w:eastAsia="宋体" w:hint="default"/>
          <w:w w:val="99"/>
        </w:rPr>
        <w:t> </w:t>
      </w:r>
      <w:r>
        <w:rPr/>
        <w:t>元赔偿义务及逾期给付利息赔偿义务承担补充赔偿责任。</w:t>
      </w:r>
    </w:p>
    <w:p>
      <w:pPr>
        <w:spacing w:line="240" w:lineRule="auto" w:before="2"/>
        <w:rPr>
          <w:rFonts w:ascii="宋体" w:hAnsi="宋体" w:cs="宋体" w:eastAsia="宋体" w:hint="default"/>
          <w:sz w:val="25"/>
          <w:szCs w:val="25"/>
        </w:rPr>
      </w:pPr>
    </w:p>
    <w:p>
      <w:pPr>
        <w:pStyle w:val="Heading5"/>
        <w:spacing w:line="240" w:lineRule="auto"/>
        <w:ind w:left="594" w:right="0"/>
        <w:jc w:val="left"/>
      </w:pP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10</w:t>
      </w:r>
      <w:r>
        <w:rPr>
          <w:rFonts w:ascii="宋体" w:hAnsi="宋体" w:cs="宋体" w:eastAsia="宋体" w:hint="default"/>
          <w:spacing w:val="-57"/>
        </w:rPr>
        <w:t> </w:t>
      </w:r>
      <w:r>
        <w:rPr/>
        <w:t>月</w:t>
      </w:r>
      <w:r>
        <w:rPr>
          <w:spacing w:val="-56"/>
        </w:rPr>
        <w:t> </w:t>
      </w:r>
      <w:r>
        <w:rPr>
          <w:rFonts w:ascii="宋体" w:hAnsi="宋体" w:cs="宋体" w:eastAsia="宋体" w:hint="default"/>
        </w:rPr>
        <w:t>30</w:t>
      </w:r>
      <w:r>
        <w:rPr>
          <w:rFonts w:ascii="宋体" w:hAnsi="宋体" w:cs="宋体" w:eastAsia="宋体" w:hint="default"/>
          <w:spacing w:val="-55"/>
        </w:rPr>
        <w:t> </w:t>
      </w:r>
      <w:r>
        <w:rPr/>
        <w:t>日，本公司收到关于上述案件于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t>月</w:t>
      </w:r>
      <w:r>
        <w:rPr>
          <w:spacing w:val="-56"/>
        </w:rPr>
        <w:t> </w:t>
      </w:r>
      <w:r>
        <w:rPr>
          <w:rFonts w:ascii="宋体" w:hAnsi="宋体" w:cs="宋体" w:eastAsia="宋体" w:hint="default"/>
        </w:rPr>
        <w:t>13</w:t>
      </w:r>
      <w:r>
        <w:rPr>
          <w:rFonts w:ascii="宋体" w:hAnsi="宋体" w:cs="宋体" w:eastAsia="宋体" w:hint="default"/>
          <w:spacing w:val="-55"/>
        </w:rPr>
        <w:t> </w:t>
      </w:r>
      <w:r>
        <w:rPr/>
        <w:t>日在苏州市中级人民法院开庭</w:t>
      </w:r>
    </w:p>
    <w:p>
      <w:pPr>
        <w:pStyle w:val="Heading5"/>
        <w:spacing w:line="240" w:lineRule="auto" w:before="72"/>
        <w:ind w:right="0"/>
        <w:jc w:val="left"/>
      </w:pPr>
      <w:r>
        <w:rPr/>
        <w:t>的传票通知。该案件于</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8"/>
        </w:rPr>
        <w:t> </w:t>
      </w:r>
      <w:r>
        <w:rPr/>
        <w:t>月</w:t>
      </w:r>
      <w:r>
        <w:rPr>
          <w:spacing w:val="-47"/>
        </w:rPr>
        <w:t> </w:t>
      </w:r>
      <w:r>
        <w:rPr>
          <w:rFonts w:ascii="宋体" w:hAnsi="宋体" w:cs="宋体" w:eastAsia="宋体" w:hint="default"/>
        </w:rPr>
        <w:t>13</w:t>
      </w:r>
      <w:r>
        <w:rPr>
          <w:rFonts w:ascii="宋体" w:hAnsi="宋体" w:cs="宋体" w:eastAsia="宋体" w:hint="default"/>
          <w:spacing w:val="-46"/>
        </w:rPr>
        <w:t> </w:t>
      </w:r>
      <w:r>
        <w:rPr/>
        <w:t>日开庭，北大未名当庭变更了诉讼请求以及赔偿责任，原诉</w:t>
      </w:r>
    </w:p>
    <w:p>
      <w:pPr>
        <w:pStyle w:val="Heading5"/>
        <w:spacing w:line="240" w:lineRule="auto" w:before="72"/>
        <w:ind w:right="0"/>
        <w:jc w:val="left"/>
      </w:pPr>
      <w:r>
        <w:rPr/>
        <w:t>讼请求为本公司以及深发展银行承担 </w:t>
      </w:r>
      <w:r>
        <w:rPr>
          <w:rFonts w:ascii="宋体" w:hAnsi="宋体" w:cs="宋体" w:eastAsia="宋体" w:hint="default"/>
        </w:rPr>
        <w:t>5,000.00</w:t>
      </w:r>
      <w:r>
        <w:rPr>
          <w:rFonts w:ascii="宋体" w:hAnsi="宋体" w:cs="宋体" w:eastAsia="宋体" w:hint="default"/>
          <w:spacing w:val="-58"/>
        </w:rPr>
        <w:t> </w:t>
      </w:r>
      <w:r>
        <w:rPr/>
        <w:t>万元本息范围内补充赔偿责任，现诉讼请求为本公司</w:t>
      </w:r>
    </w:p>
    <w:p>
      <w:pPr>
        <w:pStyle w:val="Heading5"/>
        <w:spacing w:line="300" w:lineRule="auto" w:before="72"/>
        <w:ind w:right="1131"/>
        <w:jc w:val="left"/>
      </w:pPr>
      <w:r>
        <w:rPr/>
        <w:t>在 </w:t>
      </w:r>
      <w:r>
        <w:rPr>
          <w:rFonts w:ascii="宋体" w:hAnsi="宋体" w:cs="宋体" w:eastAsia="宋体" w:hint="default"/>
        </w:rPr>
        <w:t>9,660.00</w:t>
      </w:r>
      <w:r>
        <w:rPr>
          <w:rFonts w:ascii="宋体" w:hAnsi="宋体" w:cs="宋体" w:eastAsia="宋体" w:hint="default"/>
          <w:spacing w:val="-59"/>
        </w:rPr>
        <w:t> </w:t>
      </w:r>
      <w:r>
        <w:rPr/>
        <w:t>万元本息范围内承担连带赔偿责任。北大未名未提供书面的变更请求申请书。截至本财</w:t>
      </w:r>
      <w:r>
        <w:rPr>
          <w:w w:val="99"/>
        </w:rPr>
        <w:t> </w:t>
      </w:r>
      <w:r>
        <w:rPr/>
        <w:t>务报告报出日，本公司未收到任何书面的关于北大未名变更诉讼请求的材料。</w:t>
      </w:r>
    </w:p>
    <w:p>
      <w:pPr>
        <w:spacing w:line="240" w:lineRule="auto" w:before="2"/>
        <w:rPr>
          <w:rFonts w:ascii="宋体" w:hAnsi="宋体" w:cs="宋体" w:eastAsia="宋体" w:hint="default"/>
          <w:sz w:val="25"/>
          <w:szCs w:val="25"/>
        </w:rPr>
      </w:pPr>
    </w:p>
    <w:p>
      <w:pPr>
        <w:pStyle w:val="Heading5"/>
        <w:spacing w:line="240" w:lineRule="auto"/>
        <w:ind w:left="594" w:right="1135"/>
        <w:jc w:val="left"/>
      </w:pPr>
      <w:r>
        <w:rPr/>
        <w:t>本公司认为北大未名诉讼请求缺乏法律和事实依据。</w:t>
      </w:r>
    </w:p>
    <w:p>
      <w:pPr>
        <w:spacing w:line="240" w:lineRule="auto" w:before="2"/>
        <w:rPr>
          <w:rFonts w:ascii="宋体" w:hAnsi="宋体" w:cs="宋体" w:eastAsia="宋体" w:hint="default"/>
          <w:sz w:val="24"/>
          <w:szCs w:val="24"/>
        </w:rPr>
      </w:pPr>
    </w:p>
    <w:p>
      <w:pPr>
        <w:pStyle w:val="Heading2"/>
        <w:spacing w:line="240" w:lineRule="auto"/>
        <w:ind w:left="154" w:right="1135"/>
        <w:jc w:val="left"/>
        <w:rPr>
          <w:b w:val="0"/>
          <w:bCs w:val="0"/>
        </w:rPr>
      </w:pPr>
      <w:bookmarkStart w:name="十三、资产负债表日后事项" w:id="333"/>
      <w:bookmarkEnd w:id="333"/>
      <w:r>
        <w:rPr>
          <w:b w:val="0"/>
          <w:bCs w:val="0"/>
        </w:rPr>
      </w:r>
      <w:r>
        <w:rPr/>
        <w:t>十三、资产负债表日后事项</w:t>
      </w:r>
      <w:r>
        <w:rPr>
          <w:b w:val="0"/>
          <w:bCs w:val="0"/>
        </w:rPr>
      </w:r>
    </w:p>
    <w:p>
      <w:pPr>
        <w:spacing w:line="240" w:lineRule="auto" w:before="12"/>
        <w:rPr>
          <w:rFonts w:ascii="宋体" w:hAnsi="宋体" w:cs="宋体" w:eastAsia="宋体" w:hint="default"/>
          <w:b/>
          <w:bCs/>
          <w:sz w:val="28"/>
          <w:szCs w:val="28"/>
        </w:rPr>
      </w:pPr>
    </w:p>
    <w:p>
      <w:pPr>
        <w:pStyle w:val="Heading5"/>
        <w:tabs>
          <w:tab w:pos="994" w:val="left" w:leader="none"/>
        </w:tabs>
        <w:spacing w:line="240" w:lineRule="auto"/>
        <w:ind w:left="574" w:right="0"/>
        <w:jc w:val="left"/>
      </w:pPr>
      <w:r>
        <w:rPr>
          <w:rFonts w:ascii="宋体" w:hAnsi="宋体" w:cs="宋体" w:eastAsia="宋体" w:hint="default"/>
          <w:w w:val="95"/>
        </w:rPr>
        <w:t>1.</w:t>
        <w:tab/>
      </w:r>
      <w:r>
        <w:rPr>
          <w:spacing w:val="-3"/>
        </w:rPr>
        <w:t>经本公司第六届董事会第十次会议、</w:t>
      </w:r>
      <w:r>
        <w:rPr>
          <w:rFonts w:ascii="宋体" w:hAnsi="宋体" w:cs="宋体" w:eastAsia="宋体" w:hint="default"/>
          <w:spacing w:val="-3"/>
        </w:rPr>
        <w:t>2015</w:t>
      </w:r>
      <w:r>
        <w:rPr>
          <w:rFonts w:ascii="宋体" w:hAnsi="宋体" w:cs="宋体" w:eastAsia="宋体" w:hint="default"/>
          <w:spacing w:val="-64"/>
        </w:rPr>
        <w:t> </w:t>
      </w:r>
      <w:r>
        <w:rPr/>
        <w:t>年度第二次临时股东大会审议批准以及第六届董事</w:t>
      </w:r>
    </w:p>
    <w:p>
      <w:pPr>
        <w:pStyle w:val="Heading5"/>
        <w:spacing w:line="240" w:lineRule="auto" w:before="72"/>
        <w:ind w:right="0"/>
        <w:jc w:val="left"/>
        <w:rPr>
          <w:rFonts w:ascii="宋体" w:hAnsi="宋体" w:cs="宋体" w:eastAsia="宋体" w:hint="default"/>
        </w:rPr>
      </w:pPr>
      <w:r>
        <w:rPr/>
        <w:t>会</w:t>
      </w:r>
      <w:r>
        <w:rPr>
          <w:spacing w:val="-55"/>
        </w:rPr>
        <w:t> </w:t>
      </w:r>
      <w:r>
        <w:rPr>
          <w:rFonts w:ascii="宋体" w:hAnsi="宋体" w:cs="宋体" w:eastAsia="宋体" w:hint="default"/>
        </w:rPr>
        <w:t>2015</w:t>
      </w:r>
      <w:r>
        <w:rPr>
          <w:rFonts w:ascii="宋体" w:hAnsi="宋体" w:cs="宋体" w:eastAsia="宋体" w:hint="default"/>
          <w:spacing w:val="-54"/>
        </w:rPr>
        <w:t> </w:t>
      </w:r>
      <w:r>
        <w:rPr>
          <w:spacing w:val="-7"/>
        </w:rPr>
        <w:t>年第二次临时会议、</w:t>
      </w:r>
      <w:r>
        <w:rPr>
          <w:rFonts w:ascii="宋体" w:hAnsi="宋体" w:cs="宋体" w:eastAsia="宋体" w:hint="default"/>
          <w:spacing w:val="-7"/>
        </w:rPr>
        <w:t>2015</w:t>
      </w:r>
      <w:r>
        <w:rPr>
          <w:rFonts w:ascii="宋体" w:hAnsi="宋体" w:cs="宋体" w:eastAsia="宋体" w:hint="default"/>
          <w:spacing w:val="-55"/>
        </w:rPr>
        <w:t> </w:t>
      </w:r>
      <w:r>
        <w:rPr>
          <w:spacing w:val="-3"/>
        </w:rPr>
        <w:t>年度第四次临时股东大会审议批准，本公司拟向特定对象发行</w:t>
      </w:r>
      <w:r>
        <w:rPr>
          <w:spacing w:val="-54"/>
        </w:rPr>
        <w:t> </w:t>
      </w:r>
      <w:r>
        <w:rPr>
          <w:rFonts w:ascii="宋体" w:hAnsi="宋体" w:cs="宋体" w:eastAsia="宋体" w:hint="default"/>
        </w:rPr>
        <w:t>5,170</w:t>
      </w:r>
    </w:p>
    <w:p>
      <w:pPr>
        <w:pStyle w:val="Heading5"/>
        <w:spacing w:line="240" w:lineRule="auto" w:before="72"/>
        <w:ind w:right="1135"/>
        <w:jc w:val="left"/>
      </w:pPr>
      <w:r>
        <w:rPr/>
        <w:t>万股股份，该事项于</w:t>
      </w:r>
      <w:r>
        <w:rPr>
          <w:spacing w:val="-57"/>
        </w:rPr>
        <w:t> </w:t>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t>日获得中国证监会发行审核委员会审核通过。</w:t>
      </w:r>
    </w:p>
    <w:p>
      <w:pPr>
        <w:spacing w:line="240" w:lineRule="auto" w:before="5"/>
        <w:rPr>
          <w:rFonts w:ascii="宋体" w:hAnsi="宋体" w:cs="宋体" w:eastAsia="宋体" w:hint="default"/>
          <w:sz w:val="29"/>
          <w:szCs w:val="29"/>
        </w:rPr>
      </w:pPr>
    </w:p>
    <w:p>
      <w:pPr>
        <w:pStyle w:val="Heading5"/>
        <w:tabs>
          <w:tab w:pos="994" w:val="left" w:leader="none"/>
        </w:tabs>
        <w:spacing w:line="300" w:lineRule="auto"/>
        <w:ind w:right="1135" w:firstLine="420"/>
        <w:jc w:val="left"/>
      </w:pPr>
      <w:r>
        <w:rPr>
          <w:rFonts w:ascii="宋体" w:hAnsi="宋体" w:cs="宋体" w:eastAsia="宋体" w:hint="default"/>
          <w:w w:val="95"/>
        </w:rPr>
        <w:t>2.</w:t>
        <w:tab/>
      </w:r>
      <w:r>
        <w:rPr/>
        <w:t>经本公司</w:t>
      </w:r>
      <w:r>
        <w:rPr>
          <w:spacing w:val="-39"/>
        </w:rPr>
        <w:t> </w:t>
      </w:r>
      <w:r>
        <w:rPr>
          <w:rFonts w:ascii="宋体" w:hAnsi="宋体" w:cs="宋体" w:eastAsia="宋体" w:hint="default"/>
        </w:rPr>
        <w:t>2015</w:t>
      </w:r>
      <w:r>
        <w:rPr>
          <w:rFonts w:ascii="宋体" w:hAnsi="宋体" w:cs="宋体" w:eastAsia="宋体" w:hint="default"/>
          <w:spacing w:val="-3"/>
        </w:rPr>
        <w:t> </w:t>
      </w:r>
      <w:r>
        <w:rPr/>
        <w:t>年</w:t>
      </w:r>
      <w:r>
        <w:rPr>
          <w:spacing w:val="-39"/>
        </w:rPr>
        <w:t> </w:t>
      </w:r>
      <w:r>
        <w:rPr>
          <w:rFonts w:ascii="宋体" w:hAnsi="宋体" w:cs="宋体" w:eastAsia="宋体" w:hint="default"/>
        </w:rPr>
        <w:t>7</w:t>
      </w:r>
      <w:r>
        <w:rPr>
          <w:rFonts w:ascii="宋体" w:hAnsi="宋体" w:cs="宋体" w:eastAsia="宋体" w:hint="default"/>
          <w:spacing w:val="-4"/>
        </w:rPr>
        <w:t> </w:t>
      </w:r>
      <w:r>
        <w:rPr/>
        <w:t>月</w:t>
      </w:r>
      <w:r>
        <w:rPr>
          <w:spacing w:val="-40"/>
        </w:rPr>
        <w:t> </w:t>
      </w:r>
      <w:r>
        <w:rPr>
          <w:rFonts w:ascii="宋体" w:hAnsi="宋体" w:cs="宋体" w:eastAsia="宋体" w:hint="default"/>
        </w:rPr>
        <w:t>14</w:t>
      </w:r>
      <w:r>
        <w:rPr>
          <w:rFonts w:ascii="宋体" w:hAnsi="宋体" w:cs="宋体" w:eastAsia="宋体" w:hint="default"/>
          <w:spacing w:val="-3"/>
        </w:rPr>
        <w:t> </w:t>
      </w:r>
      <w:r>
        <w:rPr/>
        <w:t>日召开的第六届董事会第十一次会议审议通过：本公司之全资子</w:t>
      </w:r>
      <w:r>
        <w:rPr>
          <w:w w:val="99"/>
        </w:rPr>
        <w:t> </w:t>
      </w:r>
      <w:r>
        <w:rPr>
          <w:spacing w:val="-2"/>
          <w:w w:val="99"/>
        </w:rPr>
        <w:t>公司北京中农信达信息技术有限公司（以下简称“中农信达”）联合其高管人员张丹丹、冯健刚、王</w:t>
      </w:r>
      <w:r>
        <w:rPr>
          <w:spacing w:val="-2"/>
        </w:rPr>
      </w:r>
    </w:p>
    <w:p>
      <w:pPr>
        <w:spacing w:after="0" w:line="300" w:lineRule="auto"/>
        <w:jc w:val="left"/>
        <w:sectPr>
          <w:pgSz w:w="11910" w:h="16840"/>
          <w:pgMar w:header="918" w:footer="1266" w:top="1160" w:bottom="1460" w:left="980" w:right="0"/>
        </w:sectPr>
      </w:pPr>
    </w:p>
    <w:p>
      <w:pPr>
        <w:spacing w:line="240" w:lineRule="auto" w:before="4"/>
        <w:rPr>
          <w:rFonts w:ascii="宋体" w:hAnsi="宋体" w:cs="宋体" w:eastAsia="宋体" w:hint="default"/>
          <w:sz w:val="21"/>
          <w:szCs w:val="21"/>
        </w:rPr>
      </w:pPr>
    </w:p>
    <w:p>
      <w:pPr>
        <w:pStyle w:val="Heading5"/>
        <w:spacing w:line="300" w:lineRule="auto" w:before="31"/>
        <w:ind w:right="1128"/>
        <w:jc w:val="both"/>
      </w:pPr>
      <w:r>
        <w:rPr>
          <w:spacing w:val="-2"/>
          <w:w w:val="99"/>
        </w:rPr>
        <w:t>宇飞收购北京旗硕基业科技股份有限公司（以下简称“旗硕科技”）部分股权并向旗硕科技增资。股</w:t>
      </w:r>
      <w:r>
        <w:rPr>
          <w:spacing w:val="-80"/>
          <w:w w:val="99"/>
        </w:rPr>
        <w:t> </w:t>
      </w:r>
      <w:r>
        <w:rPr>
          <w:spacing w:val="-80"/>
          <w:w w:val="99"/>
        </w:rPr>
      </w:r>
      <w:r>
        <w:rPr/>
        <w:t>权转让及增资完成后，中农信达、张丹丹、冯健刚、王宇飞分别持有旗硕科技</w:t>
      </w:r>
      <w:r>
        <w:rPr>
          <w:spacing w:val="-50"/>
        </w:rPr>
        <w:t> </w:t>
      </w:r>
      <w:r>
        <w:rPr>
          <w:rFonts w:ascii="宋体" w:hAnsi="宋体" w:cs="宋体" w:eastAsia="宋体" w:hint="default"/>
        </w:rPr>
        <w:t>40.8091%</w:t>
      </w:r>
      <w:r>
        <w:rPr/>
        <w:t>、</w:t>
      </w:r>
      <w:r>
        <w:rPr>
          <w:rFonts w:ascii="宋体" w:hAnsi="宋体" w:cs="宋体" w:eastAsia="宋体" w:hint="default"/>
        </w:rPr>
        <w:t>3.4008%</w:t>
      </w:r>
      <w:r>
        <w:rPr/>
        <w:t>、</w:t>
      </w:r>
      <w:r>
        <w:rPr>
          <w:w w:val="99"/>
        </w:rPr>
        <w:t> </w:t>
      </w:r>
      <w:r>
        <w:rPr>
          <w:rFonts w:ascii="宋体" w:hAnsi="宋体" w:cs="宋体" w:eastAsia="宋体" w:hint="default"/>
        </w:rPr>
        <w:t>3.4008%</w:t>
      </w:r>
      <w:r>
        <w:rPr/>
        <w:t>、</w:t>
      </w:r>
      <w:r>
        <w:rPr>
          <w:rFonts w:ascii="宋体" w:hAnsi="宋体" w:cs="宋体" w:eastAsia="宋体" w:hint="default"/>
        </w:rPr>
        <w:t>3.4008%</w:t>
      </w:r>
      <w:r>
        <w:rPr/>
        <w:t>的股权，合计持有旗硕科技股权</w:t>
      </w:r>
      <w:r>
        <w:rPr>
          <w:spacing w:val="-80"/>
        </w:rPr>
        <w:t> </w:t>
      </w:r>
      <w:r>
        <w:rPr>
          <w:rFonts w:ascii="宋体" w:hAnsi="宋体" w:cs="宋体" w:eastAsia="宋体" w:hint="default"/>
          <w:spacing w:val="-3"/>
        </w:rPr>
        <w:t>51.0114%</w:t>
      </w:r>
      <w:r>
        <w:rPr>
          <w:spacing w:val="-3"/>
        </w:rPr>
        <w:t>。张丹丹、冯健刚、王宇飞与中农信达签</w:t>
      </w:r>
      <w:r>
        <w:rPr>
          <w:w w:val="99"/>
        </w:rPr>
        <w:t> </w:t>
      </w:r>
      <w:r>
        <w:rPr>
          <w:spacing w:val="-4"/>
          <w:w w:val="99"/>
        </w:rPr>
        <w:t>署了《一致行动人协议》，中农信达将成为旗硕科技的实际控制人。</w:t>
      </w:r>
      <w:r>
        <w:rPr>
          <w:spacing w:val="-4"/>
        </w:rPr>
      </w:r>
    </w:p>
    <w:p>
      <w:pPr>
        <w:spacing w:line="240" w:lineRule="auto" w:before="2"/>
        <w:rPr>
          <w:rFonts w:ascii="宋体" w:hAnsi="宋体" w:cs="宋体" w:eastAsia="宋体" w:hint="default"/>
          <w:sz w:val="25"/>
          <w:szCs w:val="25"/>
        </w:rPr>
      </w:pPr>
    </w:p>
    <w:p>
      <w:pPr>
        <w:pStyle w:val="Heading5"/>
        <w:spacing w:line="240" w:lineRule="auto"/>
        <w:ind w:left="574" w:right="1135"/>
        <w:jc w:val="left"/>
      </w:pPr>
      <w:r>
        <w:rPr/>
        <w:t>中农信达已于</w:t>
      </w:r>
      <w:r>
        <w:rPr>
          <w:spacing w:val="-57"/>
        </w:rPr>
        <w:t> </w:t>
      </w:r>
      <w:r>
        <w:rPr>
          <w:rFonts w:ascii="宋体" w:hAnsi="宋体" w:cs="宋体" w:eastAsia="宋体" w:hint="default"/>
        </w:rPr>
        <w:t>2016</w:t>
      </w:r>
      <w:r>
        <w:rPr>
          <w:rFonts w:ascii="宋体" w:hAnsi="宋体" w:cs="宋体" w:eastAsia="宋体" w:hint="default"/>
          <w:spacing w:val="-58"/>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t>日取得旗硕科技的控制权，成为旗硕科技的实际控制人。</w:t>
      </w:r>
    </w:p>
    <w:p>
      <w:pPr>
        <w:spacing w:line="240" w:lineRule="auto" w:before="5"/>
        <w:rPr>
          <w:rFonts w:ascii="宋体" w:hAnsi="宋体" w:cs="宋体" w:eastAsia="宋体" w:hint="default"/>
          <w:sz w:val="29"/>
          <w:szCs w:val="29"/>
        </w:rPr>
      </w:pPr>
    </w:p>
    <w:p>
      <w:pPr>
        <w:pStyle w:val="Heading5"/>
        <w:tabs>
          <w:tab w:pos="994" w:val="left" w:leader="none"/>
        </w:tabs>
        <w:spacing w:line="240" w:lineRule="auto"/>
        <w:ind w:left="574" w:right="0"/>
        <w:jc w:val="left"/>
      </w:pPr>
      <w:r>
        <w:rPr>
          <w:rFonts w:ascii="宋体" w:hAnsi="宋体" w:cs="宋体" w:eastAsia="宋体" w:hint="default"/>
          <w:w w:val="95"/>
        </w:rPr>
        <w:t>3.</w:t>
        <w:tab/>
      </w:r>
      <w:r>
        <w:rPr/>
        <w:t>经本公司</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t>日召开的第六届董事会</w:t>
      </w:r>
      <w:r>
        <w:rPr>
          <w:spacing w:val="-55"/>
        </w:rPr>
        <w:t> </w:t>
      </w:r>
      <w:r>
        <w:rPr>
          <w:rFonts w:ascii="宋体" w:hAnsi="宋体" w:cs="宋体" w:eastAsia="宋体" w:hint="default"/>
        </w:rPr>
        <w:t>2015</w:t>
      </w:r>
      <w:r>
        <w:rPr>
          <w:rFonts w:ascii="宋体" w:hAnsi="宋体" w:cs="宋体" w:eastAsia="宋体" w:hint="default"/>
          <w:spacing w:val="-56"/>
        </w:rPr>
        <w:t> </w:t>
      </w:r>
      <w:r>
        <w:rPr>
          <w:spacing w:val="-5"/>
        </w:rPr>
        <w:t>年第三次临时会议、</w:t>
      </w:r>
      <w:r>
        <w:rPr>
          <w:rFonts w:ascii="宋体" w:hAnsi="宋体" w:cs="宋体" w:eastAsia="宋体" w:hint="default"/>
          <w:spacing w:val="-5"/>
        </w:rPr>
        <w:t>2016</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7</w:t>
      </w:r>
      <w:r>
        <w:rPr>
          <w:rFonts w:ascii="宋体" w:hAnsi="宋体" w:cs="宋体" w:eastAsia="宋体" w:hint="default"/>
          <w:spacing w:val="-56"/>
        </w:rPr>
        <w:t> </w:t>
      </w:r>
      <w:r>
        <w:rPr/>
        <w:t>日</w:t>
      </w:r>
    </w:p>
    <w:p>
      <w:pPr>
        <w:pStyle w:val="Heading4"/>
        <w:spacing w:line="288" w:lineRule="auto" w:before="60"/>
        <w:ind w:right="1130"/>
        <w:jc w:val="both"/>
      </w:pPr>
      <w:r>
        <w:rPr>
          <w:sz w:val="22"/>
          <w:szCs w:val="22"/>
        </w:rPr>
        <w:t>召开的 </w:t>
      </w:r>
      <w:r>
        <w:rPr>
          <w:rFonts w:ascii="宋体" w:hAnsi="宋体" w:cs="宋体" w:eastAsia="宋体" w:hint="default"/>
          <w:sz w:val="22"/>
          <w:szCs w:val="22"/>
        </w:rPr>
        <w:t>2016</w:t>
      </w:r>
      <w:r>
        <w:rPr>
          <w:rFonts w:ascii="宋体" w:hAnsi="宋体" w:cs="宋体" w:eastAsia="宋体" w:hint="default"/>
          <w:spacing w:val="-42"/>
          <w:sz w:val="22"/>
          <w:szCs w:val="22"/>
        </w:rPr>
        <w:t> </w:t>
      </w:r>
      <w:r>
        <w:rPr>
          <w:sz w:val="22"/>
          <w:szCs w:val="22"/>
        </w:rPr>
        <w:t>年度第一次临时股东大会审议通过：</w:t>
      </w:r>
      <w:r>
        <w:rPr/>
        <w:t>本公司、本公司之子公司神州数码系统集成服务</w:t>
      </w:r>
      <w:r>
        <w:rPr>
          <w:w w:val="100"/>
        </w:rPr>
        <w:t> </w:t>
      </w:r>
      <w:r>
        <w:rPr>
          <w:spacing w:val="-2"/>
          <w:w w:val="100"/>
        </w:rPr>
        <w:t>有限公司（以下简称系统集成公司）、神州数码信息系统有限公司（以下简称信息系统公司）以</w:t>
      </w:r>
      <w:r>
        <w:rPr>
          <w:spacing w:val="-97"/>
          <w:w w:val="100"/>
        </w:rPr>
        <w:t> </w:t>
      </w:r>
      <w:r>
        <w:rPr>
          <w:spacing w:val="-97"/>
          <w:w w:val="100"/>
        </w:rPr>
      </w:r>
      <w:r>
        <w:rPr>
          <w:spacing w:val="-2"/>
        </w:rPr>
        <w:t>及神州数码金信科技股份有限公司（以下简称金信公司）拟向招商银行北京双榆树支行申请最高</w:t>
      </w:r>
      <w:r>
        <w:rPr>
          <w:spacing w:val="-65"/>
        </w:rPr>
        <w:t> </w:t>
      </w:r>
      <w:r>
        <w:rPr>
          <w:spacing w:val="-65"/>
        </w:rPr>
      </w:r>
      <w:r>
        <w:rPr/>
        <w:t>不超过陆亿元人民币（期限</w:t>
      </w:r>
      <w:r>
        <w:rPr>
          <w:spacing w:val="-71"/>
        </w:rPr>
        <w:t> </w:t>
      </w:r>
      <w:r>
        <w:rPr>
          <w:rFonts w:ascii="宋体" w:hAnsi="宋体" w:cs="宋体" w:eastAsia="宋体" w:hint="default"/>
        </w:rPr>
        <w:t>1</w:t>
      </w:r>
      <w:r>
        <w:rPr>
          <w:rFonts w:ascii="宋体" w:hAnsi="宋体" w:cs="宋体" w:eastAsia="宋体" w:hint="default"/>
          <w:spacing w:val="-71"/>
        </w:rPr>
        <w:t> </w:t>
      </w:r>
      <w:r>
        <w:rPr/>
        <w:t>年）的授信额度。当系统集成公司、信息系统公司、金信公司使用</w:t>
      </w:r>
      <w:r>
        <w:rPr>
          <w:w w:val="100"/>
        </w:rPr>
        <w:t> </w:t>
      </w:r>
      <w:r>
        <w:rPr>
          <w:spacing w:val="-2"/>
        </w:rPr>
        <w:t>上述授信额度时，由本公司提供授信担保；当本公司使用上述授信额度时，由系统集成公司、信</w:t>
      </w:r>
      <w:r>
        <w:rPr>
          <w:spacing w:val="-65"/>
        </w:rPr>
        <w:t> </w:t>
      </w:r>
      <w:r>
        <w:rPr>
          <w:spacing w:val="-65"/>
        </w:rPr>
      </w:r>
      <w:r>
        <w:rPr/>
        <w:t>息系统公司共同提供授信担保。</w:t>
      </w:r>
    </w:p>
    <w:p>
      <w:pPr>
        <w:spacing w:line="240" w:lineRule="auto" w:before="11"/>
        <w:rPr>
          <w:rFonts w:ascii="宋体" w:hAnsi="宋体" w:cs="宋体" w:eastAsia="宋体" w:hint="default"/>
          <w:sz w:val="24"/>
          <w:szCs w:val="24"/>
        </w:rPr>
      </w:pPr>
    </w:p>
    <w:p>
      <w:pPr>
        <w:tabs>
          <w:tab w:pos="994" w:val="left" w:leader="none"/>
        </w:tabs>
        <w:spacing w:before="0"/>
        <w:ind w:left="573" w:right="0" w:firstLine="0"/>
        <w:jc w:val="left"/>
        <w:rPr>
          <w:rFonts w:ascii="宋体" w:hAnsi="宋体" w:cs="宋体" w:eastAsia="宋体" w:hint="default"/>
          <w:sz w:val="22"/>
          <w:szCs w:val="22"/>
        </w:rPr>
      </w:pPr>
      <w:r>
        <w:rPr>
          <w:rFonts w:ascii="宋体" w:hAnsi="宋体" w:cs="宋体" w:eastAsia="宋体" w:hint="default"/>
          <w:w w:val="95"/>
          <w:sz w:val="22"/>
          <w:szCs w:val="22"/>
        </w:rPr>
        <w:t>4.</w:t>
        <w:tab/>
      </w:r>
      <w:r>
        <w:rPr>
          <w:rFonts w:ascii="宋体" w:hAnsi="宋体" w:cs="宋体" w:eastAsia="宋体" w:hint="default"/>
          <w:sz w:val="22"/>
          <w:szCs w:val="22"/>
        </w:rPr>
        <w:t>经本公司</w:t>
      </w:r>
      <w:r>
        <w:rPr>
          <w:rFonts w:ascii="宋体" w:hAnsi="宋体" w:cs="宋体" w:eastAsia="宋体" w:hint="default"/>
          <w:spacing w:val="-57"/>
          <w:sz w:val="22"/>
          <w:szCs w:val="22"/>
        </w:rPr>
        <w:t> </w:t>
      </w:r>
      <w:r>
        <w:rPr>
          <w:rFonts w:ascii="宋体" w:hAnsi="宋体" w:cs="宋体" w:eastAsia="宋体" w:hint="default"/>
          <w:sz w:val="22"/>
          <w:szCs w:val="22"/>
        </w:rPr>
        <w:t>2016</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
          <w:sz w:val="22"/>
          <w:szCs w:val="22"/>
        </w:rPr>
        <w:t> </w:t>
      </w:r>
      <w:r>
        <w:rPr>
          <w:rFonts w:ascii="宋体" w:hAnsi="宋体" w:cs="宋体" w:eastAsia="宋体" w:hint="default"/>
          <w:sz w:val="22"/>
          <w:szCs w:val="22"/>
        </w:rPr>
        <w:t>13</w:t>
      </w:r>
      <w:r>
        <w:rPr>
          <w:rFonts w:ascii="宋体" w:hAnsi="宋体" w:cs="宋体" w:eastAsia="宋体" w:hint="default"/>
          <w:spacing w:val="-57"/>
          <w:sz w:val="22"/>
          <w:szCs w:val="22"/>
        </w:rPr>
        <w:t> </w:t>
      </w:r>
      <w:r>
        <w:rPr>
          <w:rFonts w:ascii="宋体" w:hAnsi="宋体" w:cs="宋体" w:eastAsia="宋体" w:hint="default"/>
          <w:sz w:val="22"/>
          <w:szCs w:val="22"/>
        </w:rPr>
        <w:t>日召开</w:t>
      </w:r>
      <w:r>
        <w:rPr>
          <w:rFonts w:ascii="宋体" w:hAnsi="宋体" w:cs="宋体" w:eastAsia="宋体" w:hint="default"/>
          <w:sz w:val="23"/>
          <w:szCs w:val="23"/>
        </w:rPr>
        <w:t>的第七届董事会</w:t>
      </w:r>
      <w:r>
        <w:rPr>
          <w:rFonts w:ascii="宋体" w:hAnsi="宋体" w:cs="宋体" w:eastAsia="宋体" w:hint="default"/>
          <w:spacing w:val="-60"/>
          <w:sz w:val="23"/>
          <w:szCs w:val="23"/>
        </w:rPr>
        <w:t> </w:t>
      </w:r>
      <w:r>
        <w:rPr>
          <w:rFonts w:ascii="宋体" w:hAnsi="宋体" w:cs="宋体" w:eastAsia="宋体" w:hint="default"/>
          <w:sz w:val="23"/>
          <w:szCs w:val="23"/>
        </w:rPr>
        <w:t>2016</w:t>
      </w:r>
      <w:r>
        <w:rPr>
          <w:rFonts w:ascii="宋体" w:hAnsi="宋体" w:cs="宋体" w:eastAsia="宋体" w:hint="default"/>
          <w:spacing w:val="-61"/>
          <w:sz w:val="23"/>
          <w:szCs w:val="23"/>
        </w:rPr>
        <w:t> </w:t>
      </w:r>
      <w:r>
        <w:rPr>
          <w:rFonts w:ascii="宋体" w:hAnsi="宋体" w:cs="宋体" w:eastAsia="宋体" w:hint="default"/>
          <w:sz w:val="23"/>
          <w:szCs w:val="23"/>
        </w:rPr>
        <w:t>年第二次临时会议</w:t>
      </w:r>
      <w:r>
        <w:rPr>
          <w:rFonts w:ascii="宋体" w:hAnsi="宋体" w:cs="宋体" w:eastAsia="宋体" w:hint="default"/>
          <w:sz w:val="22"/>
          <w:szCs w:val="22"/>
        </w:rPr>
        <w:t>、</w:t>
      </w:r>
      <w:r>
        <w:rPr>
          <w:rFonts w:ascii="宋体" w:hAnsi="宋体" w:cs="宋体" w:eastAsia="宋体" w:hint="default"/>
          <w:sz w:val="22"/>
          <w:szCs w:val="22"/>
        </w:rPr>
        <w:t>2016</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28</w:t>
      </w:r>
    </w:p>
    <w:p>
      <w:pPr>
        <w:spacing w:before="59"/>
        <w:ind w:left="153" w:right="0" w:firstLine="0"/>
        <w:jc w:val="both"/>
        <w:rPr>
          <w:rFonts w:ascii="宋体" w:hAnsi="宋体" w:cs="宋体" w:eastAsia="宋体" w:hint="default"/>
          <w:sz w:val="23"/>
          <w:szCs w:val="23"/>
        </w:rPr>
      </w:pPr>
      <w:r>
        <w:rPr>
          <w:rFonts w:ascii="宋体" w:hAnsi="宋体" w:cs="宋体" w:eastAsia="宋体" w:hint="default"/>
          <w:sz w:val="22"/>
          <w:szCs w:val="22"/>
        </w:rPr>
        <w:t>日召开的</w:t>
      </w:r>
      <w:r>
        <w:rPr>
          <w:rFonts w:ascii="宋体" w:hAnsi="宋体" w:cs="宋体" w:eastAsia="宋体" w:hint="default"/>
          <w:spacing w:val="-82"/>
          <w:sz w:val="22"/>
          <w:szCs w:val="22"/>
        </w:rPr>
        <w:t> </w:t>
      </w:r>
      <w:r>
        <w:rPr>
          <w:rFonts w:ascii="宋体" w:hAnsi="宋体" w:cs="宋体" w:eastAsia="宋体" w:hint="default"/>
          <w:sz w:val="22"/>
          <w:szCs w:val="22"/>
        </w:rPr>
        <w:t>2016</w:t>
      </w:r>
      <w:r>
        <w:rPr>
          <w:rFonts w:ascii="宋体" w:hAnsi="宋体" w:cs="宋体" w:eastAsia="宋体" w:hint="default"/>
          <w:spacing w:val="-82"/>
          <w:sz w:val="22"/>
          <w:szCs w:val="22"/>
        </w:rPr>
        <w:t> </w:t>
      </w:r>
      <w:r>
        <w:rPr>
          <w:rFonts w:ascii="宋体" w:hAnsi="宋体" w:cs="宋体" w:eastAsia="宋体" w:hint="default"/>
          <w:sz w:val="22"/>
          <w:szCs w:val="22"/>
        </w:rPr>
        <w:t>年度第二次临时股东大会审议通过：本公司、本公司之子公</w:t>
      </w:r>
      <w:r>
        <w:rPr>
          <w:rFonts w:ascii="宋体" w:hAnsi="宋体" w:cs="宋体" w:eastAsia="宋体" w:hint="default"/>
          <w:sz w:val="23"/>
          <w:szCs w:val="23"/>
        </w:rPr>
        <w:t>司系统集成公司、信息系</w:t>
      </w:r>
    </w:p>
    <w:p>
      <w:pPr>
        <w:pStyle w:val="Heading4"/>
        <w:spacing w:line="288" w:lineRule="auto"/>
        <w:ind w:right="1130"/>
        <w:jc w:val="both"/>
        <w:rPr>
          <w:sz w:val="22"/>
          <w:szCs w:val="22"/>
        </w:rPr>
      </w:pPr>
      <w:r>
        <w:rPr/>
        <w:t>统公司拟向上海银行北京分行申请最高不超过捌亿元人民币（期限</w:t>
      </w:r>
      <w:r>
        <w:rPr>
          <w:spacing w:val="-73"/>
        </w:rPr>
        <w:t> </w:t>
      </w:r>
      <w:r>
        <w:rPr>
          <w:rFonts w:ascii="宋体" w:hAnsi="宋体" w:cs="宋体" w:eastAsia="宋体" w:hint="default"/>
        </w:rPr>
        <w:t>1</w:t>
      </w:r>
      <w:r>
        <w:rPr>
          <w:rFonts w:ascii="宋体" w:hAnsi="宋体" w:cs="宋体" w:eastAsia="宋体" w:hint="default"/>
          <w:spacing w:val="-73"/>
        </w:rPr>
        <w:t> </w:t>
      </w:r>
      <w:r>
        <w:rPr/>
        <w:t>年）的授信额度，并由本公</w:t>
      </w:r>
      <w:r>
        <w:rPr>
          <w:w w:val="100"/>
        </w:rPr>
        <w:t> </w:t>
      </w:r>
      <w:r>
        <w:rPr/>
        <w:t>司提供担保</w:t>
      </w:r>
      <w:r>
        <w:rPr>
          <w:sz w:val="22"/>
          <w:szCs w:val="22"/>
        </w:rPr>
        <w:t>。</w:t>
      </w:r>
    </w:p>
    <w:p>
      <w:pPr>
        <w:spacing w:line="240" w:lineRule="auto" w:before="10"/>
        <w:rPr>
          <w:rFonts w:ascii="宋体" w:hAnsi="宋体" w:cs="宋体" w:eastAsia="宋体" w:hint="default"/>
          <w:sz w:val="25"/>
          <w:szCs w:val="25"/>
        </w:rPr>
      </w:pPr>
    </w:p>
    <w:p>
      <w:pPr>
        <w:pStyle w:val="Heading5"/>
        <w:tabs>
          <w:tab w:pos="1014" w:val="left" w:leader="none"/>
        </w:tabs>
        <w:spacing w:line="240" w:lineRule="auto"/>
        <w:ind w:left="594" w:right="1135"/>
        <w:jc w:val="left"/>
      </w:pPr>
      <w:r>
        <w:rPr>
          <w:rFonts w:ascii="宋体" w:hAnsi="宋体" w:cs="宋体" w:eastAsia="宋体" w:hint="default"/>
          <w:w w:val="95"/>
        </w:rPr>
        <w:t>5.</w:t>
        <w:tab/>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9"/>
        </w:rPr>
        <w:t> </w:t>
      </w:r>
      <w:r>
        <w:rPr>
          <w:rFonts w:ascii="宋体" w:hAnsi="宋体" w:cs="宋体" w:eastAsia="宋体" w:hint="default"/>
        </w:rPr>
        <w:t>29</w:t>
      </w:r>
      <w:r>
        <w:rPr>
          <w:rFonts w:ascii="宋体" w:hAnsi="宋体" w:cs="宋体" w:eastAsia="宋体" w:hint="default"/>
          <w:spacing w:val="-58"/>
        </w:rPr>
        <w:t> </w:t>
      </w:r>
      <w:r>
        <w:rPr/>
        <w:t>日，本公司召开第七届董事会第一次会议，会议审议通过了：</w:t>
      </w:r>
    </w:p>
    <w:p>
      <w:pPr>
        <w:spacing w:line="240" w:lineRule="auto" w:before="5"/>
        <w:rPr>
          <w:rFonts w:ascii="宋体" w:hAnsi="宋体" w:cs="宋体" w:eastAsia="宋体" w:hint="default"/>
          <w:sz w:val="29"/>
          <w:szCs w:val="29"/>
        </w:rPr>
      </w:pPr>
    </w:p>
    <w:p>
      <w:pPr>
        <w:pStyle w:val="Heading5"/>
        <w:spacing w:line="300" w:lineRule="auto"/>
        <w:ind w:right="1131" w:firstLine="440"/>
        <w:jc w:val="both"/>
      </w:pPr>
      <w:r>
        <w:rPr>
          <w:spacing w:val="-7"/>
        </w:rPr>
        <w:t>（</w:t>
      </w:r>
      <w:r>
        <w:rPr>
          <w:rFonts w:ascii="宋体" w:hAnsi="宋体" w:cs="宋体" w:eastAsia="宋体" w:hint="default"/>
          <w:spacing w:val="-7"/>
        </w:rPr>
        <w:t>1</w:t>
      </w:r>
      <w:r>
        <w:rPr>
          <w:spacing w:val="-7"/>
        </w:rPr>
        <w:t>）</w:t>
      </w:r>
      <w:r>
        <w:rPr>
          <w:rFonts w:ascii="宋体" w:hAnsi="宋体" w:cs="宋体" w:eastAsia="宋体" w:hint="default"/>
          <w:spacing w:val="-7"/>
        </w:rPr>
        <w:t>2015</w:t>
      </w:r>
      <w:r>
        <w:rPr>
          <w:rFonts w:ascii="宋体" w:hAnsi="宋体" w:cs="宋体" w:eastAsia="宋体" w:hint="default"/>
          <w:spacing w:val="-59"/>
        </w:rPr>
        <w:t> </w:t>
      </w:r>
      <w:r>
        <w:rPr>
          <w:spacing w:val="-3"/>
        </w:rPr>
        <w:t>年度公司利润分配预案：拟以未来实施</w:t>
      </w:r>
      <w:r>
        <w:rPr>
          <w:spacing w:val="-59"/>
        </w:rPr>
        <w:t> </w:t>
      </w:r>
      <w:r>
        <w:rPr>
          <w:rFonts w:ascii="宋体" w:hAnsi="宋体" w:cs="宋体" w:eastAsia="宋体" w:hint="default"/>
        </w:rPr>
        <w:t>2015</w:t>
      </w:r>
      <w:r>
        <w:rPr>
          <w:rFonts w:ascii="宋体" w:hAnsi="宋体" w:cs="宋体" w:eastAsia="宋体" w:hint="default"/>
          <w:spacing w:val="-59"/>
        </w:rPr>
        <w:t> </w:t>
      </w:r>
      <w:r>
        <w:rPr/>
        <w:t>年度权益分配方案时股权登记日的总股本</w:t>
      </w:r>
      <w:r>
        <w:rPr>
          <w:w w:val="99"/>
        </w:rPr>
        <w:t> 为基数，向全体股东每</w:t>
      </w:r>
      <w:r>
        <w:rPr>
          <w:spacing w:val="-49"/>
          <w:w w:val="99"/>
        </w:rPr>
        <w:t> </w:t>
      </w:r>
      <w:r>
        <w:rPr>
          <w:rFonts w:ascii="宋体" w:hAnsi="宋体" w:cs="宋体" w:eastAsia="宋体" w:hint="default"/>
          <w:w w:val="99"/>
        </w:rPr>
        <w:t>10</w:t>
      </w:r>
      <w:r>
        <w:rPr>
          <w:rFonts w:ascii="宋体" w:hAnsi="宋体" w:cs="宋体" w:eastAsia="宋体" w:hint="default"/>
          <w:spacing w:val="-52"/>
          <w:w w:val="99"/>
        </w:rPr>
        <w:t> </w:t>
      </w:r>
      <w:r>
        <w:rPr>
          <w:w w:val="99"/>
        </w:rPr>
        <w:t>股派发现金红利</w:t>
      </w:r>
      <w:r>
        <w:rPr>
          <w:spacing w:val="-52"/>
          <w:w w:val="99"/>
        </w:rPr>
        <w:t> </w:t>
      </w:r>
      <w:r>
        <w:rPr>
          <w:rFonts w:ascii="宋体" w:hAnsi="宋体" w:cs="宋体" w:eastAsia="宋体" w:hint="default"/>
          <w:w w:val="99"/>
        </w:rPr>
        <w:t>0.40</w:t>
      </w:r>
      <w:r>
        <w:rPr>
          <w:rFonts w:ascii="宋体" w:hAnsi="宋体" w:cs="宋体" w:eastAsia="宋体" w:hint="default"/>
          <w:spacing w:val="-53"/>
          <w:w w:val="99"/>
        </w:rPr>
        <w:t> </w:t>
      </w:r>
      <w:r>
        <w:rPr>
          <w:spacing w:val="-6"/>
          <w:w w:val="99"/>
        </w:rPr>
        <w:t>元（含税），不送红股，不以公积金转增股本；</w:t>
      </w:r>
      <w:r>
        <w:rPr>
          <w:spacing w:val="-6"/>
        </w:rPr>
      </w:r>
    </w:p>
    <w:p>
      <w:pPr>
        <w:spacing w:line="240" w:lineRule="auto" w:before="2"/>
        <w:rPr>
          <w:rFonts w:ascii="宋体" w:hAnsi="宋体" w:cs="宋体" w:eastAsia="宋体" w:hint="default"/>
          <w:sz w:val="25"/>
          <w:szCs w:val="25"/>
        </w:rPr>
      </w:pPr>
    </w:p>
    <w:p>
      <w:pPr>
        <w:pStyle w:val="Heading5"/>
        <w:spacing w:line="300" w:lineRule="auto"/>
        <w:ind w:right="1134" w:firstLine="440"/>
        <w:jc w:val="both"/>
      </w:pPr>
      <w:r>
        <w:rPr/>
        <w:t>（</w:t>
      </w:r>
      <w:r>
        <w:rPr>
          <w:rFonts w:ascii="宋体" w:hAnsi="宋体" w:cs="宋体" w:eastAsia="宋体" w:hint="default"/>
        </w:rPr>
        <w:t>2</w:t>
      </w:r>
      <w:r>
        <w:rPr/>
        <w:t>）本公司之子公司系统集成公司、信息系统公司拟向广发银行北京分行申请最高不超过叁亿</w:t>
      </w:r>
      <w:r>
        <w:rPr>
          <w:w w:val="99"/>
        </w:rPr>
        <w:t> </w:t>
      </w:r>
      <w:r>
        <w:rPr/>
        <w:t>元人民币（期限</w:t>
      </w:r>
      <w:r>
        <w:rPr>
          <w:spacing w:val="-58"/>
        </w:rPr>
        <w:t> </w:t>
      </w:r>
      <w:r>
        <w:rPr>
          <w:rFonts w:ascii="宋体" w:hAnsi="宋体" w:cs="宋体" w:eastAsia="宋体" w:hint="default"/>
        </w:rPr>
        <w:t>1</w:t>
      </w:r>
      <w:r>
        <w:rPr>
          <w:rFonts w:ascii="宋体" w:hAnsi="宋体" w:cs="宋体" w:eastAsia="宋体" w:hint="default"/>
          <w:spacing w:val="-58"/>
        </w:rPr>
        <w:t> </w:t>
      </w:r>
      <w:r>
        <w:rPr/>
        <w:t>年）的授信额度，并由本公司提供担保；</w:t>
      </w:r>
    </w:p>
    <w:p>
      <w:pPr>
        <w:spacing w:line="240" w:lineRule="auto" w:before="5"/>
        <w:rPr>
          <w:rFonts w:ascii="宋体" w:hAnsi="宋体" w:cs="宋体" w:eastAsia="宋体" w:hint="default"/>
          <w:sz w:val="23"/>
          <w:szCs w:val="23"/>
        </w:rPr>
      </w:pPr>
    </w:p>
    <w:p>
      <w:pPr>
        <w:pStyle w:val="Heading5"/>
        <w:spacing w:line="297" w:lineRule="auto"/>
        <w:ind w:left="153" w:right="1131" w:firstLine="440"/>
        <w:jc w:val="both"/>
      </w:pPr>
      <w:r>
        <w:rPr>
          <w:spacing w:val="-2"/>
        </w:rPr>
        <w:t>（</w:t>
      </w:r>
      <w:r>
        <w:rPr>
          <w:rFonts w:ascii="宋体" w:hAnsi="宋体" w:cs="宋体" w:eastAsia="宋体" w:hint="default"/>
          <w:spacing w:val="-2"/>
        </w:rPr>
        <w:t>3</w:t>
      </w:r>
      <w:r>
        <w:rPr>
          <w:spacing w:val="-2"/>
        </w:rPr>
        <w:t>）本公司之子公司</w:t>
      </w:r>
      <w:r>
        <w:rPr>
          <w:spacing w:val="-2"/>
          <w:sz w:val="24"/>
          <w:szCs w:val="24"/>
        </w:rPr>
        <w:t>信息系统公司、</w:t>
      </w:r>
      <w:r>
        <w:rPr>
          <w:spacing w:val="-2"/>
        </w:rPr>
        <w:t>金信公司、北京中农信达信息技术有限公司拟向中国工商</w:t>
      </w:r>
      <w:r>
        <w:rPr>
          <w:w w:val="99"/>
        </w:rPr>
        <w:t> </w:t>
      </w:r>
      <w:r>
        <w:rPr/>
        <w:t>银行北京中关村支行申请最高不超过壹亿捌仟万元人民币（期限</w:t>
      </w:r>
      <w:r>
        <w:rPr>
          <w:spacing w:val="-79"/>
        </w:rPr>
        <w:t> </w:t>
      </w:r>
      <w:r>
        <w:rPr>
          <w:rFonts w:ascii="宋体" w:hAnsi="宋体" w:cs="宋体" w:eastAsia="宋体" w:hint="default"/>
        </w:rPr>
        <w:t>1</w:t>
      </w:r>
      <w:r>
        <w:rPr>
          <w:rFonts w:ascii="宋体" w:hAnsi="宋体" w:cs="宋体" w:eastAsia="宋体" w:hint="default"/>
          <w:spacing w:val="-79"/>
        </w:rPr>
        <w:t> </w:t>
      </w:r>
      <w:r>
        <w:rPr/>
        <w:t>年）的授信额度，并由系统集成公</w:t>
      </w:r>
      <w:r>
        <w:rPr>
          <w:w w:val="99"/>
        </w:rPr>
        <w:t> </w:t>
      </w:r>
      <w:r>
        <w:rPr/>
        <w:t>司提供担保；</w:t>
      </w:r>
    </w:p>
    <w:p>
      <w:pPr>
        <w:spacing w:line="240" w:lineRule="auto" w:before="4"/>
        <w:rPr>
          <w:rFonts w:ascii="宋体" w:hAnsi="宋体" w:cs="宋体" w:eastAsia="宋体" w:hint="default"/>
          <w:sz w:val="25"/>
          <w:szCs w:val="25"/>
        </w:rPr>
      </w:pPr>
    </w:p>
    <w:p>
      <w:pPr>
        <w:pStyle w:val="Heading5"/>
        <w:spacing w:line="300" w:lineRule="auto"/>
        <w:ind w:left="153" w:right="1129" w:firstLine="440"/>
        <w:jc w:val="both"/>
      </w:pPr>
      <w:r>
        <w:rPr/>
        <w:t>（</w:t>
      </w:r>
      <w:r>
        <w:rPr>
          <w:rFonts w:ascii="宋体" w:hAnsi="宋体" w:cs="宋体" w:eastAsia="宋体" w:hint="default"/>
        </w:rPr>
        <w:t>4</w:t>
      </w:r>
      <w:r>
        <w:rPr/>
        <w:t>）本公司之子公司信息系统公司拟向北京银行中关村科技园区支行申请最高不超过贰亿元人</w:t>
      </w:r>
      <w:r>
        <w:rPr>
          <w:w w:val="99"/>
        </w:rPr>
        <w:t> </w:t>
      </w:r>
      <w:r>
        <w:rPr/>
        <w:t>民币（期限</w:t>
      </w:r>
      <w:r>
        <w:rPr>
          <w:spacing w:val="-59"/>
        </w:rPr>
        <w:t> </w:t>
      </w:r>
      <w:r>
        <w:rPr>
          <w:rFonts w:ascii="宋体" w:hAnsi="宋体" w:cs="宋体" w:eastAsia="宋体" w:hint="default"/>
        </w:rPr>
        <w:t>2</w:t>
      </w:r>
      <w:r>
        <w:rPr>
          <w:rFonts w:ascii="宋体" w:hAnsi="宋体" w:cs="宋体" w:eastAsia="宋体" w:hint="default"/>
          <w:spacing w:val="-60"/>
        </w:rPr>
        <w:t> </w:t>
      </w:r>
      <w:r>
        <w:rPr/>
        <w:t>年）的授信额度，并由本公司提供担保；</w:t>
      </w:r>
    </w:p>
    <w:p>
      <w:pPr>
        <w:spacing w:line="240" w:lineRule="auto" w:before="2"/>
        <w:rPr>
          <w:rFonts w:ascii="宋体" w:hAnsi="宋体" w:cs="宋体" w:eastAsia="宋体" w:hint="default"/>
          <w:sz w:val="25"/>
          <w:szCs w:val="25"/>
        </w:rPr>
      </w:pPr>
    </w:p>
    <w:p>
      <w:pPr>
        <w:pStyle w:val="Heading5"/>
        <w:spacing w:line="300" w:lineRule="auto"/>
        <w:ind w:right="1132" w:firstLine="440"/>
        <w:jc w:val="both"/>
      </w:pPr>
      <w:r>
        <w:rPr/>
        <w:t>（</w:t>
      </w:r>
      <w:r>
        <w:rPr>
          <w:rFonts w:ascii="宋体" w:hAnsi="宋体" w:cs="宋体" w:eastAsia="宋体" w:hint="default"/>
        </w:rPr>
        <w:t>5</w:t>
      </w:r>
      <w:r>
        <w:rPr/>
        <w:t>）本公司、本公司之子公司系统集成公司、信息系统公司、金信公司拟向中信银行北京知春</w:t>
      </w:r>
      <w:r>
        <w:rPr>
          <w:w w:val="99"/>
        </w:rPr>
        <w:t> </w:t>
      </w:r>
      <w:r>
        <w:rPr>
          <w:spacing w:val="-3"/>
        </w:rPr>
        <w:t>路支行申请最高不超过壹拾贰亿元人民币（期限</w:t>
      </w:r>
      <w:r>
        <w:rPr>
          <w:spacing w:val="-58"/>
        </w:rPr>
        <w:t> </w:t>
      </w:r>
      <w:r>
        <w:rPr>
          <w:rFonts w:ascii="宋体" w:hAnsi="宋体" w:cs="宋体" w:eastAsia="宋体" w:hint="default"/>
        </w:rPr>
        <w:t>2</w:t>
      </w:r>
      <w:r>
        <w:rPr>
          <w:rFonts w:ascii="宋体" w:hAnsi="宋体" w:cs="宋体" w:eastAsia="宋体" w:hint="default"/>
          <w:spacing w:val="-58"/>
        </w:rPr>
        <w:t> </w:t>
      </w:r>
      <w:r>
        <w:rPr>
          <w:spacing w:val="-9"/>
        </w:rPr>
        <w:t>年）的授信额度，当系统集成公司、信息系统公司、</w:t>
      </w:r>
      <w:r>
        <w:rPr>
          <w:w w:val="99"/>
        </w:rPr>
        <w:t> </w:t>
      </w:r>
      <w:r>
        <w:rPr/>
        <w:t>金信公司使用上述授信额度时，本公司提供担保；本公司使用上述授信额度时，无需担保；</w:t>
      </w:r>
    </w:p>
    <w:p>
      <w:pPr>
        <w:spacing w:after="0" w:line="300" w:lineRule="auto"/>
        <w:jc w:val="both"/>
        <w:sectPr>
          <w:pgSz w:w="11910" w:h="16840"/>
          <w:pgMar w:header="918" w:footer="1266" w:top="1160" w:bottom="1460" w:left="980" w:right="0"/>
        </w:sectPr>
      </w:pPr>
    </w:p>
    <w:p>
      <w:pPr>
        <w:spacing w:line="240" w:lineRule="auto" w:before="4"/>
        <w:rPr>
          <w:rFonts w:ascii="宋体" w:hAnsi="宋体" w:cs="宋体" w:eastAsia="宋体" w:hint="default"/>
          <w:sz w:val="21"/>
          <w:szCs w:val="21"/>
        </w:rPr>
      </w:pPr>
    </w:p>
    <w:p>
      <w:pPr>
        <w:pStyle w:val="Heading5"/>
        <w:spacing w:line="300" w:lineRule="auto" w:before="31"/>
        <w:ind w:left="153" w:right="1128" w:firstLine="440"/>
        <w:jc w:val="left"/>
      </w:pPr>
      <w:r>
        <w:rPr/>
        <w:t>（</w:t>
      </w:r>
      <w:r>
        <w:rPr>
          <w:rFonts w:ascii="宋体" w:hAnsi="宋体" w:cs="宋体" w:eastAsia="宋体" w:hint="default"/>
        </w:rPr>
        <w:t>6</w:t>
      </w:r>
      <w:r>
        <w:rPr/>
        <w:t>）本公司之子公司</w:t>
      </w:r>
      <w:r>
        <w:rPr>
          <w:spacing w:val="-57"/>
        </w:rPr>
        <w:t> </w:t>
      </w:r>
      <w:r>
        <w:rPr>
          <w:rFonts w:ascii="宋体" w:hAnsi="宋体" w:cs="宋体" w:eastAsia="宋体" w:hint="default"/>
        </w:rPr>
        <w:t>Digital</w:t>
      </w:r>
      <w:r>
        <w:rPr>
          <w:rFonts w:ascii="宋体" w:hAnsi="宋体" w:cs="宋体" w:eastAsia="宋体" w:hint="default"/>
          <w:spacing w:val="-13"/>
        </w:rPr>
        <w:t> </w:t>
      </w:r>
      <w:r>
        <w:rPr>
          <w:rFonts w:ascii="宋体" w:hAnsi="宋体" w:cs="宋体" w:eastAsia="宋体" w:hint="default"/>
        </w:rPr>
        <w:t>China</w:t>
      </w:r>
      <w:r>
        <w:rPr>
          <w:rFonts w:ascii="宋体" w:hAnsi="宋体" w:cs="宋体" w:eastAsia="宋体" w:hint="default"/>
          <w:spacing w:val="-14"/>
        </w:rPr>
        <w:t> </w:t>
      </w:r>
      <w:r>
        <w:rPr>
          <w:rFonts w:ascii="宋体" w:hAnsi="宋体" w:cs="宋体" w:eastAsia="宋体" w:hint="default"/>
        </w:rPr>
        <w:t>Advanced</w:t>
      </w:r>
      <w:r>
        <w:rPr>
          <w:rFonts w:ascii="宋体" w:hAnsi="宋体" w:cs="宋体" w:eastAsia="宋体" w:hint="default"/>
          <w:spacing w:val="-14"/>
        </w:rPr>
        <w:t> </w:t>
      </w:r>
      <w:r>
        <w:rPr>
          <w:rFonts w:ascii="宋体" w:hAnsi="宋体" w:cs="宋体" w:eastAsia="宋体" w:hint="default"/>
        </w:rPr>
        <w:t>Systems</w:t>
      </w:r>
      <w:r>
        <w:rPr>
          <w:rFonts w:ascii="宋体" w:hAnsi="宋体" w:cs="宋体" w:eastAsia="宋体" w:hint="default"/>
          <w:spacing w:val="-13"/>
        </w:rPr>
        <w:t> </w:t>
      </w:r>
      <w:r>
        <w:rPr>
          <w:rFonts w:ascii="宋体" w:hAnsi="宋体" w:cs="宋体" w:eastAsia="宋体" w:hint="default"/>
        </w:rPr>
        <w:t>Limited</w:t>
      </w:r>
      <w:r>
        <w:rPr>
          <w:rFonts w:ascii="宋体" w:hAnsi="宋体" w:cs="宋体" w:eastAsia="宋体" w:hint="default"/>
          <w:spacing w:val="-54"/>
        </w:rPr>
        <w:t> </w:t>
      </w:r>
      <w:r>
        <w:rPr/>
        <w:t>拟向中国工商银行（亚洲）有</w:t>
      </w:r>
      <w:r>
        <w:rPr>
          <w:w w:val="99"/>
        </w:rPr>
        <w:t> </w:t>
      </w:r>
      <w:r>
        <w:rPr/>
        <w:t>限公司申请最高贰仟万美元（期限</w:t>
      </w:r>
      <w:r>
        <w:rPr>
          <w:spacing w:val="-58"/>
        </w:rPr>
        <w:t> </w:t>
      </w:r>
      <w:r>
        <w:rPr>
          <w:rFonts w:ascii="宋体" w:hAnsi="宋体" w:cs="宋体" w:eastAsia="宋体" w:hint="default"/>
        </w:rPr>
        <w:t>3</w:t>
      </w:r>
      <w:r>
        <w:rPr>
          <w:rFonts w:ascii="宋体" w:hAnsi="宋体" w:cs="宋体" w:eastAsia="宋体" w:hint="default"/>
          <w:spacing w:val="-61"/>
        </w:rPr>
        <w:t> </w:t>
      </w:r>
      <w:r>
        <w:rPr/>
        <w:t>年）的授信额度，并由本公司提供担保；</w:t>
      </w:r>
    </w:p>
    <w:p>
      <w:pPr>
        <w:spacing w:line="240" w:lineRule="auto" w:before="2"/>
        <w:rPr>
          <w:rFonts w:ascii="宋体" w:hAnsi="宋体" w:cs="宋体" w:eastAsia="宋体" w:hint="default"/>
          <w:sz w:val="25"/>
          <w:szCs w:val="25"/>
        </w:rPr>
      </w:pPr>
    </w:p>
    <w:p>
      <w:pPr>
        <w:pStyle w:val="Heading5"/>
        <w:spacing w:line="300" w:lineRule="auto"/>
        <w:ind w:right="1135" w:firstLine="440"/>
        <w:jc w:val="left"/>
      </w:pPr>
      <w:r>
        <w:rPr/>
        <w:t>（</w:t>
      </w:r>
      <w:r>
        <w:rPr>
          <w:rFonts w:ascii="宋体" w:hAnsi="宋体" w:cs="宋体" w:eastAsia="宋体" w:hint="default"/>
        </w:rPr>
        <w:t>7</w:t>
      </w:r>
      <w:r>
        <w:rPr/>
        <w:t>）本公司之子公司系统集成公司、信息系统公司拟向中国民生银行总行营业部申请最高不超</w:t>
      </w:r>
      <w:r>
        <w:rPr>
          <w:spacing w:val="1"/>
          <w:w w:val="99"/>
        </w:rPr>
        <w:t> </w:t>
      </w:r>
      <w:r>
        <w:rPr/>
        <w:t>过壹拾亿元人民币（期限</w:t>
      </w:r>
      <w:r>
        <w:rPr>
          <w:spacing w:val="-58"/>
        </w:rPr>
        <w:t> </w:t>
      </w:r>
      <w:r>
        <w:rPr>
          <w:rFonts w:ascii="宋体" w:hAnsi="宋体" w:cs="宋体" w:eastAsia="宋体" w:hint="default"/>
        </w:rPr>
        <w:t>1</w:t>
      </w:r>
      <w:r>
        <w:rPr>
          <w:rFonts w:ascii="宋体" w:hAnsi="宋体" w:cs="宋体" w:eastAsia="宋体" w:hint="default"/>
          <w:spacing w:val="-58"/>
        </w:rPr>
        <w:t> </w:t>
      </w:r>
      <w:r>
        <w:rPr/>
        <w:t>年）的授信额度，并由本公司提供担保。</w:t>
      </w:r>
    </w:p>
    <w:p>
      <w:pPr>
        <w:spacing w:line="240" w:lineRule="auto" w:before="2"/>
        <w:rPr>
          <w:rFonts w:ascii="宋体" w:hAnsi="宋体" w:cs="宋体" w:eastAsia="宋体" w:hint="default"/>
          <w:sz w:val="25"/>
          <w:szCs w:val="25"/>
        </w:rPr>
      </w:pPr>
    </w:p>
    <w:p>
      <w:pPr>
        <w:pStyle w:val="Heading5"/>
        <w:tabs>
          <w:tab w:pos="994" w:val="left" w:leader="none"/>
        </w:tabs>
        <w:spacing w:line="240" w:lineRule="auto"/>
        <w:ind w:left="573" w:right="1135"/>
        <w:jc w:val="left"/>
      </w:pPr>
      <w:r>
        <w:rPr>
          <w:rFonts w:ascii="宋体" w:hAnsi="宋体" w:cs="宋体" w:eastAsia="宋体" w:hint="default"/>
          <w:w w:val="95"/>
        </w:rPr>
        <w:t>6.</w:t>
        <w:tab/>
      </w:r>
      <w:r>
        <w:rPr/>
        <w:t>截至本报告出具日，除上述事项外，本公司无需披露的其他重大资产负债表日后事项。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8"/>
          <w:szCs w:val="28"/>
        </w:rPr>
      </w:pPr>
    </w:p>
    <w:p>
      <w:pPr>
        <w:pStyle w:val="Heading2"/>
        <w:spacing w:line="240" w:lineRule="auto"/>
        <w:ind w:right="1135"/>
        <w:jc w:val="left"/>
        <w:rPr>
          <w:b w:val="0"/>
          <w:bCs w:val="0"/>
        </w:rPr>
      </w:pPr>
      <w:bookmarkStart w:name="十四、其他重要事项" w:id="334"/>
      <w:bookmarkEnd w:id="334"/>
      <w:r>
        <w:rPr>
          <w:b w:val="0"/>
          <w:bCs w:val="0"/>
        </w:rPr>
      </w:r>
      <w:r>
        <w:rPr/>
        <w:t>十四、其他重要事项</w:t>
      </w:r>
      <w:r>
        <w:rPr>
          <w:b w:val="0"/>
          <w:bCs w:val="0"/>
        </w:rPr>
      </w:r>
    </w:p>
    <w:p>
      <w:pPr>
        <w:spacing w:line="240" w:lineRule="auto" w:before="6"/>
        <w:rPr>
          <w:rFonts w:ascii="宋体" w:hAnsi="宋体" w:cs="宋体" w:eastAsia="宋体" w:hint="default"/>
          <w:b/>
          <w:bCs/>
          <w:sz w:val="30"/>
          <w:szCs w:val="30"/>
        </w:rPr>
      </w:pPr>
    </w:p>
    <w:p>
      <w:pPr>
        <w:pStyle w:val="BodyText"/>
        <w:spacing w:line="391" w:lineRule="auto"/>
        <w:ind w:right="1025" w:firstLine="420"/>
        <w:jc w:val="left"/>
      </w:pPr>
      <w:r>
        <w:rPr/>
        <w:t>本公司之全资子公司神州数码系统集成服务有限公司（简称</w:t>
      </w:r>
      <w:r>
        <w:rPr>
          <w:rFonts w:ascii="Times New Roman" w:hAnsi="Times New Roman" w:cs="Times New Roman" w:eastAsia="Times New Roman" w:hint="default"/>
        </w:rPr>
        <w:t>“</w:t>
      </w:r>
      <w:r>
        <w:rPr/>
        <w:t>系统集成公司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t>日与</w:t>
      </w:r>
      <w:r>
        <w:rPr>
          <w:spacing w:val="2"/>
        </w:rPr>
        <w:t> </w:t>
      </w:r>
      <w:r>
        <w:rPr/>
        <w:t>西藏京通投资管理有限公司（卖方）、北京中智创展管理咨询有限公司（目标公司）签订股权收购协议。</w:t>
      </w:r>
      <w:r>
        <w:rPr>
          <w:spacing w:val="-35"/>
        </w:rPr>
        <w:t> </w:t>
      </w:r>
      <w:r>
        <w:rPr>
          <w:spacing w:val="-35"/>
        </w:rPr>
      </w:r>
      <w:r>
        <w:rPr/>
        <w:t>协议约定，系统集成公司收购卖方所持有的目标公司已经实缴完毕的</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t>万元人民币的注册资本（占目标 </w:t>
      </w:r>
      <w:r>
        <w:rPr>
          <w:spacing w:val="-2"/>
        </w:rPr>
        <w:t>公司注册资本总额的</w:t>
      </w:r>
      <w:r>
        <w:rPr>
          <w:rFonts w:ascii="Times New Roman" w:hAnsi="Times New Roman" w:cs="Times New Roman" w:eastAsia="Times New Roman" w:hint="default"/>
          <w:spacing w:val="-2"/>
        </w:rPr>
        <w:t>100%</w:t>
      </w:r>
      <w:r>
        <w:rPr>
          <w:spacing w:val="-2"/>
        </w:rPr>
        <w:t>）所代表的股权以及附属于该股权的全部权利和义务。本次收购以基于买卖双方</w:t>
      </w:r>
      <w:r>
        <w:rPr/>
        <w:t> 共同对收购标的的市场价格判断，同时参考第三方评估机构对收购标的评估价格（评估基准日为</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31  </w:t>
      </w:r>
      <w:r>
        <w:rPr/>
        <w:t>日）确定收购对价总计人民币</w:t>
      </w:r>
      <w:r>
        <w:rPr>
          <w:rFonts w:ascii="Times New Roman" w:hAnsi="Times New Roman" w:cs="Times New Roman" w:eastAsia="Times New Roman" w:hint="default"/>
        </w:rPr>
        <w:t>19,590</w:t>
      </w:r>
      <w:r>
        <w:rPr>
          <w:rFonts w:ascii="Times New Roman" w:hAnsi="Times New Roman" w:cs="Times New Roman" w:eastAsia="Times New Roman" w:hint="default"/>
          <w:spacing w:val="10"/>
        </w:rPr>
        <w:t> </w:t>
      </w:r>
      <w:r>
        <w:rPr/>
        <w:t>万元。</w:t>
      </w:r>
    </w:p>
    <w:p>
      <w:pPr>
        <w:pStyle w:val="BodyText"/>
        <w:spacing w:line="410" w:lineRule="auto" w:before="70"/>
        <w:ind w:right="1116" w:firstLine="420"/>
        <w:jc w:val="left"/>
      </w:pPr>
      <w:r>
        <w:rPr>
          <w:spacing w:val="-1"/>
        </w:rPr>
        <w:t>截止本财务报告报出日，神州数码系统集成服务有限公司尚未取得对北京中智创展管理咨询有限公司</w:t>
      </w:r>
      <w:r>
        <w:rPr/>
        <w:t> 的控制权。</w:t>
      </w:r>
    </w:p>
    <w:p>
      <w:pPr>
        <w:spacing w:line="240" w:lineRule="auto" w:before="6"/>
        <w:rPr>
          <w:rFonts w:ascii="宋体" w:hAnsi="宋体" w:cs="宋体" w:eastAsia="宋体" w:hint="default"/>
          <w:sz w:val="18"/>
          <w:szCs w:val="18"/>
        </w:rPr>
      </w:pPr>
    </w:p>
    <w:p>
      <w:pPr>
        <w:pStyle w:val="Heading2"/>
        <w:spacing w:line="240" w:lineRule="auto"/>
        <w:ind w:right="1135"/>
        <w:jc w:val="left"/>
        <w:rPr>
          <w:b w:val="0"/>
          <w:bCs w:val="0"/>
        </w:rPr>
      </w:pPr>
      <w:bookmarkStart w:name="十五、母公司财务报表主要项目注释" w:id="335"/>
      <w:bookmarkEnd w:id="335"/>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应收账款" w:id="336"/>
      <w:bookmarkEnd w:id="33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应收账款分类披露" w:id="337"/>
      <w:bookmarkEnd w:id="3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4649"/>
        <w:gridCol w:w="1525"/>
        <w:gridCol w:w="995"/>
        <w:gridCol w:w="1399"/>
        <w:gridCol w:w="994"/>
      </w:tblGrid>
      <w:tr>
        <w:trPr>
          <w:trHeight w:val="458" w:hRule="exact"/>
        </w:trPr>
        <w:tc>
          <w:tcPr>
            <w:tcW w:w="464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类别</w:t>
            </w:r>
          </w:p>
        </w:tc>
        <w:tc>
          <w:tcPr>
            <w:tcW w:w="4914"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8" w:right="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r>
      <w:tr>
        <w:trPr>
          <w:trHeight w:val="464" w:hRule="exact"/>
        </w:trPr>
        <w:tc>
          <w:tcPr>
            <w:tcW w:w="4649" w:type="dxa"/>
            <w:vMerge/>
            <w:tcBorders>
              <w:left w:val="single" w:sz="12" w:space="0" w:color="000000"/>
              <w:right w:val="single" w:sz="4" w:space="0" w:color="000000"/>
            </w:tcBorders>
            <w:shd w:val="clear" w:color="auto" w:fill="D9D9D9"/>
          </w:tcPr>
          <w:p>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393" w:type="dxa"/>
            <w:gridSpan w:val="2"/>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790"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49" w:hRule="exact"/>
        </w:trPr>
        <w:tc>
          <w:tcPr>
            <w:tcW w:w="4649" w:type="dxa"/>
            <w:vMerge/>
            <w:tcBorders>
              <w:left w:val="single" w:sz="12" w:space="0" w:color="000000"/>
              <w:bottom w:val="single" w:sz="4" w:space="0" w:color="000000"/>
              <w:right w:val="single" w:sz="4" w:space="0" w:color="000000"/>
            </w:tcBorders>
            <w:shd w:val="clear" w:color="auto" w:fill="D9D9D9"/>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91"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3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94"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291"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79"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单项金额重大并单项计提坏账准备的应收账款</w:t>
            </w:r>
          </w:p>
        </w:tc>
        <w:tc>
          <w:tcPr>
            <w:tcW w:w="1525" w:type="dxa"/>
            <w:tcBorders>
              <w:top w:val="single" w:sz="12" w:space="0" w:color="D9D9D9"/>
              <w:left w:val="single" w:sz="4" w:space="0" w:color="000000"/>
              <w:bottom w:val="single" w:sz="4" w:space="0" w:color="000000"/>
              <w:right w:val="single" w:sz="4" w:space="0" w:color="000000"/>
            </w:tcBorders>
          </w:tcPr>
          <w:p>
            <w:pPr/>
          </w:p>
        </w:tc>
        <w:tc>
          <w:tcPr>
            <w:tcW w:w="995" w:type="dxa"/>
            <w:tcBorders>
              <w:top w:val="single" w:sz="12" w:space="0" w:color="D9D9D9"/>
              <w:left w:val="single" w:sz="4" w:space="0" w:color="000000"/>
              <w:bottom w:val="single" w:sz="4" w:space="0" w:color="000000"/>
              <w:right w:val="single" w:sz="4" w:space="0" w:color="000000"/>
            </w:tcBorders>
          </w:tcPr>
          <w:p>
            <w:pPr/>
          </w:p>
        </w:tc>
        <w:tc>
          <w:tcPr>
            <w:tcW w:w="1399" w:type="dxa"/>
            <w:tcBorders>
              <w:top w:val="single" w:sz="12" w:space="0" w:color="D9D9D9"/>
              <w:left w:val="single" w:sz="4" w:space="0" w:color="000000"/>
              <w:bottom w:val="single" w:sz="4" w:space="0" w:color="000000"/>
              <w:right w:val="single" w:sz="4" w:space="0" w:color="000000"/>
            </w:tcBorders>
          </w:tcPr>
          <w:p>
            <w:pPr/>
          </w:p>
        </w:tc>
        <w:tc>
          <w:tcPr>
            <w:tcW w:w="994" w:type="dxa"/>
            <w:tcBorders>
              <w:top w:val="single" w:sz="12" w:space="0" w:color="D9D9D9"/>
              <w:left w:val="single" w:sz="4" w:space="0" w:color="000000"/>
              <w:bottom w:val="single" w:sz="4" w:space="0" w:color="000000"/>
              <w:right w:val="single" w:sz="12" w:space="0" w:color="000000"/>
            </w:tcBorders>
          </w:tcPr>
          <w:p>
            <w:pP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5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账期组合</w:t>
            </w:r>
            <w:r>
              <w:rPr>
                <w:rFonts w:ascii="宋体" w:hAnsi="宋体" w:cs="宋体" w:eastAsia="宋体" w:hint="default"/>
                <w:sz w:val="20"/>
                <w:szCs w:val="20"/>
              </w:rPr>
              <w:t>I</w:t>
            </w:r>
          </w:p>
        </w:tc>
        <w:tc>
          <w:tcPr>
            <w:tcW w:w="15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12" w:space="0" w:color="000000"/>
            </w:tcBorders>
          </w:tcPr>
          <w:p>
            <w:pPr/>
          </w:p>
        </w:tc>
      </w:tr>
      <w:tr>
        <w:trPr>
          <w:trHeight w:val="558"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13"/>
              <w:ind w:left="93" w:right="0"/>
              <w:jc w:val="left"/>
              <w:rPr>
                <w:rFonts w:ascii="宋体" w:hAnsi="宋体" w:cs="宋体" w:eastAsia="宋体" w:hint="default"/>
                <w:sz w:val="20"/>
                <w:szCs w:val="20"/>
              </w:rPr>
            </w:pPr>
            <w:r>
              <w:rPr>
                <w:rFonts w:ascii="宋体" w:hAnsi="宋体" w:cs="宋体" w:eastAsia="宋体" w:hint="default"/>
                <w:sz w:val="20"/>
                <w:szCs w:val="20"/>
              </w:rPr>
              <w:t>账期组合</w:t>
            </w:r>
            <w:r>
              <w:rPr>
                <w:rFonts w:ascii="宋体" w:hAnsi="宋体" w:cs="宋体" w:eastAsia="宋体" w:hint="default"/>
                <w:sz w:val="20"/>
                <w:szCs w:val="20"/>
              </w:rPr>
              <w:t>II</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0"/>
                <w:szCs w:val="20"/>
              </w:rPr>
            </w:pPr>
            <w:r>
              <w:rPr>
                <w:rFonts w:ascii="Times New Roman"/>
                <w:spacing w:val="-1"/>
                <w:sz w:val="20"/>
              </w:rPr>
              <w:t>101,729,259.85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63" w:right="0"/>
              <w:jc w:val="left"/>
              <w:rPr>
                <w:rFonts w:ascii="Times New Roman" w:hAnsi="Times New Roman" w:cs="Times New Roman" w:eastAsia="Times New Roman" w:hint="default"/>
                <w:sz w:val="20"/>
                <w:szCs w:val="20"/>
              </w:rPr>
            </w:pPr>
            <w:r>
              <w:rPr>
                <w:rFonts w:ascii="Times New Roman"/>
                <w:sz w:val="20"/>
              </w:rPr>
              <w:t>99.80%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center"/>
              <w:rPr>
                <w:rFonts w:ascii="Times New Roman" w:hAnsi="Times New Roman" w:cs="Times New Roman" w:eastAsia="Times New Roman" w:hint="default"/>
                <w:sz w:val="20"/>
                <w:szCs w:val="20"/>
              </w:rPr>
            </w:pPr>
            <w:r>
              <w:rPr>
                <w:rFonts w:ascii="Times New Roman"/>
                <w:sz w:val="20"/>
              </w:rPr>
              <w:t>1,479,896.27</w:t>
            </w:r>
          </w:p>
        </w:tc>
        <w:tc>
          <w:tcPr>
            <w:tcW w:w="9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9"/>
              <w:ind w:left="364" w:right="0"/>
              <w:jc w:val="left"/>
              <w:rPr>
                <w:rFonts w:ascii="Times New Roman" w:hAnsi="Times New Roman" w:cs="Times New Roman" w:eastAsia="Times New Roman" w:hint="default"/>
                <w:sz w:val="20"/>
                <w:szCs w:val="20"/>
              </w:rPr>
            </w:pPr>
            <w:r>
              <w:rPr>
                <w:rFonts w:ascii="Times New Roman"/>
                <w:sz w:val="20"/>
              </w:rPr>
              <w:t>1.45%</w:t>
            </w:r>
          </w:p>
        </w:tc>
      </w:tr>
      <w:tr>
        <w:trPr>
          <w:trHeight w:val="473" w:hRule="exact"/>
        </w:trPr>
        <w:tc>
          <w:tcPr>
            <w:tcW w:w="464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201,500.00</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364" w:right="0"/>
              <w:jc w:val="left"/>
              <w:rPr>
                <w:rFonts w:ascii="Times New Roman" w:hAnsi="Times New Roman" w:cs="Times New Roman" w:eastAsia="Times New Roman" w:hint="default"/>
                <w:sz w:val="20"/>
                <w:szCs w:val="20"/>
              </w:rPr>
            </w:pPr>
            <w:r>
              <w:rPr>
                <w:rFonts w:ascii="Times New Roman"/>
                <w:sz w:val="20"/>
              </w:rPr>
              <w:t>0.20%</w:t>
            </w:r>
          </w:p>
        </w:tc>
        <w:tc>
          <w:tcPr>
            <w:tcW w:w="1399"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918" w:footer="1266" w:top="1160" w:bottom="1460" w:left="980" w:right="0"/>
        </w:sectPr>
      </w:pPr>
    </w:p>
    <w:p>
      <w:pPr>
        <w:spacing w:line="240" w:lineRule="auto" w:before="5"/>
        <w:rPr>
          <w:rFonts w:ascii="宋体" w:hAnsi="宋体" w:cs="宋体" w:eastAsia="宋体" w:hint="default"/>
          <w:b/>
          <w:bCs/>
          <w:sz w:val="21"/>
          <w:szCs w:val="21"/>
        </w:rPr>
      </w:pPr>
    </w:p>
    <w:tbl>
      <w:tblPr>
        <w:tblW w:w="0" w:type="auto"/>
        <w:jc w:val="left"/>
        <w:tblInd w:w="138" w:type="dxa"/>
        <w:tblLayout w:type="fixed"/>
        <w:tblCellMar>
          <w:top w:w="0" w:type="dxa"/>
          <w:left w:w="0" w:type="dxa"/>
          <w:bottom w:w="0" w:type="dxa"/>
          <w:right w:w="0" w:type="dxa"/>
        </w:tblCellMar>
        <w:tblLook w:val="01E0"/>
      </w:tblPr>
      <w:tblGrid>
        <w:gridCol w:w="4649"/>
        <w:gridCol w:w="1525"/>
        <w:gridCol w:w="995"/>
        <w:gridCol w:w="1399"/>
        <w:gridCol w:w="994"/>
      </w:tblGrid>
      <w:tr>
        <w:trPr>
          <w:trHeight w:val="473" w:hRule="exact"/>
        </w:trPr>
        <w:tc>
          <w:tcPr>
            <w:tcW w:w="464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101,930,759.85</w:t>
            </w:r>
          </w:p>
        </w:tc>
        <w:tc>
          <w:tcPr>
            <w:tcW w:w="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60" w:right="0"/>
              <w:jc w:val="center"/>
              <w:rPr>
                <w:rFonts w:ascii="Times New Roman" w:hAnsi="Times New Roman" w:cs="Times New Roman" w:eastAsia="Times New Roman" w:hint="default"/>
                <w:sz w:val="20"/>
                <w:szCs w:val="20"/>
              </w:rPr>
            </w:pPr>
            <w:r>
              <w:rPr>
                <w:rFonts w:ascii="Times New Roman"/>
                <w:sz w:val="20"/>
              </w:rPr>
              <w:t>100.00%</w:t>
            </w: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1,479,896.27</w:t>
            </w:r>
          </w:p>
        </w:tc>
        <w:tc>
          <w:tcPr>
            <w:tcW w:w="99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z w:val="20"/>
              </w:rPr>
              <w:t>1.45%</w:t>
            </w: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单项金额虽不重大但单项计提坏账准备的应收账款</w:t>
            </w:r>
          </w:p>
        </w:tc>
        <w:tc>
          <w:tcPr>
            <w:tcW w:w="152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464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101,930,759.85</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60" w:right="0"/>
              <w:jc w:val="center"/>
              <w:rPr>
                <w:rFonts w:ascii="Times New Roman" w:hAnsi="Times New Roman" w:cs="Times New Roman" w:eastAsia="Times New Roman" w:hint="default"/>
                <w:sz w:val="20"/>
                <w:szCs w:val="20"/>
              </w:rPr>
            </w:pPr>
            <w:r>
              <w:rPr>
                <w:rFonts w:ascii="Times New Roman"/>
                <w:sz w:val="20"/>
              </w:rPr>
              <w:t>100.00%</w:t>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1,479,896.27</w:t>
            </w:r>
          </w:p>
        </w:tc>
        <w:tc>
          <w:tcPr>
            <w:tcW w:w="9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z w:val="20"/>
              </w:rPr>
              <w:t>1.45%</w:t>
            </w:r>
          </w:p>
        </w:tc>
      </w:tr>
    </w:tbl>
    <w:p>
      <w:pPr>
        <w:spacing w:line="240" w:lineRule="auto" w:before="3"/>
        <w:rPr>
          <w:rFonts w:ascii="宋体" w:hAnsi="宋体" w:cs="宋体" w:eastAsia="宋体" w:hint="default"/>
          <w:b/>
          <w:bCs/>
          <w:sz w:val="5"/>
          <w:szCs w:val="5"/>
        </w:rPr>
      </w:pPr>
    </w:p>
    <w:p>
      <w:pPr>
        <w:pStyle w:val="BodyText"/>
        <w:spacing w:line="240" w:lineRule="auto" w:before="35"/>
        <w:ind w:left="658" w:right="113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4649"/>
        <w:gridCol w:w="1525"/>
        <w:gridCol w:w="981"/>
        <w:gridCol w:w="1428"/>
        <w:gridCol w:w="993"/>
      </w:tblGrid>
      <w:tr>
        <w:trPr>
          <w:trHeight w:val="459" w:hRule="exact"/>
        </w:trPr>
        <w:tc>
          <w:tcPr>
            <w:tcW w:w="4649"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类别</w:t>
            </w:r>
          </w:p>
        </w:tc>
        <w:tc>
          <w:tcPr>
            <w:tcW w:w="4927" w:type="dxa"/>
            <w:gridSpan w:val="4"/>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9"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w:t>
            </w:r>
          </w:p>
        </w:tc>
      </w:tr>
      <w:tr>
        <w:trPr>
          <w:trHeight w:val="463" w:hRule="exact"/>
        </w:trPr>
        <w:tc>
          <w:tcPr>
            <w:tcW w:w="4649" w:type="dxa"/>
            <w:vMerge/>
            <w:tcBorders>
              <w:left w:val="single" w:sz="12" w:space="0" w:color="000000"/>
              <w:right w:val="single" w:sz="4" w:space="0" w:color="000000"/>
            </w:tcBorders>
            <w:shd w:val="clear" w:color="auto" w:fill="D9D9D9"/>
          </w:tcPr>
          <w:p>
            <w:pPr/>
          </w:p>
        </w:tc>
        <w:tc>
          <w:tcPr>
            <w:tcW w:w="25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421" w:type="dxa"/>
            <w:gridSpan w:val="2"/>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805"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49" w:hRule="exact"/>
        </w:trPr>
        <w:tc>
          <w:tcPr>
            <w:tcW w:w="4649" w:type="dxa"/>
            <w:vMerge/>
            <w:tcBorders>
              <w:left w:val="single" w:sz="12" w:space="0" w:color="000000"/>
              <w:bottom w:val="single" w:sz="4" w:space="0" w:color="000000"/>
              <w:right w:val="single" w:sz="4" w:space="0" w:color="000000"/>
            </w:tcBorders>
            <w:shd w:val="clear" w:color="auto" w:fill="D9D9D9"/>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85"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93"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291"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480"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单项金额重大并单项计提坏账准备的应收账款</w:t>
            </w:r>
          </w:p>
        </w:tc>
        <w:tc>
          <w:tcPr>
            <w:tcW w:w="1525" w:type="dxa"/>
            <w:tcBorders>
              <w:top w:val="single" w:sz="12" w:space="0" w:color="D9D9D9"/>
              <w:left w:val="single" w:sz="4" w:space="0" w:color="000000"/>
              <w:bottom w:val="single" w:sz="4" w:space="0" w:color="000000"/>
              <w:right w:val="single" w:sz="4" w:space="0" w:color="000000"/>
            </w:tcBorders>
          </w:tcPr>
          <w:p>
            <w:pPr/>
          </w:p>
        </w:tc>
        <w:tc>
          <w:tcPr>
            <w:tcW w:w="981" w:type="dxa"/>
            <w:tcBorders>
              <w:top w:val="single" w:sz="12" w:space="0" w:color="D9D9D9"/>
              <w:left w:val="single" w:sz="4" w:space="0" w:color="000000"/>
              <w:bottom w:val="single" w:sz="4" w:space="0" w:color="000000"/>
              <w:right w:val="single" w:sz="4" w:space="0" w:color="000000"/>
            </w:tcBorders>
          </w:tcPr>
          <w:p>
            <w:pPr/>
          </w:p>
        </w:tc>
        <w:tc>
          <w:tcPr>
            <w:tcW w:w="1428" w:type="dxa"/>
            <w:tcBorders>
              <w:top w:val="single" w:sz="12" w:space="0" w:color="D9D9D9"/>
              <w:left w:val="single" w:sz="4" w:space="0" w:color="000000"/>
              <w:bottom w:val="single" w:sz="4" w:space="0" w:color="000000"/>
              <w:right w:val="single" w:sz="4" w:space="0" w:color="000000"/>
            </w:tcBorders>
          </w:tcPr>
          <w:p>
            <w:pPr/>
          </w:p>
        </w:tc>
        <w:tc>
          <w:tcPr>
            <w:tcW w:w="993" w:type="dxa"/>
            <w:tcBorders>
              <w:top w:val="single" w:sz="12" w:space="0" w:color="D9D9D9"/>
              <w:left w:val="single" w:sz="4" w:space="0" w:color="000000"/>
              <w:bottom w:val="single" w:sz="4" w:space="0" w:color="000000"/>
              <w:right w:val="single" w:sz="12" w:space="0" w:color="000000"/>
            </w:tcBorders>
          </w:tcPr>
          <w:p>
            <w:pPr/>
          </w:p>
        </w:tc>
      </w:tr>
      <w:tr>
        <w:trPr>
          <w:trHeight w:val="463"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525"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账期组合</w:t>
            </w:r>
            <w:r>
              <w:rPr>
                <w:rFonts w:ascii="宋体" w:hAnsi="宋体" w:cs="宋体" w:eastAsia="宋体" w:hint="default"/>
                <w:sz w:val="20"/>
                <w:szCs w:val="20"/>
              </w:rPr>
              <w:t>I</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2,300,000.00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20"/>
                <w:szCs w:val="20"/>
              </w:rPr>
            </w:pPr>
            <w:r>
              <w:rPr>
                <w:rFonts w:ascii="Times New Roman"/>
                <w:sz w:val="20"/>
              </w:rPr>
              <w:t>4.61%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2,300,000.00</w:t>
            </w:r>
          </w:p>
        </w:tc>
        <w:tc>
          <w:tcPr>
            <w:tcW w:w="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账期组合</w:t>
            </w:r>
            <w:r>
              <w:rPr>
                <w:rFonts w:ascii="宋体" w:hAnsi="宋体" w:cs="宋体" w:eastAsia="宋体" w:hint="default"/>
                <w:sz w:val="20"/>
                <w:szCs w:val="20"/>
              </w:rPr>
              <w:t>II</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39,791,896.93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z w:val="20"/>
              </w:rPr>
              <w:t>79.82%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61,481.65</w:t>
            </w:r>
          </w:p>
        </w:tc>
        <w:tc>
          <w:tcPr>
            <w:tcW w:w="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Times New Roman" w:hAnsi="Times New Roman" w:cs="Times New Roman" w:eastAsia="Times New Roman" w:hint="default"/>
                <w:sz w:val="20"/>
                <w:szCs w:val="20"/>
              </w:rPr>
            </w:pPr>
            <w:r>
              <w:rPr>
                <w:rFonts w:ascii="Times New Roman"/>
                <w:sz w:val="20"/>
              </w:rPr>
              <w:t>0.15%</w:t>
            </w:r>
          </w:p>
        </w:tc>
      </w:tr>
      <w:tr>
        <w:trPr>
          <w:trHeight w:val="463"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与交易对象关系组合</w:t>
            </w:r>
          </w:p>
        </w:tc>
        <w:tc>
          <w:tcPr>
            <w:tcW w:w="1525"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42,091,896.93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z w:val="20"/>
              </w:rPr>
              <w:t>84.43%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2,361,481.65</w:t>
            </w:r>
          </w:p>
        </w:tc>
        <w:tc>
          <w:tcPr>
            <w:tcW w:w="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Times New Roman" w:hAnsi="Times New Roman" w:cs="Times New Roman" w:eastAsia="Times New Roman" w:hint="default"/>
                <w:sz w:val="20"/>
                <w:szCs w:val="20"/>
              </w:rPr>
            </w:pPr>
            <w:r>
              <w:rPr>
                <w:rFonts w:ascii="Times New Roman"/>
                <w:sz w:val="20"/>
              </w:rPr>
              <w:t>5.61%</w:t>
            </w:r>
          </w:p>
        </w:tc>
      </w:tr>
      <w:tr>
        <w:trPr>
          <w:trHeight w:val="464" w:hRule="exact"/>
        </w:trPr>
        <w:tc>
          <w:tcPr>
            <w:tcW w:w="46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单项金额虽不重大但单项计提坏账准备的应收账款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7,762,363.27</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z w:val="20"/>
              </w:rPr>
              <w:t>15.57%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7,762,363.27</w:t>
            </w:r>
          </w:p>
        </w:tc>
        <w:tc>
          <w:tcPr>
            <w:tcW w:w="9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474" w:hRule="exact"/>
        </w:trPr>
        <w:tc>
          <w:tcPr>
            <w:tcW w:w="464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49,854,260.20</w:t>
            </w:r>
          </w:p>
        </w:tc>
        <w:tc>
          <w:tcPr>
            <w:tcW w:w="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10,123,844.92</w:t>
            </w:r>
          </w:p>
        </w:tc>
        <w:tc>
          <w:tcPr>
            <w:tcW w:w="9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z w:val="20"/>
              </w:rPr>
              <w:t>20.31%</w:t>
            </w:r>
          </w:p>
        </w:tc>
      </w:tr>
    </w:tbl>
    <w:p>
      <w:pPr>
        <w:spacing w:line="240" w:lineRule="auto" w:before="10"/>
        <w:rPr>
          <w:rFonts w:ascii="Times New Roman" w:hAnsi="Times New Roman" w:cs="Times New Roman" w:eastAsia="Times New Roman" w:hint="default"/>
          <w:sz w:val="21"/>
          <w:szCs w:val="21"/>
        </w:rPr>
      </w:pPr>
    </w:p>
    <w:p>
      <w:pPr>
        <w:spacing w:line="506" w:lineRule="auto" w:before="35"/>
        <w:ind w:left="154" w:right="6662" w:firstLine="0"/>
        <w:jc w:val="left"/>
        <w:rPr>
          <w:rFonts w:ascii="宋体" w:hAnsi="宋体" w:cs="宋体" w:eastAsia="宋体" w:hint="default"/>
          <w:sz w:val="21"/>
          <w:szCs w:val="21"/>
        </w:rPr>
      </w:pPr>
      <w:bookmarkStart w:name="（2）本期计提、收回或转回的坏账准备情况"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-865,903.90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pStyle w:val="Heading6"/>
        <w:spacing w:line="240" w:lineRule="auto" w:before="63"/>
        <w:ind w:right="1135"/>
        <w:jc w:val="left"/>
        <w:rPr>
          <w:b w:val="0"/>
          <w:bCs w:val="0"/>
        </w:rPr>
      </w:pPr>
      <w:bookmarkStart w:name="（3）本期实际核销的应收账款情况" w:id="339"/>
      <w:bookmarkEnd w:id="3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4971"/>
        <w:gridCol w:w="4584"/>
      </w:tblGrid>
      <w:tr>
        <w:trPr>
          <w:trHeight w:val="427" w:hRule="exact"/>
        </w:trPr>
        <w:tc>
          <w:tcPr>
            <w:tcW w:w="4971" w:type="dxa"/>
            <w:tcBorders>
              <w:top w:val="single" w:sz="12"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36"/>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6"/>
              <w:ind w:left="10"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75" w:hRule="exact"/>
        </w:trPr>
        <w:tc>
          <w:tcPr>
            <w:tcW w:w="497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7,762,363.27</w:t>
            </w:r>
          </w:p>
        </w:tc>
      </w:tr>
    </w:tbl>
    <w:p>
      <w:pPr>
        <w:spacing w:line="240" w:lineRule="auto" w:before="3"/>
        <w:rPr>
          <w:rFonts w:ascii="宋体" w:hAnsi="宋体" w:cs="宋体" w:eastAsia="宋体" w:hint="default"/>
          <w:sz w:val="5"/>
          <w:szCs w:val="5"/>
        </w:rPr>
      </w:pPr>
    </w:p>
    <w:p>
      <w:pPr>
        <w:pStyle w:val="BodyText"/>
        <w:spacing w:line="444" w:lineRule="auto" w:before="35"/>
        <w:ind w:left="154" w:right="7707"/>
        <w:jc w:val="left"/>
      </w:pPr>
      <w:r>
        <w:rPr/>
        <w:t>应收账款核销说明： 核销原因详见本附注七、</w:t>
      </w:r>
      <w:r>
        <w:rPr>
          <w:rFonts w:ascii="Times New Roman" w:hAnsi="Times New Roman" w:cs="Times New Roman" w:eastAsia="Times New Roman" w:hint="default"/>
        </w:rPr>
        <w:t>3</w:t>
      </w:r>
      <w:r>
        <w:rPr/>
        <w:t>所述。</w:t>
      </w:r>
    </w:p>
    <w:p>
      <w:pPr>
        <w:spacing w:line="240" w:lineRule="auto" w:before="5"/>
        <w:rPr>
          <w:rFonts w:ascii="宋体" w:hAnsi="宋体" w:cs="宋体" w:eastAsia="宋体" w:hint="default"/>
          <w:sz w:val="15"/>
          <w:szCs w:val="15"/>
        </w:rPr>
      </w:pPr>
    </w:p>
    <w:p>
      <w:pPr>
        <w:pStyle w:val="Heading6"/>
        <w:spacing w:line="240" w:lineRule="auto"/>
        <w:ind w:left="153" w:right="1135"/>
        <w:jc w:val="left"/>
        <w:rPr>
          <w:b w:val="0"/>
          <w:bCs w:val="0"/>
        </w:rPr>
      </w:pPr>
      <w:bookmarkStart w:name="（4）按欠款方归集的期末余额前五名的应收账款情况" w:id="340"/>
      <w:bookmarkEnd w:id="3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20"/>
        <w:jc w:val="left"/>
      </w:pPr>
      <w:r>
        <w:rPr/>
        <w:t>本年按欠款方归集的年末余额前五名应收账款汇总金额</w:t>
      </w:r>
      <w:r>
        <w:rPr>
          <w:rFonts w:ascii="Times New Roman" w:hAnsi="Times New Roman" w:cs="Times New Roman" w:eastAsia="Times New Roman" w:hint="default"/>
        </w:rPr>
        <w:t>62,163,373.08</w:t>
      </w:r>
      <w:r>
        <w:rPr/>
        <w:t>元，占应收账款年末余额合计数 的比例</w:t>
      </w:r>
      <w:r>
        <w:rPr>
          <w:rFonts w:ascii="Times New Roman" w:hAnsi="Times New Roman" w:cs="Times New Roman" w:eastAsia="Times New Roman" w:hint="default"/>
        </w:rPr>
        <w:t>60.99%</w:t>
      </w:r>
      <w:r>
        <w:rPr/>
        <w:t>，相应计提的坏账准备年末余额汇总金额为</w:t>
      </w:r>
      <w:r>
        <w:rPr>
          <w:rFonts w:ascii="Times New Roman" w:hAnsi="Times New Roman" w:cs="Times New Roman" w:eastAsia="Times New Roman" w:hint="default"/>
        </w:rPr>
        <w:t>839,043.45</w:t>
      </w:r>
      <w:r>
        <w:rPr/>
        <w:t>元。</w:t>
      </w:r>
    </w:p>
    <w:p>
      <w:pPr>
        <w:spacing w:after="0" w:line="386" w:lineRule="auto"/>
        <w:jc w:val="left"/>
        <w:sectPr>
          <w:pgSz w:w="11910" w:h="16840"/>
          <w:pgMar w:header="918" w:footer="1266" w:top="1160" w:bottom="1460" w:left="980" w:right="0"/>
        </w:sectPr>
      </w:pPr>
    </w:p>
    <w:p>
      <w:pPr>
        <w:spacing w:line="240" w:lineRule="auto" w:before="7"/>
        <w:rPr>
          <w:rFonts w:ascii="宋体" w:hAnsi="宋体" w:cs="宋体" w:eastAsia="宋体" w:hint="default"/>
          <w:sz w:val="17"/>
          <w:szCs w:val="17"/>
        </w:rPr>
      </w:pPr>
    </w:p>
    <w:p>
      <w:pPr>
        <w:pStyle w:val="Heading6"/>
        <w:spacing w:line="240" w:lineRule="auto" w:before="35"/>
        <w:ind w:right="1135"/>
        <w:jc w:val="left"/>
        <w:rPr>
          <w:b w:val="0"/>
          <w:bCs w:val="0"/>
        </w:rPr>
      </w:pPr>
      <w:bookmarkStart w:name="2、其他应收款" w:id="341"/>
      <w:bookmarkEnd w:id="34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5"/>
        <w:jc w:val="left"/>
        <w:rPr>
          <w:b w:val="0"/>
          <w:bCs w:val="0"/>
        </w:rPr>
      </w:pPr>
      <w:bookmarkStart w:name="（1）其他应收款分类披露" w:id="342"/>
      <w:bookmarkEnd w:id="3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after="0" w:line="240" w:lineRule="auto"/>
        <w:jc w:val="left"/>
        <w:sectPr>
          <w:pgSz w:w="11910" w:h="16840"/>
          <w:pgMar w:header="918"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486"/>
        <w:gridCol w:w="1554"/>
        <w:gridCol w:w="1296"/>
        <w:gridCol w:w="1296"/>
        <w:gridCol w:w="1298"/>
        <w:gridCol w:w="1660"/>
      </w:tblGrid>
      <w:tr>
        <w:trPr>
          <w:trHeight w:val="459" w:hRule="exact"/>
        </w:trPr>
        <w:tc>
          <w:tcPr>
            <w:tcW w:w="2486"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类别</w:t>
            </w:r>
          </w:p>
        </w:tc>
        <w:tc>
          <w:tcPr>
            <w:tcW w:w="7104" w:type="dxa"/>
            <w:gridSpan w:val="5"/>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51"/>
              <w:ind w:left="10"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464" w:hRule="exact"/>
        </w:trPr>
        <w:tc>
          <w:tcPr>
            <w:tcW w:w="2486" w:type="dxa"/>
            <w:vMerge/>
            <w:tcBorders>
              <w:left w:val="single" w:sz="12" w:space="0" w:color="000000"/>
              <w:right w:val="single" w:sz="4" w:space="0" w:color="000000"/>
            </w:tcBorders>
            <w:shd w:val="clear" w:color="auto" w:fill="D9D9D9"/>
          </w:tcPr>
          <w:p>
            <w:pPr/>
          </w:p>
        </w:tc>
        <w:tc>
          <w:tcPr>
            <w:tcW w:w="28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5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660" w:type="dxa"/>
            <w:vMerge w:val="restart"/>
            <w:tcBorders>
              <w:top w:val="single" w:sz="4" w:space="0" w:color="000000"/>
              <w:left w:val="single" w:sz="4" w:space="0" w:color="000000"/>
              <w:right w:val="single" w:sz="12" w:space="0" w:color="000000"/>
            </w:tcBorders>
            <w:shd w:val="clear" w:color="auto" w:fill="D9D9D9"/>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48" w:hRule="exact"/>
        </w:trPr>
        <w:tc>
          <w:tcPr>
            <w:tcW w:w="2486" w:type="dxa"/>
            <w:vMerge/>
            <w:tcBorders>
              <w:left w:val="single" w:sz="12" w:space="0" w:color="000000"/>
              <w:bottom w:val="single" w:sz="4" w:space="0" w:color="000000"/>
              <w:right w:val="single" w:sz="4" w:space="0" w:color="000000"/>
            </w:tcBorders>
            <w:shd w:val="clear" w:color="auto" w:fill="D9D9D9"/>
          </w:tcPr>
          <w:p>
            <w:pP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57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442"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243"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1660" w:type="dxa"/>
            <w:vMerge/>
            <w:tcBorders>
              <w:left w:val="single" w:sz="4" w:space="0" w:color="000000"/>
              <w:bottom w:val="single" w:sz="4" w:space="0" w:color="000000"/>
              <w:right w:val="single" w:sz="12" w:space="0" w:color="000000"/>
            </w:tcBorders>
            <w:shd w:val="clear" w:color="auto" w:fill="D9D9D9"/>
          </w:tcPr>
          <w:p>
            <w:pPr/>
          </w:p>
        </w:tc>
      </w:tr>
      <w:tr>
        <w:trPr>
          <w:trHeight w:val="730" w:hRule="exact"/>
        </w:trPr>
        <w:tc>
          <w:tcPr>
            <w:tcW w:w="24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51"/>
              <w:ind w:left="93" w:right="103"/>
              <w:jc w:val="left"/>
              <w:rPr>
                <w:rFonts w:ascii="宋体" w:hAnsi="宋体" w:cs="宋体" w:eastAsia="宋体" w:hint="default"/>
                <w:sz w:val="20"/>
                <w:szCs w:val="20"/>
              </w:rPr>
            </w:pPr>
            <w:r>
              <w:rPr>
                <w:rFonts w:ascii="宋体" w:hAnsi="宋体" w:cs="宋体" w:eastAsia="宋体" w:hint="default"/>
                <w:spacing w:val="4"/>
                <w:sz w:val="20"/>
                <w:szCs w:val="20"/>
              </w:rPr>
              <w:t>单项金额重大并单独计提</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坏账准备的其他应收款</w:t>
            </w:r>
          </w:p>
        </w:tc>
        <w:tc>
          <w:tcPr>
            <w:tcW w:w="1554" w:type="dxa"/>
            <w:tcBorders>
              <w:top w:val="single" w:sz="16" w:space="0" w:color="D9D9D9"/>
              <w:left w:val="single" w:sz="4" w:space="0" w:color="000000"/>
              <w:bottom w:val="single" w:sz="4" w:space="0" w:color="000000"/>
              <w:right w:val="single" w:sz="4" w:space="0" w:color="000000"/>
            </w:tcBorders>
          </w:tcPr>
          <w:p>
            <w:pPr/>
          </w:p>
        </w:tc>
        <w:tc>
          <w:tcPr>
            <w:tcW w:w="1296" w:type="dxa"/>
            <w:tcBorders>
              <w:top w:val="single" w:sz="16" w:space="0" w:color="D9D9D9"/>
              <w:left w:val="single" w:sz="4" w:space="0" w:color="000000"/>
              <w:bottom w:val="single" w:sz="4" w:space="0" w:color="000000"/>
              <w:right w:val="single" w:sz="4" w:space="0" w:color="000000"/>
            </w:tcBorders>
          </w:tcPr>
          <w:p>
            <w:pPr/>
          </w:p>
        </w:tc>
        <w:tc>
          <w:tcPr>
            <w:tcW w:w="1296" w:type="dxa"/>
            <w:tcBorders>
              <w:top w:val="single" w:sz="16" w:space="0" w:color="D9D9D9"/>
              <w:left w:val="single" w:sz="4" w:space="0" w:color="000000"/>
              <w:bottom w:val="single" w:sz="4" w:space="0" w:color="000000"/>
              <w:right w:val="single" w:sz="4" w:space="0" w:color="000000"/>
            </w:tcBorders>
          </w:tcPr>
          <w:p>
            <w:pPr/>
          </w:p>
        </w:tc>
        <w:tc>
          <w:tcPr>
            <w:tcW w:w="1298" w:type="dxa"/>
            <w:tcBorders>
              <w:top w:val="single" w:sz="16" w:space="0" w:color="D9D9D9"/>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4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4"/>
                <w:sz w:val="20"/>
                <w:szCs w:val="20"/>
              </w:rPr>
              <w:t>按信用风险特征组合计提</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坏账准备的其他应收款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20"/>
                <w:szCs w:val="20"/>
              </w:rPr>
            </w:pPr>
            <w:r>
              <w:rPr>
                <w:rFonts w:ascii="Times New Roman"/>
                <w:sz w:val="20"/>
              </w:rPr>
              <w:t>796,135.39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6" w:right="0"/>
              <w:jc w:val="left"/>
              <w:rPr>
                <w:rFonts w:ascii="Times New Roman" w:hAnsi="Times New Roman" w:cs="Times New Roman" w:eastAsia="Times New Roman" w:hint="default"/>
                <w:sz w:val="20"/>
                <w:szCs w:val="20"/>
              </w:rPr>
            </w:pPr>
            <w:r>
              <w:rPr>
                <w:rFonts w:ascii="Times New Roman"/>
                <w:sz w:val="20"/>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796,135.39</w:t>
            </w:r>
          </w:p>
        </w:tc>
      </w:tr>
      <w:tr>
        <w:trPr>
          <w:trHeight w:val="714" w:hRule="exact"/>
        </w:trPr>
        <w:tc>
          <w:tcPr>
            <w:tcW w:w="24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3"/>
              <w:jc w:val="left"/>
              <w:rPr>
                <w:rFonts w:ascii="宋体" w:hAnsi="宋体" w:cs="宋体" w:eastAsia="宋体" w:hint="default"/>
                <w:sz w:val="20"/>
                <w:szCs w:val="20"/>
              </w:rPr>
            </w:pPr>
            <w:r>
              <w:rPr>
                <w:rFonts w:ascii="宋体" w:hAnsi="宋体" w:cs="宋体" w:eastAsia="宋体" w:hint="default"/>
                <w:spacing w:val="4"/>
                <w:sz w:val="20"/>
                <w:szCs w:val="20"/>
              </w:rPr>
              <w:t>单项金额不重大但单独计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提坏账准备的其他应收款</w:t>
            </w:r>
          </w:p>
        </w:tc>
        <w:tc>
          <w:tcPr>
            <w:tcW w:w="15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486"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541" w:right="0"/>
              <w:jc w:val="left"/>
              <w:rPr>
                <w:rFonts w:ascii="Times New Roman" w:hAnsi="Times New Roman" w:cs="Times New Roman" w:eastAsia="Times New Roman" w:hint="default"/>
                <w:sz w:val="20"/>
                <w:szCs w:val="20"/>
              </w:rPr>
            </w:pPr>
            <w:r>
              <w:rPr>
                <w:rFonts w:ascii="Times New Roman"/>
                <w:sz w:val="20"/>
              </w:rPr>
              <w:t>796,135.39</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466" w:right="0"/>
              <w:jc w:val="left"/>
              <w:rPr>
                <w:rFonts w:ascii="Times New Roman" w:hAnsi="Times New Roman" w:cs="Times New Roman" w:eastAsia="Times New Roman" w:hint="default"/>
                <w:sz w:val="20"/>
                <w:szCs w:val="20"/>
              </w:rPr>
            </w:pPr>
            <w:r>
              <w:rPr>
                <w:rFonts w:ascii="Times New Roman"/>
                <w:sz w:val="20"/>
              </w:rPr>
              <w:t>100.00%</w:t>
            </w:r>
          </w:p>
        </w:tc>
        <w:tc>
          <w:tcPr>
            <w:tcW w:w="1296" w:type="dxa"/>
            <w:tcBorders>
              <w:top w:val="single" w:sz="4" w:space="0" w:color="000000"/>
              <w:left w:val="single" w:sz="4" w:space="0" w:color="000000"/>
              <w:bottom w:val="single" w:sz="12" w:space="0" w:color="000000"/>
              <w:right w:val="single" w:sz="4" w:space="0" w:color="000000"/>
            </w:tcBorders>
          </w:tcPr>
          <w:p>
            <w:pPr/>
          </w:p>
        </w:tc>
        <w:tc>
          <w:tcPr>
            <w:tcW w:w="1298" w:type="dxa"/>
            <w:tcBorders>
              <w:top w:val="single" w:sz="4" w:space="0" w:color="000000"/>
              <w:left w:val="single" w:sz="4" w:space="0" w:color="000000"/>
              <w:bottom w:val="single" w:sz="12" w:space="0" w:color="000000"/>
              <w:right w:val="single" w:sz="4" w:space="0" w:color="000000"/>
            </w:tcBorders>
          </w:tcPr>
          <w:p>
            <w:pPr/>
          </w:p>
        </w:tc>
        <w:tc>
          <w:tcPr>
            <w:tcW w:w="16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9"/>
              <w:jc w:val="right"/>
              <w:rPr>
                <w:rFonts w:ascii="Times New Roman" w:hAnsi="Times New Roman" w:cs="Times New Roman" w:eastAsia="Times New Roman" w:hint="default"/>
                <w:sz w:val="20"/>
                <w:szCs w:val="20"/>
              </w:rPr>
            </w:pPr>
            <w:r>
              <w:rPr>
                <w:rFonts w:ascii="Times New Roman"/>
                <w:spacing w:val="-1"/>
                <w:sz w:val="20"/>
              </w:rPr>
              <w:t>796,135.39</w:t>
            </w:r>
          </w:p>
        </w:tc>
      </w:tr>
    </w:tbl>
    <w:p>
      <w:pPr>
        <w:spacing w:line="240" w:lineRule="auto" w:before="3"/>
        <w:rPr>
          <w:rFonts w:ascii="宋体" w:hAnsi="宋体" w:cs="宋体" w:eastAsia="宋体" w:hint="default"/>
          <w:sz w:val="5"/>
          <w:szCs w:val="5"/>
        </w:rPr>
      </w:pPr>
    </w:p>
    <w:p>
      <w:pPr>
        <w:pStyle w:val="BodyText"/>
        <w:spacing w:line="240" w:lineRule="auto" w:before="35"/>
        <w:ind w:left="154" w:right="1135"/>
        <w:jc w:val="left"/>
      </w:pPr>
      <w:r>
        <w:rPr/>
        <w:t>（续）</w:t>
      </w:r>
    </w:p>
    <w:p>
      <w:pPr>
        <w:spacing w:line="240" w:lineRule="auto" w:before="5"/>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493"/>
        <w:gridCol w:w="1534"/>
        <w:gridCol w:w="1294"/>
        <w:gridCol w:w="1330"/>
        <w:gridCol w:w="1268"/>
        <w:gridCol w:w="1687"/>
      </w:tblGrid>
      <w:tr>
        <w:trPr>
          <w:trHeight w:val="452" w:hRule="exact"/>
        </w:trPr>
        <w:tc>
          <w:tcPr>
            <w:tcW w:w="2493"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类别</w:t>
            </w:r>
          </w:p>
        </w:tc>
        <w:tc>
          <w:tcPr>
            <w:tcW w:w="7111" w:type="dxa"/>
            <w:gridSpan w:val="5"/>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49"/>
              <w:ind w:left="10"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457" w:hRule="exact"/>
        </w:trPr>
        <w:tc>
          <w:tcPr>
            <w:tcW w:w="2493" w:type="dxa"/>
            <w:vMerge/>
            <w:tcBorders>
              <w:left w:val="single" w:sz="12" w:space="0" w:color="000000"/>
              <w:right w:val="single" w:sz="4" w:space="0" w:color="000000"/>
            </w:tcBorders>
            <w:shd w:val="clear" w:color="auto" w:fill="D9D9D9"/>
          </w:tcPr>
          <w:p>
            <w:pPr/>
          </w:p>
        </w:tc>
        <w:tc>
          <w:tcPr>
            <w:tcW w:w="2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2"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59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687" w:type="dxa"/>
            <w:vMerge w:val="restart"/>
            <w:tcBorders>
              <w:top w:val="single" w:sz="4" w:space="0" w:color="000000"/>
              <w:left w:val="single" w:sz="4" w:space="0" w:color="000000"/>
              <w:right w:val="single" w:sz="12" w:space="0" w:color="000000"/>
            </w:tcBorders>
            <w:shd w:val="clear" w:color="auto" w:fill="D9D9D9"/>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3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444" w:hRule="exact"/>
        </w:trPr>
        <w:tc>
          <w:tcPr>
            <w:tcW w:w="2493" w:type="dxa"/>
            <w:vMerge/>
            <w:tcBorders>
              <w:left w:val="single" w:sz="12" w:space="0" w:color="000000"/>
              <w:bottom w:val="single" w:sz="4" w:space="0" w:color="000000"/>
              <w:right w:val="single" w:sz="4" w:space="0" w:color="000000"/>
            </w:tcBorders>
            <w:shd w:val="clear" w:color="auto" w:fill="D9D9D9"/>
          </w:tcPr>
          <w:p>
            <w:pP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3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227"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1687" w:type="dxa"/>
            <w:vMerge/>
            <w:tcBorders>
              <w:left w:val="single" w:sz="4" w:space="0" w:color="000000"/>
              <w:bottom w:val="single" w:sz="4" w:space="0" w:color="000000"/>
              <w:right w:val="single" w:sz="12" w:space="0" w:color="000000"/>
            </w:tcBorders>
            <w:shd w:val="clear" w:color="auto" w:fill="D9D9D9"/>
          </w:tcPr>
          <w:p>
            <w:pPr/>
          </w:p>
        </w:tc>
      </w:tr>
      <w:tr>
        <w:trPr>
          <w:trHeight w:val="728" w:hRule="exact"/>
        </w:trPr>
        <w:tc>
          <w:tcPr>
            <w:tcW w:w="24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49"/>
              <w:ind w:left="93" w:right="94"/>
              <w:jc w:val="left"/>
              <w:rPr>
                <w:rFonts w:ascii="宋体" w:hAnsi="宋体" w:cs="宋体" w:eastAsia="宋体" w:hint="default"/>
                <w:sz w:val="20"/>
                <w:szCs w:val="20"/>
              </w:rPr>
            </w:pPr>
            <w:r>
              <w:rPr>
                <w:rFonts w:ascii="宋体" w:hAnsi="宋体" w:cs="宋体" w:eastAsia="宋体" w:hint="default"/>
                <w:spacing w:val="6"/>
                <w:sz w:val="20"/>
                <w:szCs w:val="20"/>
              </w:rPr>
              <w:t>单项金额重大并单独计提</w:t>
            </w:r>
            <w:r>
              <w:rPr>
                <w:rFonts w:ascii="宋体" w:hAnsi="宋体" w:cs="宋体" w:eastAsia="宋体" w:hint="default"/>
                <w:spacing w:val="-85"/>
                <w:sz w:val="20"/>
                <w:szCs w:val="20"/>
              </w:rPr>
              <w:t> </w:t>
            </w:r>
            <w:r>
              <w:rPr>
                <w:rFonts w:ascii="宋体" w:hAnsi="宋体" w:cs="宋体" w:eastAsia="宋体" w:hint="default"/>
                <w:sz w:val="20"/>
                <w:szCs w:val="20"/>
              </w:rPr>
              <w:t>坏账准备的其他应收款</w:t>
            </w:r>
          </w:p>
        </w:tc>
        <w:tc>
          <w:tcPr>
            <w:tcW w:w="1534"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30,804,760.00</w:t>
            </w:r>
          </w:p>
        </w:tc>
        <w:tc>
          <w:tcPr>
            <w:tcW w:w="1294"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17.54%</w:t>
            </w:r>
          </w:p>
        </w:tc>
        <w:tc>
          <w:tcPr>
            <w:tcW w:w="1330"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30,804,760.00</w:t>
            </w:r>
          </w:p>
        </w:tc>
        <w:tc>
          <w:tcPr>
            <w:tcW w:w="1268"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6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94"/>
              <w:jc w:val="left"/>
              <w:rPr>
                <w:rFonts w:ascii="宋体" w:hAnsi="宋体" w:cs="宋体" w:eastAsia="宋体" w:hint="default"/>
                <w:sz w:val="20"/>
                <w:szCs w:val="20"/>
              </w:rPr>
            </w:pPr>
            <w:r>
              <w:rPr>
                <w:rFonts w:ascii="宋体" w:hAnsi="宋体" w:cs="宋体" w:eastAsia="宋体" w:hint="default"/>
                <w:spacing w:val="6"/>
                <w:sz w:val="20"/>
                <w:szCs w:val="20"/>
              </w:rPr>
              <w:t>按信用风险特征组合计提</w:t>
            </w:r>
            <w:r>
              <w:rPr>
                <w:rFonts w:ascii="宋体" w:hAnsi="宋体" w:cs="宋体" w:eastAsia="宋体" w:hint="default"/>
                <w:spacing w:val="-85"/>
                <w:sz w:val="20"/>
                <w:szCs w:val="20"/>
              </w:rPr>
              <w:t> </w:t>
            </w:r>
            <w:r>
              <w:rPr>
                <w:rFonts w:ascii="宋体" w:hAnsi="宋体" w:cs="宋体" w:eastAsia="宋体" w:hint="default"/>
                <w:sz w:val="20"/>
                <w:szCs w:val="20"/>
              </w:rPr>
              <w:t>坏账准备的其他应收款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137,603,942.25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562.00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2.44%</w:t>
            </w:r>
          </w:p>
        </w:tc>
        <w:tc>
          <w:tcPr>
            <w:tcW w:w="16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137,603,380.25</w:t>
            </w:r>
          </w:p>
        </w:tc>
      </w:tr>
      <w:tr>
        <w:trPr>
          <w:trHeight w:val="714" w:hRule="exact"/>
        </w:trPr>
        <w:tc>
          <w:tcPr>
            <w:tcW w:w="249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94"/>
              <w:jc w:val="left"/>
              <w:rPr>
                <w:rFonts w:ascii="宋体" w:hAnsi="宋体" w:cs="宋体" w:eastAsia="宋体" w:hint="default"/>
                <w:sz w:val="20"/>
                <w:szCs w:val="20"/>
              </w:rPr>
            </w:pPr>
            <w:r>
              <w:rPr>
                <w:rFonts w:ascii="宋体" w:hAnsi="宋体" w:cs="宋体" w:eastAsia="宋体" w:hint="default"/>
                <w:spacing w:val="6"/>
                <w:sz w:val="20"/>
                <w:szCs w:val="20"/>
              </w:rPr>
              <w:t>单项金额不重大但单独计</w:t>
            </w:r>
            <w:r>
              <w:rPr>
                <w:rFonts w:ascii="宋体" w:hAnsi="宋体" w:cs="宋体" w:eastAsia="宋体" w:hint="default"/>
                <w:spacing w:val="-85"/>
                <w:sz w:val="20"/>
                <w:szCs w:val="20"/>
              </w:rPr>
              <w:t> </w:t>
            </w:r>
            <w:r>
              <w:rPr>
                <w:rFonts w:ascii="宋体" w:hAnsi="宋体" w:cs="宋体" w:eastAsia="宋体" w:hint="default"/>
                <w:sz w:val="20"/>
                <w:szCs w:val="20"/>
              </w:rPr>
              <w:t>提坏账准备的其他应收款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7,275,499.29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7,275,499.29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6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0.00</w:t>
            </w:r>
          </w:p>
        </w:tc>
      </w:tr>
      <w:tr>
        <w:trPr>
          <w:trHeight w:val="467" w:hRule="exact"/>
        </w:trPr>
        <w:tc>
          <w:tcPr>
            <w:tcW w:w="249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3"/>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175,684,201.54</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100.00%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38,080,821.29</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21.68%</w:t>
            </w:r>
          </w:p>
        </w:tc>
        <w:tc>
          <w:tcPr>
            <w:tcW w:w="16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8"/>
              <w:ind w:right="89"/>
              <w:jc w:val="right"/>
              <w:rPr>
                <w:rFonts w:ascii="Times New Roman" w:hAnsi="Times New Roman" w:cs="Times New Roman" w:eastAsia="Times New Roman" w:hint="default"/>
                <w:sz w:val="18"/>
                <w:szCs w:val="18"/>
              </w:rPr>
            </w:pPr>
            <w:r>
              <w:rPr>
                <w:rFonts w:ascii="Times New Roman"/>
                <w:spacing w:val="-1"/>
                <w:sz w:val="18"/>
              </w:rPr>
              <w:t>137,603,380.25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54" w:right="1135"/>
        <w:jc w:val="left"/>
      </w:pPr>
      <w:r>
        <w:rPr/>
        <w:t>期末单项金额重大并单项计提坏账准备的其他应收款：</w:t>
      </w:r>
    </w:p>
    <w:p>
      <w:pPr>
        <w:spacing w:line="240" w:lineRule="auto" w:before="12"/>
        <w:rPr>
          <w:rFonts w:ascii="宋体" w:hAnsi="宋体" w:cs="宋体" w:eastAsia="宋体" w:hint="default"/>
          <w:sz w:val="17"/>
          <w:szCs w:val="17"/>
        </w:rPr>
      </w:pPr>
    </w:p>
    <w:p>
      <w:pPr>
        <w:pStyle w:val="BodyText"/>
        <w:spacing w:line="420" w:lineRule="auto"/>
        <w:ind w:left="154"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pStyle w:val="BodyText"/>
        <w:spacing w:line="420" w:lineRule="auto" w:before="75"/>
        <w:ind w:left="154"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组合中，采用余额百分比法计提坏账准备的其他应收款：</w:t>
      </w:r>
    </w:p>
    <w:p>
      <w:pPr>
        <w:pStyle w:val="BodyText"/>
        <w:spacing w:line="240" w:lineRule="auto" w:before="75"/>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918" w:footer="1266" w:top="1160" w:bottom="1460" w:left="980" w:right="0"/>
        </w:sectPr>
      </w:pPr>
    </w:p>
    <w:p>
      <w:pPr>
        <w:spacing w:line="240" w:lineRule="auto" w:before="8"/>
        <w:rPr>
          <w:rFonts w:ascii="宋体" w:hAnsi="宋体" w:cs="宋体" w:eastAsia="宋体" w:hint="default"/>
          <w:sz w:val="23"/>
          <w:szCs w:val="23"/>
        </w:rPr>
      </w:pPr>
    </w:p>
    <w:p>
      <w:pPr>
        <w:pStyle w:val="BodyText"/>
        <w:spacing w:line="240" w:lineRule="auto" w:before="35"/>
        <w:ind w:left="154" w:right="1135"/>
        <w:jc w:val="left"/>
      </w:pPr>
      <w:r>
        <w:rPr/>
        <w:t>组合中，采用其他方法计提坏账准备的其他应收款：</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30"/>
          <w:szCs w:val="30"/>
        </w:rPr>
      </w:pPr>
    </w:p>
    <w:p>
      <w:pPr>
        <w:pStyle w:val="Heading6"/>
        <w:spacing w:line="240" w:lineRule="auto"/>
        <w:ind w:right="1135"/>
        <w:jc w:val="left"/>
        <w:rPr>
          <w:b w:val="0"/>
          <w:bCs w:val="0"/>
        </w:rPr>
      </w:pPr>
      <w:bookmarkStart w:name="（2）其他应收款按款项性质分类情况" w:id="343"/>
      <w:bookmarkEnd w:id="343"/>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369"/>
        <w:gridCol w:w="3100"/>
        <w:gridCol w:w="3099"/>
      </w:tblGrid>
      <w:tr>
        <w:trPr>
          <w:trHeight w:val="458" w:hRule="exact"/>
        </w:trPr>
        <w:tc>
          <w:tcPr>
            <w:tcW w:w="3369" w:type="dxa"/>
            <w:tcBorders>
              <w:top w:val="single" w:sz="12" w:space="0" w:color="000000"/>
              <w:left w:val="single" w:sz="12" w:space="0" w:color="000000"/>
              <w:bottom w:val="single" w:sz="16" w:space="0" w:color="D9D9D9"/>
              <w:right w:val="single" w:sz="4" w:space="0" w:color="000000"/>
            </w:tcBorders>
            <w:shd w:val="clear" w:color="auto" w:fill="D2D2D2"/>
          </w:tcPr>
          <w:p>
            <w:pPr>
              <w:pStyle w:val="TableParagraph"/>
              <w:spacing w:line="240" w:lineRule="auto" w:before="66"/>
              <w:ind w:right="8"/>
              <w:jc w:val="center"/>
              <w:rPr>
                <w:rFonts w:ascii="宋体" w:hAnsi="宋体" w:cs="宋体" w:eastAsia="宋体" w:hint="default"/>
                <w:sz w:val="20"/>
                <w:szCs w:val="20"/>
              </w:rPr>
            </w:pPr>
            <w:r>
              <w:rPr>
                <w:rFonts w:ascii="宋体" w:hAnsi="宋体" w:cs="宋体" w:eastAsia="宋体" w:hint="default"/>
                <w:sz w:val="20"/>
                <w:szCs w:val="20"/>
              </w:rPr>
              <w:t>款项性质</w:t>
            </w:r>
          </w:p>
        </w:tc>
        <w:tc>
          <w:tcPr>
            <w:tcW w:w="31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44" w:right="0"/>
              <w:jc w:val="left"/>
              <w:rPr>
                <w:rFonts w:ascii="宋体" w:hAnsi="宋体" w:cs="宋体" w:eastAsia="宋体" w:hint="default"/>
                <w:sz w:val="20"/>
                <w:szCs w:val="20"/>
              </w:rPr>
            </w:pPr>
            <w:r>
              <w:rPr>
                <w:rFonts w:ascii="宋体" w:hAnsi="宋体" w:cs="宋体" w:eastAsia="宋体" w:hint="default"/>
                <w:sz w:val="20"/>
                <w:szCs w:val="20"/>
              </w:rPr>
              <w:t>期末账面余额</w:t>
            </w:r>
          </w:p>
        </w:tc>
        <w:tc>
          <w:tcPr>
            <w:tcW w:w="30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944" w:right="0"/>
              <w:jc w:val="left"/>
              <w:rPr>
                <w:rFonts w:ascii="宋体" w:hAnsi="宋体" w:cs="宋体" w:eastAsia="宋体" w:hint="default"/>
                <w:sz w:val="20"/>
                <w:szCs w:val="20"/>
              </w:rPr>
            </w:pPr>
            <w:r>
              <w:rPr>
                <w:rFonts w:ascii="宋体" w:hAnsi="宋体" w:cs="宋体" w:eastAsia="宋体" w:hint="default"/>
                <w:sz w:val="20"/>
                <w:szCs w:val="20"/>
              </w:rPr>
              <w:t>期初账面余额</w:t>
            </w:r>
          </w:p>
        </w:tc>
      </w:tr>
      <w:tr>
        <w:trPr>
          <w:trHeight w:val="480" w:hRule="exact"/>
        </w:trPr>
        <w:tc>
          <w:tcPr>
            <w:tcW w:w="3369"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资金往来</w:t>
            </w:r>
          </w:p>
        </w:tc>
        <w:tc>
          <w:tcPr>
            <w:tcW w:w="3100" w:type="dxa"/>
            <w:tcBorders>
              <w:top w:val="single" w:sz="16" w:space="0" w:color="D2D2D2"/>
              <w:left w:val="single" w:sz="4" w:space="0" w:color="000000"/>
              <w:bottom w:val="single" w:sz="4" w:space="0" w:color="000000"/>
              <w:right w:val="single" w:sz="4" w:space="0" w:color="000000"/>
            </w:tcBorders>
          </w:tcPr>
          <w:p>
            <w:pPr/>
          </w:p>
        </w:tc>
        <w:tc>
          <w:tcPr>
            <w:tcW w:w="3099"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170,819,224.54</w:t>
            </w:r>
          </w:p>
        </w:tc>
      </w:tr>
      <w:tr>
        <w:trPr>
          <w:trHeight w:val="463" w:hRule="exact"/>
        </w:trPr>
        <w:tc>
          <w:tcPr>
            <w:tcW w:w="33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796,135.39</w:t>
            </w:r>
          </w:p>
        </w:tc>
        <w:tc>
          <w:tcPr>
            <w:tcW w:w="30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780,942.25</w:t>
            </w:r>
          </w:p>
        </w:tc>
      </w:tr>
      <w:tr>
        <w:trPr>
          <w:trHeight w:val="464" w:hRule="exact"/>
        </w:trPr>
        <w:tc>
          <w:tcPr>
            <w:tcW w:w="33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0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4,084,034.75</w:t>
            </w:r>
          </w:p>
        </w:tc>
      </w:tr>
      <w:tr>
        <w:trPr>
          <w:trHeight w:val="475" w:hRule="exact"/>
        </w:trPr>
        <w:tc>
          <w:tcPr>
            <w:tcW w:w="336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20"/>
                <w:szCs w:val="20"/>
              </w:rPr>
            </w:pPr>
            <w:r>
              <w:rPr>
                <w:rFonts w:ascii="Times New Roman"/>
                <w:spacing w:val="-1"/>
                <w:sz w:val="20"/>
              </w:rPr>
              <w:t>796,135.39</w:t>
            </w:r>
          </w:p>
        </w:tc>
        <w:tc>
          <w:tcPr>
            <w:tcW w:w="30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9"/>
              <w:jc w:val="right"/>
              <w:rPr>
                <w:rFonts w:ascii="Times New Roman" w:hAnsi="Times New Roman" w:cs="Times New Roman" w:eastAsia="Times New Roman" w:hint="default"/>
                <w:sz w:val="20"/>
                <w:szCs w:val="20"/>
              </w:rPr>
            </w:pPr>
            <w:r>
              <w:rPr>
                <w:rFonts w:ascii="Times New Roman"/>
                <w:spacing w:val="-1"/>
                <w:sz w:val="20"/>
              </w:rPr>
              <w:t>175,684,201.54</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按欠款方归集的期末余额前五名的其他应收款情况" w:id="344"/>
      <w:bookmarkEnd w:id="344"/>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78"/>
        <w:gridCol w:w="1276"/>
        <w:gridCol w:w="992"/>
        <w:gridCol w:w="1559"/>
        <w:gridCol w:w="635"/>
        <w:gridCol w:w="1209"/>
        <w:gridCol w:w="921"/>
      </w:tblGrid>
      <w:tr>
        <w:trPr>
          <w:trHeight w:val="724" w:hRule="exact"/>
        </w:trPr>
        <w:tc>
          <w:tcPr>
            <w:tcW w:w="297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款项的性质</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账龄</w:t>
            </w:r>
          </w:p>
        </w:tc>
        <w:tc>
          <w:tcPr>
            <w:tcW w:w="184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116" w:right="114"/>
              <w:jc w:val="left"/>
              <w:rPr>
                <w:rFonts w:ascii="宋体" w:hAnsi="宋体" w:cs="宋体" w:eastAsia="宋体" w:hint="default"/>
                <w:sz w:val="20"/>
                <w:szCs w:val="20"/>
              </w:rPr>
            </w:pPr>
            <w:r>
              <w:rPr>
                <w:rFonts w:ascii="宋体" w:hAnsi="宋体" w:cs="宋体" w:eastAsia="宋体" w:hint="default"/>
                <w:sz w:val="20"/>
                <w:szCs w:val="20"/>
              </w:rPr>
              <w:t>占其他应收款期末</w:t>
            </w:r>
            <w:r>
              <w:rPr>
                <w:rFonts w:ascii="宋体" w:hAnsi="宋体" w:cs="宋体" w:eastAsia="宋体" w:hint="default"/>
                <w:w w:val="100"/>
                <w:sz w:val="20"/>
                <w:szCs w:val="20"/>
              </w:rPr>
              <w:t> </w:t>
            </w:r>
            <w:r>
              <w:rPr>
                <w:rFonts w:ascii="宋体" w:hAnsi="宋体" w:cs="宋体" w:eastAsia="宋体" w:hint="default"/>
                <w:sz w:val="20"/>
                <w:szCs w:val="20"/>
              </w:rPr>
              <w:t>余额合计数的比例</w:t>
            </w:r>
          </w:p>
        </w:tc>
        <w:tc>
          <w:tcPr>
            <w:tcW w:w="92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85" w:lineRule="auto" w:before="35"/>
              <w:ind w:left="55" w:right="42"/>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100"/>
                <w:sz w:val="20"/>
                <w:szCs w:val="20"/>
              </w:rPr>
              <w:t> </w:t>
            </w:r>
            <w:r>
              <w:rPr>
                <w:rFonts w:ascii="宋体" w:hAnsi="宋体" w:cs="宋体" w:eastAsia="宋体" w:hint="default"/>
                <w:sz w:val="20"/>
                <w:szCs w:val="20"/>
              </w:rPr>
              <w:t>期末余额</w:t>
            </w:r>
          </w:p>
        </w:tc>
      </w:tr>
      <w:tr>
        <w:trPr>
          <w:trHeight w:val="714" w:hRule="exact"/>
        </w:trPr>
        <w:tc>
          <w:tcPr>
            <w:tcW w:w="2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5" w:lineRule="auto" w:before="35"/>
              <w:ind w:left="13" w:right="23"/>
              <w:jc w:val="left"/>
              <w:rPr>
                <w:rFonts w:ascii="宋体" w:hAnsi="宋体" w:cs="宋体" w:eastAsia="宋体" w:hint="default"/>
                <w:sz w:val="20"/>
                <w:szCs w:val="20"/>
              </w:rPr>
            </w:pPr>
            <w:r>
              <w:rPr>
                <w:rFonts w:ascii="宋体" w:hAnsi="宋体" w:cs="宋体" w:eastAsia="宋体" w:hint="default"/>
                <w:spacing w:val="6"/>
                <w:sz w:val="20"/>
                <w:szCs w:val="20"/>
              </w:rPr>
              <w:t>北京中关村京蒙高科企业孵化器</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押金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20"/>
                <w:szCs w:val="20"/>
              </w:rPr>
            </w:pPr>
            <w:r>
              <w:rPr>
                <w:rFonts w:ascii="Times New Roman"/>
                <w:sz w:val="20"/>
              </w:rPr>
              <w:t>775,679.39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w w:val="100"/>
                <w:sz w:val="20"/>
                <w:szCs w:val="20"/>
              </w:rPr>
              <w:t>1</w:t>
            </w:r>
            <w:r>
              <w:rPr>
                <w:rFonts w:ascii="宋体" w:hAnsi="宋体" w:cs="宋体" w:eastAsia="宋体" w:hint="default"/>
                <w:spacing w:val="-49"/>
                <w:sz w:val="20"/>
                <w:szCs w:val="20"/>
              </w:rPr>
              <w:t> </w:t>
            </w:r>
            <w:r>
              <w:rPr>
                <w:rFonts w:ascii="宋体" w:hAnsi="宋体" w:cs="宋体" w:eastAsia="宋体" w:hint="default"/>
                <w:spacing w:val="-2"/>
                <w:w w:val="100"/>
                <w:sz w:val="20"/>
                <w:szCs w:val="20"/>
              </w:rPr>
              <w:t>年</w:t>
            </w:r>
            <w:r>
              <w:rPr>
                <w:rFonts w:ascii="宋体" w:hAnsi="宋体" w:cs="宋体" w:eastAsia="宋体" w:hint="default"/>
                <w:w w:val="100"/>
                <w:sz w:val="20"/>
                <w:szCs w:val="20"/>
              </w:rPr>
              <w:t>以内</w:t>
            </w:r>
            <w:r>
              <w:rPr>
                <w:rFonts w:ascii="宋体" w:hAnsi="宋体" w:cs="宋体" w:eastAsia="宋体" w:hint="default"/>
                <w:spacing w:val="-99"/>
                <w:w w:val="100"/>
                <w:sz w:val="20"/>
                <w:szCs w:val="20"/>
              </w:rPr>
              <w:t>，</w:t>
            </w:r>
            <w:r>
              <w:rPr>
                <w:rFonts w:ascii="宋体" w:hAnsi="宋体" w:cs="宋体" w:eastAsia="宋体" w:hint="default"/>
                <w:spacing w:val="-1"/>
                <w:w w:val="100"/>
                <w:sz w:val="20"/>
                <w:szCs w:val="20"/>
              </w:rPr>
              <w:t>1-</w:t>
            </w:r>
            <w:r>
              <w:rPr>
                <w:rFonts w:ascii="宋体" w:hAnsi="宋体" w:cs="宋体" w:eastAsia="宋体" w:hint="default"/>
                <w:w w:val="100"/>
                <w:sz w:val="20"/>
                <w:szCs w:val="20"/>
              </w:rPr>
              <w:t>2</w:t>
            </w:r>
            <w:r>
              <w:rPr>
                <w:rFonts w:ascii="宋体" w:hAnsi="宋体" w:cs="宋体" w:eastAsia="宋体" w:hint="default"/>
                <w:spacing w:val="-51"/>
                <w:sz w:val="20"/>
                <w:szCs w:val="20"/>
              </w:rPr>
              <w:t> </w:t>
            </w:r>
            <w:r>
              <w:rPr>
                <w:rFonts w:ascii="宋体" w:hAnsi="宋体" w:cs="宋体" w:eastAsia="宋体" w:hint="default"/>
                <w:w w:val="100"/>
                <w:sz w:val="20"/>
                <w:szCs w:val="20"/>
              </w:rPr>
              <w:t>年</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34"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20"/>
                <w:szCs w:val="20"/>
              </w:rPr>
            </w:pPr>
            <w:r>
              <w:rPr>
                <w:rFonts w:ascii="Times New Roman"/>
                <w:sz w:val="20"/>
              </w:rPr>
              <w:t>97.43%</w:t>
            </w:r>
          </w:p>
        </w:tc>
        <w:tc>
          <w:tcPr>
            <w:tcW w:w="921"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29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pacing w:val="-6"/>
                <w:sz w:val="20"/>
                <w:szCs w:val="20"/>
              </w:rPr>
              <w:t>深圳科技工业园（集团）有限公司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押金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4" w:right="0"/>
              <w:jc w:val="center"/>
              <w:rPr>
                <w:rFonts w:ascii="Times New Roman" w:hAnsi="Times New Roman" w:cs="Times New Roman" w:eastAsia="Times New Roman" w:hint="default"/>
                <w:sz w:val="20"/>
                <w:szCs w:val="20"/>
              </w:rPr>
            </w:pPr>
            <w:r>
              <w:rPr>
                <w:rFonts w:ascii="Times New Roman"/>
                <w:sz w:val="20"/>
              </w:rPr>
              <w:t>20,456.00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z w:val="20"/>
              </w:rPr>
              <w:t>2.57%</w:t>
            </w:r>
          </w:p>
        </w:tc>
        <w:tc>
          <w:tcPr>
            <w:tcW w:w="921"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97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76"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35" w:right="0"/>
              <w:jc w:val="center"/>
              <w:rPr>
                <w:rFonts w:ascii="Times New Roman" w:hAnsi="Times New Roman" w:cs="Times New Roman" w:eastAsia="Times New Roman" w:hint="default"/>
                <w:sz w:val="20"/>
                <w:szCs w:val="20"/>
              </w:rPr>
            </w:pPr>
            <w:r>
              <w:rPr>
                <w:rFonts w:ascii="Times New Roman"/>
                <w:sz w:val="20"/>
              </w:rPr>
              <w:t>796,135.39</w:t>
            </w:r>
          </w:p>
        </w:tc>
        <w:tc>
          <w:tcPr>
            <w:tcW w:w="1559" w:type="dxa"/>
            <w:tcBorders>
              <w:top w:val="single" w:sz="4" w:space="0" w:color="000000"/>
              <w:left w:val="single" w:sz="4" w:space="0" w:color="000000"/>
              <w:bottom w:val="single" w:sz="12" w:space="0" w:color="000000"/>
              <w:right w:val="single" w:sz="4" w:space="0" w:color="000000"/>
            </w:tcBorders>
          </w:tcPr>
          <w:p>
            <w:pPr/>
          </w:p>
        </w:tc>
        <w:tc>
          <w:tcPr>
            <w:tcW w:w="184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093" w:right="0"/>
              <w:jc w:val="left"/>
              <w:rPr>
                <w:rFonts w:ascii="Times New Roman" w:hAnsi="Times New Roman" w:cs="Times New Roman" w:eastAsia="Times New Roman" w:hint="default"/>
                <w:sz w:val="20"/>
                <w:szCs w:val="20"/>
              </w:rPr>
            </w:pPr>
            <w:r>
              <w:rPr>
                <w:rFonts w:ascii="Times New Roman"/>
                <w:sz w:val="20"/>
              </w:rPr>
              <w:t>100.00%</w:t>
            </w:r>
          </w:p>
        </w:tc>
        <w:tc>
          <w:tcPr>
            <w:tcW w:w="921"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3、长期股权投资" w:id="345"/>
      <w:bookmarkEnd w:id="34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86"/>
        <w:gridCol w:w="1559"/>
        <w:gridCol w:w="710"/>
        <w:gridCol w:w="1559"/>
        <w:gridCol w:w="1560"/>
        <w:gridCol w:w="708"/>
        <w:gridCol w:w="1495"/>
      </w:tblGrid>
      <w:tr>
        <w:trPr>
          <w:trHeight w:val="443" w:hRule="exact"/>
        </w:trPr>
        <w:tc>
          <w:tcPr>
            <w:tcW w:w="1986"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3" w:type="dxa"/>
            <w:gridSpan w:val="3"/>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66"/>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30" w:hRule="exact"/>
        </w:trPr>
        <w:tc>
          <w:tcPr>
            <w:tcW w:w="1986" w:type="dxa"/>
            <w:vMerge/>
            <w:tcBorders>
              <w:left w:val="single" w:sz="12"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169"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67"/>
              <w:ind w:left="167"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95"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4" w:hRule="exact"/>
        </w:trPr>
        <w:tc>
          <w:tcPr>
            <w:tcW w:w="19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1,541,475,089.91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1,541,475,089.91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Times New Roman" w:hAnsi="Times New Roman" w:cs="Times New Roman" w:eastAsia="Times New Roman" w:hint="default"/>
                <w:sz w:val="18"/>
                <w:szCs w:val="18"/>
              </w:rPr>
            </w:pPr>
            <w:r>
              <w:rPr>
                <w:rFonts w:ascii="Times New Roman"/>
                <w:sz w:val="18"/>
              </w:rPr>
              <w:t>1,533,135,617.91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8" w:right="0"/>
              <w:jc w:val="center"/>
              <w:rPr>
                <w:rFonts w:ascii="Times New Roman" w:hAnsi="Times New Roman" w:cs="Times New Roman" w:eastAsia="Times New Roman" w:hint="default"/>
                <w:sz w:val="18"/>
                <w:szCs w:val="18"/>
              </w:rPr>
            </w:pPr>
            <w:r>
              <w:rPr>
                <w:rFonts w:ascii="Times New Roman"/>
                <w:sz w:val="18"/>
              </w:rPr>
              <w:t>1,533,135,617.91</w:t>
            </w:r>
          </w:p>
        </w:tc>
      </w:tr>
      <w:tr>
        <w:trPr>
          <w:trHeight w:val="463" w:hRule="exact"/>
        </w:trPr>
        <w:tc>
          <w:tcPr>
            <w:tcW w:w="1986"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pacing w:val="-4"/>
                <w:sz w:val="18"/>
                <w:szCs w:val="18"/>
              </w:rPr>
              <w:t>对联营、合营企业投资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5,985,244.00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5,985,244.00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986"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1,547,460,333.91</w:t>
            </w:r>
          </w:p>
        </w:tc>
        <w:tc>
          <w:tcPr>
            <w:tcW w:w="710"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1,547,460,333.91</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80" w:right="0"/>
              <w:jc w:val="center"/>
              <w:rPr>
                <w:rFonts w:ascii="Times New Roman" w:hAnsi="Times New Roman" w:cs="Times New Roman" w:eastAsia="Times New Roman" w:hint="default"/>
                <w:sz w:val="18"/>
                <w:szCs w:val="18"/>
              </w:rPr>
            </w:pPr>
            <w:r>
              <w:rPr>
                <w:rFonts w:ascii="Times New Roman"/>
                <w:sz w:val="18"/>
              </w:rPr>
              <w:t>1,533,135,617.91</w:t>
            </w:r>
          </w:p>
        </w:tc>
        <w:tc>
          <w:tcPr>
            <w:tcW w:w="708" w:type="dxa"/>
            <w:tcBorders>
              <w:top w:val="single" w:sz="4" w:space="0" w:color="000000"/>
              <w:left w:val="single" w:sz="4" w:space="0" w:color="000000"/>
              <w:bottom w:val="single" w:sz="12" w:space="0" w:color="000000"/>
              <w:right w:val="single" w:sz="4" w:space="0" w:color="000000"/>
            </w:tcBorders>
          </w:tcPr>
          <w:p>
            <w:pPr/>
          </w:p>
        </w:tc>
        <w:tc>
          <w:tcPr>
            <w:tcW w:w="14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left="28" w:right="0"/>
              <w:jc w:val="center"/>
              <w:rPr>
                <w:rFonts w:ascii="Times New Roman" w:hAnsi="Times New Roman" w:cs="Times New Roman" w:eastAsia="Times New Roman" w:hint="default"/>
                <w:sz w:val="18"/>
                <w:szCs w:val="18"/>
              </w:rPr>
            </w:pPr>
            <w:r>
              <w:rPr>
                <w:rFonts w:ascii="Times New Roman"/>
                <w:sz w:val="18"/>
              </w:rPr>
              <w:t>1,533,135,617.91</w:t>
            </w:r>
          </w:p>
        </w:tc>
      </w:tr>
    </w:tbl>
    <w:p>
      <w:pPr>
        <w:spacing w:line="240" w:lineRule="auto" w:before="3"/>
        <w:rPr>
          <w:rFonts w:ascii="宋体" w:hAnsi="宋体" w:cs="宋体" w:eastAsia="宋体" w:hint="default"/>
          <w:sz w:val="19"/>
          <w:szCs w:val="19"/>
        </w:rPr>
      </w:pPr>
    </w:p>
    <w:p>
      <w:pPr>
        <w:pStyle w:val="Heading6"/>
        <w:spacing w:line="240" w:lineRule="auto" w:before="35"/>
        <w:ind w:right="1135"/>
        <w:jc w:val="left"/>
        <w:rPr>
          <w:b w:val="0"/>
          <w:bCs w:val="0"/>
        </w:rPr>
      </w:pPr>
      <w:bookmarkStart w:name="（1）对子公司投资" w:id="346"/>
      <w:bookmarkEnd w:id="346"/>
      <w:r>
        <w:rPr>
          <w:b w:val="0"/>
          <w:bCs w:val="0"/>
        </w:rPr>
      </w:r>
      <w:r>
        <w:rPr/>
        <w:t>（</w:t>
      </w:r>
      <w:r>
        <w:rPr>
          <w:rFonts w:ascii="Times New Roman" w:hAnsi="Times New Roman" w:cs="Times New Roman" w:eastAsia="Times New Roman" w:hint="default"/>
        </w:rPr>
        <w:t>1</w:t>
      </w:r>
      <w:r>
        <w:rPr/>
        <w:t>）对子公司投资</w:t>
      </w:r>
      <w:r>
        <w:rPr>
          <w:b w:val="0"/>
          <w:bCs w:val="0"/>
        </w:rPr>
      </w:r>
    </w:p>
    <w:p>
      <w:pPr>
        <w:spacing w:after="0" w:line="240" w:lineRule="auto"/>
        <w:jc w:val="left"/>
        <w:sectPr>
          <w:pgSz w:w="11910" w:h="16840"/>
          <w:pgMar w:header="918"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688"/>
        <w:gridCol w:w="1700"/>
        <w:gridCol w:w="1276"/>
        <w:gridCol w:w="1062"/>
        <w:gridCol w:w="1632"/>
        <w:gridCol w:w="1134"/>
        <w:gridCol w:w="1069"/>
      </w:tblGrid>
      <w:tr>
        <w:trPr>
          <w:trHeight w:val="725" w:hRule="exact"/>
        </w:trPr>
        <w:tc>
          <w:tcPr>
            <w:tcW w:w="168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70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2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06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63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9"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13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88" w:lineRule="auto" w:before="35"/>
              <w:ind w:left="160" w:right="161"/>
              <w:jc w:val="left"/>
              <w:rPr>
                <w:rFonts w:ascii="宋体" w:hAnsi="宋体" w:cs="宋体" w:eastAsia="宋体" w:hint="default"/>
                <w:sz w:val="20"/>
                <w:szCs w:val="20"/>
              </w:rPr>
            </w:pPr>
            <w:r>
              <w:rPr>
                <w:rFonts w:ascii="宋体" w:hAnsi="宋体" w:cs="宋体" w:eastAsia="宋体" w:hint="default"/>
                <w:sz w:val="20"/>
                <w:szCs w:val="20"/>
              </w:rPr>
              <w:t>本期计提</w:t>
            </w:r>
            <w:r>
              <w:rPr>
                <w:rFonts w:ascii="宋体" w:hAnsi="宋体" w:cs="宋体" w:eastAsia="宋体" w:hint="default"/>
                <w:w w:val="100"/>
                <w:sz w:val="20"/>
                <w:szCs w:val="20"/>
              </w:rPr>
              <w:t> </w:t>
            </w:r>
            <w:r>
              <w:rPr>
                <w:rFonts w:ascii="宋体" w:hAnsi="宋体" w:cs="宋体" w:eastAsia="宋体" w:hint="default"/>
                <w:sz w:val="20"/>
                <w:szCs w:val="20"/>
              </w:rPr>
              <w:t>减值准备</w:t>
            </w:r>
          </w:p>
        </w:tc>
        <w:tc>
          <w:tcPr>
            <w:tcW w:w="106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88" w:lineRule="auto" w:before="35"/>
              <w:ind w:left="128" w:right="116"/>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w w:val="100"/>
                <w:sz w:val="20"/>
                <w:szCs w:val="20"/>
              </w:rPr>
              <w:t> </w:t>
            </w:r>
            <w:r>
              <w:rPr>
                <w:rFonts w:ascii="宋体" w:hAnsi="宋体" w:cs="宋体" w:eastAsia="宋体" w:hint="default"/>
                <w:sz w:val="20"/>
                <w:szCs w:val="20"/>
              </w:rPr>
              <w:t>期末余额</w:t>
            </w:r>
          </w:p>
        </w:tc>
      </w:tr>
      <w:tr>
        <w:trPr>
          <w:trHeight w:val="714" w:hRule="exact"/>
        </w:trPr>
        <w:tc>
          <w:tcPr>
            <w:tcW w:w="16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1"/>
              <w:jc w:val="left"/>
              <w:rPr>
                <w:rFonts w:ascii="宋体" w:hAnsi="宋体" w:cs="宋体" w:eastAsia="宋体" w:hint="default"/>
                <w:sz w:val="20"/>
                <w:szCs w:val="20"/>
              </w:rPr>
            </w:pPr>
            <w:r>
              <w:rPr>
                <w:rFonts w:ascii="宋体" w:hAnsi="宋体" w:cs="宋体" w:eastAsia="宋体" w:hint="default"/>
                <w:spacing w:val="8"/>
                <w:sz w:val="20"/>
                <w:szCs w:val="20"/>
              </w:rPr>
              <w:t>神州数码系统集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成服务有限公司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787,115,617.91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787,115,617.91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6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1"/>
              <w:jc w:val="left"/>
              <w:rPr>
                <w:rFonts w:ascii="宋体" w:hAnsi="宋体" w:cs="宋体" w:eastAsia="宋体" w:hint="default"/>
                <w:sz w:val="20"/>
                <w:szCs w:val="20"/>
              </w:rPr>
            </w:pPr>
            <w:r>
              <w:rPr>
                <w:rFonts w:ascii="宋体" w:hAnsi="宋体" w:cs="宋体" w:eastAsia="宋体" w:hint="default"/>
                <w:spacing w:val="8"/>
                <w:sz w:val="20"/>
                <w:szCs w:val="20"/>
              </w:rPr>
              <w:t>神州数码金信科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36,020,000.00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20"/>
                <w:szCs w:val="20"/>
              </w:rPr>
            </w:pPr>
            <w:r>
              <w:rPr>
                <w:rFonts w:ascii="Times New Roman"/>
                <w:sz w:val="20"/>
              </w:rPr>
              <w:t>8,339,472.00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44,359,472.00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6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88" w:lineRule="auto" w:before="35"/>
              <w:ind w:left="93" w:right="101"/>
              <w:jc w:val="left"/>
              <w:rPr>
                <w:rFonts w:ascii="宋体" w:hAnsi="宋体" w:cs="宋体" w:eastAsia="宋体" w:hint="default"/>
                <w:sz w:val="20"/>
                <w:szCs w:val="20"/>
              </w:rPr>
            </w:pPr>
            <w:r>
              <w:rPr>
                <w:rFonts w:ascii="宋体" w:hAnsi="宋体" w:cs="宋体" w:eastAsia="宋体" w:hint="default"/>
                <w:spacing w:val="8"/>
                <w:sz w:val="20"/>
                <w:szCs w:val="20"/>
              </w:rPr>
              <w:t>北京中农信达信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168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1,533,135,617.91</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10" w:right="0"/>
              <w:jc w:val="center"/>
              <w:rPr>
                <w:rFonts w:ascii="Times New Roman" w:hAnsi="Times New Roman" w:cs="Times New Roman" w:eastAsia="Times New Roman" w:hint="default"/>
                <w:sz w:val="20"/>
                <w:szCs w:val="20"/>
              </w:rPr>
            </w:pPr>
            <w:r>
              <w:rPr>
                <w:rFonts w:ascii="Times New Roman"/>
                <w:sz w:val="20"/>
              </w:rPr>
              <w:t>8,339,472.00</w:t>
            </w:r>
          </w:p>
        </w:tc>
        <w:tc>
          <w:tcPr>
            <w:tcW w:w="1062" w:type="dxa"/>
            <w:tcBorders>
              <w:top w:val="single" w:sz="4" w:space="0" w:color="000000"/>
              <w:left w:val="single" w:sz="4" w:space="0" w:color="000000"/>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0"/>
                <w:szCs w:val="20"/>
              </w:rPr>
            </w:pPr>
            <w:r>
              <w:rPr>
                <w:rFonts w:ascii="Times New Roman"/>
                <w:spacing w:val="-1"/>
                <w:sz w:val="20"/>
              </w:rPr>
              <w:t>1,541,475,089.91</w:t>
            </w:r>
          </w:p>
        </w:tc>
        <w:tc>
          <w:tcPr>
            <w:tcW w:w="1134" w:type="dxa"/>
            <w:tcBorders>
              <w:top w:val="single" w:sz="4" w:space="0" w:color="000000"/>
              <w:left w:val="single" w:sz="4" w:space="0" w:color="000000"/>
              <w:bottom w:val="single" w:sz="12" w:space="0" w:color="000000"/>
              <w:right w:val="single" w:sz="4" w:space="0" w:color="000000"/>
            </w:tcBorders>
          </w:tcPr>
          <w:p>
            <w:pPr/>
          </w:p>
        </w:tc>
        <w:tc>
          <w:tcPr>
            <w:tcW w:w="106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4、营业收入和营业成本" w:id="347"/>
      <w:bookmarkEnd w:id="34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95"/>
        <w:gridCol w:w="1838"/>
        <w:gridCol w:w="1913"/>
        <w:gridCol w:w="1913"/>
        <w:gridCol w:w="1912"/>
      </w:tblGrid>
      <w:tr>
        <w:trPr>
          <w:trHeight w:val="262" w:hRule="exact"/>
        </w:trPr>
        <w:tc>
          <w:tcPr>
            <w:tcW w:w="199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75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67"/>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95"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5"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1995" w:type="dxa"/>
            <w:vMerge/>
            <w:tcBorders>
              <w:left w:val="single" w:sz="12"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82"/>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52" w:hRule="exact"/>
        </w:trPr>
        <w:tc>
          <w:tcPr>
            <w:tcW w:w="199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12" w:space="0" w:color="000000"/>
            </w:tcBorders>
            <w:shd w:val="clear" w:color="auto" w:fill="D2D2D2"/>
          </w:tcPr>
          <w:p>
            <w:pPr/>
          </w:p>
        </w:tc>
      </w:tr>
      <w:tr>
        <w:trPr>
          <w:trHeight w:val="480" w:hRule="exact"/>
        </w:trPr>
        <w:tc>
          <w:tcPr>
            <w:tcW w:w="1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573,798,227.08</w:t>
            </w:r>
          </w:p>
        </w:tc>
        <w:tc>
          <w:tcPr>
            <w:tcW w:w="191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525,712,673.83</w:t>
            </w:r>
          </w:p>
        </w:tc>
        <w:tc>
          <w:tcPr>
            <w:tcW w:w="191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507,794,720.55</w:t>
            </w:r>
          </w:p>
        </w:tc>
        <w:tc>
          <w:tcPr>
            <w:tcW w:w="1912"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450,203,131.40</w:t>
            </w:r>
          </w:p>
        </w:tc>
      </w:tr>
      <w:tr>
        <w:trPr>
          <w:trHeight w:val="473" w:hRule="exact"/>
        </w:trPr>
        <w:tc>
          <w:tcPr>
            <w:tcW w:w="19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573,798,227.08</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525,712,673.83</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507,794,720.55</w:t>
            </w:r>
          </w:p>
        </w:tc>
        <w:tc>
          <w:tcPr>
            <w:tcW w:w="19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pacing w:val="-1"/>
                <w:sz w:val="18"/>
              </w:rPr>
              <w:t>450,203,131.40</w:t>
            </w:r>
          </w:p>
        </w:tc>
      </w:tr>
    </w:tbl>
    <w:p>
      <w:pPr>
        <w:spacing w:line="240" w:lineRule="auto" w:before="2"/>
        <w:rPr>
          <w:rFonts w:ascii="宋体" w:hAnsi="宋体" w:cs="宋体" w:eastAsia="宋体" w:hint="default"/>
          <w:sz w:val="19"/>
          <w:szCs w:val="19"/>
        </w:rPr>
      </w:pPr>
    </w:p>
    <w:p>
      <w:pPr>
        <w:pStyle w:val="Heading6"/>
        <w:spacing w:line="240" w:lineRule="auto" w:before="35"/>
        <w:ind w:right="1135"/>
        <w:jc w:val="left"/>
        <w:rPr>
          <w:b w:val="0"/>
          <w:bCs w:val="0"/>
        </w:rPr>
      </w:pPr>
      <w:bookmarkStart w:name="5、投资收益" w:id="348"/>
      <w:bookmarkEnd w:id="34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829"/>
        <w:gridCol w:w="2870"/>
        <w:gridCol w:w="2870"/>
      </w:tblGrid>
      <w:tr>
        <w:trPr>
          <w:trHeight w:val="458" w:hRule="exact"/>
        </w:trPr>
        <w:tc>
          <w:tcPr>
            <w:tcW w:w="382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1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8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30"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87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930"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479"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1"/>
              <w:ind w:left="93"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87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pacing w:val="-1"/>
                <w:sz w:val="20"/>
              </w:rPr>
              <w:t>80,000,000.00</w:t>
            </w:r>
          </w:p>
        </w:tc>
        <w:tc>
          <w:tcPr>
            <w:tcW w:w="2870" w:type="dxa"/>
            <w:tcBorders>
              <w:top w:val="single" w:sz="16" w:space="0" w:color="D2D2D2"/>
              <w:left w:val="single" w:sz="4" w:space="0" w:color="000000"/>
              <w:bottom w:val="single" w:sz="4" w:space="0" w:color="000000"/>
              <w:right w:val="single" w:sz="12" w:space="0" w:color="000000"/>
            </w:tcBorders>
          </w:tcPr>
          <w:p>
            <w:pPr>
              <w:pStyle w:val="TableParagraph"/>
              <w:spacing w:line="240" w:lineRule="auto" w:before="111"/>
              <w:ind w:right="88"/>
              <w:jc w:val="right"/>
              <w:rPr>
                <w:rFonts w:ascii="Times New Roman" w:hAnsi="Times New Roman" w:cs="Times New Roman" w:eastAsia="Times New Roman" w:hint="default"/>
                <w:sz w:val="20"/>
                <w:szCs w:val="20"/>
              </w:rPr>
            </w:pPr>
            <w:r>
              <w:rPr>
                <w:rFonts w:ascii="Times New Roman"/>
                <w:spacing w:val="-1"/>
                <w:sz w:val="20"/>
              </w:rPr>
              <w:t>357,516,512.00</w:t>
            </w:r>
          </w:p>
        </w:tc>
      </w:tr>
      <w:tr>
        <w:trPr>
          <w:trHeight w:val="464"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-1,854,756.00</w:t>
            </w:r>
          </w:p>
        </w:tc>
        <w:tc>
          <w:tcPr>
            <w:tcW w:w="2870" w:type="dxa"/>
            <w:tcBorders>
              <w:top w:val="single" w:sz="4" w:space="0" w:color="000000"/>
              <w:left w:val="single" w:sz="4" w:space="0" w:color="000000"/>
              <w:bottom w:val="single" w:sz="4" w:space="0" w:color="000000"/>
              <w:right w:val="single" w:sz="12" w:space="0" w:color="000000"/>
            </w:tcBorders>
          </w:tcPr>
          <w:p>
            <w:pPr/>
          </w:p>
        </w:tc>
      </w:tr>
      <w:tr>
        <w:trPr>
          <w:trHeight w:val="463"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可供出售金融资产在持有期间的投资收益</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9,039,809.63</w:t>
            </w:r>
          </w:p>
        </w:tc>
        <w:tc>
          <w:tcPr>
            <w:tcW w:w="2870"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382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理财产品收益</w:t>
            </w:r>
          </w:p>
        </w:tc>
        <w:tc>
          <w:tcPr>
            <w:tcW w:w="2870"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Times New Roman" w:hAnsi="Times New Roman" w:cs="Times New Roman" w:eastAsia="Times New Roman" w:hint="default"/>
                <w:sz w:val="20"/>
                <w:szCs w:val="20"/>
              </w:rPr>
            </w:pPr>
            <w:r>
              <w:rPr>
                <w:rFonts w:ascii="Times New Roman"/>
                <w:spacing w:val="-1"/>
                <w:sz w:val="20"/>
              </w:rPr>
              <w:t>955,945.21</w:t>
            </w:r>
          </w:p>
        </w:tc>
      </w:tr>
      <w:tr>
        <w:trPr>
          <w:trHeight w:val="475" w:hRule="exact"/>
        </w:trPr>
        <w:tc>
          <w:tcPr>
            <w:tcW w:w="382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66"/>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87,185,053.63</w:t>
            </w:r>
          </w:p>
        </w:tc>
        <w:tc>
          <w:tcPr>
            <w:tcW w:w="28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2"/>
              <w:ind w:right="88"/>
              <w:jc w:val="right"/>
              <w:rPr>
                <w:rFonts w:ascii="Times New Roman" w:hAnsi="Times New Roman" w:cs="Times New Roman" w:eastAsia="Times New Roman" w:hint="default"/>
                <w:sz w:val="20"/>
                <w:szCs w:val="20"/>
              </w:rPr>
            </w:pPr>
            <w:r>
              <w:rPr>
                <w:rFonts w:ascii="Times New Roman"/>
                <w:spacing w:val="-1"/>
                <w:sz w:val="20"/>
              </w:rPr>
              <w:t>358,472,457.21</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六、补充资料" w:id="349"/>
      <w:bookmarkEnd w:id="349"/>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3" w:right="1135"/>
        <w:jc w:val="left"/>
        <w:rPr>
          <w:b w:val="0"/>
          <w:bCs w:val="0"/>
        </w:rPr>
      </w:pPr>
      <w:bookmarkStart w:name="1、当期非经常性损益明细表" w:id="350"/>
      <w:bookmarkEnd w:id="3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918" w:footer="1266" w:top="1160" w:bottom="1460" w:left="980" w:right="0"/>
        </w:sectPr>
      </w:pPr>
    </w:p>
    <w:p>
      <w:pPr>
        <w:spacing w:line="240" w:lineRule="auto" w:before="11"/>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105"/>
        <w:gridCol w:w="2232"/>
        <w:gridCol w:w="2233"/>
      </w:tblGrid>
      <w:tr>
        <w:trPr>
          <w:trHeight w:val="459" w:hRule="exact"/>
        </w:trPr>
        <w:tc>
          <w:tcPr>
            <w:tcW w:w="51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2"/>
              <w:ind w:left="1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9"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3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-7,428,287.96</w:t>
            </w:r>
          </w:p>
        </w:tc>
        <w:tc>
          <w:tcPr>
            <w:tcW w:w="2233" w:type="dxa"/>
            <w:tcBorders>
              <w:top w:val="single" w:sz="16" w:space="0" w:color="D2D2D2"/>
              <w:left w:val="single" w:sz="4" w:space="0" w:color="000000"/>
              <w:bottom w:val="single" w:sz="4" w:space="0" w:color="000000"/>
              <w:right w:val="single" w:sz="12" w:space="0" w:color="000000"/>
            </w:tcBorders>
          </w:tcPr>
          <w:p>
            <w:pPr/>
          </w:p>
        </w:tc>
      </w:tr>
      <w:tr>
        <w:trPr>
          <w:trHeight w:val="715"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13" w:right="2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标准定额或定量享受的政府补助除外）</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25,987,319.34</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1337"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2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金融资产、交易性金融负债产生的公允价值变动损益，以及处置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交易性金融资产、交易性金融负债和可供出售金融资产取得的投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3,524,517.48</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20"/>
                <w:szCs w:val="20"/>
              </w:rPr>
            </w:pPr>
            <w:r>
              <w:rPr>
                <w:rFonts w:ascii="Times New Roman"/>
                <w:spacing w:val="-1"/>
                <w:sz w:val="20"/>
              </w:rPr>
              <w:t>6,756.52</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5105" w:type="dxa"/>
            <w:tcBorders>
              <w:top w:val="single" w:sz="16" w:space="0" w:color="D2D2D2"/>
              <w:left w:val="single" w:sz="12" w:space="0" w:color="000000"/>
              <w:bottom w:val="single" w:sz="4" w:space="0" w:color="000000"/>
              <w:right w:val="single" w:sz="4" w:space="0" w:color="000000"/>
            </w:tcBorders>
            <w:shd w:val="clear" w:color="auto" w:fill="D9D9D9"/>
          </w:tcPr>
          <w:p>
            <w:pPr>
              <w:pStyle w:val="TableParagraph"/>
              <w:spacing w:line="240" w:lineRule="auto" w:before="67"/>
              <w:ind w:left="9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20"/>
                <w:szCs w:val="20"/>
              </w:rPr>
            </w:pPr>
            <w:r>
              <w:rPr>
                <w:rFonts w:ascii="Times New Roman"/>
                <w:spacing w:val="-1"/>
                <w:sz w:val="20"/>
              </w:rPr>
              <w:t>11,860,810.48</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510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-5,315.78</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0"/>
                <w:szCs w:val="20"/>
              </w:rPr>
            </w:pPr>
            <w:r>
              <w:rPr>
                <w:rFonts w:ascii="Times New Roman"/>
                <w:spacing w:val="-1"/>
                <w:sz w:val="20"/>
              </w:rPr>
              <w:t>3,498,230.43</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64" w:hRule="exact"/>
        </w:trPr>
        <w:tc>
          <w:tcPr>
            <w:tcW w:w="5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0"/>
                <w:szCs w:val="20"/>
              </w:rPr>
            </w:pPr>
            <w:r>
              <w:rPr>
                <w:rFonts w:ascii="Times New Roman"/>
                <w:spacing w:val="-1"/>
                <w:sz w:val="20"/>
              </w:rPr>
              <w:t>6,271,118.54</w:t>
            </w:r>
          </w:p>
        </w:tc>
        <w:tc>
          <w:tcPr>
            <w:tcW w:w="2233"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5105" w:type="dxa"/>
            <w:tcBorders>
              <w:top w:val="single" w:sz="12" w:space="0" w:color="D2D2D2"/>
              <w:left w:val="single" w:sz="12" w:space="0" w:color="000000"/>
              <w:bottom w:val="single" w:sz="12" w:space="0" w:color="000000"/>
              <w:right w:val="single" w:sz="4" w:space="0" w:color="000000"/>
            </w:tcBorders>
            <w:shd w:val="clear" w:color="auto" w:fill="D9D9D9"/>
          </w:tcPr>
          <w:p>
            <w:pPr>
              <w:pStyle w:val="TableParagraph"/>
              <w:spacing w:line="240" w:lineRule="auto" w:before="71"/>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24,176,451.11</w:t>
            </w:r>
          </w:p>
        </w:tc>
        <w:tc>
          <w:tcPr>
            <w:tcW w:w="223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非经常性损益》定义界定的非经常性损</w:t>
      </w:r>
    </w:p>
    <w:p>
      <w:pPr>
        <w:pStyle w:val="BodyText"/>
        <w:spacing w:line="386" w:lineRule="auto" w:before="177"/>
        <w:ind w:right="1116"/>
        <w:jc w:val="left"/>
      </w:pPr>
      <w:r>
        <w:rPr/>
        <w:t>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10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6"/>
        <w:spacing w:line="240" w:lineRule="auto"/>
        <w:ind w:right="1135"/>
        <w:jc w:val="left"/>
        <w:rPr>
          <w:b w:val="0"/>
          <w:bCs w:val="0"/>
        </w:rPr>
      </w:pPr>
      <w:bookmarkStart w:name="2、净资产收益率及每股收益" w:id="351"/>
      <w:bookmarkEnd w:id="3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545"/>
        <w:gridCol w:w="2268"/>
        <w:gridCol w:w="1844"/>
        <w:gridCol w:w="1912"/>
      </w:tblGrid>
      <w:tr>
        <w:trPr>
          <w:trHeight w:val="473" w:hRule="exact"/>
        </w:trPr>
        <w:tc>
          <w:tcPr>
            <w:tcW w:w="354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6"/>
              <w:jc w:val="center"/>
              <w:rPr>
                <w:rFonts w:ascii="宋体" w:hAnsi="宋体" w:cs="宋体" w:eastAsia="宋体" w:hint="default"/>
                <w:sz w:val="20"/>
                <w:szCs w:val="20"/>
              </w:rPr>
            </w:pPr>
            <w:r>
              <w:rPr>
                <w:rFonts w:ascii="宋体" w:hAnsi="宋体" w:cs="宋体" w:eastAsia="宋体" w:hint="default"/>
                <w:sz w:val="20"/>
                <w:szCs w:val="20"/>
              </w:rPr>
              <w:t>报告期利润</w:t>
            </w:r>
          </w:p>
        </w:tc>
        <w:tc>
          <w:tcPr>
            <w:tcW w:w="22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left="129"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3756"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66"/>
              <w:ind w:left="13" w:right="0"/>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714" w:hRule="exact"/>
        </w:trPr>
        <w:tc>
          <w:tcPr>
            <w:tcW w:w="3545" w:type="dxa"/>
            <w:vMerge/>
            <w:tcBorders>
              <w:left w:val="single" w:sz="12"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6"/>
              <w:ind w:left="717" w:right="63" w:hanging="651"/>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91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85" w:lineRule="auto" w:before="36"/>
              <w:ind w:left="751" w:right="88" w:hanging="651"/>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股）</w:t>
            </w:r>
          </w:p>
        </w:tc>
      </w:tr>
      <w:tr>
        <w:trPr>
          <w:trHeight w:val="464" w:hRule="exact"/>
        </w:trPr>
        <w:tc>
          <w:tcPr>
            <w:tcW w:w="35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7"/>
              <w:ind w:left="13"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22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0"/>
                <w:szCs w:val="20"/>
              </w:rPr>
            </w:pPr>
            <w:r>
              <w:rPr>
                <w:rFonts w:ascii="Times New Roman"/>
                <w:spacing w:val="-2"/>
                <w:sz w:val="20"/>
              </w:rPr>
              <w:t>11.34%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20"/>
                <w:szCs w:val="20"/>
              </w:rPr>
            </w:pPr>
            <w:r>
              <w:rPr>
                <w:rFonts w:ascii="Times New Roman"/>
                <w:spacing w:val="-1"/>
                <w:sz w:val="20"/>
              </w:rPr>
              <w:t>0.3820</w:t>
            </w:r>
          </w:p>
        </w:tc>
        <w:tc>
          <w:tcPr>
            <w:tcW w:w="19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
              <w:jc w:val="right"/>
              <w:rPr>
                <w:rFonts w:ascii="Times New Roman" w:hAnsi="Times New Roman" w:cs="Times New Roman" w:eastAsia="Times New Roman" w:hint="default"/>
                <w:sz w:val="20"/>
                <w:szCs w:val="20"/>
              </w:rPr>
            </w:pPr>
            <w:r>
              <w:rPr>
                <w:rFonts w:ascii="Times New Roman"/>
                <w:spacing w:val="-1"/>
                <w:sz w:val="20"/>
              </w:rPr>
              <w:t>0.3820</w:t>
            </w:r>
          </w:p>
        </w:tc>
      </w:tr>
      <w:tr>
        <w:trPr>
          <w:trHeight w:val="724" w:hRule="exact"/>
        </w:trPr>
        <w:tc>
          <w:tcPr>
            <w:tcW w:w="354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88" w:lineRule="auto" w:before="35"/>
              <w:ind w:left="13" w:right="24"/>
              <w:jc w:val="left"/>
              <w:rPr>
                <w:rFonts w:ascii="宋体" w:hAnsi="宋体" w:cs="宋体" w:eastAsia="宋体" w:hint="default"/>
                <w:sz w:val="20"/>
                <w:szCs w:val="20"/>
              </w:rPr>
            </w:pPr>
            <w:r>
              <w:rPr>
                <w:rFonts w:ascii="宋体" w:hAnsi="宋体" w:cs="宋体" w:eastAsia="宋体" w:hint="default"/>
                <w:spacing w:val="3"/>
                <w:sz w:val="20"/>
                <w:szCs w:val="20"/>
              </w:rPr>
              <w:t>扣除非经常性损益后归属于公司普通股</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股东的净利润</w:t>
            </w:r>
          </w:p>
        </w:tc>
        <w:tc>
          <w:tcPr>
            <w:tcW w:w="2268"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10.56%</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0.3557</w:t>
            </w:r>
          </w:p>
        </w:tc>
        <w:tc>
          <w:tcPr>
            <w:tcW w:w="191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
              <w:jc w:val="right"/>
              <w:rPr>
                <w:rFonts w:ascii="Times New Roman" w:hAnsi="Times New Roman" w:cs="Times New Roman" w:eastAsia="Times New Roman" w:hint="default"/>
                <w:sz w:val="20"/>
                <w:szCs w:val="20"/>
              </w:rPr>
            </w:pPr>
            <w:r>
              <w:rPr>
                <w:rFonts w:ascii="Times New Roman"/>
                <w:spacing w:val="-1"/>
                <w:sz w:val="20"/>
              </w:rPr>
              <w:t>0.3557</w:t>
            </w:r>
          </w:p>
        </w:tc>
      </w:tr>
    </w:tbl>
    <w:p>
      <w:pPr>
        <w:spacing w:after="0" w:line="240" w:lineRule="auto"/>
        <w:jc w:val="right"/>
        <w:rPr>
          <w:rFonts w:ascii="Times New Roman" w:hAnsi="Times New Roman" w:cs="Times New Roman" w:eastAsia="Times New Roman" w:hint="default"/>
          <w:sz w:val="20"/>
          <w:szCs w:val="20"/>
        </w:rPr>
        <w:sectPr>
          <w:pgSz w:w="11910" w:h="16840"/>
          <w:pgMar w:header="918" w:footer="1266" w:top="116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366" w:right="1135"/>
        <w:jc w:val="left"/>
        <w:rPr>
          <w:b w:val="0"/>
          <w:bCs w:val="0"/>
        </w:rPr>
      </w:pPr>
      <w:bookmarkStart w:name="第十一节备查文件目录" w:id="352"/>
      <w:bookmarkEnd w:id="352"/>
      <w:r>
        <w:rPr>
          <w:b w:val="0"/>
          <w:bCs w:val="0"/>
        </w:rPr>
      </w:r>
      <w:bookmarkStart w:name="_bookmark10" w:id="353"/>
      <w:bookmarkEnd w:id="353"/>
      <w:r>
        <w:rPr>
          <w:b w:val="0"/>
          <w:bCs w:val="0"/>
        </w:rPr>
      </w:r>
      <w:r>
        <w:rPr/>
        <w:t>第十一节备查文件目录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34"/>
          <w:szCs w:val="34"/>
        </w:rPr>
      </w:pPr>
    </w:p>
    <w:p>
      <w:pPr>
        <w:pStyle w:val="Heading3"/>
        <w:spacing w:line="240" w:lineRule="auto" w:before="0"/>
        <w:ind w:left="154" w:right="1135"/>
        <w:jc w:val="left"/>
      </w:pPr>
      <w:r>
        <w:rPr/>
        <w:t>（一）载有公司负责人、主管会计工作负责人、会计机构负责人签名并盖章的财务报表；</w:t>
      </w:r>
    </w:p>
    <w:p>
      <w:pPr>
        <w:pStyle w:val="Heading3"/>
        <w:spacing w:line="240" w:lineRule="auto"/>
        <w:ind w:right="1135"/>
        <w:jc w:val="left"/>
      </w:pPr>
      <w:r>
        <w:rPr/>
        <w:t>（二）载有会计师事务所盖章、注册会计师签名并盖章的审计报告原件；</w:t>
      </w:r>
    </w:p>
    <w:p>
      <w:pPr>
        <w:pStyle w:val="Heading3"/>
        <w:spacing w:line="357" w:lineRule="auto"/>
        <w:ind w:right="1153"/>
        <w:jc w:val="left"/>
      </w:pPr>
      <w:r>
        <w:rPr/>
        <w:t>（三）报告期内在中国证监会指定网站上公开公开披露过的所有公司文件的正本及公告的原 稿；</w:t>
      </w:r>
    </w:p>
    <w:p>
      <w:pPr>
        <w:pStyle w:val="Heading3"/>
        <w:spacing w:line="240" w:lineRule="auto" w:before="36"/>
        <w:ind w:left="154" w:right="1135"/>
        <w:jc w:val="left"/>
      </w:pPr>
      <w:r>
        <w:rPr/>
        <w:t>（四）载有董事长签名的年度报告文本。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4"/>
          <w:szCs w:val="34"/>
        </w:rPr>
      </w:pPr>
    </w:p>
    <w:p>
      <w:pPr>
        <w:pStyle w:val="Heading3"/>
        <w:spacing w:line="240" w:lineRule="auto" w:before="0"/>
        <w:ind w:left="0" w:right="1130"/>
        <w:jc w:val="right"/>
      </w:pPr>
      <w:r>
        <w:rPr/>
        <w:t>神州数码信息服务股份有限公司董事会</w:t>
      </w:r>
    </w:p>
    <w:p>
      <w:pPr>
        <w:pStyle w:val="Heading3"/>
        <w:spacing w:line="357" w:lineRule="auto"/>
        <w:ind w:left="8233" w:right="1130" w:firstLine="120"/>
        <w:jc w:val="right"/>
      </w:pPr>
      <w:r>
        <w:rPr/>
        <w:t>董事长：郭为 </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29</w:t>
      </w:r>
      <w:r>
        <w:rPr/>
        <w:t>日</w:t>
      </w:r>
    </w:p>
    <w:sectPr>
      <w:footerReference w:type="default" r:id="rId68"/>
      <w:pgSz w:w="11910" w:h="16840"/>
      <w:pgMar w:footer="1266" w:header="918" w:top="116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2104" type="#_x0000_t75" stroked="false">
          <v:imagedata r:id="rId1" o:title=""/>
        </v:shape>
      </w:pict>
    </w:r>
    <w:r>
      <w:rPr/>
      <w:pict>
        <v:shape style="position:absolute;margin-left:294.420013pt;margin-top:783.217896pt;width:6.5pt;height:11pt;mso-position-horizontal-relative:page;mso-position-vertical-relative:page;z-index:-1052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696" type="#_x0000_t75" stroked="false">
          <v:imagedata r:id="rId1" o:title=""/>
        </v:shape>
      </w:pict>
    </w:r>
    <w:r>
      <w:rPr/>
      <w:pict>
        <v:shape style="position:absolute;margin-left:291.200012pt;margin-top:769.5979pt;width:13pt;height:11pt;mso-position-horizontal-relative:page;mso-position-vertical-relative:page;z-index:-105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648" type="#_x0000_t75" stroked="false">
          <v:imagedata r:id="rId1" o:title=""/>
        </v:shape>
      </w:pict>
    </w:r>
    <w:r>
      <w:rPr/>
      <w:pict>
        <v:shape style="position:absolute;margin-left:291.200012pt;margin-top:769.5979pt;width:13pt;height:11pt;mso-position-horizontal-relative:page;mso-position-vertical-relative:page;z-index:-105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600" type="#_x0000_t75" stroked="false">
          <v:imagedata r:id="rId1" o:title=""/>
        </v:shape>
      </w:pict>
    </w:r>
    <w:r>
      <w:rPr/>
      <w:pict>
        <v:shape style="position:absolute;margin-left:291.200012pt;margin-top:769.5979pt;width:13pt;height:11pt;mso-position-horizontal-relative:page;mso-position-vertical-relative:page;z-index:-105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552" type="#_x0000_t75" stroked="false">
          <v:imagedata r:id="rId1" o:title=""/>
        </v:shape>
      </w:pict>
    </w:r>
    <w:r>
      <w:rPr/>
      <w:pict>
        <v:shape style="position:absolute;margin-left:291.200012pt;margin-top:767.61792pt;width:13pt;height:13pt;mso-position-horizontal-relative:page;mso-position-vertical-relative:page;z-index:-1051528" type="#_x0000_t202" filled="false" stroked="false">
          <v:textbox inset="0,0,0,0">
            <w:txbxContent>
              <w:p>
                <w:pPr>
                  <w:spacing w:before="36"/>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504" type="#_x0000_t75" stroked="false">
          <v:imagedata r:id="rId1" o:title=""/>
        </v:shape>
      </w:pict>
    </w:r>
    <w:r>
      <w:rPr/>
      <w:pict>
        <v:shape style="position:absolute;margin-left:289.920013pt;margin-top:767.61792pt;width:15.5pt;height:11pt;mso-position-horizontal-relative:page;mso-position-vertical-relative:page;z-index:-1051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456" type="#_x0000_t75" stroked="false">
          <v:imagedata r:id="rId1" o:title=""/>
        </v:shape>
      </w:pict>
    </w:r>
    <w:r>
      <w:rPr/>
      <w:pict>
        <v:shape style="position:absolute;margin-left:288.920013pt;margin-top:767.61792pt;width:17.5pt;height:11pt;mso-position-horizontal-relative:page;mso-position-vertical-relative:page;z-index:-105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1384" type="#_x0000_t75" stroked="false">
          <v:imagedata r:id="rId1" o:title=""/>
        </v:shape>
      </w:pict>
    </w:r>
    <w:r>
      <w:rPr/>
      <w:pict>
        <v:shape style="position:absolute;margin-left:412.200012pt;margin-top:521.017944pt;width:17.5pt;height:11pt;mso-position-horizontal-relative:page;mso-position-vertical-relative:page;z-index:-1051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288" type="#_x0000_t75" stroked="false">
          <v:imagedata r:id="rId1" o:title=""/>
        </v:shape>
      </w:pict>
    </w:r>
    <w:r>
      <w:rPr/>
      <w:pict>
        <v:shape style="position:absolute;margin-left:289.100006pt;margin-top:767.61792pt;width:17.150pt;height:11pt;mso-position-horizontal-relative:page;mso-position-vertical-relative:page;z-index:-1051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240" type="#_x0000_t75" stroked="false">
          <v:imagedata r:id="rId1" o:title=""/>
        </v:shape>
      </w:pict>
    </w:r>
    <w:r>
      <w:rPr/>
      <w:pict>
        <v:shape style="position:absolute;margin-left:55.700001pt;margin-top:748.676575pt;width:483.95pt;height:29.95pt;mso-position-horizontal-relative:page;mso-position-vertical-relative:page;z-index:-1051216" type="#_x0000_t202" filled="false" stroked="false">
          <v:textbox inset="0,0,0,0">
            <w:txbxContent>
              <w:p>
                <w:pPr>
                  <w:pStyle w:val="BodyText"/>
                  <w:spacing w:line="230" w:lineRule="exact"/>
                  <w:ind w:left="0" w:right="0"/>
                  <w:jc w:val="center"/>
                </w:pPr>
                <w:r>
                  <w:rPr>
                    <w:spacing w:val="-1"/>
                  </w:rPr>
                  <w:t>产并募集配套资金方案的议案》、第六届董事会</w:t>
                </w:r>
                <w:r>
                  <w:rPr>
                    <w:rFonts w:ascii="宋体" w:hAnsi="宋体" w:cs="宋体" w:eastAsia="宋体" w:hint="default"/>
                    <w:spacing w:val="-1"/>
                  </w:rPr>
                  <w:t>2014</w:t>
                </w:r>
                <w:r>
                  <w:rPr>
                    <w:spacing w:val="-1"/>
                  </w:rPr>
                  <w:t>年第九次临时会议决议及</w:t>
                </w:r>
                <w:r>
                  <w:rPr>
                    <w:rFonts w:ascii="宋体" w:hAnsi="宋体" w:cs="宋体" w:eastAsia="宋体" w:hint="default"/>
                    <w:spacing w:val="-1"/>
                  </w:rPr>
                  <w:t>2014</w:t>
                </w:r>
                <w:r>
                  <w:rPr>
                    <w:spacing w:val="-1"/>
                  </w:rPr>
                  <w:t>年度第四次临时股东大</w:t>
                </w:r>
              </w:p>
              <w:p>
                <w:pPr>
                  <w:spacing w:before="145"/>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2056" type="#_x0000_t75" stroked="false">
          <v:imagedata r:id="rId1" o:title=""/>
        </v:shape>
      </w:pict>
    </w:r>
    <w:r>
      <w:rPr/>
      <w:pict>
        <v:shape style="position:absolute;margin-left:291.200012pt;margin-top:769.5979pt;width:13pt;height:11pt;mso-position-horizontal-relative:page;mso-position-vertical-relative:page;z-index:-1052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192" type="#_x0000_t75" stroked="false">
          <v:imagedata r:id="rId1" o:title=""/>
        </v:shape>
      </w:pict>
    </w:r>
    <w:r>
      <w:rPr/>
      <w:pict>
        <v:shape style="position:absolute;margin-left:288.920013pt;margin-top:767.61792pt;width:17.5pt;height:11pt;mso-position-horizontal-relative:page;mso-position-vertical-relative:page;z-index:-105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144" type="#_x0000_t75" stroked="false">
          <v:imagedata r:id="rId1" o:title=""/>
        </v:shape>
      </w:pict>
    </w:r>
    <w:r>
      <w:rPr/>
      <w:pict>
        <v:shape style="position:absolute;margin-left:288.920013pt;margin-top:767.61792pt;width:17.5pt;height:11pt;mso-position-horizontal-relative:page;mso-position-vertical-relative:page;z-index:-1051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096" type="#_x0000_t75" stroked="false">
          <v:imagedata r:id="rId1" o:title=""/>
        </v:shape>
      </w:pict>
    </w:r>
    <w:r>
      <w:rPr/>
      <w:pict>
        <v:shape style="position:absolute;margin-left:288.920013pt;margin-top:767.61792pt;width:17.5pt;height:11pt;mso-position-horizontal-relative:page;mso-position-vertical-relative:page;z-index:-105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048" type="#_x0000_t75" stroked="false">
          <v:imagedata r:id="rId1" o:title=""/>
        </v:shape>
      </w:pict>
    </w:r>
    <w:r>
      <w:rPr/>
      <w:pict>
        <v:shape style="position:absolute;margin-left:288.920013pt;margin-top:767.61792pt;width:17.5pt;height:11pt;mso-position-horizontal-relative:page;mso-position-vertical-relative:page;z-index:-1051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0952" type="#_x0000_t75" stroked="false">
          <v:imagedata r:id="rId1" o:title=""/>
        </v:shape>
      </w:pict>
    </w:r>
    <w:r>
      <w:rPr/>
      <w:pict>
        <v:shape style="position:absolute;margin-left:412.200012pt;margin-top:521.017944pt;width:17.5pt;height:11pt;mso-position-horizontal-relative:page;mso-position-vertical-relative:page;z-index:-1050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856" type="#_x0000_t75" stroked="false">
          <v:imagedata r:id="rId1" o:title=""/>
        </v:shape>
      </w:pict>
    </w:r>
    <w:r>
      <w:rPr/>
      <w:pict>
        <v:shape style="position:absolute;margin-left:288.920013pt;margin-top:767.61792pt;width:17.5pt;height:11pt;mso-position-horizontal-relative:page;mso-position-vertical-relative:page;z-index:-1050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808" type="#_x0000_t75" stroked="false">
          <v:imagedata r:id="rId1" o:title=""/>
        </v:shape>
      </w:pict>
    </w:r>
    <w:r>
      <w:rPr/>
      <w:pict>
        <v:shape style="position:absolute;margin-left:289.920013pt;margin-top:767.61792pt;width:15.5pt;height:11pt;mso-position-horizontal-relative:page;mso-position-vertical-relative:page;z-index:-1050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2008" type="#_x0000_t75" stroked="false">
          <v:imagedata r:id="rId1" o:title=""/>
        </v:shape>
      </w:pict>
    </w:r>
    <w:r>
      <w:rPr/>
      <w:pict>
        <v:shape style="position:absolute;margin-left:291.200012pt;margin-top:769.5979pt;width:13pt;height:11pt;mso-position-horizontal-relative:page;mso-position-vertical-relative:page;z-index:-1051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960" type="#_x0000_t75" stroked="false">
          <v:imagedata r:id="rId1" o:title=""/>
        </v:shape>
      </w:pict>
    </w:r>
    <w:r>
      <w:rPr/>
      <w:pict>
        <v:shape style="position:absolute;margin-left:291.200012pt;margin-top:769.5979pt;width:13pt;height:11pt;mso-position-horizontal-relative:page;mso-position-vertical-relative:page;z-index:-105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912" type="#_x0000_t75" stroked="false">
          <v:imagedata r:id="rId1" o:title=""/>
        </v:shape>
      </w:pict>
    </w:r>
    <w:r>
      <w:rPr/>
      <w:pict>
        <v:shape style="position:absolute;margin-left:291.200012pt;margin-top:769.5979pt;width:13pt;height:11pt;mso-position-horizontal-relative:page;mso-position-vertical-relative:page;z-index:-105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864" type="#_x0000_t75" stroked="false">
          <v:imagedata r:id="rId1" o:title=""/>
        </v:shape>
      </w:pict>
    </w:r>
    <w:r>
      <w:rPr/>
      <w:pict>
        <v:shape style="position:absolute;margin-left:291.200012pt;margin-top:769.5979pt;width:13pt;height:11pt;mso-position-horizontal-relative:page;mso-position-vertical-relative:page;z-index:-1051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1792" type="#_x0000_t75" stroked="false">
          <v:imagedata r:id="rId1" o:title=""/>
        </v:shape>
      </w:pict>
    </w:r>
    <w:r>
      <w:rPr/>
      <w:pict>
        <v:shape style="position:absolute;margin-left:414.480011pt;margin-top:522.997925pt;width:13pt;height:11pt;mso-position-horizontal-relative:page;mso-position-vertical-relative:page;z-index:-105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5.440002pt;margin-top:36.325607pt;width:214.25pt;height:11.5pt;mso-position-horizontal-relative:page;mso-position-vertical-relative:page;z-index:-1052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6"/>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3"/>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7.660007pt;width:701pt;height:.1pt;mso-position-horizontal-relative:page;mso-position-vertical-relative:page;z-index:-1051000" coordorigin="1410,1153" coordsize="14020,2">
          <v:shape style="position:absolute;left:1410;top:1153;width:14020;height:2" coordorigin="1410,1153" coordsize="14020,0" path="m1410,1153l15430,1153e" filled="false" stroked="true" strokeweight=".72pt" strokecolor="#000000">
            <v:path arrowok="t"/>
          </v:shape>
          <w10:wrap type="none"/>
        </v:group>
      </w:pict>
    </w:r>
    <w:r>
      <w:rPr/>
      <w:pict>
        <v:shape style="position:absolute;margin-left:557.460022pt;margin-top:44.905632pt;width:213.55pt;height:11.5pt;mso-position-horizontal-relative:page;mso-position-vertical-relative:page;z-index:-1050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59985pt;width:485pt;height:.1pt;mso-position-horizontal-relative:page;mso-position-vertical-relative:page;z-index:-1050904"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26.160004pt;margin-top:44.905609pt;width:213.55pt;height:11.5pt;mso-position-horizontal-relative:page;mso-position-vertical-relative:page;z-index:-1050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73999pt;margin-top:42.865631pt;width:214.25pt;height:11.5pt;mso-position-horizontal-relative:page;mso-position-vertical-relative:page;z-index:-1051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7"/>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2"/>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17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5.440002pt;margin-top:42.865608pt;width:214.25pt;height:11.5pt;mso-position-horizontal-relative:page;mso-position-vertical-relative:page;z-index:-1051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b/>
                    <w:bCs/>
                    <w:color w:val="006FC0"/>
                    <w:sz w:val="18"/>
                    <w:szCs w:val="18"/>
                  </w:rPr>
                  <w:t>神州数码信息服务股份有限公司</w:t>
                </w:r>
                <w:r>
                  <w:rPr>
                    <w:rFonts w:ascii="宋体" w:hAnsi="宋体" w:cs="宋体" w:eastAsia="宋体" w:hint="default"/>
                    <w:b/>
                    <w:bCs/>
                    <w:color w:val="006FC0"/>
                    <w:spacing w:val="-46"/>
                    <w:sz w:val="18"/>
                    <w:szCs w:val="18"/>
                  </w:rPr>
                  <w:t> </w:t>
                </w:r>
                <w:r>
                  <w:rPr>
                    <w:rFonts w:ascii="Times New Roman" w:hAnsi="Times New Roman" w:cs="Times New Roman" w:eastAsia="Times New Roman" w:hint="default"/>
                    <w:b/>
                    <w:bCs/>
                    <w:color w:val="006FC0"/>
                    <w:sz w:val="18"/>
                    <w:szCs w:val="18"/>
                  </w:rPr>
                  <w:t>2015</w:t>
                </w:r>
                <w:r>
                  <w:rPr>
                    <w:rFonts w:ascii="Times New Roman" w:hAnsi="Times New Roman" w:cs="Times New Roman" w:eastAsia="Times New Roman" w:hint="default"/>
                    <w:b/>
                    <w:bCs/>
                    <w:color w:val="006FC0"/>
                    <w:spacing w:val="-3"/>
                    <w:sz w:val="18"/>
                    <w:szCs w:val="18"/>
                  </w:rPr>
                  <w:t> </w:t>
                </w:r>
                <w:r>
                  <w:rPr>
                    <w:rFonts w:ascii="宋体" w:hAnsi="宋体" w:cs="宋体" w:eastAsia="宋体" w:hint="default"/>
                    <w:b/>
                    <w:bCs/>
                    <w:color w:val="006FC0"/>
                    <w:sz w:val="18"/>
                    <w:szCs w:val="18"/>
                  </w:rPr>
                  <w:t>年年度报告全文</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4.905632pt;width:213.55pt;height:11.5pt;mso-position-horizontal-relative:page;mso-position-vertical-relative:page;z-index:-1051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59985pt;width:485pt;height:.1pt;mso-position-horizontal-relative:page;mso-position-vertical-relative:page;z-index:-1051336"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26.160004pt;margin-top:44.905609pt;width:213.55pt;height:11.5pt;mso-position-horizontal-relative:page;mso-position-vertical-relative:page;z-index:-1051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13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154"/>
      <w:ind w:left="153"/>
      <w:outlineLvl w:val="3"/>
    </w:pPr>
    <w:rPr>
      <w:rFonts w:ascii="宋体" w:hAnsi="宋体" w:eastAsia="宋体"/>
      <w:sz w:val="24"/>
      <w:szCs w:val="24"/>
    </w:rPr>
  </w:style>
  <w:style w:styleId="Heading4" w:type="paragraph">
    <w:name w:val="Heading 4"/>
    <w:basedOn w:val="Normal"/>
    <w:uiPriority w:val="1"/>
    <w:qFormat/>
    <w:pPr>
      <w:spacing w:before="59"/>
      <w:ind w:left="153"/>
      <w:outlineLvl w:val="4"/>
    </w:pPr>
    <w:rPr>
      <w:rFonts w:ascii="宋体" w:hAnsi="宋体" w:eastAsia="宋体"/>
      <w:sz w:val="23"/>
      <w:szCs w:val="23"/>
    </w:rPr>
  </w:style>
  <w:style w:styleId="Heading5" w:type="paragraph">
    <w:name w:val="Heading 5"/>
    <w:basedOn w:val="Normal"/>
    <w:uiPriority w:val="1"/>
    <w:qFormat/>
    <w:pPr>
      <w:ind w:left="154"/>
      <w:outlineLvl w:val="5"/>
    </w:pPr>
    <w:rPr>
      <w:rFonts w:ascii="宋体" w:hAnsi="宋体" w:eastAsia="宋体"/>
      <w:sz w:val="22"/>
      <w:szCs w:val="22"/>
    </w:rPr>
  </w:style>
  <w:style w:styleId="Heading6" w:type="paragraph">
    <w:name w:val="Heading 6"/>
    <w:basedOn w:val="Normal"/>
    <w:uiPriority w:val="1"/>
    <w:qFormat/>
    <w:pPr>
      <w:ind w:left="154"/>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cits.com/" TargetMode="External"/><Relationship Id="rId9" Type="http://schemas.openxmlformats.org/officeDocument/2006/relationships/hyperlink" Target="mailto:dcits-ir@dcits.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mailto:ModelB@nk4.0" TargetMode="External"/><Relationship Id="rId14" Type="http://schemas.openxmlformats.org/officeDocument/2006/relationships/header" Target="header2.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yperlink" Target="http://www.cninfo.com.cn/finalpage/2015-01-12/1200537816.PDF" TargetMode="External"/><Relationship Id="rId22" Type="http://schemas.openxmlformats.org/officeDocument/2006/relationships/hyperlink" Target="http://www.cninfo.com.cn/finalpage/2015-01-21/1200566144.PDF" TargetMode="External"/><Relationship Id="rId23" Type="http://schemas.openxmlformats.org/officeDocument/2006/relationships/hyperlink" Target="http://www.cninfo.com.cn/finalpage/2015-05-12/1201005393.PDF" TargetMode="External"/><Relationship Id="rId24" Type="http://schemas.openxmlformats.org/officeDocument/2006/relationships/hyperlink" Target="http://www.cninfo.com.cn/finalpage/2015-05-19/1201035923.PDF" TargetMode="External"/><Relationship Id="rId25" Type="http://schemas.openxmlformats.org/officeDocument/2006/relationships/hyperlink" Target="http://www.cninfo.com.cn/finalpage/2015-09-10/1201575732.PDF" TargetMode="External"/><Relationship Id="rId26" Type="http://schemas.openxmlformats.org/officeDocument/2006/relationships/hyperlink" Target="http://www.cninfo.com.cn/finalpage/2015-11-02/1201747509.PDF" TargetMode="External"/><Relationship Id="rId27" Type="http://schemas.openxmlformats.org/officeDocument/2006/relationships/hyperlink" Target="http://www.cninfo.com.cn/finalpage/2015-12-09/1201824976.PDF" TargetMode="External"/><Relationship Id="rId28" Type="http://schemas.openxmlformats.org/officeDocument/2006/relationships/header" Target="header4.xml"/><Relationship Id="rId29" Type="http://schemas.openxmlformats.org/officeDocument/2006/relationships/footer" Target="footer9.xml"/><Relationship Id="rId30" Type="http://schemas.openxmlformats.org/officeDocument/2006/relationships/header" Target="header5.xml"/><Relationship Id="rId31" Type="http://schemas.openxmlformats.org/officeDocument/2006/relationships/footer" Target="footer10.xml"/><Relationship Id="rId32" Type="http://schemas.openxmlformats.org/officeDocument/2006/relationships/hyperlink" Target="http://www.cninfo.co/" TargetMode="External"/><Relationship Id="rId33" Type="http://schemas.openxmlformats.org/officeDocument/2006/relationships/footer" Target="footer11.xml"/><Relationship Id="rId34" Type="http://schemas.openxmlformats.org/officeDocument/2006/relationships/hyperlink" Target="http://www/" TargetMode="External"/><Relationship Id="rId35" Type="http://schemas.openxmlformats.org/officeDocument/2006/relationships/header" Target="header6.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footer" Target="footer14.xml"/><Relationship Id="rId49" Type="http://schemas.openxmlformats.org/officeDocument/2006/relationships/footer" Target="footer15.xml"/><Relationship Id="rId50" Type="http://schemas.openxmlformats.org/officeDocument/2006/relationships/footer" Target="footer16.xml"/><Relationship Id="rId51" Type="http://schemas.openxmlformats.org/officeDocument/2006/relationships/header" Target="header7.xml"/><Relationship Id="rId52" Type="http://schemas.openxmlformats.org/officeDocument/2006/relationships/footer" Target="footer17.xml"/><Relationship Id="rId53" Type="http://schemas.openxmlformats.org/officeDocument/2006/relationships/header" Target="header8.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header" Target="header9.xml"/><Relationship Id="rId59" Type="http://schemas.openxmlformats.org/officeDocument/2006/relationships/footer" Target="footer22.xml"/><Relationship Id="rId60" Type="http://schemas.openxmlformats.org/officeDocument/2006/relationships/footer" Target="footer23.xml"/><Relationship Id="rId61" Type="http://schemas.openxmlformats.org/officeDocument/2006/relationships/header" Target="header10.xml"/><Relationship Id="rId62" Type="http://schemas.openxmlformats.org/officeDocument/2006/relationships/footer" Target="footer24.xml"/><Relationship Id="rId63" Type="http://schemas.openxmlformats.org/officeDocument/2006/relationships/footer" Target="footer25.xml"/><Relationship Id="rId64" Type="http://schemas.openxmlformats.org/officeDocument/2006/relationships/header" Target="header11.xml"/><Relationship Id="rId65" Type="http://schemas.openxmlformats.org/officeDocument/2006/relationships/footer" Target="footer26.xml"/><Relationship Id="rId66" Type="http://schemas.openxmlformats.org/officeDocument/2006/relationships/header" Target="header12.xml"/><Relationship Id="rId67" Type="http://schemas.openxmlformats.org/officeDocument/2006/relationships/footer" Target="footer27.xml"/><Relationship Id="rId68"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神州数码信息服务股份有限公司</dc:creator>
  <dc:title>神州数码信息服务股份有限公司2015年年度报告全文</dc:title>
  <dcterms:created xsi:type="dcterms:W3CDTF">2020-05-04T10:10:32Z</dcterms:created>
  <dcterms:modified xsi:type="dcterms:W3CDTF">2020-05-04T10:10:32Z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Office Word 2007</vt:lpwstr>
  </property>
  <property fmtid="{D5CDD505-2E9C-101B-9397-08002B2CF9AE}" pid="4" name="LastSaved">
    <vt:filetime>2020-05-04T00:00:00Z</vt:filetime>
  </property>
</Properties>
</file>