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0.xml" ContentType="application/vnd.openxmlformats-officedocument.wordprocessingml.head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header13.xml" ContentType="application/vnd.openxmlformats-officedocument.wordprocessingml.header+xml"/>
  <Override PartName="/word/footer17.xml" ContentType="application/vnd.openxmlformats-officedocument.wordprocessingml.footer+xml"/>
  <Override PartName="/word/header14.xml" ContentType="application/vnd.openxmlformats-officedocument.wordprocessingml.header+xml"/>
  <Override PartName="/word/footer18.xml" ContentType="application/vnd.openxmlformats-officedocument.wordprocessingml.footer+xml"/>
  <Override PartName="/word/header15.xml" ContentType="application/vnd.openxmlformats-officedocument.wordprocessingml.head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header17.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18.xml" ContentType="application/vnd.openxmlformats-officedocument.wordprocessingml.header+xml"/>
  <Override PartName="/word/footer27.xml" ContentType="application/vnd.openxmlformats-officedocument.wordprocessingml.footer+xml"/>
  <Override PartName="/word/header1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919983pt;width:484.9pt;height:.1pt;mso-position-horizontal-relative:page;mso-position-vertical-relative:page;z-index:0" coordorigin="1104,998" coordsize="9698,2">
            <v:shape style="position:absolute;left:1104;top:998;width:9698;height:2" coordorigin="1104,998" coordsize="9698,0" path="m1104,998l10802,998e" filled="false" stroked="true" strokeweight=".4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p>
      <w:pPr>
        <w:spacing w:line="666" w:lineRule="exact"/>
        <w:ind w:left="383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34486" cy="423291"/>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34486" cy="423291"/>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9"/>
          <w:szCs w:val="19"/>
        </w:rPr>
      </w:pPr>
    </w:p>
    <w:p>
      <w:pPr>
        <w:spacing w:line="460" w:lineRule="exact" w:before="0"/>
        <w:ind w:left="0" w:right="982" w:firstLine="0"/>
        <w:jc w:val="center"/>
        <w:rPr>
          <w:rFonts w:ascii="宋体" w:hAnsi="宋体" w:cs="宋体" w:eastAsia="宋体" w:hint="default"/>
          <w:sz w:val="36"/>
          <w:szCs w:val="36"/>
        </w:rPr>
      </w:pPr>
      <w:r>
        <w:rPr>
          <w:rFonts w:ascii="宋体" w:hAnsi="宋体" w:cs="宋体" w:eastAsia="宋体" w:hint="default"/>
          <w:b/>
          <w:bCs/>
          <w:sz w:val="36"/>
          <w:szCs w:val="36"/>
        </w:rPr>
        <w:t>神州数码信息服务股份有限公司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0" w:right="98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4" w:footer="1261" w:top="1100" w:bottom="1460" w:left="980" w:right="0"/>
        </w:sect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4pt;height:.5pt;mso-position-horizontal-relative:char;mso-position-vertical-relative:line" coordorigin="0,0" coordsize="9708,10">
            <v:group style="position:absolute;left:5;top:5;width:9698;height:2" coordorigin="5,5" coordsize="9698,2">
              <v:shape style="position:absolute;left:5;top:5;width:9698;height:2" coordorigin="5,5" coordsize="9698,0" path="m5,5l970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8"/>
          <w:szCs w:val="18"/>
        </w:rPr>
      </w:pPr>
    </w:p>
    <w:p>
      <w:pPr>
        <w:pStyle w:val="Heading1"/>
        <w:spacing w:line="240" w:lineRule="auto"/>
        <w:ind w:left="2803" w:right="0"/>
        <w:jc w:val="left"/>
        <w:rPr>
          <w:b w:val="0"/>
          <w:bCs w:val="0"/>
        </w:rPr>
      </w:pPr>
      <w:bookmarkStart w:name="_bookmark0" w:id="1"/>
      <w:bookmarkEnd w:id="1"/>
      <w:r>
        <w:rPr>
          <w:b w:val="0"/>
          <w:bCs w:val="0"/>
        </w:rPr>
      </w:r>
      <w:r>
        <w:rPr/>
        <w:t>第一节</w:t>
      </w:r>
      <w:r>
        <w:rPr>
          <w:spacing w:val="-6"/>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3" w:right="1135"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6"/>
          <w:sz w:val="28"/>
          <w:szCs w:val="28"/>
        </w:rPr>
        <w:t>实、准确、完整，不存在虚假记载、误导性陈述或重大遗漏，并承担个别和连带</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的法律责任。</w:t>
      </w:r>
      <w:r>
        <w:rPr>
          <w:rFonts w:ascii="宋体" w:hAnsi="宋体" w:cs="宋体" w:eastAsia="宋体" w:hint="default"/>
          <w:sz w:val="28"/>
          <w:szCs w:val="28"/>
        </w:rPr>
      </w:r>
    </w:p>
    <w:p>
      <w:pPr>
        <w:spacing w:line="386" w:lineRule="auto" w:before="163"/>
        <w:ind w:left="153" w:right="113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公司负责人郭为、主管会计工作负责人张云飞及会计机构负责人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张秀慧声明：保证年度报告中财务报告的真实、准确、完整。</w:t>
      </w:r>
      <w:r>
        <w:rPr>
          <w:rFonts w:ascii="宋体" w:hAnsi="宋体" w:cs="宋体" w:eastAsia="宋体" w:hint="default"/>
          <w:sz w:val="28"/>
          <w:szCs w:val="28"/>
        </w:rPr>
      </w:r>
    </w:p>
    <w:p>
      <w:pPr>
        <w:spacing w:before="148"/>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386" w:lineRule="auto" w:before="0"/>
        <w:ind w:left="153" w:right="1133" w:firstLine="561"/>
        <w:jc w:val="both"/>
        <w:rPr>
          <w:rFonts w:ascii="宋体" w:hAnsi="宋体" w:cs="宋体" w:eastAsia="宋体" w:hint="default"/>
          <w:sz w:val="28"/>
          <w:szCs w:val="28"/>
        </w:rPr>
      </w:pPr>
      <w:r>
        <w:rPr>
          <w:rFonts w:ascii="宋体" w:hAnsi="宋体" w:cs="宋体" w:eastAsia="宋体" w:hint="default"/>
          <w:b/>
          <w:bCs/>
          <w:sz w:val="28"/>
          <w:szCs w:val="28"/>
        </w:rPr>
        <w:t>本公司</w:t>
      </w:r>
      <w:r>
        <w:rPr>
          <w:rFonts w:ascii="宋体" w:hAnsi="宋体" w:cs="宋体" w:eastAsia="宋体" w:hint="default"/>
          <w:b/>
          <w:bCs/>
          <w:spacing w:val="-100"/>
          <w:sz w:val="28"/>
          <w:szCs w:val="28"/>
        </w:rPr>
        <w:t> </w:t>
      </w:r>
      <w:r>
        <w:rPr>
          <w:rFonts w:ascii="Times New Roman" w:hAnsi="Times New Roman" w:cs="Times New Roman" w:eastAsia="Times New Roman" w:hint="default"/>
          <w:b/>
          <w:bCs/>
          <w:sz w:val="28"/>
          <w:szCs w:val="28"/>
        </w:rPr>
        <w:t>2019</w:t>
      </w:r>
      <w:r>
        <w:rPr>
          <w:rFonts w:ascii="Times New Roman" w:hAnsi="Times New Roman" w:cs="Times New Roman" w:eastAsia="Times New Roman" w:hint="default"/>
          <w:b/>
          <w:bCs/>
          <w:spacing w:val="-29"/>
          <w:sz w:val="28"/>
          <w:szCs w:val="28"/>
        </w:rPr>
        <w:t> </w:t>
      </w:r>
      <w:r>
        <w:rPr>
          <w:rFonts w:ascii="宋体" w:hAnsi="宋体" w:cs="宋体" w:eastAsia="宋体" w:hint="default"/>
          <w:b/>
          <w:bCs/>
          <w:sz w:val="28"/>
          <w:szCs w:val="28"/>
        </w:rPr>
        <w:t>年年度报告涉及的未来计划等前瞻性陈述，不构成公司对投资</w:t>
      </w:r>
      <w:r>
        <w:rPr>
          <w:rFonts w:ascii="宋体" w:hAnsi="宋体" w:cs="宋体" w:eastAsia="宋体" w:hint="default"/>
          <w:b/>
          <w:bCs/>
          <w:w w:val="99"/>
          <w:sz w:val="28"/>
          <w:szCs w:val="28"/>
        </w:rPr>
        <w:t> </w:t>
      </w:r>
      <w:r>
        <w:rPr>
          <w:rFonts w:ascii="宋体" w:hAnsi="宋体" w:cs="宋体" w:eastAsia="宋体" w:hint="default"/>
          <w:b/>
          <w:bCs/>
          <w:sz w:val="28"/>
          <w:szCs w:val="28"/>
        </w:rPr>
        <w:t>者的实质承诺，敬请广大投资者注意投资风险。</w:t>
      </w:r>
      <w:r>
        <w:rPr>
          <w:rFonts w:ascii="宋体" w:hAnsi="宋体" w:cs="宋体" w:eastAsia="宋体" w:hint="default"/>
          <w:sz w:val="28"/>
          <w:szCs w:val="28"/>
        </w:rPr>
      </w:r>
    </w:p>
    <w:p>
      <w:pPr>
        <w:spacing w:line="408" w:lineRule="auto" w:before="187"/>
        <w:ind w:left="153" w:right="1132"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公司已在本报告中详细描述了可能存在的产品技术风险、市场竞争风险、</w:t>
      </w:r>
      <w:r>
        <w:rPr>
          <w:rFonts w:ascii="宋体" w:hAnsi="宋体" w:cs="宋体" w:eastAsia="宋体" w:hint="default"/>
          <w:b/>
          <w:bCs/>
          <w:w w:val="99"/>
          <w:sz w:val="28"/>
          <w:szCs w:val="28"/>
        </w:rPr>
        <w:t> </w:t>
      </w:r>
      <w:r>
        <w:rPr>
          <w:rFonts w:ascii="宋体" w:hAnsi="宋体" w:cs="宋体" w:eastAsia="宋体" w:hint="default"/>
          <w:b/>
          <w:bCs/>
          <w:spacing w:val="-14"/>
          <w:sz w:val="28"/>
          <w:szCs w:val="28"/>
        </w:rPr>
        <w:t>人力资源风险，敬请查阅本报告第四节之“九、公司未来发展的展望”中“（三）</w:t>
      </w:r>
      <w:r>
        <w:rPr>
          <w:rFonts w:ascii="宋体" w:hAnsi="宋体" w:cs="宋体" w:eastAsia="宋体" w:hint="default"/>
          <w:b/>
          <w:bCs/>
          <w:spacing w:val="-125"/>
          <w:sz w:val="28"/>
          <w:szCs w:val="28"/>
        </w:rPr>
        <w:t> </w:t>
      </w:r>
      <w:r>
        <w:rPr>
          <w:rFonts w:ascii="宋体" w:hAnsi="宋体" w:cs="宋体" w:eastAsia="宋体" w:hint="default"/>
          <w:b/>
          <w:bCs/>
          <w:spacing w:val="-125"/>
          <w:sz w:val="28"/>
          <w:szCs w:val="28"/>
        </w:rPr>
      </w:r>
      <w:r>
        <w:rPr>
          <w:rFonts w:ascii="宋体" w:hAnsi="宋体" w:cs="宋体" w:eastAsia="宋体" w:hint="default"/>
          <w:b/>
          <w:bCs/>
          <w:sz w:val="28"/>
          <w:szCs w:val="28"/>
        </w:rPr>
        <w:t>公司发展过程中可能面临的风险”的内容。</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970,381,273</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line="386" w:lineRule="auto" w:before="236"/>
        <w:ind w:left="153" w:right="1125" w:firstLine="0"/>
        <w:jc w:val="left"/>
        <w:rPr>
          <w:rFonts w:ascii="宋体" w:hAnsi="宋体" w:cs="宋体" w:eastAsia="宋体" w:hint="default"/>
          <w:sz w:val="28"/>
          <w:szCs w:val="28"/>
        </w:rPr>
      </w:pPr>
      <w:r>
        <w:rPr>
          <w:rFonts w:ascii="宋体" w:hAnsi="宋体" w:cs="宋体" w:eastAsia="宋体" w:hint="default"/>
          <w:b/>
          <w:bCs/>
          <w:sz w:val="28"/>
          <w:szCs w:val="28"/>
        </w:rPr>
        <w:t>全体股东每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0.39</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7"/>
          <w:sz w:val="28"/>
          <w:szCs w:val="28"/>
        </w:rPr>
        <w:t>元（含税），送红股</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1"/>
          <w:sz w:val="28"/>
          <w:szCs w:val="28"/>
        </w:rPr>
        <w:t> </w:t>
      </w:r>
      <w:r>
        <w:rPr>
          <w:rFonts w:ascii="宋体" w:hAnsi="宋体" w:cs="宋体" w:eastAsia="宋体" w:hint="default"/>
          <w:b/>
          <w:bCs/>
          <w:spacing w:val="-7"/>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1261" w:header="784" w:top="1100" w:bottom="1460" w:left="980" w:right="0"/>
          <w:pgNumType w:start="2"/>
        </w:sectPr>
      </w:pP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4pt;height:.5pt;mso-position-horizontal-relative:char;mso-position-vertical-relative:line" coordorigin="0,0" coordsize="9708,10">
            <v:group style="position:absolute;left:5;top:5;width:9698;height:2" coordorigin="5,5" coordsize="9698,2">
              <v:shape style="position:absolute;left:5;top:5;width:9698;height:2" coordorigin="5,5" coordsize="9698,0" path="m5,5l970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5"/>
          <w:szCs w:val="25"/>
        </w:rPr>
      </w:pPr>
    </w:p>
    <w:p>
      <w:pPr>
        <w:tabs>
          <w:tab w:pos="725" w:val="left" w:leader="none"/>
        </w:tabs>
        <w:spacing w:line="460" w:lineRule="exact" w:before="0"/>
        <w:ind w:left="0" w:right="97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rPr>
          </w:pP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5" w:val="right" w:leader="dot"/>
            </w:tabs>
            <w:spacing w:line="240" w:lineRule="auto" w:before="278"/>
            <w:ind w:right="0"/>
            <w:jc w:val="left"/>
            <w:rPr>
              <w:rFonts w:ascii="Times New Roman" w:hAnsi="Times New Roman" w:cs="Times New Roman" w:eastAsia="Times New Roman" w:hint="default"/>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hyperlink>
        </w:p>
        <w:p>
          <w:pPr>
            <w:pStyle w:val="TOC1"/>
            <w:tabs>
              <w:tab w:pos="9774" w:val="right" w:leader="dot"/>
            </w:tabs>
            <w:spacing w:line="240" w:lineRule="auto" w:before="275"/>
            <w:ind w:right="0"/>
            <w:jc w:val="left"/>
            <w:rPr>
              <w:rFonts w:ascii="Times New Roman" w:hAnsi="Times New Roman" w:cs="Times New Roman" w:eastAsia="Times New Roman" w:hint="default"/>
            </w:rPr>
          </w:pPr>
          <w:hyperlink w:history="true" w:anchor="_bookmark2">
            <w:r>
              <w:rPr/>
              <w:t>第三节</w:t>
            </w:r>
            <w:r>
              <w:rPr>
                <w:spacing w:val="-1"/>
              </w:rPr>
              <w:t> </w:t>
            </w:r>
            <w:r>
              <w:rPr/>
              <w:t>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1"/>
              </w:rPr>
              <w:t>11</w:t>
            </w:r>
            <w:r>
              <w:rPr>
                <w:rFonts w:ascii="Times New Roman" w:hAnsi="Times New Roman" w:cs="Times New Roman" w:eastAsia="Times New Roman" w:hint="default"/>
              </w:rPr>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14</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4">
            <w:r>
              <w:rPr/>
              <w:t>第五节</w:t>
            </w:r>
            <w:r>
              <w:rPr>
                <w:spacing w:val="-1"/>
              </w:rPr>
              <w:t> </w:t>
            </w:r>
            <w:r>
              <w:rPr/>
              <w:t>重要事项</w:t>
            </w:r>
            <w:r>
              <w:rPr>
                <w:rFonts w:ascii="Times New Roman" w:hAnsi="Times New Roman" w:cs="Times New Roman" w:eastAsia="Times New Roman" w:hint="default"/>
              </w:rPr>
              <w:tab/>
              <w:t>34</w:t>
            </w:r>
          </w:hyperlink>
        </w:p>
        <w:p>
          <w:pPr>
            <w:pStyle w:val="TOC1"/>
            <w:tabs>
              <w:tab w:pos="9786" w:val="right" w:leader="dot"/>
            </w:tabs>
            <w:spacing w:line="240" w:lineRule="auto" w:before="275"/>
            <w:ind w:right="0"/>
            <w:jc w:val="left"/>
            <w:rPr>
              <w:rFonts w:ascii="Times New Roman" w:hAnsi="Times New Roman" w:cs="Times New Roman" w:eastAsia="Times New Roman" w:hint="default"/>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80</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89</w:t>
            </w:r>
          </w:hyperlink>
        </w:p>
        <w:p>
          <w:pPr>
            <w:pStyle w:val="TOC1"/>
            <w:tabs>
              <w:tab w:pos="9786" w:val="right" w:leader="dot"/>
            </w:tabs>
            <w:spacing w:line="240" w:lineRule="auto"/>
            <w:ind w:right="0"/>
            <w:jc w:val="left"/>
            <w:rPr>
              <w:rFonts w:ascii="Times New Roman" w:hAnsi="Times New Roman" w:cs="Times New Roman" w:eastAsia="Times New Roman" w:hint="default"/>
            </w:rPr>
          </w:pPr>
          <w:hyperlink w:history="true" w:anchor="_bookmark7">
            <w:r>
              <w:rPr/>
              <w:t>第八节</w:t>
            </w:r>
            <w:r>
              <w:rPr>
                <w:spacing w:val="-1"/>
              </w:rPr>
              <w:t> </w:t>
            </w:r>
            <w:r>
              <w:rPr/>
              <w:t>可转换公司债券相关情况</w:t>
            </w:r>
            <w:r>
              <w:rPr>
                <w:rFonts w:ascii="Times New Roman" w:hAnsi="Times New Roman" w:cs="Times New Roman" w:eastAsia="Times New Roman" w:hint="default"/>
              </w:rPr>
              <w:tab/>
              <w:t>90</w:t>
            </w:r>
          </w:hyperlink>
        </w:p>
        <w:p>
          <w:pPr>
            <w:pStyle w:val="TOC1"/>
            <w:tabs>
              <w:tab w:pos="9786" w:val="right" w:leader="dot"/>
            </w:tabs>
            <w:spacing w:line="240" w:lineRule="auto" w:before="275"/>
            <w:ind w:right="0"/>
            <w:jc w:val="left"/>
            <w:rPr>
              <w:rFonts w:ascii="Times New Roman" w:hAnsi="Times New Roman" w:cs="Times New Roman" w:eastAsia="Times New Roman" w:hint="default"/>
            </w:rPr>
          </w:pPr>
          <w:hyperlink w:history="true" w:anchor="_bookmark8">
            <w:r>
              <w:rPr/>
              <w:t>第九节</w:t>
            </w:r>
            <w:r>
              <w:rPr>
                <w:spacing w:val="-1"/>
              </w:rPr>
              <w:t> </w:t>
            </w:r>
            <w:r>
              <w:rPr/>
              <w:t>董事、监事、高级管理人员和员工情况</w:t>
            </w:r>
            <w:r>
              <w:rPr>
                <w:rFonts w:ascii="Times New Roman" w:hAnsi="Times New Roman" w:cs="Times New Roman" w:eastAsia="Times New Roman" w:hint="default"/>
              </w:rPr>
              <w:tab/>
              <w:t>91</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9">
            <w:r>
              <w:rPr/>
              <w:t>第十节</w:t>
            </w:r>
            <w:r>
              <w:rPr>
                <w:spacing w:val="-1"/>
              </w:rPr>
              <w:t> </w:t>
            </w:r>
            <w:r>
              <w:rPr/>
              <w:t>公司治理</w:t>
            </w:r>
            <w:r>
              <w:rPr>
                <w:rFonts w:ascii="Times New Roman" w:hAnsi="Times New Roman" w:cs="Times New Roman" w:eastAsia="Times New Roman" w:hint="default"/>
              </w:rPr>
              <w:tab/>
              <w:t>109</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10">
            <w:r>
              <w:rPr/>
              <w:t>第十一节</w:t>
            </w:r>
            <w:r>
              <w:rPr>
                <w:spacing w:val="-1"/>
              </w:rPr>
              <w:t> </w:t>
            </w:r>
            <w:r>
              <w:rPr/>
              <w:t>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4"/>
              </w:rPr>
              <w:t>116</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bookmark11">
            <w:r>
              <w:rPr/>
              <w:t>第十二节</w:t>
            </w:r>
            <w:r>
              <w:rPr>
                <w:spacing w:val="-1"/>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4"/>
              </w:rPr>
              <w:t>117</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bookmark12">
            <w:r>
              <w:rPr/>
              <w:t>第十三节</w:t>
            </w:r>
            <w:r>
              <w:rPr>
                <w:spacing w:val="-1"/>
              </w:rPr>
              <w:t> </w:t>
            </w:r>
            <w:r>
              <w:rPr/>
              <w:t>备查文件目录</w:t>
            </w:r>
            <w:r>
              <w:rPr>
                <w:rFonts w:ascii="Times New Roman" w:hAnsi="Times New Roman" w:cs="Times New Roman" w:eastAsia="Times New Roman" w:hint="default"/>
              </w:rPr>
              <w:tab/>
              <w:t>252</w:t>
            </w:r>
          </w:hyperlink>
        </w:p>
      </w:sdtContent>
    </w:sdt>
    <w:p>
      <w:pPr>
        <w:spacing w:after="0" w:line="240" w:lineRule="auto"/>
        <w:jc w:val="left"/>
        <w:rPr>
          <w:rFonts w:ascii="Times New Roman" w:hAnsi="Times New Roman" w:cs="Times New Roman" w:eastAsia="Times New Roman" w:hint="default"/>
        </w:rPr>
        <w:sectPr>
          <w:pgSz w:w="11910" w:h="16840"/>
          <w:pgMar w:header="784" w:footer="1261" w:top="1100" w:bottom="1460" w:left="980" w:right="0"/>
        </w:sectPr>
      </w:pPr>
    </w:p>
    <w:p>
      <w:pPr>
        <w:spacing w:before="879"/>
        <w:ind w:left="0" w:right="97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261" w:type="dxa"/>
        <w:tblLayout w:type="fixed"/>
        <w:tblCellMar>
          <w:top w:w="0" w:type="dxa"/>
          <w:left w:w="0" w:type="dxa"/>
          <w:bottom w:w="0" w:type="dxa"/>
          <w:right w:w="0" w:type="dxa"/>
        </w:tblCellMar>
        <w:tblLook w:val="01E0"/>
      </w:tblPr>
      <w:tblGrid>
        <w:gridCol w:w="3524"/>
        <w:gridCol w:w="622"/>
        <w:gridCol w:w="5425"/>
      </w:tblGrid>
      <w:tr>
        <w:trPr>
          <w:trHeight w:val="461"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6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本公司、公司、神州信息、本集团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r>
      <w:tr>
        <w:trPr>
          <w:trHeight w:val="46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太光电信、原上市公司、</w:t>
            </w:r>
            <w:r>
              <w:rPr>
                <w:rFonts w:ascii="Times New Roman" w:hAnsi="Times New Roman" w:cs="Times New Roman" w:eastAsia="Times New Roman" w:hint="default"/>
                <w:sz w:val="18"/>
                <w:szCs w:val="18"/>
              </w:rPr>
              <w:t>*ST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太光</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深圳市太光电信股份有限公司</w:t>
            </w:r>
          </w:p>
        </w:tc>
      </w:tr>
      <w:tr>
        <w:trPr>
          <w:trHeight w:val="46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神州控股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r>
      <w:tr>
        <w:trPr>
          <w:trHeight w:val="46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神州数码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r>
      <w:tr>
        <w:trPr>
          <w:trHeight w:val="46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萍乡信锐、天津信锐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67"/>
              <w:jc w:val="left"/>
              <w:rPr>
                <w:rFonts w:ascii="宋体" w:hAnsi="宋体" w:cs="宋体" w:eastAsia="宋体" w:hint="default"/>
                <w:sz w:val="18"/>
                <w:szCs w:val="18"/>
              </w:rPr>
            </w:pPr>
            <w:r>
              <w:rPr>
                <w:rFonts w:ascii="宋体" w:hAnsi="宋体" w:cs="宋体" w:eastAsia="宋体" w:hint="default"/>
                <w:sz w:val="18"/>
                <w:szCs w:val="18"/>
              </w:rPr>
              <w:t>萍乡信锐企业管理合伙企业（有限合伙）（原名为天津信锐投资 合伙企业（有限合伙））</w:t>
            </w:r>
          </w:p>
        </w:tc>
      </w:tr>
      <w:tr>
        <w:trPr>
          <w:trHeight w:val="46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中新创投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中新苏州工业园区创业投资有限公司</w:t>
            </w:r>
          </w:p>
        </w:tc>
      </w:tr>
      <w:tr>
        <w:trPr>
          <w:trHeight w:val="46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华亿投资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Infinity I-China</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z w:val="18"/>
                <w:szCs w:val="18"/>
              </w:rPr>
              <w:t>Investments</w:t>
            </w:r>
            <w:r>
              <w:rPr>
                <w:rFonts w:ascii="宋体" w:hAnsi="宋体" w:cs="宋体" w:eastAsia="宋体" w:hint="default"/>
                <w:sz w:val="18"/>
                <w:szCs w:val="18"/>
              </w:rPr>
              <w:t>（</w:t>
            </w:r>
            <w:r>
              <w:rPr>
                <w:rFonts w:ascii="Times New Roman" w:hAnsi="Times New Roman" w:cs="Times New Roman" w:eastAsia="Times New Roman" w:hint="default"/>
                <w:sz w:val="18"/>
                <w:szCs w:val="18"/>
              </w:rPr>
              <w:t>Israel</w:t>
            </w:r>
            <w:r>
              <w:rPr>
                <w:rFonts w:ascii="宋体" w:hAnsi="宋体" w:cs="宋体" w:eastAsia="宋体" w:hint="default"/>
                <w:sz w:val="18"/>
                <w:szCs w:val="18"/>
              </w:rPr>
              <w:t>）</w:t>
            </w:r>
            <w:r>
              <w:rPr>
                <w:rFonts w:ascii="Times New Roman" w:hAnsi="Times New Roman" w:cs="Times New Roman" w:eastAsia="Times New Roman" w:hint="default"/>
                <w:sz w:val="18"/>
                <w:szCs w:val="18"/>
              </w:rPr>
              <w:t>,L.P.</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南京汇庆</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267"/>
              <w:jc w:val="left"/>
              <w:rPr>
                <w:rFonts w:ascii="宋体" w:hAnsi="宋体" w:cs="宋体" w:eastAsia="宋体" w:hint="default"/>
                <w:sz w:val="18"/>
                <w:szCs w:val="18"/>
              </w:rPr>
            </w:pPr>
            <w:r>
              <w:rPr>
                <w:rFonts w:ascii="宋体" w:hAnsi="宋体" w:cs="宋体" w:eastAsia="宋体" w:hint="default"/>
                <w:sz w:val="18"/>
                <w:szCs w:val="18"/>
              </w:rPr>
              <w:t>霍尔果斯汇庆天下股权投资管理合伙企业（有限合伙）（原名为 南京汇庆天下科技有限公司）</w:t>
            </w:r>
          </w:p>
        </w:tc>
      </w:tr>
      <w:tr>
        <w:trPr>
          <w:trHeight w:val="46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申昌科技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r>
      <w:tr>
        <w:trPr>
          <w:trHeight w:val="46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6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中农信达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r>
      <w:tr>
        <w:trPr>
          <w:trHeight w:val="46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华苏科技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南京华苏科技有限公司</w:t>
            </w:r>
          </w:p>
        </w:tc>
      </w:tr>
      <w:tr>
        <w:trPr>
          <w:trHeight w:val="46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left"/>
              <w:rPr>
                <w:rFonts w:ascii="Times New Roman" w:hAnsi="Times New Roman" w:cs="Times New Roman" w:eastAsia="Times New Roman" w:hint="default"/>
                <w:sz w:val="18"/>
                <w:szCs w:val="18"/>
              </w:rPr>
            </w:pPr>
            <w:r>
              <w:rPr>
                <w:rFonts w:ascii="Times New Roman"/>
                <w:sz w:val="18"/>
              </w:rPr>
              <w:t>DCSL</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Digital China Software  </w:t>
            </w:r>
            <w:r>
              <w:rPr>
                <w:rFonts w:ascii="宋体" w:hAnsi="宋体" w:cs="宋体" w:eastAsia="宋体" w:hint="default"/>
                <w:sz w:val="18"/>
                <w:szCs w:val="18"/>
              </w:rPr>
              <w:t>（</w:t>
            </w:r>
            <w:r>
              <w:rPr>
                <w:rFonts w:ascii="Times New Roman" w:hAnsi="Times New Roman" w:cs="Times New Roman" w:eastAsia="Times New Roman" w:hint="default"/>
                <w:sz w:val="18"/>
                <w:szCs w:val="18"/>
              </w:rPr>
              <w:t>BVI</w:t>
            </w:r>
            <w:r>
              <w:rPr>
                <w:rFonts w:ascii="宋体" w:hAnsi="宋体" w:cs="宋体" w:eastAsia="宋体" w:hint="default"/>
                <w:sz w:val="18"/>
                <w:szCs w:val="18"/>
              </w:rPr>
              <w:t>）</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Limited</w:t>
            </w:r>
          </w:p>
        </w:tc>
      </w:tr>
      <w:tr>
        <w:trPr>
          <w:trHeight w:val="46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信息系统公司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r>
      <w:tr>
        <w:trPr>
          <w:trHeight w:val="46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系统集成公司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r>
      <w:tr>
        <w:trPr>
          <w:trHeight w:val="46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深圳神州数码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深圳神州数码信息技术服务有限公司</w:t>
            </w:r>
          </w:p>
        </w:tc>
      </w:tr>
      <w:tr>
        <w:trPr>
          <w:trHeight w:val="46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旗硕科技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北京旗硕基业科技股份有限公司</w:t>
            </w:r>
          </w:p>
        </w:tc>
      </w:tr>
      <w:tr>
        <w:trPr>
          <w:trHeight w:val="46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鼎捷软件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r>
      <w:tr>
        <w:trPr>
          <w:trHeight w:val="46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神州信息北京分公司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神州数码信息服务股份有限公司北京分公司</w:t>
            </w:r>
          </w:p>
        </w:tc>
      </w:tr>
      <w:tr>
        <w:trPr>
          <w:trHeight w:val="46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金信科技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w:t>
            </w:r>
          </w:p>
        </w:tc>
      </w:tr>
      <w:tr>
        <w:trPr>
          <w:trHeight w:val="46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君信宜知</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上海君信宜知网络科技有限公司</w:t>
            </w:r>
          </w:p>
        </w:tc>
      </w:tr>
      <w:tr>
        <w:trPr>
          <w:trHeight w:val="46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融信软件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r>
    </w:tbl>
    <w:p>
      <w:pPr>
        <w:spacing w:after="0" w:line="240" w:lineRule="auto"/>
        <w:jc w:val="left"/>
        <w:rPr>
          <w:rFonts w:ascii="宋体" w:hAnsi="宋体" w:cs="宋体" w:eastAsia="宋体" w:hint="default"/>
          <w:sz w:val="18"/>
          <w:szCs w:val="18"/>
        </w:rPr>
        <w:sectPr>
          <w:headerReference w:type="default" r:id="rId9"/>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261" w:type="dxa"/>
        <w:tblLayout w:type="fixed"/>
        <w:tblCellMar>
          <w:top w:w="0" w:type="dxa"/>
          <w:left w:w="0" w:type="dxa"/>
          <w:bottom w:w="0" w:type="dxa"/>
          <w:right w:w="0" w:type="dxa"/>
        </w:tblCellMar>
        <w:tblLook w:val="01E0"/>
      </w:tblPr>
      <w:tblGrid>
        <w:gridCol w:w="3525"/>
        <w:gridCol w:w="620"/>
        <w:gridCol w:w="5425"/>
      </w:tblGrid>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融信云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r>
      <w:tr>
        <w:trPr>
          <w:trHeight w:val="46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深圳证监局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中国证券监督管理委员会深圳监管局</w:t>
            </w:r>
          </w:p>
        </w:tc>
      </w:tr>
      <w:tr>
        <w:trPr>
          <w:trHeight w:val="4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6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神州数码信息服务股份有限公司章程</w:t>
            </w:r>
          </w:p>
        </w:tc>
      </w:tr>
      <w:tr>
        <w:trPr>
          <w:trHeight w:val="46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神州数码信息服务股份有限公司股东大会</w:t>
            </w:r>
          </w:p>
        </w:tc>
      </w:tr>
      <w:tr>
        <w:trPr>
          <w:trHeight w:val="46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神州数码信息服务股份有限公司董事会</w:t>
            </w:r>
          </w:p>
        </w:tc>
      </w:tr>
      <w:tr>
        <w:trPr>
          <w:trHeight w:val="4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神州数码信息服务股份有限公司监事会</w:t>
            </w:r>
          </w:p>
        </w:tc>
      </w:tr>
      <w:tr>
        <w:trPr>
          <w:trHeight w:val="46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人民币元、人民币万元、人民币亿元</w:t>
            </w:r>
          </w:p>
        </w:tc>
      </w:tr>
      <w:tr>
        <w:trPr>
          <w:trHeight w:val="46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916" w:footer="1261" w:top="112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pStyle w:val="Heading1"/>
        <w:spacing w:line="240" w:lineRule="auto"/>
        <w:ind w:left="2642" w:right="0"/>
        <w:jc w:val="left"/>
        <w:rPr>
          <w:b w:val="0"/>
          <w:bCs w:val="0"/>
        </w:rPr>
      </w:pPr>
      <w:bookmarkStart w:name="_bookmark1" w:id="2"/>
      <w:bookmarkEnd w:id="2"/>
      <w:r>
        <w:rPr>
          <w:b w:val="0"/>
          <w:bCs w:val="0"/>
        </w:rPr>
      </w:r>
      <w:r>
        <w:rPr/>
        <w:t>第二节</w:t>
      </w:r>
      <w:r>
        <w:rPr>
          <w:spacing w:val="-6"/>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262" w:type="dxa"/>
        <w:tblLayout w:type="fixed"/>
        <w:tblCellMar>
          <w:top w:w="0" w:type="dxa"/>
          <w:left w:w="0" w:type="dxa"/>
          <w:bottom w:w="0" w:type="dxa"/>
          <w:right w:w="0" w:type="dxa"/>
        </w:tblCellMar>
        <w:tblLook w:val="01E0"/>
      </w:tblPr>
      <w:tblGrid>
        <w:gridCol w:w="2483"/>
        <w:gridCol w:w="2754"/>
        <w:gridCol w:w="2157"/>
        <w:gridCol w:w="2175"/>
      </w:tblGrid>
      <w:tr>
        <w:trPr>
          <w:trHeight w:val="46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神州信息</w:t>
            </w:r>
          </w:p>
        </w:tc>
        <w:tc>
          <w:tcPr>
            <w:tcW w:w="2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Times New Roman" w:hAnsi="Times New Roman" w:cs="Times New Roman" w:eastAsia="Times New Roman" w:hint="default"/>
                <w:sz w:val="18"/>
                <w:szCs w:val="18"/>
              </w:rPr>
            </w:pPr>
            <w:r>
              <w:rPr>
                <w:rFonts w:ascii="Times New Roman"/>
                <w:sz w:val="18"/>
              </w:rPr>
              <w:t>000555</w:t>
            </w:r>
          </w:p>
        </w:tc>
      </w:tr>
      <w:tr>
        <w:trPr>
          <w:trHeight w:val="466"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4"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6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r>
      <w:tr>
        <w:trPr>
          <w:trHeight w:val="46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神州信息</w:t>
            </w:r>
          </w:p>
        </w:tc>
      </w:tr>
      <w:tr>
        <w:trPr>
          <w:trHeight w:val="466"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4"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7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Digital China Information Service Company</w:t>
            </w:r>
            <w:r>
              <w:rPr>
                <w:rFonts w:ascii="Times New Roman"/>
                <w:spacing w:val="-17"/>
                <w:sz w:val="18"/>
              </w:rPr>
              <w:t> </w:t>
            </w:r>
            <w:r>
              <w:rPr>
                <w:rFonts w:ascii="Times New Roman"/>
                <w:sz w:val="18"/>
              </w:rPr>
              <w:t>Ltd.</w:t>
            </w:r>
          </w:p>
        </w:tc>
      </w:tr>
      <w:tr>
        <w:trPr>
          <w:trHeight w:val="46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Times New Roman" w:hAnsi="Times New Roman" w:cs="Times New Roman" w:eastAsia="Times New Roman" w:hint="default"/>
                <w:sz w:val="18"/>
                <w:szCs w:val="18"/>
              </w:rPr>
            </w:pPr>
            <w:r>
              <w:rPr>
                <w:rFonts w:ascii="Times New Roman"/>
                <w:sz w:val="18"/>
              </w:rPr>
              <w:t>DCITS</w:t>
            </w:r>
          </w:p>
        </w:tc>
      </w:tr>
      <w:tr>
        <w:trPr>
          <w:trHeight w:val="46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郭为</w:t>
            </w:r>
          </w:p>
        </w:tc>
      </w:tr>
      <w:tr>
        <w:trPr>
          <w:trHeight w:val="466"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深圳市南山区科发路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号金融服务技术创新基地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11B1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单元</w:t>
            </w:r>
            <w:r>
              <w:rPr>
                <w:rFonts w:ascii="宋体" w:hAnsi="宋体" w:cs="宋体" w:eastAsia="宋体" w:hint="default"/>
                <w:sz w:val="18"/>
                <w:szCs w:val="18"/>
              </w:rPr>
            </w:r>
          </w:p>
        </w:tc>
      </w:tr>
      <w:tr>
        <w:trPr>
          <w:trHeight w:val="46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Times New Roman" w:hAnsi="Times New Roman" w:cs="Times New Roman" w:eastAsia="Times New Roman" w:hint="default"/>
                <w:sz w:val="18"/>
                <w:szCs w:val="18"/>
              </w:rPr>
            </w:pPr>
            <w:r>
              <w:rPr>
                <w:rFonts w:ascii="Times New Roman"/>
                <w:sz w:val="18"/>
              </w:rPr>
              <w:t>518057</w:t>
            </w:r>
          </w:p>
        </w:tc>
      </w:tr>
      <w:tr>
        <w:trPr>
          <w:trHeight w:val="46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号楼神州信息大厦</w:t>
            </w:r>
          </w:p>
        </w:tc>
      </w:tr>
      <w:tr>
        <w:trPr>
          <w:trHeight w:val="466"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4"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03" w:right="0"/>
              <w:jc w:val="left"/>
              <w:rPr>
                <w:rFonts w:ascii="Times New Roman" w:hAnsi="Times New Roman" w:cs="Times New Roman" w:eastAsia="Times New Roman" w:hint="default"/>
                <w:sz w:val="18"/>
                <w:szCs w:val="18"/>
              </w:rPr>
            </w:pPr>
            <w:r>
              <w:rPr>
                <w:rFonts w:ascii="Times New Roman"/>
                <w:sz w:val="18"/>
              </w:rPr>
              <w:t>100094</w:t>
            </w:r>
          </w:p>
        </w:tc>
      </w:tr>
      <w:tr>
        <w:trPr>
          <w:trHeight w:val="46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Times New Roman" w:hAnsi="Times New Roman" w:cs="Times New Roman" w:eastAsia="Times New Roman" w:hint="default"/>
                <w:sz w:val="18"/>
                <w:szCs w:val="18"/>
              </w:rPr>
            </w:pPr>
            <w:hyperlink r:id="rId10">
              <w:r>
                <w:rPr>
                  <w:rFonts w:ascii="Times New Roman"/>
                  <w:sz w:val="18"/>
                </w:rPr>
                <w:t>www.dcits.com</w:t>
              </w:r>
            </w:hyperlink>
          </w:p>
        </w:tc>
      </w:tr>
      <w:tr>
        <w:trPr>
          <w:trHeight w:val="466"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0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Times New Roman" w:hAnsi="Times New Roman" w:cs="Times New Roman" w:eastAsia="Times New Roman" w:hint="default"/>
                <w:sz w:val="18"/>
                <w:szCs w:val="18"/>
              </w:rPr>
            </w:pPr>
            <w:hyperlink r:id="rId11">
              <w:r>
                <w:rPr>
                  <w:rFonts w:ascii="Times New Roman"/>
                  <w:sz w:val="18"/>
                </w:rPr>
                <w:t>dcits-ir@dcits.com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261" w:type="dxa"/>
        <w:tblLayout w:type="fixed"/>
        <w:tblCellMar>
          <w:top w:w="0" w:type="dxa"/>
          <w:left w:w="0" w:type="dxa"/>
          <w:bottom w:w="0" w:type="dxa"/>
          <w:right w:w="0" w:type="dxa"/>
        </w:tblCellMar>
        <w:tblLook w:val="01E0"/>
      </w:tblPr>
      <w:tblGrid>
        <w:gridCol w:w="1147"/>
        <w:gridCol w:w="4213"/>
        <w:gridCol w:w="4211"/>
      </w:tblGrid>
      <w:tr>
        <w:trPr>
          <w:trHeight w:val="463" w:hRule="exact"/>
        </w:trPr>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66" w:hRule="exact"/>
        </w:trPr>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刘伟刚</w:t>
            </w:r>
          </w:p>
        </w:tc>
        <w:tc>
          <w:tcPr>
            <w:tcW w:w="4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孙端阳</w:t>
            </w:r>
          </w:p>
        </w:tc>
      </w:tr>
      <w:tr>
        <w:trPr>
          <w:trHeight w:val="713" w:hRule="exact"/>
        </w:trPr>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131"/>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号楼神州 信息大厦</w:t>
            </w:r>
          </w:p>
        </w:tc>
        <w:tc>
          <w:tcPr>
            <w:tcW w:w="42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31"/>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号院东区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号楼神州 信息大厦</w:t>
            </w:r>
          </w:p>
        </w:tc>
      </w:tr>
      <w:tr>
        <w:trPr>
          <w:trHeight w:val="466" w:hRule="exact"/>
        </w:trPr>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left"/>
              <w:rPr>
                <w:rFonts w:ascii="Times New Roman" w:hAnsi="Times New Roman" w:cs="Times New Roman" w:eastAsia="Times New Roman" w:hint="default"/>
                <w:sz w:val="18"/>
                <w:szCs w:val="18"/>
              </w:rPr>
            </w:pPr>
            <w:r>
              <w:rPr>
                <w:rFonts w:ascii="Times New Roman"/>
                <w:sz w:val="18"/>
              </w:rPr>
              <w:t>010-61853676</w:t>
            </w:r>
          </w:p>
        </w:tc>
        <w:tc>
          <w:tcPr>
            <w:tcW w:w="4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Times New Roman" w:hAnsi="Times New Roman" w:cs="Times New Roman" w:eastAsia="Times New Roman" w:hint="default"/>
                <w:sz w:val="18"/>
                <w:szCs w:val="18"/>
              </w:rPr>
            </w:pPr>
            <w:r>
              <w:rPr>
                <w:rFonts w:ascii="Times New Roman"/>
                <w:sz w:val="18"/>
              </w:rPr>
              <w:t>010-61853676</w:t>
            </w:r>
          </w:p>
        </w:tc>
      </w:tr>
      <w:tr>
        <w:trPr>
          <w:trHeight w:val="463" w:hRule="exact"/>
        </w:trPr>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left"/>
              <w:rPr>
                <w:rFonts w:ascii="Times New Roman" w:hAnsi="Times New Roman" w:cs="Times New Roman" w:eastAsia="Times New Roman" w:hint="default"/>
                <w:sz w:val="18"/>
                <w:szCs w:val="18"/>
              </w:rPr>
            </w:pPr>
            <w:r>
              <w:rPr>
                <w:rFonts w:ascii="Times New Roman"/>
                <w:sz w:val="18"/>
              </w:rPr>
              <w:t>010-62694810</w:t>
            </w:r>
          </w:p>
        </w:tc>
        <w:tc>
          <w:tcPr>
            <w:tcW w:w="4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Times New Roman" w:hAnsi="Times New Roman" w:cs="Times New Roman" w:eastAsia="Times New Roman" w:hint="default"/>
                <w:sz w:val="18"/>
                <w:szCs w:val="18"/>
              </w:rPr>
            </w:pPr>
            <w:r>
              <w:rPr>
                <w:rFonts w:ascii="Times New Roman"/>
                <w:sz w:val="18"/>
              </w:rPr>
              <w:t>010-62694810</w:t>
            </w:r>
          </w:p>
        </w:tc>
      </w:tr>
      <w:tr>
        <w:trPr>
          <w:trHeight w:val="463" w:hRule="exact"/>
        </w:trPr>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left"/>
              <w:rPr>
                <w:rFonts w:ascii="Times New Roman" w:hAnsi="Times New Roman" w:cs="Times New Roman" w:eastAsia="Times New Roman" w:hint="default"/>
                <w:sz w:val="18"/>
                <w:szCs w:val="18"/>
              </w:rPr>
            </w:pPr>
            <w:hyperlink r:id="rId11">
              <w:r>
                <w:rPr>
                  <w:rFonts w:ascii="Times New Roman"/>
                  <w:sz w:val="18"/>
                </w:rPr>
                <w:t>dcits-ir@dcits.com</w:t>
              </w:r>
            </w:hyperlink>
          </w:p>
        </w:tc>
        <w:tc>
          <w:tcPr>
            <w:tcW w:w="4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Times New Roman" w:hAnsi="Times New Roman" w:cs="Times New Roman" w:eastAsia="Times New Roman" w:hint="default"/>
                <w:sz w:val="18"/>
                <w:szCs w:val="18"/>
              </w:rPr>
            </w:pPr>
            <w:hyperlink r:id="rId11">
              <w:r>
                <w:rPr>
                  <w:rFonts w:ascii="Times New Roman"/>
                  <w:sz w:val="18"/>
                </w:rPr>
                <w:t>dcits-ir@dcits.com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262" w:type="dxa"/>
        <w:tblLayout w:type="fixed"/>
        <w:tblCellMar>
          <w:top w:w="0" w:type="dxa"/>
          <w:left w:w="0" w:type="dxa"/>
          <w:bottom w:w="0" w:type="dxa"/>
          <w:right w:w="0" w:type="dxa"/>
        </w:tblCellMar>
        <w:tblLook w:val="01E0"/>
      </w:tblPr>
      <w:tblGrid>
        <w:gridCol w:w="3991"/>
        <w:gridCol w:w="5579"/>
      </w:tblGrid>
      <w:tr>
        <w:trPr>
          <w:trHeight w:val="46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6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10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b/>
          <w:bCs/>
          <w:sz w:val="23"/>
          <w:szCs w:val="23"/>
        </w:rPr>
      </w:pPr>
    </w:p>
    <w:tbl>
      <w:tblPr>
        <w:tblW w:w="0" w:type="auto"/>
        <w:jc w:val="left"/>
        <w:tblInd w:w="262" w:type="dxa"/>
        <w:tblLayout w:type="fixed"/>
        <w:tblCellMar>
          <w:top w:w="0" w:type="dxa"/>
          <w:left w:w="0" w:type="dxa"/>
          <w:bottom w:w="0" w:type="dxa"/>
          <w:right w:w="0" w:type="dxa"/>
        </w:tblCellMar>
        <w:tblLook w:val="01E0"/>
      </w:tblPr>
      <w:tblGrid>
        <w:gridCol w:w="3991"/>
        <w:gridCol w:w="5579"/>
      </w:tblGrid>
      <w:tr>
        <w:trPr>
          <w:trHeight w:val="464"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北京市海淀区西北旺东路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号院东区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号楼神州信息大厦六层</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四、注册变更情况</w:t>
      </w:r>
      <w:r>
        <w:rPr>
          <w:b w:val="0"/>
          <w:bCs w:val="0"/>
        </w:rPr>
      </w:r>
    </w:p>
    <w:p>
      <w:pPr>
        <w:spacing w:line="240" w:lineRule="auto" w:before="11"/>
        <w:rPr>
          <w:rFonts w:ascii="宋体" w:hAnsi="宋体" w:cs="宋体" w:eastAsia="宋体" w:hint="default"/>
          <w:b/>
          <w:bCs/>
          <w:sz w:val="25"/>
          <w:szCs w:val="25"/>
        </w:rPr>
      </w:pPr>
    </w:p>
    <w:tbl>
      <w:tblPr>
        <w:tblW w:w="0" w:type="auto"/>
        <w:jc w:val="left"/>
        <w:tblInd w:w="262" w:type="dxa"/>
        <w:tblLayout w:type="fixed"/>
        <w:tblCellMar>
          <w:top w:w="0" w:type="dxa"/>
          <w:left w:w="0" w:type="dxa"/>
          <w:bottom w:w="0" w:type="dxa"/>
          <w:right w:w="0" w:type="dxa"/>
        </w:tblCellMar>
        <w:tblLook w:val="01E0"/>
      </w:tblPr>
      <w:tblGrid>
        <w:gridCol w:w="2378"/>
        <w:gridCol w:w="7192"/>
      </w:tblGrid>
      <w:tr>
        <w:trPr>
          <w:trHeight w:val="46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7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Times New Roman" w:hAnsi="Times New Roman" w:cs="Times New Roman" w:eastAsia="Times New Roman" w:hint="default"/>
                <w:sz w:val="18"/>
                <w:szCs w:val="18"/>
              </w:rPr>
            </w:pPr>
            <w:r>
              <w:rPr>
                <w:rFonts w:ascii="Times New Roman"/>
                <w:sz w:val="18"/>
              </w:rPr>
              <w:t>91440300726198124D</w:t>
            </w:r>
          </w:p>
        </w:tc>
      </w:tr>
      <w:tr>
        <w:trPr>
          <w:trHeight w:val="6260"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314" w:lineRule="auto"/>
              <w:ind w:left="104" w:right="101"/>
              <w:jc w:val="left"/>
              <w:rPr>
                <w:rFonts w:ascii="宋体" w:hAnsi="宋体" w:cs="宋体" w:eastAsia="宋体" w:hint="default"/>
                <w:sz w:val="18"/>
                <w:szCs w:val="18"/>
              </w:rPr>
            </w:pPr>
            <w:r>
              <w:rPr>
                <w:rFonts w:ascii="宋体" w:hAnsi="宋体" w:cs="宋体" w:eastAsia="宋体" w:hint="default"/>
                <w:sz w:val="18"/>
                <w:szCs w:val="18"/>
              </w:rPr>
              <w:t>公司上市以来主营业务的变 化情况</w:t>
            </w:r>
          </w:p>
        </w:tc>
        <w:tc>
          <w:tcPr>
            <w:tcW w:w="7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、公司上市以来经营范围为：涤纶化纤、织物印染、化纤原料。主要产品为涤纶长丝。</w:t>
            </w:r>
          </w:p>
          <w:p>
            <w:pPr>
              <w:pStyle w:val="TableParagraph"/>
              <w:spacing w:line="300" w:lineRule="auto" w:before="101"/>
              <w:ind w:left="103" w:right="167"/>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日，公司经营范围变更为：涤纶化纤、织物印染、化纤原料；生产、 销售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综合业务接入网等通信设备；国内商业、物资供销业（不含专营、专控、 专卖商品）。</w:t>
            </w:r>
          </w:p>
          <w:p>
            <w:pPr>
              <w:pStyle w:val="TableParagraph"/>
              <w:spacing w:line="300" w:lineRule="auto" w:before="72"/>
              <w:ind w:left="103" w:right="16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日，公司的经营范围变更为：涤纶化纤、织物印染、化纤原料；生 产、销售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综合业务接入网等通信设备；国内商业、物资供销业（不含专营、专 控、专卖商品）。经营进出口业务。</w:t>
            </w:r>
          </w:p>
          <w:p>
            <w:pPr>
              <w:pStyle w:val="TableParagraph"/>
              <w:spacing w:line="300" w:lineRule="auto" w:before="70"/>
              <w:ind w:left="103"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日，公司经营范围变更为：生产、销售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TEC5200 </w:t>
            </w:r>
            <w:r>
              <w:rPr>
                <w:rFonts w:ascii="宋体" w:hAnsi="宋体" w:cs="宋体" w:eastAsia="宋体" w:hint="default"/>
                <w:sz w:val="18"/>
                <w:szCs w:val="18"/>
              </w:rPr>
              <w:t>综合业务接入网等通 信设备；国内商业、物资供销业（不含专营、专控、专卖商品）。经营进出口业务。</w:t>
            </w:r>
          </w:p>
          <w:p>
            <w:pPr>
              <w:pStyle w:val="TableParagraph"/>
              <w:spacing w:line="300" w:lineRule="auto" w:before="72"/>
              <w:ind w:left="103" w:right="3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日，公司经营范围变更为：销售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综合业务接入网等通信设 备；国内商业、物资供销业（不含专营、专控、专卖商品）；经营进出口业务。</w:t>
            </w:r>
          </w:p>
          <w:p>
            <w:pPr>
              <w:pStyle w:val="TableParagraph"/>
              <w:spacing w:line="309" w:lineRule="auto" w:before="72"/>
              <w:ind w:left="103" w:right="238"/>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日，公司经营范围变更为：销售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TEC5200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综合业务接入网等通信设 备；经营进出口业务；电子产品的销售；房地产开发与投资；物业管理（法律、行政法 规、国务院决定禁止的项目除外，限制的项目须取得许可后方可经营）。</w:t>
            </w:r>
          </w:p>
          <w:p>
            <w:pPr>
              <w:pStyle w:val="TableParagraph"/>
              <w:spacing w:line="314" w:lineRule="auto" w:before="62"/>
              <w:ind w:left="103" w:right="191"/>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日，经营范围进行了工商变更：研究、开发金融自助设备及相关应用 软件，销售本公司所研发产品并提供售后服务；提供信息技术及相关技术的咨询、开 发、技术服务；软件开发、信息系统的集成并提供售后服务；从事信息系统集成配套计 算机硬件及零件、网络设备、多媒体产品、电子信息产品及通讯产品、办公自动化设 备、仪器仪表、电器及印刷照排设备的批发、进出口及相关业务。</w:t>
            </w:r>
          </w:p>
        </w:tc>
      </w:tr>
      <w:tr>
        <w:trPr>
          <w:trHeight w:val="563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w:t>
            </w:r>
          </w:p>
        </w:tc>
        <w:tc>
          <w:tcPr>
            <w:tcW w:w="7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、公司上市以来，贵州省凯里涤纶厂持有本公司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32,412,428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股，占本公司总股本的</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43.57%</w:t>
            </w:r>
            <w:r>
              <w:rPr>
                <w:rFonts w:ascii="宋体" w:hAnsi="宋体" w:cs="宋体" w:eastAsia="宋体" w:hint="default"/>
                <w:sz w:val="18"/>
                <w:szCs w:val="18"/>
              </w:rPr>
              <w:t>，成为本公司的控股股东。</w:t>
            </w:r>
          </w:p>
          <w:p>
            <w:pPr>
              <w:pStyle w:val="TableParagraph"/>
              <w:spacing w:line="300" w:lineRule="auto" w:before="101"/>
              <w:ind w:left="103" w:right="1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月及</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月本公司原第一大股东贵州省凯里涤纶厂因逾期未能归还银行贷款 遭诉讼，其持本公司的股份被法院强行拍卖。</w:t>
            </w:r>
          </w:p>
          <w:p>
            <w:pPr>
              <w:pStyle w:val="TableParagraph"/>
              <w:spacing w:line="240" w:lineRule="auto" w:before="7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2000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日，深圳市太光科技有限公司与本公司原发起人股东广东金龙基企业</w:t>
            </w:r>
          </w:p>
          <w:p>
            <w:pPr>
              <w:pStyle w:val="TableParagraph"/>
              <w:spacing w:line="300" w:lineRule="auto" w:before="63"/>
              <w:ind w:left="103" w:right="233"/>
              <w:jc w:val="left"/>
              <w:rPr>
                <w:rFonts w:ascii="宋体" w:hAnsi="宋体" w:cs="宋体" w:eastAsia="宋体" w:hint="default"/>
                <w:sz w:val="18"/>
                <w:szCs w:val="18"/>
              </w:rPr>
            </w:pPr>
            <w:r>
              <w:rPr>
                <w:rFonts w:ascii="宋体" w:hAnsi="宋体" w:cs="宋体" w:eastAsia="宋体" w:hint="default"/>
                <w:sz w:val="18"/>
                <w:szCs w:val="18"/>
              </w:rPr>
              <w:t>有限公司等八家股东达成协议，收购前述八家股东所持有本公司的股份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19,897,057 </w:t>
            </w:r>
            <w:r>
              <w:rPr>
                <w:rFonts w:ascii="宋体" w:hAnsi="宋体" w:cs="宋体" w:eastAsia="宋体" w:hint="default"/>
                <w:sz w:val="18"/>
                <w:szCs w:val="18"/>
              </w:rPr>
              <w:t>股， 占本公司总股本的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24.32%</w:t>
            </w:r>
            <w:r>
              <w:rPr>
                <w:rFonts w:ascii="宋体" w:hAnsi="宋体" w:cs="宋体" w:eastAsia="宋体" w:hint="default"/>
                <w:sz w:val="18"/>
                <w:szCs w:val="18"/>
              </w:rPr>
              <w:t>，成为本公司控股股东。</w:t>
            </w:r>
          </w:p>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日，本公司第一大股东深圳市太光科技有限公司更名为深圳市申昌科</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技有限公司，于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日更名为昆山市申昌科技有限公司。</w:t>
            </w:r>
          </w:p>
          <w:p>
            <w:pPr>
              <w:pStyle w:val="TableParagraph"/>
              <w:spacing w:line="240" w:lineRule="auto" w:before="10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日，公司第一大股东变更为神码软件，持有公司股份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194,770,055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股，占公司总股本的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45.17%</w:t>
            </w:r>
            <w:r>
              <w:rPr>
                <w:rFonts w:ascii="宋体" w:hAnsi="宋体" w:cs="宋体" w:eastAsia="宋体" w:hint="default"/>
                <w:sz w:val="18"/>
                <w:szCs w:val="18"/>
              </w:rPr>
              <w:t>。</w:t>
            </w: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日，公司关于向特定对象发行股份购买资产并募集配套资金的资产</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重组事项中的非公开发行股份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20,520,227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股上市流通，公司股本由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431,214,014 </w:t>
            </w:r>
            <w:r>
              <w:rPr>
                <w:rFonts w:ascii="宋体" w:hAnsi="宋体" w:cs="宋体" w:eastAsia="宋体" w:hint="default"/>
                <w:sz w:val="18"/>
                <w:szCs w:val="18"/>
              </w:rPr>
              <w:t>股增加为</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451,734,241 </w:t>
            </w:r>
            <w:r>
              <w:rPr>
                <w:rFonts w:ascii="宋体" w:hAnsi="宋体" w:cs="宋体" w:eastAsia="宋体" w:hint="default"/>
                <w:sz w:val="18"/>
                <w:szCs w:val="18"/>
              </w:rPr>
              <w:t>股，公司第一大股东仍为神码软件，持股比例降为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43.12%</w:t>
            </w:r>
            <w:r>
              <w:rPr>
                <w:rFonts w:ascii="宋体" w:hAnsi="宋体" w:cs="宋体" w:eastAsia="宋体" w:hint="default"/>
                <w:sz w:val="18"/>
                <w:szCs w:val="18"/>
              </w:rPr>
              <w:t>。</w:t>
            </w: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日，公司关于向特定对象发行股份购买资产并募集配套资金的资产重</w:t>
            </w:r>
          </w:p>
          <w:p>
            <w:pPr>
              <w:pStyle w:val="TableParagraph"/>
              <w:spacing w:line="300" w:lineRule="auto" w:before="63"/>
              <w:ind w:left="103" w:right="231"/>
              <w:jc w:val="left"/>
              <w:rPr>
                <w:rFonts w:ascii="宋体" w:hAnsi="宋体" w:cs="宋体" w:eastAsia="宋体" w:hint="default"/>
                <w:sz w:val="18"/>
                <w:szCs w:val="18"/>
              </w:rPr>
            </w:pPr>
            <w:r>
              <w:rPr>
                <w:rFonts w:ascii="宋体" w:hAnsi="宋体" w:cs="宋体" w:eastAsia="宋体" w:hint="default"/>
                <w:sz w:val="18"/>
                <w:szCs w:val="18"/>
              </w:rPr>
              <w:t>组事项中的配套募集股份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7,171,717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股上市流通，公司股本增加到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458,905,958 </w:t>
            </w:r>
            <w:r>
              <w:rPr>
                <w:rFonts w:ascii="宋体" w:hAnsi="宋体" w:cs="宋体" w:eastAsia="宋体" w:hint="default"/>
                <w:sz w:val="18"/>
                <w:szCs w:val="18"/>
              </w:rPr>
              <w:t>股，公司 第一大股东仍为神码软件，持股比例降为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42.44%</w:t>
            </w:r>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b/>
          <w:bCs/>
          <w:sz w:val="23"/>
          <w:szCs w:val="23"/>
        </w:rPr>
      </w:pPr>
    </w:p>
    <w:tbl>
      <w:tblPr>
        <w:tblW w:w="0" w:type="auto"/>
        <w:jc w:val="left"/>
        <w:tblInd w:w="262" w:type="dxa"/>
        <w:tblLayout w:type="fixed"/>
        <w:tblCellMar>
          <w:top w:w="0" w:type="dxa"/>
          <w:left w:w="0" w:type="dxa"/>
          <w:bottom w:w="0" w:type="dxa"/>
          <w:right w:w="0" w:type="dxa"/>
        </w:tblCellMar>
        <w:tblLook w:val="01E0"/>
      </w:tblPr>
      <w:tblGrid>
        <w:gridCol w:w="2378"/>
        <w:gridCol w:w="7192"/>
      </w:tblGrid>
      <w:tr>
        <w:trPr>
          <w:trHeight w:val="320" w:hRule="exact"/>
        </w:trPr>
        <w:tc>
          <w:tcPr>
            <w:tcW w:w="2378" w:type="dxa"/>
            <w:vMerge w:val="restart"/>
            <w:tcBorders>
              <w:top w:val="single" w:sz="4" w:space="0" w:color="000000"/>
              <w:left w:val="single" w:sz="4" w:space="0" w:color="000000"/>
              <w:right w:val="single" w:sz="4" w:space="0" w:color="000000"/>
            </w:tcBorders>
            <w:shd w:val="clear" w:color="auto" w:fill="D2D2D2"/>
          </w:tcPr>
          <w:p>
            <w:pPr/>
          </w:p>
        </w:tc>
        <w:tc>
          <w:tcPr>
            <w:tcW w:w="71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日，公司披露了《</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年半年度资本公积金转增股本实施公告》。</w:t>
            </w:r>
          </w:p>
        </w:tc>
      </w:tr>
      <w:tr>
        <w:trPr>
          <w:trHeight w:val="312" w:hRule="exact"/>
        </w:trPr>
        <w:tc>
          <w:tcPr>
            <w:tcW w:w="2378" w:type="dxa"/>
            <w:vMerge/>
            <w:tcBorders>
              <w:left w:val="single" w:sz="4" w:space="0" w:color="000000"/>
              <w:right w:val="single" w:sz="4" w:space="0" w:color="000000"/>
            </w:tcBorders>
            <w:shd w:val="clear" w:color="auto" w:fill="D2D2D2"/>
          </w:tcPr>
          <w:p>
            <w:pPr/>
          </w:p>
        </w:tc>
        <w:tc>
          <w:tcPr>
            <w:tcW w:w="7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半年度资本公积金转增股本方案实施完毕，公司总股本由</w:t>
            </w:r>
          </w:p>
        </w:tc>
      </w:tr>
      <w:tr>
        <w:trPr>
          <w:trHeight w:val="312" w:hRule="exact"/>
        </w:trPr>
        <w:tc>
          <w:tcPr>
            <w:tcW w:w="2378" w:type="dxa"/>
            <w:vMerge/>
            <w:tcBorders>
              <w:left w:val="single" w:sz="4" w:space="0" w:color="000000"/>
              <w:right w:val="single" w:sz="4" w:space="0" w:color="000000"/>
            </w:tcBorders>
            <w:shd w:val="clear" w:color="auto" w:fill="D2D2D2"/>
          </w:tcPr>
          <w:p>
            <w:pPr/>
          </w:p>
        </w:tc>
        <w:tc>
          <w:tcPr>
            <w:tcW w:w="7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458,905,958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股变更为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917,811,916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股。公司第一大股东仍为神码软件，持股比例仍为</w:t>
            </w:r>
          </w:p>
        </w:tc>
      </w:tr>
      <w:tr>
        <w:trPr>
          <w:trHeight w:val="332" w:hRule="exact"/>
        </w:trPr>
        <w:tc>
          <w:tcPr>
            <w:tcW w:w="2378" w:type="dxa"/>
            <w:vMerge/>
            <w:tcBorders>
              <w:left w:val="single" w:sz="4" w:space="0" w:color="000000"/>
              <w:right w:val="single" w:sz="4" w:space="0" w:color="000000"/>
            </w:tcBorders>
            <w:shd w:val="clear" w:color="auto" w:fill="D2D2D2"/>
          </w:tcPr>
          <w:p>
            <w:pPr/>
          </w:p>
        </w:tc>
        <w:tc>
          <w:tcPr>
            <w:tcW w:w="7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42.44%</w:t>
            </w:r>
            <w:r>
              <w:rPr>
                <w:rFonts w:ascii="宋体" w:hAnsi="宋体" w:cs="宋体" w:eastAsia="宋体" w:hint="default"/>
                <w:sz w:val="18"/>
                <w:szCs w:val="18"/>
              </w:rPr>
              <w:t>。</w:t>
            </w:r>
          </w:p>
        </w:tc>
      </w:tr>
      <w:tr>
        <w:trPr>
          <w:trHeight w:val="332" w:hRule="exact"/>
        </w:trPr>
        <w:tc>
          <w:tcPr>
            <w:tcW w:w="2378" w:type="dxa"/>
            <w:vMerge/>
            <w:tcBorders>
              <w:left w:val="single" w:sz="4" w:space="0" w:color="000000"/>
              <w:right w:val="single" w:sz="4" w:space="0" w:color="000000"/>
            </w:tcBorders>
            <w:shd w:val="clear" w:color="auto" w:fill="D2D2D2"/>
          </w:tcPr>
          <w:p>
            <w:pPr/>
          </w:p>
        </w:tc>
        <w:tc>
          <w:tcPr>
            <w:tcW w:w="7192"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日，公司关于向程艳云等发行股份购买资产并募集配套资金的资产</w:t>
            </w:r>
          </w:p>
        </w:tc>
      </w:tr>
      <w:tr>
        <w:trPr>
          <w:trHeight w:val="312" w:hRule="exact"/>
        </w:trPr>
        <w:tc>
          <w:tcPr>
            <w:tcW w:w="2378" w:type="dxa"/>
            <w:vMerge/>
            <w:tcBorders>
              <w:left w:val="single" w:sz="4" w:space="0" w:color="000000"/>
              <w:right w:val="single" w:sz="4" w:space="0" w:color="000000"/>
            </w:tcBorders>
            <w:shd w:val="clear" w:color="auto" w:fill="D2D2D2"/>
          </w:tcPr>
          <w:p>
            <w:pPr/>
          </w:p>
        </w:tc>
        <w:tc>
          <w:tcPr>
            <w:tcW w:w="7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重组事项中的新增股份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45,619,357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股上市流通，公司总股本由</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917,811,916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股变更为</w:t>
            </w:r>
          </w:p>
        </w:tc>
      </w:tr>
      <w:tr>
        <w:trPr>
          <w:trHeight w:val="331" w:hRule="exact"/>
        </w:trPr>
        <w:tc>
          <w:tcPr>
            <w:tcW w:w="2378" w:type="dxa"/>
            <w:vMerge/>
            <w:tcBorders>
              <w:left w:val="single" w:sz="4" w:space="0" w:color="000000"/>
              <w:right w:val="single" w:sz="4" w:space="0" w:color="000000"/>
            </w:tcBorders>
            <w:shd w:val="clear" w:color="auto" w:fill="D2D2D2"/>
          </w:tcPr>
          <w:p>
            <w:pPr/>
          </w:p>
        </w:tc>
        <w:tc>
          <w:tcPr>
            <w:tcW w:w="7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963,431,273 </w:t>
            </w:r>
            <w:r>
              <w:rPr>
                <w:rFonts w:ascii="宋体" w:hAnsi="宋体" w:cs="宋体" w:eastAsia="宋体" w:hint="default"/>
                <w:sz w:val="18"/>
                <w:szCs w:val="18"/>
              </w:rPr>
              <w:t>股，公司第一大股东仍为神码软件，持股比例为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40.43%</w:t>
            </w:r>
            <w:r>
              <w:rPr>
                <w:rFonts w:ascii="宋体" w:hAnsi="宋体" w:cs="宋体" w:eastAsia="宋体" w:hint="default"/>
                <w:sz w:val="18"/>
                <w:szCs w:val="18"/>
              </w:rPr>
              <w:t>。</w:t>
            </w:r>
          </w:p>
        </w:tc>
      </w:tr>
      <w:tr>
        <w:trPr>
          <w:trHeight w:val="331" w:hRule="exact"/>
        </w:trPr>
        <w:tc>
          <w:tcPr>
            <w:tcW w:w="2378" w:type="dxa"/>
            <w:vMerge/>
            <w:tcBorders>
              <w:left w:val="single" w:sz="4" w:space="0" w:color="000000"/>
              <w:right w:val="single" w:sz="4" w:space="0" w:color="000000"/>
            </w:tcBorders>
            <w:shd w:val="clear" w:color="auto" w:fill="D2D2D2"/>
          </w:tcPr>
          <w:p>
            <w:pPr/>
          </w:p>
        </w:tc>
        <w:tc>
          <w:tcPr>
            <w:tcW w:w="7192"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年股票期权与限制性股票激励计划》中授予的限制</w:t>
            </w:r>
          </w:p>
        </w:tc>
      </w:tr>
      <w:tr>
        <w:trPr>
          <w:trHeight w:val="312" w:hRule="exact"/>
        </w:trPr>
        <w:tc>
          <w:tcPr>
            <w:tcW w:w="2378" w:type="dxa"/>
            <w:vMerge/>
            <w:tcBorders>
              <w:left w:val="single" w:sz="4" w:space="0" w:color="000000"/>
              <w:right w:val="single" w:sz="4" w:space="0" w:color="000000"/>
            </w:tcBorders>
            <w:shd w:val="clear" w:color="auto" w:fill="D2D2D2"/>
          </w:tcPr>
          <w:p>
            <w:pPr/>
          </w:p>
        </w:tc>
        <w:tc>
          <w:tcPr>
            <w:tcW w:w="71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性股票上市，公司总股本由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963,431,273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股变更为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970,381,273 </w:t>
            </w:r>
            <w:r>
              <w:rPr>
                <w:rFonts w:ascii="宋体" w:hAnsi="宋体" w:cs="宋体" w:eastAsia="宋体" w:hint="default"/>
                <w:sz w:val="18"/>
                <w:szCs w:val="18"/>
              </w:rPr>
              <w:t>股。公司控股股东仍为神</w:t>
            </w:r>
          </w:p>
        </w:tc>
      </w:tr>
      <w:tr>
        <w:trPr>
          <w:trHeight w:val="355" w:hRule="exact"/>
        </w:trPr>
        <w:tc>
          <w:tcPr>
            <w:tcW w:w="2378" w:type="dxa"/>
            <w:vMerge/>
            <w:tcBorders>
              <w:left w:val="single" w:sz="4" w:space="0" w:color="000000"/>
              <w:bottom w:val="single" w:sz="4" w:space="0" w:color="000000"/>
              <w:right w:val="single" w:sz="4" w:space="0" w:color="000000"/>
            </w:tcBorders>
            <w:shd w:val="clear" w:color="auto" w:fill="D2D2D2"/>
          </w:tcPr>
          <w:p>
            <w:pPr/>
          </w:p>
        </w:tc>
        <w:tc>
          <w:tcPr>
            <w:tcW w:w="71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码软件，持股比例为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40.14%</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4"/>
        <w:rPr>
          <w:rFonts w:ascii="宋体" w:hAnsi="宋体" w:cs="宋体" w:eastAsia="宋体" w:hint="default"/>
          <w:sz w:val="8"/>
          <w:szCs w:val="8"/>
        </w:rPr>
      </w:pPr>
    </w:p>
    <w:tbl>
      <w:tblPr>
        <w:tblW w:w="0" w:type="auto"/>
        <w:jc w:val="left"/>
        <w:tblInd w:w="262" w:type="dxa"/>
        <w:tblLayout w:type="fixed"/>
        <w:tblCellMar>
          <w:top w:w="0" w:type="dxa"/>
          <w:left w:w="0" w:type="dxa"/>
          <w:bottom w:w="0" w:type="dxa"/>
          <w:right w:w="0" w:type="dxa"/>
        </w:tblCellMar>
        <w:tblLook w:val="01E0"/>
      </w:tblPr>
      <w:tblGrid>
        <w:gridCol w:w="2661"/>
        <w:gridCol w:w="6909"/>
      </w:tblGrid>
      <w:tr>
        <w:trPr>
          <w:trHeight w:val="4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6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号富华大厦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66"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唐炫、唐静</w:t>
            </w:r>
          </w:p>
        </w:tc>
      </w:tr>
    </w:tbl>
    <w:p>
      <w:pPr>
        <w:pStyle w:val="BodyText"/>
        <w:spacing w:line="240" w:lineRule="auto" w:before="49"/>
        <w:ind w:right="0"/>
        <w:jc w:val="left"/>
      </w:pPr>
      <w:r>
        <w:rPr/>
        <w:t>公司聘请的报告期内履行持续督导职责的保荐机构</w:t>
      </w:r>
    </w:p>
    <w:p>
      <w:pPr>
        <w:pStyle w:val="BodyText"/>
        <w:spacing w:line="360" w:lineRule="auto" w:before="115"/>
        <w:ind w:right="6793"/>
        <w:jc w:val="left"/>
      </w:pPr>
      <w:r>
        <w:rPr/>
        <w:t>□ 适用 √</w:t>
      </w:r>
      <w:r>
        <w:rPr>
          <w:spacing w:val="3"/>
        </w:rPr>
        <w:t> </w:t>
      </w:r>
      <w:r>
        <w:rPr/>
        <w:t>不适用</w:t>
      </w:r>
      <w:r>
        <w:rPr/>
        <w:t> 公司聘请的报告期内履行持续督导职责的财务顾问</w:t>
      </w:r>
    </w:p>
    <w:p>
      <w:pPr>
        <w:pStyle w:val="BodyText"/>
        <w:spacing w:line="240" w:lineRule="auto" w:before="25"/>
        <w:ind w:right="0"/>
        <w:jc w:val="left"/>
      </w:pPr>
      <w:r>
        <w:rPr/>
        <w:t>□ 适用 √</w:t>
      </w:r>
      <w:r>
        <w:rPr>
          <w:spacing w:val="3"/>
        </w:rPr>
        <w:t> </w:t>
      </w:r>
      <w:r>
        <w:rPr/>
        <w:t>不适用</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t>□ 是 √</w:t>
      </w:r>
      <w:r>
        <w:rPr>
          <w:spacing w:val="3"/>
        </w:rPr>
        <w:t> </w:t>
      </w:r>
      <w:r>
        <w:rPr/>
        <w:t>否</w:t>
      </w:r>
    </w:p>
    <w:p>
      <w:pPr>
        <w:spacing w:line="240" w:lineRule="auto" w:before="2"/>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3085"/>
        <w:gridCol w:w="1575"/>
        <w:gridCol w:w="1649"/>
        <w:gridCol w:w="1527"/>
        <w:gridCol w:w="1736"/>
      </w:tblGrid>
      <w:tr>
        <w:trPr>
          <w:trHeight w:val="466" w:hRule="exact"/>
        </w:trPr>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125"/>
              <w:jc w:val="righ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63" w:hRule="exact"/>
        </w:trPr>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10,146,008,170.91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9,077,344,908.68</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11.77%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8,187,056,661.83</w:t>
            </w:r>
          </w:p>
        </w:tc>
      </w:tr>
      <w:tr>
        <w:trPr>
          <w:trHeight w:val="713" w:hRule="exact"/>
        </w:trPr>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375,607,752.77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42,096,244.42</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792.26%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302,642,281.64</w:t>
            </w:r>
          </w:p>
        </w:tc>
      </w:tr>
      <w:tr>
        <w:trPr>
          <w:trHeight w:val="716" w:hRule="exact"/>
        </w:trPr>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267"/>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326,089,004.98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-130,582,454.86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349.72%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264,158,874.34</w:t>
            </w:r>
          </w:p>
        </w:tc>
      </w:tr>
      <w:tr>
        <w:trPr>
          <w:trHeight w:val="713" w:hRule="exact"/>
        </w:trPr>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289,967,552.20</w:t>
            </w:r>
            <w:r>
              <w:rPr>
                <w:rFonts w:ascii="Times New Roman"/>
                <w:sz w:val="18"/>
              </w:rPr>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237,248,165.21</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343,643,405.55</w:t>
            </w:r>
          </w:p>
        </w:tc>
      </w:tr>
      <w:tr>
        <w:trPr>
          <w:trHeight w:val="466" w:hRule="exact"/>
        </w:trPr>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0.3899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0.0437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792.22%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0.3141</w:t>
            </w:r>
          </w:p>
        </w:tc>
      </w:tr>
      <w:tr>
        <w:trPr>
          <w:trHeight w:val="463" w:hRule="exact"/>
        </w:trPr>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0.3890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0.0437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790.16%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0.3141</w:t>
            </w:r>
          </w:p>
        </w:tc>
      </w:tr>
      <w:tr>
        <w:trPr>
          <w:trHeight w:val="466" w:hRule="exact"/>
        </w:trPr>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7.44%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0.86%</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6.58%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6.38%</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261" w:type="dxa"/>
        <w:tblLayout w:type="fixed"/>
        <w:tblCellMar>
          <w:top w:w="0" w:type="dxa"/>
          <w:left w:w="0" w:type="dxa"/>
          <w:bottom w:w="0" w:type="dxa"/>
          <w:right w:w="0" w:type="dxa"/>
        </w:tblCellMar>
        <w:tblLook w:val="01E0"/>
      </w:tblPr>
      <w:tblGrid>
        <w:gridCol w:w="3085"/>
        <w:gridCol w:w="1575"/>
        <w:gridCol w:w="1649"/>
        <w:gridCol w:w="1527"/>
        <w:gridCol w:w="1736"/>
      </w:tblGrid>
      <w:tr>
        <w:trPr>
          <w:trHeight w:val="713" w:hRule="exact"/>
        </w:trPr>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79" w:right="125" w:hanging="449"/>
              <w:jc w:val="left"/>
              <w:rPr>
                <w:rFonts w:ascii="宋体" w:hAnsi="宋体" w:cs="宋体" w:eastAsia="宋体" w:hint="default"/>
                <w:sz w:val="18"/>
                <w:szCs w:val="18"/>
              </w:rPr>
            </w:pPr>
            <w:r>
              <w:rPr>
                <w:rFonts w:ascii="宋体" w:hAnsi="宋体" w:cs="宋体" w:eastAsia="宋体" w:hint="default"/>
                <w:sz w:val="18"/>
                <w:szCs w:val="18"/>
              </w:rPr>
              <w:t>本年末比上年末 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66" w:hRule="exact"/>
        </w:trPr>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 w:right="0"/>
              <w:jc w:val="center"/>
              <w:rPr>
                <w:rFonts w:ascii="Times New Roman" w:hAnsi="Times New Roman" w:cs="Times New Roman" w:eastAsia="Times New Roman" w:hint="default"/>
                <w:sz w:val="18"/>
                <w:szCs w:val="18"/>
              </w:rPr>
            </w:pPr>
            <w:r>
              <w:rPr>
                <w:rFonts w:ascii="Times New Roman"/>
                <w:sz w:val="18"/>
              </w:rPr>
              <w:t>10,755,502,029.77</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10,696,306,209.17</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z w:val="18"/>
              </w:rPr>
              <w:t>0.55%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10,719,793,873.77</w:t>
            </w:r>
          </w:p>
        </w:tc>
      </w:tr>
      <w:tr>
        <w:trPr>
          <w:trHeight w:val="713" w:hRule="exact"/>
        </w:trPr>
        <w:tc>
          <w:tcPr>
            <w:tcW w:w="3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center"/>
              <w:rPr>
                <w:rFonts w:ascii="Times New Roman" w:hAnsi="Times New Roman" w:cs="Times New Roman" w:eastAsia="Times New Roman" w:hint="default"/>
                <w:sz w:val="18"/>
                <w:szCs w:val="18"/>
              </w:rPr>
            </w:pPr>
            <w:r>
              <w:rPr>
                <w:rFonts w:ascii="Times New Roman"/>
                <w:sz w:val="18"/>
              </w:rPr>
              <w:t>5,219,351,789.16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4,946,084,692.51</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4,889,829,863.30</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1215"/>
        <w:jc w:val="left"/>
      </w:pPr>
      <w:r>
        <w:rPr/>
        <w:t>□ 适用 √</w:t>
      </w:r>
      <w:r>
        <w:rPr>
          <w:spacing w:val="3"/>
        </w:rPr>
        <w:t> </w:t>
      </w:r>
      <w:r>
        <w:rPr/>
        <w:t>不适用</w:t>
      </w:r>
      <w:r>
        <w:rPr/>
        <w:t> 公司报告期不存在按照国际会计准则与按照中国会计准则披露的财务报告中净利润和净资产差异情况。</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2653"/>
        <w:jc w:val="left"/>
      </w:pPr>
      <w:r>
        <w:rPr/>
        <w:t>□ 适用 √</w:t>
      </w:r>
      <w:r>
        <w:rPr>
          <w:spacing w:val="3"/>
        </w:rPr>
        <w:t> </w:t>
      </w:r>
      <w:r>
        <w:rPr/>
        <w:t>不适用</w:t>
      </w:r>
      <w:r>
        <w:rPr/>
        <w:t> 公司报告期不存在按照境外会计准则与按照中国会计准则披露的财务报告中净利润和净资产差异情况。</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2621"/>
        <w:gridCol w:w="1740"/>
        <w:gridCol w:w="1740"/>
        <w:gridCol w:w="1738"/>
        <w:gridCol w:w="1731"/>
      </w:tblGrid>
      <w:tr>
        <w:trPr>
          <w:trHeight w:val="46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0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0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6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2,164,640,060.19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1,965,553,943.28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2,104,043,896.30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3,911,770,271.14</w:t>
            </w:r>
          </w:p>
        </w:tc>
      </w:tr>
      <w:tr>
        <w:trPr>
          <w:trHeight w:val="46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34,135,746.97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95,008,008.21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61,170,421.26</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185,293,576.33</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5" w:right="164"/>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32,361,194.40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86,266,613.37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14,951,902.63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192,509,294.58</w:t>
            </w:r>
          </w:p>
        </w:tc>
      </w:tr>
      <w:tr>
        <w:trPr>
          <w:trHeight w:val="46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-551,439,746.68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-219,061,386.74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155,635,738.60</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904,832,947.02</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5"/>
        <w:ind w:right="0"/>
        <w:jc w:val="left"/>
      </w:pPr>
      <w:r>
        <w:rPr/>
        <w:t>□ 是 √</w:t>
      </w:r>
      <w:r>
        <w:rPr>
          <w:spacing w:val="3"/>
        </w:rPr>
        <w:t> </w:t>
      </w:r>
      <w:r>
        <w:rPr/>
        <w:t>否</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t>√ 适用 □</w:t>
      </w:r>
      <w:r>
        <w:rPr>
          <w:spacing w:val="3"/>
        </w:rPr>
        <w:t> </w:t>
      </w:r>
      <w:r>
        <w:rPr/>
        <w:t>不适用</w:t>
      </w:r>
    </w:p>
    <w:p>
      <w:pPr>
        <w:pStyle w:val="BodyText"/>
        <w:spacing w:line="240" w:lineRule="auto" w:before="115"/>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4614"/>
        <w:gridCol w:w="1366"/>
        <w:gridCol w:w="1366"/>
        <w:gridCol w:w="1289"/>
        <w:gridCol w:w="936"/>
      </w:tblGrid>
      <w:tr>
        <w:trPr>
          <w:trHeight w:val="458" w:hRule="exact"/>
        </w:trPr>
        <w:tc>
          <w:tcPr>
            <w:tcW w:w="4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85"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720" w:hRule="exact"/>
        </w:trPr>
        <w:tc>
          <w:tcPr>
            <w:tcW w:w="4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76"/>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 部分）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9" w:right="0"/>
              <w:jc w:val="left"/>
              <w:rPr>
                <w:rFonts w:ascii="Times New Roman" w:hAnsi="Times New Roman" w:cs="Times New Roman" w:eastAsia="Times New Roman" w:hint="default"/>
                <w:sz w:val="18"/>
                <w:szCs w:val="18"/>
              </w:rPr>
            </w:pPr>
            <w:r>
              <w:rPr>
                <w:rFonts w:ascii="Times New Roman"/>
                <w:sz w:val="18"/>
              </w:rPr>
              <w:t>-3,500,616.15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-7,475,903.46</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-1,718,086.22</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76"/>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 国家统一标准定额或定量享受的政府补助除外）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38,356,416.45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51,335,578.62</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34,638,549.07</w:t>
            </w:r>
          </w:p>
        </w:tc>
        <w:tc>
          <w:tcPr>
            <w:tcW w:w="9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262" w:type="dxa"/>
        <w:tblLayout w:type="fixed"/>
        <w:tblCellMar>
          <w:top w:w="0" w:type="dxa"/>
          <w:left w:w="0" w:type="dxa"/>
          <w:bottom w:w="0" w:type="dxa"/>
          <w:right w:w="0" w:type="dxa"/>
        </w:tblCellMar>
        <w:tblLook w:val="01E0"/>
      </w:tblPr>
      <w:tblGrid>
        <w:gridCol w:w="4613"/>
        <w:gridCol w:w="1366"/>
        <w:gridCol w:w="1366"/>
        <w:gridCol w:w="1289"/>
        <w:gridCol w:w="936"/>
      </w:tblGrid>
      <w:tr>
        <w:trPr>
          <w:trHeight w:val="464" w:hRule="exact"/>
        </w:trPr>
        <w:tc>
          <w:tcPr>
            <w:tcW w:w="4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27" w:right="0"/>
              <w:jc w:val="center"/>
              <w:rPr>
                <w:rFonts w:ascii="Times New Roman" w:hAnsi="Times New Roman" w:cs="Times New Roman" w:eastAsia="Times New Roman" w:hint="default"/>
                <w:sz w:val="18"/>
                <w:szCs w:val="18"/>
              </w:rPr>
            </w:pPr>
            <w:r>
              <w:rPr>
                <w:rFonts w:ascii="Times New Roman"/>
                <w:sz w:val="18"/>
              </w:rPr>
              <w:t>9,767,753.57</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4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4" w:right="176"/>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 有交易性金融资产、衍生金融资产、交易性金融负债、 衍生金融负债产生的公允价值变动损益，以及处置交易 性金融资产、衍生金融资产、交易性金融负债、衍生金 融负债和其他债权投资取得的投资收益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5,747,180.93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-2,255,681.55</w:t>
            </w:r>
          </w:p>
        </w:tc>
        <w:tc>
          <w:tcPr>
            <w:tcW w:w="128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单独进行减值测试的应收款项、合同资产减值准备转回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2,680,276.05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-24,109,241.56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-2,066,234.61</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27" w:right="0"/>
              <w:jc w:val="center"/>
              <w:rPr>
                <w:rFonts w:ascii="Times New Roman" w:hAnsi="Times New Roman" w:cs="Times New Roman" w:eastAsia="Times New Roman" w:hint="default"/>
                <w:sz w:val="18"/>
                <w:szCs w:val="18"/>
              </w:rPr>
            </w:pPr>
            <w:r>
              <w:rPr>
                <w:rFonts w:ascii="Times New Roman"/>
                <w:sz w:val="18"/>
              </w:rPr>
              <w:t>3,265,678.06</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613"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81"/>
              <w:ind w:left="10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42,370,357.37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163,311,988.97</w:t>
            </w:r>
          </w:p>
        </w:tc>
        <w:tc>
          <w:tcPr>
            <w:tcW w:w="1289"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10,095,223.12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24,036,038.59</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27" w:right="0"/>
              <w:jc w:val="center"/>
              <w:rPr>
                <w:rFonts w:ascii="Times New Roman" w:hAnsi="Times New Roman" w:cs="Times New Roman" w:eastAsia="Times New Roman" w:hint="default"/>
                <w:sz w:val="18"/>
                <w:szCs w:val="18"/>
              </w:rPr>
            </w:pPr>
            <w:r>
              <w:rPr>
                <w:rFonts w:ascii="Times New Roman"/>
                <w:sz w:val="18"/>
              </w:rPr>
              <w:t>4,430,037.65</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1,930,402.18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6,135,010.10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27" w:right="0"/>
              <w:jc w:val="center"/>
              <w:rPr>
                <w:rFonts w:ascii="Times New Roman" w:hAnsi="Times New Roman" w:cs="Times New Roman" w:eastAsia="Times New Roman" w:hint="default"/>
                <w:sz w:val="18"/>
                <w:szCs w:val="18"/>
              </w:rPr>
            </w:pPr>
            <w:r>
              <w:rPr>
                <w:rFonts w:ascii="Times New Roman"/>
                <w:sz w:val="18"/>
              </w:rPr>
              <w:t>3,040,449.53</w:t>
            </w:r>
          </w:p>
        </w:tc>
        <w:tc>
          <w:tcPr>
            <w:tcW w:w="936"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0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49,518,747.79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1"/>
              <w:jc w:val="right"/>
              <w:rPr>
                <w:rFonts w:ascii="Times New Roman" w:hAnsi="Times New Roman" w:cs="Times New Roman" w:eastAsia="Times New Roman" w:hint="default"/>
                <w:sz w:val="18"/>
                <w:szCs w:val="18"/>
              </w:rPr>
            </w:pPr>
            <w:r>
              <w:rPr>
                <w:rFonts w:ascii="Times New Roman"/>
                <w:spacing w:val="-1"/>
                <w:sz w:val="18"/>
              </w:rPr>
              <w:t>172,678,699.28</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8" w:right="0"/>
              <w:jc w:val="center"/>
              <w:rPr>
                <w:rFonts w:ascii="Times New Roman" w:hAnsi="Times New Roman" w:cs="Times New Roman" w:eastAsia="Times New Roman" w:hint="default"/>
                <w:sz w:val="18"/>
                <w:szCs w:val="18"/>
              </w:rPr>
            </w:pPr>
            <w:r>
              <w:rPr>
                <w:rFonts w:ascii="Times New Roman"/>
                <w:sz w:val="18"/>
              </w:rPr>
              <w:t>38,483,407.30</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对公司根据《公开发行证券的公司信息披露解释性公告第</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号——非经常性损益》定义界定的非经常性损益项目，以及把</w:t>
      </w:r>
    </w:p>
    <w:p>
      <w:pPr>
        <w:pStyle w:val="BodyText"/>
        <w:spacing w:line="300" w:lineRule="auto" w:before="63"/>
        <w:ind w:right="1215"/>
        <w:jc w:val="left"/>
      </w:pPr>
      <w:r>
        <w:rPr/>
        <w:t>《公开发行证券的公司信息披露解释性公告第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号——非经常性损益》中列举的非经常性损益项目界定为经常性损益的项 目，应说明原因</w:t>
      </w:r>
    </w:p>
    <w:p>
      <w:pPr>
        <w:pStyle w:val="BodyText"/>
        <w:spacing w:line="240" w:lineRule="auto" w:before="70"/>
        <w:ind w:right="0"/>
        <w:jc w:val="left"/>
      </w:pPr>
      <w:r>
        <w:rPr/>
        <w:t>□ 适用 √</w:t>
      </w:r>
      <w:r>
        <w:rPr>
          <w:spacing w:val="3"/>
        </w:rPr>
        <w:t> </w:t>
      </w:r>
      <w:r>
        <w:rPr/>
        <w:t>不适用</w:t>
      </w:r>
    </w:p>
    <w:p>
      <w:pPr>
        <w:pStyle w:val="BodyText"/>
        <w:spacing w:line="300" w:lineRule="auto" w:before="117"/>
        <w:ind w:right="1215"/>
        <w:jc w:val="left"/>
      </w:pPr>
      <w:r>
        <w:rPr/>
        <w:t>公司报告期不存在将根据《公开发行证券的公司信息披露解释性公告第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号——非经常性损益》定义、列举的非经常性损 益项目界定为经常性损益的项目的情形。</w:t>
      </w:r>
    </w:p>
    <w:p>
      <w:pPr>
        <w:spacing w:after="0" w:line="300" w:lineRule="auto"/>
        <w:jc w:val="left"/>
        <w:sectPr>
          <w:pgSz w:w="11910" w:h="16840"/>
          <w:pgMar w:header="916" w:footer="1261" w:top="112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left="3446" w:right="0"/>
        <w:jc w:val="left"/>
        <w:rPr>
          <w:b w:val="0"/>
          <w:bCs w:val="0"/>
        </w:rPr>
      </w:pPr>
      <w:bookmarkStart w:name="_bookmark2" w:id="3"/>
      <w:bookmarkEnd w:id="3"/>
      <w:r>
        <w:rPr>
          <w:b w:val="0"/>
          <w:bCs w:val="0"/>
        </w:rPr>
      </w:r>
      <w:r>
        <w:rPr/>
        <w:t>第三节</w:t>
      </w:r>
      <w:r>
        <w:rPr>
          <w:spacing w:val="-5"/>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Heading6"/>
        <w:spacing w:line="240" w:lineRule="auto" w:before="103"/>
        <w:ind w:right="0"/>
        <w:jc w:val="left"/>
        <w:rPr>
          <w:b w:val="0"/>
          <w:bCs w:val="0"/>
        </w:rPr>
      </w:pPr>
      <w:r>
        <w:rPr/>
        <w:t>（一）宏观行业趋势及公司业务概况</w:t>
      </w:r>
      <w:r>
        <w:rPr>
          <w:b w:val="0"/>
          <w:bCs w:val="0"/>
        </w:rPr>
      </w:r>
    </w:p>
    <w:p>
      <w:pPr>
        <w:pStyle w:val="BodyText"/>
        <w:spacing w:line="309" w:lineRule="auto" w:before="115"/>
        <w:ind w:right="1184" w:firstLine="360"/>
        <w:jc w:val="both"/>
      </w:pPr>
      <w:r>
        <w:rPr/>
        <w:t>根据工业和信息化部统计公报，</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年，我国软件和信息技术服务业呈现平稳向好的发展态势，软件业务收入保持较 快增长，累计完成收入</w:t>
      </w:r>
      <w:r>
        <w:rPr>
          <w:spacing w:val="-46"/>
        </w:rPr>
        <w:t> </w:t>
      </w:r>
      <w:r>
        <w:rPr>
          <w:rFonts w:ascii="Times New Roman" w:hAnsi="Times New Roman" w:cs="Times New Roman" w:eastAsia="Times New Roman" w:hint="default"/>
        </w:rPr>
        <w:t>7.18 </w:t>
      </w:r>
      <w:r>
        <w:rPr/>
        <w:t>万亿元，同比增长</w:t>
      </w:r>
      <w:r>
        <w:rPr>
          <w:spacing w:val="-46"/>
        </w:rPr>
        <w:t> </w:t>
      </w:r>
      <w:r>
        <w:rPr>
          <w:rFonts w:ascii="Times New Roman" w:hAnsi="Times New Roman" w:cs="Times New Roman" w:eastAsia="Times New Roman" w:hint="default"/>
        </w:rPr>
        <w:t>15.4%</w:t>
      </w:r>
      <w:r>
        <w:rPr/>
        <w:t>。随着云计算、大数据、人工智能等技术的不断应用，金融行业中催 生出一系列产品和业务模式变革，金融机构的投入重点逐渐从传统的机房建设、应用系统开发、日常运维等开支，向更广 泛的金融科技建设领域延伸，在金融科技领域的投入占银行总营收的比例正在逐年增加。根据相关研究机构预测，中国银 行业</w:t>
      </w:r>
      <w:r>
        <w:rPr>
          <w:spacing w:val="-46"/>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解决方案市场</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到</w:t>
      </w:r>
      <w:r>
        <w:rPr>
          <w:spacing w:val="-48"/>
        </w:rPr>
        <w:t> </w:t>
      </w:r>
      <w:r>
        <w:rPr>
          <w:rFonts w:ascii="Times New Roman" w:hAnsi="Times New Roman" w:cs="Times New Roman" w:eastAsia="Times New Roman" w:hint="default"/>
        </w:rPr>
        <w:t>2023</w:t>
      </w:r>
      <w:r>
        <w:rPr>
          <w:rFonts w:ascii="Times New Roman" w:hAnsi="Times New Roman" w:cs="Times New Roman" w:eastAsia="Times New Roman" w:hint="default"/>
          <w:spacing w:val="1"/>
        </w:rPr>
        <w:t> </w:t>
      </w:r>
      <w:r>
        <w:rPr/>
        <w:t>年的年均复合增长率为</w:t>
      </w:r>
      <w:r>
        <w:rPr>
          <w:spacing w:val="-48"/>
        </w:rPr>
        <w:t> </w:t>
      </w:r>
      <w:r>
        <w:rPr>
          <w:rFonts w:ascii="Times New Roman" w:hAnsi="Times New Roman" w:cs="Times New Roman" w:eastAsia="Times New Roman" w:hint="default"/>
        </w:rPr>
        <w:t>20.8%</w:t>
      </w:r>
      <w:r>
        <w:rPr/>
        <w:t>，到</w:t>
      </w:r>
      <w:r>
        <w:rPr>
          <w:spacing w:val="-46"/>
        </w:rPr>
        <w:t> </w:t>
      </w:r>
      <w:r>
        <w:rPr>
          <w:rFonts w:ascii="Times New Roman" w:hAnsi="Times New Roman" w:cs="Times New Roman" w:eastAsia="Times New Roman" w:hint="default"/>
        </w:rPr>
        <w:t>2023</w:t>
      </w:r>
      <w:r>
        <w:rPr>
          <w:rFonts w:ascii="Times New Roman" w:hAnsi="Times New Roman" w:cs="Times New Roman" w:eastAsia="Times New Roman" w:hint="default"/>
          <w:spacing w:val="1"/>
        </w:rPr>
        <w:t> </w:t>
      </w:r>
      <w:r>
        <w:rPr/>
        <w:t>年，中国银行业</w:t>
      </w:r>
      <w:r>
        <w:rPr>
          <w:spacing w:val="-48"/>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解决方案市场规模将达到</w:t>
      </w:r>
    </w:p>
    <w:p>
      <w:pPr>
        <w:pStyle w:val="BodyText"/>
        <w:spacing w:line="240" w:lineRule="auto" w:before="5"/>
        <w:ind w:right="0"/>
        <w:jc w:val="left"/>
      </w:pPr>
      <w:r>
        <w:rPr>
          <w:rFonts w:ascii="Times New Roman" w:hAnsi="Times New Roman" w:cs="Times New Roman" w:eastAsia="Times New Roman" w:hint="default"/>
        </w:rPr>
        <w:t>1071.5</w:t>
      </w:r>
      <w:r>
        <w:rPr>
          <w:rFonts w:ascii="Times New Roman" w:hAnsi="Times New Roman" w:cs="Times New Roman" w:eastAsia="Times New Roman" w:hint="default"/>
          <w:spacing w:val="1"/>
        </w:rPr>
        <w:t> </w:t>
      </w:r>
      <w:r>
        <w:rPr/>
        <w:t>亿元。</w:t>
      </w:r>
    </w:p>
    <w:p>
      <w:pPr>
        <w:pStyle w:val="BodyText"/>
        <w:spacing w:line="316" w:lineRule="auto" w:before="103"/>
        <w:ind w:right="1229" w:firstLine="360"/>
        <w:jc w:val="both"/>
      </w:pPr>
      <w:r>
        <w:rPr/>
        <w:t>党的十八大以来，我国有序推进金融改革、治理金融风险，金融业保持快速发展，金融改革开放有序推进，金融产品 日益丰富，金融服务普惠性增强，金融监管得到加强和改进。同时，我国金融业的市场结构、经营理念、创新能力、服务 水平还不适应经济高质量发展的要求，诸多矛盾和问题仍然突出。习近平总书记强调，金融是国家重要的核心竞争力，金 融安全是国家安全的重要组成部分。中央全面深化改革委员会第十次会议指出，金融基础设施是金融市场稳健高效运行的 基础性保障，要推动形成布局合理、治理有效、先进可靠、富有弹性的金融基础设施体系。习总书记还强调，要深化金融 供给侧结构性改革，增强金融服务实体经济能力。强化金融服务功能，要找准金融服务重点，以服务实体经济、服务人民 生活为本，改进小微企业和</w:t>
      </w:r>
      <w:r>
        <w:rPr>
          <w:rFonts w:ascii="Times New Roman" w:hAnsi="Times New Roman" w:cs="Times New Roman" w:eastAsia="Times New Roman" w:hint="default"/>
        </w:rPr>
        <w:t>“</w:t>
      </w:r>
      <w:r>
        <w:rPr/>
        <w:t>三农</w:t>
      </w:r>
      <w:r>
        <w:rPr>
          <w:rFonts w:ascii="Times New Roman" w:hAnsi="Times New Roman" w:cs="Times New Roman" w:eastAsia="Times New Roman" w:hint="default"/>
        </w:rPr>
        <w:t>”</w:t>
      </w:r>
      <w:r>
        <w:rPr/>
        <w:t>金融服务。</w:t>
      </w:r>
    </w:p>
    <w:p>
      <w:pPr>
        <w:pStyle w:val="BodyText"/>
        <w:spacing w:line="312" w:lineRule="auto" w:before="40"/>
        <w:ind w:right="1162" w:firstLine="360"/>
        <w:jc w:val="left"/>
      </w:pPr>
      <w:r>
        <w:rPr>
          <w:rFonts w:ascii="Times New Roman" w:hAnsi="Times New Roman" w:cs="Times New Roman" w:eastAsia="Times New Roman" w:hint="default"/>
        </w:rPr>
        <w:t>2019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月，中国人民银行印发《金融科技发展规划（</w:t>
      </w:r>
      <w:r>
        <w:rPr>
          <w:rFonts w:ascii="Times New Roman" w:hAnsi="Times New Roman" w:cs="Times New Roman" w:eastAsia="Times New Roman" w:hint="default"/>
        </w:rPr>
        <w:t>2019-2021 </w:t>
      </w:r>
      <w:r>
        <w:rPr/>
        <w:t>年）》，提出到</w:t>
      </w:r>
      <w:r>
        <w:rPr>
          <w:spacing w:val="-49"/>
        </w:rPr>
        <w:t> </w:t>
      </w:r>
      <w:r>
        <w:rPr>
          <w:rFonts w:ascii="Times New Roman" w:hAnsi="Times New Roman" w:cs="Times New Roman" w:eastAsia="Times New Roman" w:hint="default"/>
        </w:rPr>
        <w:t>2021 </w:t>
      </w:r>
      <w:r>
        <w:rPr/>
        <w:t>年，推动我国金融科技发展居 于国际领先水平，建立健全我国金融科技发展的</w:t>
      </w:r>
      <w:r>
        <w:rPr>
          <w:rFonts w:ascii="Times New Roman" w:hAnsi="Times New Roman" w:cs="Times New Roman" w:eastAsia="Times New Roman" w:hint="default"/>
        </w:rPr>
        <w:t>“</w:t>
      </w:r>
      <w:r>
        <w:rPr/>
        <w:t>四梁八柱</w:t>
      </w:r>
      <w:r>
        <w:rPr>
          <w:rFonts w:ascii="Times New Roman" w:hAnsi="Times New Roman" w:cs="Times New Roman" w:eastAsia="Times New Roman" w:hint="default"/>
        </w:rPr>
        <w:t>”</w:t>
      </w:r>
      <w:r>
        <w:rPr/>
        <w:t>，全面建成安全、可控、先进、高效的金融科技应用体系，构 建集中式与分布式协调发展的信息基础设施架构。规划还提出，要加大金融科技产品服务创新力度，加强人工智能、大数 据、云计算等科技成果运用，通过金融科技手段实现滴灌式精准扶持，缓解小微企业融资难融资贵、金融支农力度需要加 大等问题。在此背景之下，公司以金融科技为发展主线，为行业客户提供成熟、可靠、安全的行业解决方案，覆盖多维 度、多层次的金融场景创新业务，助力国家金融科技战略部署与安全应用，增强金融服务实体经济的能力。</w:t>
      </w:r>
    </w:p>
    <w:p>
      <w:pPr>
        <w:pStyle w:val="BodyText"/>
        <w:spacing w:line="314" w:lineRule="auto" w:before="61"/>
        <w:ind w:right="1135" w:firstLine="360"/>
        <w:jc w:val="left"/>
      </w:pPr>
      <w:r>
        <w:rPr/>
        <w:t>神州信息是国内领先的金融科技全产业链综合服务商，战略聚焦金融科技，依托三十余年积累的行业经验与技术优 势，赋能金融</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架构转型升级与信息技术应用创新，推动分布式与云计算、大数据、人工智能、量子通信、区块链等新兴 技术在金融、政府、农业等各个行业的落地应用。同时，公司融合基石业务所带来的丰富数据、广泛客户和场景优势，以 金融科技的技术能力推动金融服务向小微企业和</w:t>
      </w:r>
      <w:r>
        <w:rPr>
          <w:rFonts w:ascii="Times New Roman" w:hAnsi="Times New Roman" w:cs="Times New Roman" w:eastAsia="Times New Roman" w:hint="default"/>
        </w:rPr>
        <w:t>“</w:t>
      </w:r>
      <w:r>
        <w:rPr/>
        <w:t>三农</w:t>
      </w:r>
      <w:r>
        <w:rPr>
          <w:rFonts w:ascii="Times New Roman" w:hAnsi="Times New Roman" w:cs="Times New Roman" w:eastAsia="Times New Roman" w:hint="default"/>
        </w:rPr>
        <w:t>”</w:t>
      </w:r>
      <w:r>
        <w:rPr/>
        <w:t>领域拓展。在中国金融行业及金融科技企业进入技术革新新阶段、 新技术路线探索迎来拐点的大背景下，公司一方面基于对行业的理解和客户需求的把握，深度运用包括分布式与云计算、 大数据、人工智能、量子通信、区块链在内的前沿技术，实现了现有产品的持续迭代升级和产品线的不断开拓，不断扩大 在银行等金融机构的市场份额，把握信息技术应用创新与信息基础设施建设所带来的机遇。另一方面，通过开放银行等技 术手段帮助银行实现自身金融能力与各商业生态场景的嫁接，并结合公司在税务、农业等领域的长期积累，通过对行业的 理解能力和数据的分析能力，打造平台化场景业务，打通金融服务与更多行业的连接，高效解决各行业的金融供需问题。</w:t>
      </w:r>
    </w:p>
    <w:p>
      <w:pPr>
        <w:pStyle w:val="Heading6"/>
        <w:spacing w:line="240" w:lineRule="auto" w:before="61"/>
        <w:ind w:left="352" w:right="0"/>
        <w:jc w:val="left"/>
        <w:rPr>
          <w:b w:val="0"/>
          <w:bCs w:val="0"/>
        </w:rPr>
      </w:pPr>
      <w:r>
        <w:rPr/>
        <w:t>（二）金融科技主要业务</w:t>
      </w:r>
      <w:r>
        <w:rPr>
          <w:b w:val="0"/>
          <w:bCs w:val="0"/>
        </w:rPr>
      </w:r>
    </w:p>
    <w:p>
      <w:pPr>
        <w:pStyle w:val="BodyText"/>
        <w:spacing w:line="307" w:lineRule="auto" w:before="117"/>
        <w:ind w:right="1124" w:firstLine="360"/>
        <w:jc w:val="left"/>
      </w:pPr>
      <w:r>
        <w:rPr/>
        <w:t>神州信息的金融科技业务起步于</w:t>
      </w:r>
      <w:r>
        <w:rPr>
          <w:spacing w:val="-46"/>
        </w:rPr>
        <w:t> </w:t>
      </w:r>
      <w:r>
        <w:rPr>
          <w:rFonts w:ascii="Times New Roman" w:hAnsi="Times New Roman" w:cs="Times New Roman" w:eastAsia="Times New Roman" w:hint="default"/>
        </w:rPr>
        <w:t>1987 </w:t>
      </w:r>
      <w:r>
        <w:rPr/>
        <w:t>年，随着公司业务的不断创新和发展，拥有了以分布式、大数据为代表的底层能 力和以核心业务系统、企业服务总线等为代表的拳头产品，助力信息技术应用创新与信息基础设施建设的快速开展，同 时，挖掘税务、农业等行业数据与场景资源，推动金融创新服务发展，促进解决小微、</w:t>
      </w:r>
      <w:r>
        <w:rPr>
          <w:rFonts w:ascii="Times New Roman" w:hAnsi="Times New Roman" w:cs="Times New Roman" w:eastAsia="Times New Roman" w:hint="default"/>
        </w:rPr>
        <w:t>“</w:t>
      </w:r>
      <w:r>
        <w:rPr/>
        <w:t>三农</w:t>
      </w:r>
      <w:r>
        <w:rPr>
          <w:rFonts w:ascii="Times New Roman" w:hAnsi="Times New Roman" w:cs="Times New Roman" w:eastAsia="Times New Roman" w:hint="default"/>
        </w:rPr>
        <w:t>”</w:t>
      </w:r>
      <w:r>
        <w:rPr/>
        <w:t>融资难题。作为金融科技全 产业链综合服务商，公司金融科技业务主要覆盖以下两个方面：</w:t>
      </w:r>
    </w:p>
    <w:p>
      <w:pPr>
        <w:pStyle w:val="Heading6"/>
        <w:spacing w:line="240" w:lineRule="auto" w:before="64"/>
        <w:ind w:right="0"/>
        <w:jc w:val="left"/>
        <w:rPr>
          <w:b w:val="0"/>
          <w:bCs w:val="0"/>
        </w:rPr>
      </w:pPr>
      <w:r>
        <w:rPr>
          <w:rFonts w:ascii="Times New Roman" w:hAnsi="Times New Roman" w:cs="Times New Roman" w:eastAsia="Times New Roman" w:hint="default"/>
        </w:rPr>
        <w:t>1</w:t>
      </w:r>
      <w:r>
        <w:rPr/>
        <w:t>、自主创新的金融科技产品与解决方案</w:t>
      </w:r>
      <w:r>
        <w:rPr>
          <w:b w:val="0"/>
          <w:bCs w:val="0"/>
        </w:rPr>
      </w:r>
    </w:p>
    <w:p>
      <w:pPr>
        <w:pStyle w:val="BodyText"/>
        <w:spacing w:line="240" w:lineRule="auto" w:before="103"/>
        <w:ind w:left="513" w:right="0"/>
        <w:jc w:val="left"/>
      </w:pPr>
      <w:r>
        <w:rPr/>
        <w:t>公司是业内少数拥有银行</w:t>
      </w:r>
      <w:r>
        <w:rPr>
          <w:spacing w:val="-44"/>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全产品线解决方案的供应商，在业内率先提出并落地分布式技术平台和核心业务系统，同</w:t>
      </w:r>
    </w:p>
    <w:p>
      <w:pPr>
        <w:spacing w:after="0" w:line="240" w:lineRule="auto"/>
        <w:jc w:val="left"/>
        <w:sectPr>
          <w:pgSz w:w="11910" w:h="16840"/>
          <w:pgMar w:header="916" w:footer="1261" w:top="1120" w:bottom="1460" w:left="980" w:right="0"/>
        </w:sectPr>
      </w:pPr>
    </w:p>
    <w:p>
      <w:pPr>
        <w:spacing w:line="240" w:lineRule="auto" w:before="9"/>
        <w:rPr>
          <w:rFonts w:ascii="宋体" w:hAnsi="宋体" w:cs="宋体" w:eastAsia="宋体" w:hint="default"/>
          <w:sz w:val="20"/>
          <w:szCs w:val="20"/>
        </w:rPr>
      </w:pPr>
    </w:p>
    <w:p>
      <w:pPr>
        <w:pStyle w:val="BodyText"/>
        <w:spacing w:line="316" w:lineRule="auto" w:before="44"/>
        <w:ind w:right="1230"/>
        <w:jc w:val="both"/>
      </w:pPr>
      <w:r>
        <w:rPr/>
        <w:t>时具备提供运维服务、系统集成等业务的综合能力，能够一站式、多维度满足客户在信息技术应用创新领域的需求。公司 通过对分布式、人工智能、大数据、区块链等底层技术的应用，打造了包括核心业务类解决方案、渠道管理类解决方案、 管理类解决方案在内的百余条细分产品线与解决方案，满足银行领域全方位的需求，其中新一代分布式技术平台及银行核 心业务系统、企业服务总线、微服务、智能银行、开放银行等解决方案在业内保持领先。在客户层面，正在从银行领域逐 步向以深交所、国电投财务公司为代表的泛金融领域延伸。在信创生态层面，公司持续与华为、龙芯、中标软件等众多厂 商深入合作，助力相关基础软硬件产品在金融行业的适配与应用。</w:t>
      </w:r>
    </w:p>
    <w:p>
      <w:pPr>
        <w:spacing w:line="338" w:lineRule="auto" w:before="59"/>
        <w:ind w:left="513" w:right="121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、融合行业的金融科技场景业务</w:t>
      </w:r>
      <w:r>
        <w:rPr>
          <w:rFonts w:ascii="宋体" w:hAnsi="宋体" w:cs="宋体" w:eastAsia="宋体" w:hint="default"/>
          <w:b/>
          <w:bCs/>
          <w:w w:val="99"/>
          <w:sz w:val="18"/>
          <w:szCs w:val="18"/>
        </w:rPr>
        <w:t> </w:t>
      </w:r>
      <w:r>
        <w:rPr>
          <w:rFonts w:ascii="宋体" w:hAnsi="宋体" w:cs="宋体" w:eastAsia="宋体" w:hint="default"/>
          <w:sz w:val="18"/>
          <w:szCs w:val="18"/>
        </w:rPr>
        <w:t>公司在金融科技、农业信息化、税务领域有着长期和深厚的积累，凭借对金融行业、农业与税务场景的深刻理解，以</w:t>
      </w:r>
    </w:p>
    <w:p>
      <w:pPr>
        <w:pStyle w:val="BodyText"/>
        <w:spacing w:line="312" w:lineRule="auto" w:before="2"/>
        <w:ind w:right="1118"/>
        <w:jc w:val="left"/>
      </w:pPr>
      <w:r>
        <w:rPr/>
        <w:t>及业界领先的解决方案能力和数据能力优势，把握银税互动政策与数字乡村战略的机遇，积极探索</w:t>
      </w:r>
      <w:r>
        <w:rPr>
          <w:spacing w:val="2"/>
        </w:rPr>
        <w:t> </w:t>
      </w:r>
      <w:r>
        <w:rPr>
          <w:rFonts w:ascii="Times New Roman" w:hAnsi="Times New Roman" w:cs="Times New Roman" w:eastAsia="Times New Roman" w:hint="default"/>
        </w:rPr>
        <w:t>“</w:t>
      </w:r>
      <w:r>
        <w:rPr/>
        <w:t>科技</w:t>
      </w:r>
      <w:r>
        <w:rPr>
          <w:rFonts w:ascii="Times New Roman" w:hAnsi="Times New Roman" w:cs="Times New Roman" w:eastAsia="Times New Roman" w:hint="default"/>
        </w:rPr>
        <w:t>+</w:t>
      </w:r>
      <w:r>
        <w:rPr/>
        <w:t>产业</w:t>
      </w:r>
      <w:r>
        <w:rPr>
          <w:rFonts w:ascii="Times New Roman" w:hAnsi="Times New Roman" w:cs="Times New Roman" w:eastAsia="Times New Roman" w:hint="default"/>
        </w:rPr>
        <w:t>+</w:t>
      </w:r>
      <w:r>
        <w:rPr/>
        <w:t>金融</w:t>
      </w:r>
      <w:r>
        <w:rPr>
          <w:rFonts w:ascii="Times New Roman" w:hAnsi="Times New Roman" w:cs="Times New Roman" w:eastAsia="Times New Roman" w:hint="default"/>
        </w:rPr>
        <w:t>”</w:t>
      </w:r>
      <w:r>
        <w:rPr/>
        <w:t>三方</w:t>
      </w:r>
      <w:r>
        <w:rPr>
          <w:spacing w:val="2"/>
        </w:rPr>
        <w:t> </w:t>
      </w:r>
      <w:r>
        <w:rPr/>
        <w:t>赋能的新模式，与互联网、银行、保险等企业在行业、场景、数据等方面强强联合，目前已形成银税互动、银农直连、生</w:t>
      </w:r>
      <w:r>
        <w:rPr/>
        <w:t> 物资产抵押等创新业务形态。未来，将以大数据、人工智能、区块链为核心技术驱动，探索金融与自身基石业务的融合， 帮助金融服务在小微企业和</w:t>
      </w:r>
      <w:r>
        <w:rPr>
          <w:rFonts w:ascii="Times New Roman" w:hAnsi="Times New Roman" w:cs="Times New Roman" w:eastAsia="Times New Roman" w:hint="default"/>
        </w:rPr>
        <w:t>“</w:t>
      </w:r>
      <w:r>
        <w:rPr/>
        <w:t>三农</w:t>
      </w:r>
      <w:r>
        <w:rPr>
          <w:rFonts w:ascii="Times New Roman" w:hAnsi="Times New Roman" w:cs="Times New Roman" w:eastAsia="Times New Roman" w:hint="default"/>
        </w:rPr>
        <w:t>”</w:t>
      </w:r>
      <w:r>
        <w:rPr/>
        <w:t>领域实现延伸发展。</w:t>
      </w:r>
    </w:p>
    <w:p>
      <w:pPr>
        <w:pStyle w:val="BodyText"/>
        <w:spacing w:line="360" w:lineRule="auto" w:before="44"/>
        <w:ind w:left="513" w:right="1136" w:hanging="161"/>
        <w:jc w:val="left"/>
        <w:rPr>
          <w:rFonts w:ascii="Times New Roman" w:hAnsi="Times New Roman" w:cs="Times New Roman" w:eastAsia="Times New Roman" w:hint="default"/>
        </w:rPr>
      </w:pPr>
      <w:r>
        <w:rPr>
          <w:rFonts w:ascii="宋体" w:hAnsi="宋体" w:cs="宋体" w:eastAsia="宋体" w:hint="default"/>
          <w:b/>
          <w:bCs/>
        </w:rPr>
        <w:t>（三）行业地位与市场影响力</w:t>
      </w:r>
      <w:r>
        <w:rPr>
          <w:rFonts w:ascii="宋体" w:hAnsi="宋体" w:cs="宋体" w:eastAsia="宋体" w:hint="default"/>
          <w:b/>
          <w:bCs/>
          <w:w w:val="99"/>
        </w:rPr>
        <w:t> </w:t>
      </w:r>
      <w:r>
        <w:rPr/>
        <w:t>公司的行业地位与市场影响力得到了包括权威金融机构、学术界和咨询公司在内的广泛认可。</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年，公司荣登</w:t>
      </w:r>
      <w:r>
        <w:rPr>
          <w:rFonts w:ascii="Times New Roman" w:hAnsi="Times New Roman" w:cs="Times New Roman" w:eastAsia="Times New Roman" w:hint="default"/>
        </w:rPr>
        <w:t>“IDC</w:t>
      </w:r>
    </w:p>
    <w:p>
      <w:pPr>
        <w:pStyle w:val="BodyText"/>
        <w:spacing w:line="212" w:lineRule="exact"/>
        <w:ind w:right="0"/>
        <w:jc w:val="left"/>
      </w:pPr>
      <w:r>
        <w:rPr>
          <w:rFonts w:ascii="Times New Roman" w:hAnsi="Times New Roman" w:cs="Times New Roman" w:eastAsia="Times New Roman" w:hint="default"/>
        </w:rPr>
        <w:t>FINTECH</w:t>
      </w:r>
      <w:r>
        <w:rPr>
          <w:rFonts w:ascii="Times New Roman" w:hAnsi="Times New Roman" w:cs="Times New Roman" w:eastAsia="Times New Roman" w:hint="default"/>
          <w:spacing w:val="-2"/>
        </w:rPr>
        <w:t> </w:t>
      </w:r>
      <w:r>
        <w:rPr>
          <w:rFonts w:ascii="Times New Roman" w:hAnsi="Times New Roman" w:cs="Times New Roman" w:eastAsia="Times New Roman" w:hint="default"/>
        </w:rPr>
        <w:t>RANKINGS”</w:t>
      </w:r>
      <w:r>
        <w:rPr/>
        <w:t>全球金融科技百强榜排名第</w:t>
      </w:r>
      <w:r>
        <w:rPr>
          <w:spacing w:val="-46"/>
        </w:rPr>
        <w:t> </w:t>
      </w:r>
      <w:r>
        <w:rPr>
          <w:rFonts w:ascii="Times New Roman" w:hAnsi="Times New Roman" w:cs="Times New Roman" w:eastAsia="Times New Roman" w:hint="default"/>
        </w:rPr>
        <w:t>38</w:t>
      </w:r>
      <w:r>
        <w:rPr>
          <w:rFonts w:ascii="Times New Roman" w:hAnsi="Times New Roman" w:cs="Times New Roman" w:eastAsia="Times New Roman" w:hint="default"/>
          <w:spacing w:val="-1"/>
        </w:rPr>
        <w:t> </w:t>
      </w:r>
      <w:r>
        <w:rPr/>
        <w:t>名，根据</w:t>
      </w:r>
      <w:r>
        <w:rPr>
          <w:spacing w:val="-47"/>
        </w:rPr>
        <w:t> </w:t>
      </w:r>
      <w:r>
        <w:rPr>
          <w:rFonts w:ascii="Times New Roman" w:hAnsi="Times New Roman" w:cs="Times New Roman" w:eastAsia="Times New Roman" w:hint="default"/>
        </w:rPr>
        <w:t>IDC</w:t>
      </w:r>
      <w:r>
        <w:rPr>
          <w:rFonts w:ascii="Times New Roman" w:hAnsi="Times New Roman" w:cs="Times New Roman" w:eastAsia="Times New Roman" w:hint="default"/>
          <w:spacing w:val="-2"/>
        </w:rPr>
        <w:t> </w:t>
      </w:r>
      <w:r>
        <w:rPr/>
        <w:t>报告，公司在银行核心业务、渠道管理解决方案市场</w:t>
      </w:r>
    </w:p>
    <w:p>
      <w:pPr>
        <w:pStyle w:val="BodyText"/>
        <w:spacing w:line="302" w:lineRule="auto" w:before="63"/>
        <w:ind w:right="1133"/>
        <w:jc w:val="left"/>
      </w:pPr>
      <w:r>
        <w:rPr/>
        <w:t>已连续</w:t>
      </w:r>
      <w:r>
        <w:rPr>
          <w:spacing w:val="-46"/>
        </w:rPr>
        <w:t> </w:t>
      </w:r>
      <w:r>
        <w:rPr>
          <w:rFonts w:ascii="Times New Roman" w:hAnsi="Times New Roman" w:cs="Times New Roman" w:eastAsia="Times New Roman" w:hint="default"/>
        </w:rPr>
        <w:t>7 </w:t>
      </w:r>
      <w:r>
        <w:rPr/>
        <w:t>年排名第一。自主研发的分布式核心业务系统获得了央行与学术界的肯定：荣获中国人民银行直属企业中国金融 电子化公司颁发的 </w:t>
      </w:r>
      <w:r>
        <w:rPr>
          <w:rFonts w:ascii="Times New Roman" w:hAnsi="Times New Roman" w:cs="Times New Roman" w:eastAsia="Times New Roman" w:hint="default"/>
        </w:rPr>
        <w:t>“2019 </w:t>
      </w:r>
      <w:r>
        <w:rPr/>
        <w:t>中国国际金融展金鼎奖</w:t>
      </w:r>
      <w:r>
        <w:rPr>
          <w:rFonts w:ascii="Times New Roman" w:hAnsi="Times New Roman" w:cs="Times New Roman" w:eastAsia="Times New Roman" w:hint="default"/>
        </w:rPr>
        <w:t>——</w:t>
      </w:r>
      <w:r>
        <w:rPr/>
        <w:t>优秀金融科技解决方案</w:t>
      </w:r>
      <w:r>
        <w:rPr>
          <w:rFonts w:ascii="Times New Roman" w:hAnsi="Times New Roman" w:cs="Times New Roman" w:eastAsia="Times New Roman" w:hint="default"/>
        </w:rPr>
        <w:t>”</w:t>
      </w:r>
      <w:r>
        <w:rPr/>
        <w:t>，和中国电子学会颁发的</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中国电子学会 科学技术奖</w:t>
      </w:r>
      <w:r>
        <w:rPr>
          <w:rFonts w:ascii="Times New Roman" w:hAnsi="Times New Roman" w:cs="Times New Roman" w:eastAsia="Times New Roman" w:hint="default"/>
        </w:rPr>
        <w:t>”</w:t>
      </w:r>
      <w:r>
        <w:rPr/>
        <w:t>。不断推动的技术创新也获得了业内的认可，为重庆银行建设的分布式核心项目和为建设银行建设的开放银行 管理平台荣获</w:t>
      </w:r>
      <w:r>
        <w:rPr>
          <w:rFonts w:ascii="Times New Roman" w:hAnsi="Times New Roman" w:cs="Times New Roman" w:eastAsia="Times New Roman" w:hint="default"/>
        </w:rPr>
        <w:t>“2019IDC</w:t>
      </w:r>
      <w:r>
        <w:rPr>
          <w:rFonts w:ascii="Times New Roman" w:hAnsi="Times New Roman" w:cs="Times New Roman" w:eastAsia="Times New Roman" w:hint="default"/>
          <w:spacing w:val="-2"/>
        </w:rPr>
        <w:t> </w:t>
      </w:r>
      <w:r>
        <w:rPr/>
        <w:t>金融行业技术应用场景最佳创新奖</w:t>
      </w:r>
      <w:r>
        <w:rPr>
          <w:rFonts w:ascii="Times New Roman" w:hAnsi="Times New Roman" w:cs="Times New Roman" w:eastAsia="Times New Roman" w:hint="default"/>
        </w:rPr>
        <w:t>”</w:t>
      </w:r>
      <w:r>
        <w:rPr/>
        <w:t>。公司联合北部湾银行构建的金融服务治理知识图谱在</w:t>
      </w:r>
      <w:r>
        <w:rPr>
          <w:spacing w:val="-46"/>
        </w:rPr>
        <w:t> </w:t>
      </w:r>
      <w:r>
        <w:rPr>
          <w:rFonts w:ascii="Times New Roman" w:hAnsi="Times New Roman" w:cs="Times New Roman" w:eastAsia="Times New Roman" w:hint="default"/>
        </w:rPr>
        <w:t>2019 </w:t>
      </w:r>
      <w:r>
        <w:rPr/>
        <w:t>中 国金融创新论坛上荣获</w:t>
      </w:r>
      <w:r>
        <w:rPr>
          <w:rFonts w:ascii="Times New Roman" w:hAnsi="Times New Roman" w:cs="Times New Roman" w:eastAsia="Times New Roman" w:hint="default"/>
        </w:rPr>
        <w:t>“</w:t>
      </w:r>
      <w:r>
        <w:rPr/>
        <w:t>十佳金融科技创新奖</w:t>
      </w:r>
      <w:r>
        <w:rPr>
          <w:rFonts w:ascii="Times New Roman" w:hAnsi="Times New Roman" w:cs="Times New Roman" w:eastAsia="Times New Roman" w:hint="default"/>
        </w:rPr>
        <w:t>”</w:t>
      </w:r>
      <w:r>
        <w:rPr/>
        <w:t>。在税务领域的数据工厂</w:t>
      </w:r>
      <w:r>
        <w:rPr>
          <w:spacing w:val="-46"/>
        </w:rPr>
        <w:t> </w:t>
      </w:r>
      <w:r>
        <w:rPr>
          <w:rFonts w:ascii="Times New Roman" w:hAnsi="Times New Roman" w:cs="Times New Roman" w:eastAsia="Times New Roman" w:hint="default"/>
        </w:rPr>
        <w:t>V2.0</w:t>
      </w:r>
      <w:r>
        <w:rPr>
          <w:rFonts w:ascii="Times New Roman" w:hAnsi="Times New Roman" w:cs="Times New Roman" w:eastAsia="Times New Roman" w:hint="default"/>
          <w:spacing w:val="-1"/>
        </w:rPr>
        <w:t> </w:t>
      </w:r>
      <w:r>
        <w:rPr/>
        <w:t>荣获中国信息通信研究院颁发的星河奖</w:t>
      </w:r>
      <w:r>
        <w:rPr>
          <w:rFonts w:ascii="Times New Roman" w:hAnsi="Times New Roman" w:cs="Times New Roman" w:eastAsia="Times New Roman" w:hint="default"/>
        </w:rPr>
        <w:t>“</w:t>
      </w:r>
      <w:r>
        <w:rPr/>
        <w:t>优秀 大数据产品奖</w:t>
      </w:r>
      <w:r>
        <w:rPr>
          <w:rFonts w:ascii="Times New Roman" w:hAnsi="Times New Roman" w:cs="Times New Roman" w:eastAsia="Times New Roman" w:hint="default"/>
        </w:rPr>
        <w:t>”</w:t>
      </w:r>
      <w:r>
        <w:rPr/>
        <w:t>。同时，公司作为</w:t>
      </w:r>
      <w:r>
        <w:rPr>
          <w:spacing w:val="-46"/>
        </w:rPr>
        <w:t> </w:t>
      </w:r>
      <w:r>
        <w:rPr>
          <w:rFonts w:ascii="Times New Roman" w:hAnsi="Times New Roman" w:cs="Times New Roman" w:eastAsia="Times New Roman" w:hint="default"/>
        </w:rPr>
        <w:t>ITSS</w:t>
      </w:r>
      <w:r>
        <w:rPr>
          <w:rFonts w:ascii="Times New Roman" w:hAnsi="Times New Roman" w:cs="Times New Roman" w:eastAsia="Times New Roman" w:hint="default"/>
          <w:spacing w:val="-1"/>
        </w:rPr>
        <w:t> </w:t>
      </w:r>
      <w:r>
        <w:rPr/>
        <w:t>分委会</w:t>
      </w:r>
      <w:r>
        <w:rPr>
          <w:spacing w:val="-47"/>
        </w:rPr>
        <w:t> </w:t>
      </w:r>
      <w:r>
        <w:rPr>
          <w:rFonts w:ascii="Times New Roman" w:hAnsi="Times New Roman" w:cs="Times New Roman" w:eastAsia="Times New Roman" w:hint="default"/>
        </w:rPr>
        <w:t>WG8</w:t>
      </w:r>
      <w:r>
        <w:rPr>
          <w:rFonts w:ascii="Times New Roman" w:hAnsi="Times New Roman" w:cs="Times New Roman" w:eastAsia="Times New Roman" w:hint="default"/>
          <w:spacing w:val="-1"/>
        </w:rPr>
        <w:t> </w:t>
      </w:r>
      <w:r>
        <w:rPr/>
        <w:t>国际标准工作组组长单位和</w:t>
      </w:r>
      <w:r>
        <w:rPr>
          <w:spacing w:val="-46"/>
        </w:rPr>
        <w:t> </w:t>
      </w:r>
      <w:r>
        <w:rPr>
          <w:rFonts w:ascii="Times New Roman" w:hAnsi="Times New Roman" w:cs="Times New Roman" w:eastAsia="Times New Roman" w:hint="default"/>
        </w:rPr>
        <w:t>WG4 </w:t>
      </w:r>
      <w:r>
        <w:rPr/>
        <w:t>运行维护标准工作组组长单位，参与 多项行业标准的制定，为行业</w:t>
      </w:r>
      <w:r>
        <w:rPr>
          <w:spacing w:val="-44"/>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运维提供科学完整的方法体系与指导依据，截至本报告披露前，由中国电子工业标准化技 术协会批准启动、由公司主导编制的《金融行业联机交易系统分布式技术规范》和《开放银行应用系统技术要求》，已通 过专家评审进入标准报批阶段。</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261" w:type="dxa"/>
        <w:tblLayout w:type="fixed"/>
        <w:tblCellMar>
          <w:top w:w="0" w:type="dxa"/>
          <w:left w:w="0" w:type="dxa"/>
          <w:bottom w:w="0" w:type="dxa"/>
          <w:right w:w="0" w:type="dxa"/>
        </w:tblCellMar>
        <w:tblLook w:val="01E0"/>
      </w:tblPr>
      <w:tblGrid>
        <w:gridCol w:w="1478"/>
        <w:gridCol w:w="8092"/>
      </w:tblGrid>
      <w:tr>
        <w:trPr>
          <w:trHeight w:val="463" w:hRule="exact"/>
        </w:trPr>
        <w:tc>
          <w:tcPr>
            <w:tcW w:w="14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76"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63"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8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年末余额与年初余额相比增加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106.20%</w:t>
            </w:r>
            <w:r>
              <w:rPr>
                <w:rFonts w:ascii="宋体" w:hAnsi="宋体" w:cs="宋体" w:eastAsia="宋体" w:hint="default"/>
                <w:sz w:val="18"/>
                <w:szCs w:val="18"/>
              </w:rPr>
              <w:t>，主要原因是本期票据结算规模增加所致；</w:t>
            </w:r>
          </w:p>
        </w:tc>
      </w:tr>
      <w:tr>
        <w:trPr>
          <w:trHeight w:val="715"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809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175"/>
              <w:jc w:val="left"/>
              <w:rPr>
                <w:rFonts w:ascii="宋体" w:hAnsi="宋体" w:cs="宋体" w:eastAsia="宋体" w:hint="default"/>
                <w:sz w:val="18"/>
                <w:szCs w:val="18"/>
              </w:rPr>
            </w:pPr>
            <w:r>
              <w:rPr>
                <w:rFonts w:ascii="宋体" w:hAnsi="宋体" w:cs="宋体" w:eastAsia="宋体" w:hint="default"/>
                <w:sz w:val="18"/>
                <w:szCs w:val="18"/>
              </w:rPr>
              <w:t>年末余额与年初余额（新金融工具准则重分类后）相比增加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99.08%</w:t>
            </w:r>
            <w:r>
              <w:rPr>
                <w:rFonts w:ascii="宋体" w:hAnsi="宋体" w:cs="宋体" w:eastAsia="宋体" w:hint="default"/>
                <w:sz w:val="18"/>
                <w:szCs w:val="18"/>
              </w:rPr>
              <w:t>，主要原因是本期待抵扣进项税 较上年末增加所致；</w:t>
            </w:r>
          </w:p>
        </w:tc>
      </w:tr>
      <w:tr>
        <w:trPr>
          <w:trHeight w:val="464" w:hRule="exact"/>
        </w:trPr>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年末余额与年初余额相比增加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136.68%</w:t>
            </w:r>
            <w:r>
              <w:rPr>
                <w:rFonts w:ascii="宋体" w:hAnsi="宋体" w:cs="宋体" w:eastAsia="宋体" w:hint="default"/>
                <w:sz w:val="18"/>
                <w:szCs w:val="18"/>
              </w:rPr>
              <w:t>，主要原因是本期新增研发项目的投入所致。</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三、核心竞争力分析</w:t>
      </w:r>
      <w:r>
        <w:rPr>
          <w:b w:val="0"/>
          <w:bCs w:val="0"/>
        </w:rPr>
      </w:r>
    </w:p>
    <w:p>
      <w:pPr>
        <w:spacing w:line="240" w:lineRule="auto" w:before="4"/>
        <w:rPr>
          <w:rFonts w:ascii="宋体" w:hAnsi="宋体" w:cs="宋体" w:eastAsia="宋体" w:hint="default"/>
          <w:b/>
          <w:bCs/>
          <w:sz w:val="26"/>
          <w:szCs w:val="26"/>
        </w:rPr>
      </w:pPr>
    </w:p>
    <w:p>
      <w:pPr>
        <w:pStyle w:val="Heading6"/>
        <w:spacing w:line="240" w:lineRule="auto" w:before="0"/>
        <w:ind w:right="0"/>
        <w:jc w:val="left"/>
        <w:rPr>
          <w:b w:val="0"/>
          <w:bCs w:val="0"/>
        </w:rPr>
      </w:pPr>
      <w:r>
        <w:rPr>
          <w:rFonts w:ascii="Times New Roman" w:hAnsi="Times New Roman" w:cs="Times New Roman" w:eastAsia="Times New Roman" w:hint="default"/>
        </w:rPr>
        <w:t>1</w:t>
      </w:r>
      <w:r>
        <w:rPr/>
        <w:t>、持续的创新和研发投入</w:t>
      </w:r>
      <w:r>
        <w:rPr>
          <w:b w:val="0"/>
          <w:bCs w:val="0"/>
        </w:rPr>
      </w:r>
    </w:p>
    <w:p>
      <w:pPr>
        <w:spacing w:after="0" w:line="240" w:lineRule="auto"/>
        <w:jc w:val="left"/>
        <w:sectPr>
          <w:footerReference w:type="default" r:id="rId13"/>
          <w:pgSz w:w="11910" w:h="16840"/>
          <w:pgMar w:footer="1261" w:header="916" w:top="1120" w:bottom="1460" w:left="980" w:right="0"/>
          <w:pgNumType w:start="12"/>
        </w:sectPr>
      </w:pPr>
    </w:p>
    <w:p>
      <w:pPr>
        <w:spacing w:line="240" w:lineRule="auto" w:before="9"/>
        <w:rPr>
          <w:rFonts w:ascii="宋体" w:hAnsi="宋体" w:cs="宋体" w:eastAsia="宋体" w:hint="default"/>
          <w:b/>
          <w:bCs/>
          <w:sz w:val="20"/>
          <w:szCs w:val="20"/>
        </w:rPr>
      </w:pPr>
    </w:p>
    <w:p>
      <w:pPr>
        <w:pStyle w:val="BodyText"/>
        <w:spacing w:line="312" w:lineRule="auto" w:before="44"/>
        <w:ind w:right="1131" w:firstLine="360"/>
        <w:jc w:val="both"/>
      </w:pPr>
      <w:r>
        <w:rPr/>
        <w:t>公司自</w:t>
      </w:r>
      <w:r>
        <w:rPr>
          <w:spacing w:val="-44"/>
        </w:rPr>
        <w:t> </w:t>
      </w:r>
      <w:r>
        <w:rPr>
          <w:rFonts w:ascii="Times New Roman" w:hAnsi="Times New Roman" w:cs="Times New Roman" w:eastAsia="Times New Roman" w:hint="default"/>
        </w:rPr>
        <w:t>1987</w:t>
      </w:r>
      <w:r>
        <w:rPr>
          <w:rFonts w:ascii="Times New Roman" w:hAnsi="Times New Roman" w:cs="Times New Roman" w:eastAsia="Times New Roman" w:hint="default"/>
          <w:spacing w:val="3"/>
        </w:rPr>
        <w:t> </w:t>
      </w:r>
      <w:r>
        <w:rPr>
          <w:spacing w:val="-3"/>
        </w:rPr>
        <w:t>年进入金融信息化服务领域，</w:t>
      </w:r>
      <w:r>
        <w:rPr>
          <w:rFonts w:ascii="Times New Roman" w:hAnsi="Times New Roman" w:cs="Times New Roman" w:eastAsia="Times New Roman" w:hint="default"/>
          <w:spacing w:val="-3"/>
        </w:rPr>
        <w:t>2007</w:t>
      </w:r>
      <w:r>
        <w:rPr>
          <w:rFonts w:ascii="Times New Roman" w:hAnsi="Times New Roman" w:cs="Times New Roman" w:eastAsia="Times New Roman" w:hint="default"/>
          <w:spacing w:val="3"/>
        </w:rPr>
        <w:t> </w:t>
      </w:r>
      <w:r>
        <w:rPr/>
        <w:t>年率先在银行业推广</w:t>
      </w:r>
      <w:r>
        <w:rPr>
          <w:spacing w:val="-44"/>
        </w:rPr>
        <w:t> </w:t>
      </w:r>
      <w:r>
        <w:rPr>
          <w:rFonts w:ascii="Times New Roman" w:hAnsi="Times New Roman" w:cs="Times New Roman" w:eastAsia="Times New Roman" w:hint="default"/>
        </w:rPr>
        <w:t>SOA</w:t>
      </w:r>
      <w:r>
        <w:rPr>
          <w:rFonts w:ascii="Times New Roman" w:hAnsi="Times New Roman" w:cs="Times New Roman" w:eastAsia="Times New Roman" w:hint="default"/>
          <w:spacing w:val="-2"/>
        </w:rPr>
        <w:t> </w:t>
      </w:r>
      <w:r>
        <w:rPr>
          <w:spacing w:val="-6"/>
        </w:rPr>
        <w:t>架构，</w:t>
      </w:r>
      <w:r>
        <w:rPr>
          <w:rFonts w:ascii="Times New Roman" w:hAnsi="Times New Roman" w:cs="Times New Roman" w:eastAsia="Times New Roman" w:hint="default"/>
          <w:spacing w:val="-6"/>
        </w:rPr>
        <w:t>2016</w:t>
      </w:r>
      <w:r>
        <w:rPr>
          <w:rFonts w:ascii="Times New Roman" w:hAnsi="Times New Roman" w:cs="Times New Roman" w:eastAsia="Times New Roman" w:hint="default"/>
          <w:spacing w:val="3"/>
        </w:rPr>
        <w:t> </w:t>
      </w:r>
      <w:r>
        <w:rPr/>
        <w:t>年在业内首发</w:t>
      </w:r>
      <w:r>
        <w:rPr>
          <w:rFonts w:ascii="Times New Roman" w:hAnsi="Times New Roman" w:cs="Times New Roman" w:eastAsia="Times New Roman" w:hint="default"/>
        </w:rPr>
        <w:t>“</w:t>
      </w:r>
      <w:r>
        <w:rPr/>
        <w:t>新一代分布式银行 核心系统</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 </w:t>
      </w:r>
      <w:r>
        <w:rPr/>
        <w:t>年推出</w:t>
      </w:r>
      <w:r>
        <w:rPr>
          <w:rFonts w:ascii="Times New Roman" w:hAnsi="Times New Roman" w:cs="Times New Roman" w:eastAsia="Times New Roman" w:hint="default"/>
        </w:rPr>
        <w:t>“</w:t>
      </w:r>
      <w:r>
        <w:rPr/>
        <w:t>区块链基础技术平台</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2"/>
        </w:rPr>
        <w:t> </w:t>
      </w:r>
      <w:r>
        <w:rPr/>
        <w:t>年发布新一代平台级产品</w:t>
      </w:r>
      <w:r>
        <w:rPr>
          <w:rFonts w:ascii="Times New Roman" w:hAnsi="Times New Roman" w:cs="Times New Roman" w:eastAsia="Times New Roman" w:hint="default"/>
        </w:rPr>
        <w:t>“</w:t>
      </w:r>
      <w:r>
        <w:rPr/>
        <w:t>企业级微服务平台</w:t>
      </w:r>
      <w:r>
        <w:rPr>
          <w:rFonts w:ascii="Times New Roman" w:hAnsi="Times New Roman" w:cs="Times New Roman" w:eastAsia="Times New Roman" w:hint="default"/>
        </w:rPr>
        <w:t>”</w:t>
      </w:r>
      <w:r>
        <w:rPr/>
        <w:t>，神州信息始终能够敏 </w:t>
      </w:r>
      <w:r>
        <w:rPr>
          <w:spacing w:val="-2"/>
        </w:rPr>
        <w:t>锐洞见行业趋势，通过持续的自主研发投入，推出诸多优秀且受市场欢迎的架构级、平台级产品。同时，注重并不断加强专</w:t>
      </w:r>
      <w:r>
        <w:rPr>
          <w:spacing w:val="-66"/>
        </w:rPr>
        <w:t> </w:t>
      </w:r>
      <w:r>
        <w:rPr>
          <w:spacing w:val="-66"/>
        </w:rPr>
      </w:r>
      <w:r>
        <w:rPr/>
        <w:t>业技术人才的引进和培养，构建了较为完善的研发和产品体系，公司设有专注于负责通用产品和技术平台研发工作的工程</w:t>
      </w:r>
      <w:r>
        <w:rPr>
          <w:spacing w:val="-11"/>
        </w:rPr>
        <w:t> </w:t>
      </w:r>
      <w:r>
        <w:rPr>
          <w:spacing w:val="-11"/>
        </w:rPr>
      </w:r>
      <w:r>
        <w:rPr>
          <w:spacing w:val="-2"/>
        </w:rPr>
        <w:t>院，和针对金融行业各类应用进行研发的软件产品中心，兼顾金融行业应用特殊性的同时，确保产品的先进性和通用性。公</w:t>
      </w:r>
      <w:r>
        <w:rPr>
          <w:spacing w:val="-64"/>
        </w:rPr>
        <w:t> </w:t>
      </w:r>
      <w:r>
        <w:rPr>
          <w:spacing w:val="-64"/>
        </w:rPr>
      </w:r>
      <w:r>
        <w:rPr>
          <w:spacing w:val="-5"/>
        </w:rPr>
        <w:t>司在西安、北京、广州等地设立了多个研发中心，其中西安研发中心是国内金融业成立最早、规模最大的软件开发基地之一，</w:t>
      </w:r>
      <w:r>
        <w:rPr>
          <w:spacing w:val="-78"/>
        </w:rPr>
        <w:t> </w:t>
      </w:r>
      <w:r>
        <w:rPr>
          <w:spacing w:val="-78"/>
        </w:rPr>
      </w:r>
      <w:r>
        <w:rPr/>
        <w:t>针对各类新技术及业务前瞻性研究设立了金融研究院，形成了产、学、研一体化研究与转化体系。</w:t>
      </w:r>
    </w:p>
    <w:p>
      <w:pPr>
        <w:spacing w:line="338" w:lineRule="auto" w:before="63"/>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、优质的客户资源和广泛的合作伙伴</w:t>
      </w:r>
      <w:r>
        <w:rPr>
          <w:rFonts w:ascii="宋体" w:hAnsi="宋体" w:cs="宋体" w:eastAsia="宋体" w:hint="default"/>
          <w:b/>
          <w:bCs/>
          <w:w w:val="99"/>
          <w:sz w:val="18"/>
          <w:szCs w:val="18"/>
        </w:rPr>
        <w:t> </w:t>
      </w:r>
      <w:r>
        <w:rPr>
          <w:rFonts w:ascii="宋体" w:hAnsi="宋体" w:cs="宋体" w:eastAsia="宋体" w:hint="default"/>
          <w:spacing w:val="-2"/>
          <w:sz w:val="18"/>
          <w:szCs w:val="18"/>
        </w:rPr>
        <w:t>公司凭借三十余年引领信息服务产业变革与创新的经验积累，以及持续的技术创新研发和扎实的业务拓展能力，在业内</w:t>
      </w:r>
    </w:p>
    <w:p>
      <w:pPr>
        <w:pStyle w:val="BodyText"/>
        <w:spacing w:line="312" w:lineRule="auto" w:before="2"/>
        <w:ind w:right="1129"/>
        <w:jc w:val="both"/>
      </w:pPr>
      <w:r>
        <w:rPr>
          <w:spacing w:val="-2"/>
        </w:rPr>
        <w:t>建立了良好的品牌形象。客户覆盖金融、运营商、政府机关、农业、税务等多个重点行业。在金融领域，公司已经服务超过</w:t>
      </w:r>
      <w:r>
        <w:rPr>
          <w:spacing w:val="-73"/>
        </w:rPr>
        <w:t> </w:t>
      </w:r>
      <w:r>
        <w:rPr>
          <w:spacing w:val="-73"/>
        </w:rPr>
      </w:r>
      <w:r>
        <w:rPr>
          <w:rFonts w:ascii="Times New Roman" w:hAnsi="Times New Roman" w:cs="Times New Roman" w:eastAsia="Times New Roman" w:hint="default"/>
        </w:rPr>
        <w:t>800 </w:t>
      </w:r>
      <w:r>
        <w:rPr/>
        <w:t>家客户，包括 </w:t>
      </w:r>
      <w:r>
        <w:rPr>
          <w:rFonts w:ascii="Times New Roman" w:hAnsi="Times New Roman" w:cs="Times New Roman" w:eastAsia="Times New Roman" w:hint="default"/>
        </w:rPr>
        <w:t>4 </w:t>
      </w:r>
      <w:r>
        <w:rPr/>
        <w:t>家央行及政策性银行、</w:t>
      </w:r>
      <w:r>
        <w:rPr>
          <w:rFonts w:ascii="Times New Roman" w:hAnsi="Times New Roman" w:cs="Times New Roman" w:eastAsia="Times New Roman" w:hint="default"/>
        </w:rPr>
        <w:t>6 </w:t>
      </w:r>
      <w:r>
        <w:rPr/>
        <w:t>家国有商业银行、</w:t>
      </w:r>
      <w:r>
        <w:rPr>
          <w:rFonts w:ascii="Times New Roman" w:hAnsi="Times New Roman" w:cs="Times New Roman" w:eastAsia="Times New Roman" w:hint="default"/>
        </w:rPr>
        <w:t>11 </w:t>
      </w:r>
      <w:r>
        <w:rPr/>
        <w:t>家股份制商业银行、</w:t>
      </w:r>
      <w:r>
        <w:rPr>
          <w:rFonts w:ascii="Times New Roman" w:hAnsi="Times New Roman" w:cs="Times New Roman" w:eastAsia="Times New Roman" w:hint="default"/>
        </w:rPr>
        <w:t>15 </w:t>
      </w:r>
      <w:r>
        <w:rPr/>
        <w:t>家民营银行及直销银行，</w:t>
      </w:r>
      <w:r>
        <w:rPr>
          <w:rFonts w:ascii="Times New Roman" w:hAnsi="Times New Roman" w:cs="Times New Roman" w:eastAsia="Times New Roman" w:hint="default"/>
        </w:rPr>
        <w:t>19</w:t>
      </w:r>
      <w:r>
        <w:rPr>
          <w:rFonts w:ascii="Times New Roman" w:hAnsi="Times New Roman" w:cs="Times New Roman" w:eastAsia="Times New Roman" w:hint="default"/>
          <w:spacing w:val="8"/>
        </w:rPr>
        <w:t> </w:t>
      </w:r>
      <w:r>
        <w:rPr>
          <w:spacing w:val="-3"/>
        </w:rPr>
        <w:t>家外 </w:t>
      </w:r>
      <w:r>
        <w:rPr>
          <w:spacing w:val="-6"/>
        </w:rPr>
        <w:t>资银行、</w:t>
      </w:r>
      <w:r>
        <w:rPr>
          <w:rFonts w:ascii="Times New Roman" w:hAnsi="Times New Roman" w:cs="Times New Roman" w:eastAsia="Times New Roman" w:hint="default"/>
          <w:spacing w:val="-6"/>
        </w:rPr>
        <w:t>90</w:t>
      </w:r>
      <w:r>
        <w:rPr>
          <w:rFonts w:ascii="Times New Roman" w:hAnsi="Times New Roman" w:cs="Times New Roman" w:eastAsia="Times New Roman" w:hint="default"/>
          <w:spacing w:val="14"/>
        </w:rPr>
        <w:t> </w:t>
      </w:r>
      <w:r>
        <w:rPr>
          <w:spacing w:val="-4"/>
        </w:rPr>
        <w:t>余家城市商业银行、</w:t>
      </w:r>
      <w:r>
        <w:rPr>
          <w:rFonts w:ascii="Times New Roman" w:hAnsi="Times New Roman" w:cs="Times New Roman" w:eastAsia="Times New Roman" w:hint="default"/>
          <w:spacing w:val="-4"/>
        </w:rPr>
        <w:t>230</w:t>
      </w:r>
      <w:r>
        <w:rPr>
          <w:rFonts w:ascii="Times New Roman" w:hAnsi="Times New Roman" w:cs="Times New Roman" w:eastAsia="Times New Roman" w:hint="default"/>
          <w:spacing w:val="14"/>
        </w:rPr>
        <w:t> </w:t>
      </w:r>
      <w:r>
        <w:rPr>
          <w:spacing w:val="-4"/>
        </w:rPr>
        <w:t>余家农商行及农信社、</w:t>
      </w:r>
      <w:r>
        <w:rPr>
          <w:rFonts w:ascii="Times New Roman" w:hAnsi="Times New Roman" w:cs="Times New Roman" w:eastAsia="Times New Roman" w:hint="default"/>
          <w:spacing w:val="-4"/>
        </w:rPr>
        <w:t>300</w:t>
      </w:r>
      <w:r>
        <w:rPr>
          <w:rFonts w:ascii="Times New Roman" w:hAnsi="Times New Roman" w:cs="Times New Roman" w:eastAsia="Times New Roman" w:hint="default"/>
          <w:spacing w:val="14"/>
        </w:rPr>
        <w:t> </w:t>
      </w:r>
      <w:r>
        <w:rPr>
          <w:spacing w:val="-5"/>
        </w:rPr>
        <w:t>余家村镇银行，同时覆盖证券交易所、保险公司、财务公司、</w:t>
      </w:r>
      <w:r>
        <w:rPr>
          <w:spacing w:val="-86"/>
        </w:rPr>
        <w:t> </w:t>
      </w:r>
      <w:r>
        <w:rPr>
          <w:spacing w:val="-86"/>
        </w:rPr>
      </w:r>
      <w:r>
        <w:rPr>
          <w:spacing w:val="-2"/>
        </w:rPr>
        <w:t>证券公司等各类金融机构。在其他领域，公司覆盖国家税务总局及地方税务局、农业农村部以及农业主管部门、财政部门等</w:t>
      </w:r>
      <w:r>
        <w:rPr>
          <w:spacing w:val="-65"/>
        </w:rPr>
        <w:t> </w:t>
      </w:r>
      <w:r>
        <w:rPr>
          <w:spacing w:val="-65"/>
        </w:rPr>
      </w:r>
      <w:r>
        <w:rPr>
          <w:spacing w:val="-2"/>
        </w:rPr>
        <w:t>政府客户，与中国移动、中国联通、中国电信以及华为、阿里巴巴、京东等大型企业，建立了长期、稳定的合作关系。公司</w:t>
      </w:r>
      <w:r>
        <w:rPr>
          <w:spacing w:val="-66"/>
        </w:rPr>
        <w:t> </w:t>
      </w:r>
      <w:r>
        <w:rPr>
          <w:spacing w:val="-66"/>
        </w:rPr>
      </w:r>
      <w:r>
        <w:rPr>
          <w:spacing w:val="-2"/>
        </w:rPr>
        <w:t>还与国家金融与发展实验室、中国信息通信研究院云计算与大数据研究所、鹏城实验室、北航及清华大学等一系列院校、国</w:t>
      </w:r>
      <w:r>
        <w:rPr>
          <w:spacing w:val="-66"/>
        </w:rPr>
        <w:t> </w:t>
      </w:r>
      <w:r>
        <w:rPr>
          <w:spacing w:val="-66"/>
        </w:rPr>
      </w:r>
      <w:r>
        <w:rPr>
          <w:spacing w:val="-5"/>
        </w:rPr>
        <w:t>家级实验室深度合作，打造前瞻研究生态。公司与各个领域的客户、合作伙伴的深厚合作关系，成为公司战略聚焦金融科技，</w:t>
      </w:r>
      <w:r>
        <w:rPr>
          <w:spacing w:val="-78"/>
        </w:rPr>
        <w:t> </w:t>
      </w:r>
      <w:r>
        <w:rPr>
          <w:spacing w:val="-78"/>
        </w:rPr>
      </w:r>
      <w:r>
        <w:rPr/>
        <w:t>发力金融信创与场景创新的有力支持。</w:t>
      </w:r>
    </w:p>
    <w:p>
      <w:pPr>
        <w:pStyle w:val="Heading6"/>
        <w:spacing w:line="240" w:lineRule="auto" w:before="63"/>
        <w:ind w:right="0"/>
        <w:jc w:val="left"/>
        <w:rPr>
          <w:b w:val="0"/>
          <w:bCs w:val="0"/>
        </w:rPr>
      </w:pPr>
      <w:r>
        <w:rPr>
          <w:rFonts w:ascii="Times New Roman" w:hAnsi="Times New Roman" w:cs="Times New Roman" w:eastAsia="Times New Roman" w:hint="default"/>
        </w:rPr>
        <w:t>3</w:t>
      </w:r>
      <w:r>
        <w:rPr/>
        <w:t>、丰富的场景资源推动金融服务创新</w:t>
      </w:r>
      <w:r>
        <w:rPr>
          <w:b w:val="0"/>
          <w:bCs w:val="0"/>
        </w:rPr>
      </w:r>
    </w:p>
    <w:p>
      <w:pPr>
        <w:pStyle w:val="BodyText"/>
        <w:spacing w:line="307" w:lineRule="auto" w:before="103"/>
        <w:ind w:right="1130" w:firstLine="360"/>
        <w:jc w:val="both"/>
      </w:pPr>
      <w:r>
        <w:rPr/>
        <w:t>公司把握 </w:t>
      </w:r>
      <w:r>
        <w:rPr>
          <w:rFonts w:ascii="Times New Roman" w:hAnsi="Times New Roman" w:cs="Times New Roman" w:eastAsia="Times New Roman" w:hint="default"/>
        </w:rPr>
        <w:t>API</w:t>
      </w:r>
      <w:r>
        <w:rPr>
          <w:rFonts w:ascii="Times New Roman" w:hAnsi="Times New Roman" w:cs="Times New Roman" w:eastAsia="Times New Roman" w:hint="default"/>
          <w:spacing w:val="-18"/>
        </w:rPr>
        <w:t> </w:t>
      </w:r>
      <w:r>
        <w:rPr>
          <w:spacing w:val="-3"/>
        </w:rPr>
        <w:t>经济、共享生态的行业浪潮与银税政策和数字乡村的战略机遇，发挥场景资源的积累和技术优势，增强金</w:t>
      </w:r>
      <w:r>
        <w:rPr>
          <w:w w:val="99"/>
        </w:rPr>
        <w:t> </w:t>
      </w:r>
      <w:r>
        <w:rPr>
          <w:spacing w:val="-2"/>
        </w:rPr>
        <w:t>融服务实体经济能力。在金融领域，公司基于分布式的银行开放服务体系，帮助银行实现自身金融能力与各商业生态场景的</w:t>
      </w:r>
      <w:r>
        <w:rPr>
          <w:spacing w:val="-64"/>
        </w:rPr>
        <w:t> </w:t>
      </w:r>
      <w:r>
        <w:rPr>
          <w:spacing w:val="-64"/>
        </w:rPr>
      </w:r>
      <w:r>
        <w:rPr>
          <w:spacing w:val="-2"/>
        </w:rPr>
        <w:t>嫁接，拓展银行服务的内涵和外延，通过聚能和赋能，推进场景金融实践，提升金融服务供给质效，构建能力开放生态圈和</w:t>
      </w:r>
      <w:r>
        <w:rPr>
          <w:spacing w:val="-68"/>
        </w:rPr>
        <w:t> </w:t>
      </w:r>
      <w:r>
        <w:rPr>
          <w:spacing w:val="-68"/>
        </w:rPr>
      </w:r>
      <w:r>
        <w:rPr>
          <w:spacing w:val="-2"/>
        </w:rPr>
        <w:t>差异化竞争力。在税务领域，通过</w:t>
      </w:r>
      <w:r>
        <w:rPr>
          <w:rFonts w:ascii="Times New Roman" w:hAnsi="Times New Roman" w:cs="Times New Roman" w:eastAsia="Times New Roman" w:hint="default"/>
          <w:spacing w:val="-2"/>
        </w:rPr>
        <w:t>“</w:t>
      </w:r>
      <w:r>
        <w:rPr>
          <w:spacing w:val="-2"/>
        </w:rPr>
        <w:t>税务业务的金融场景创新</w:t>
      </w:r>
      <w:r>
        <w:rPr>
          <w:rFonts w:ascii="Times New Roman" w:hAnsi="Times New Roman" w:cs="Times New Roman" w:eastAsia="Times New Roman" w:hint="default"/>
          <w:spacing w:val="-2"/>
        </w:rPr>
        <w:t>”</w:t>
      </w:r>
      <w:r>
        <w:rPr>
          <w:spacing w:val="-2"/>
        </w:rPr>
        <w:t>实现了税银信息的内容互换，通过建立专线、搭建系统平台等</w:t>
      </w:r>
      <w:r>
        <w:rPr>
          <w:spacing w:val="-44"/>
        </w:rPr>
        <w:t> </w:t>
      </w:r>
      <w:r>
        <w:rPr>
          <w:spacing w:val="-44"/>
        </w:rPr>
      </w:r>
      <w:r>
        <w:rPr>
          <w:spacing w:val="-1"/>
        </w:rPr>
        <w:t>方式实现数据直连，将银税信息由</w:t>
      </w:r>
      <w:r>
        <w:rPr>
          <w:rFonts w:ascii="Times New Roman" w:hAnsi="Times New Roman" w:cs="Times New Roman" w:eastAsia="Times New Roman" w:hint="default"/>
          <w:spacing w:val="-1"/>
        </w:rPr>
        <w:t>“</w:t>
      </w:r>
      <w:r>
        <w:rPr>
          <w:spacing w:val="-1"/>
        </w:rPr>
        <w:t>线下</w:t>
      </w:r>
      <w:r>
        <w:rPr>
          <w:rFonts w:ascii="Times New Roman" w:hAnsi="Times New Roman" w:cs="Times New Roman" w:eastAsia="Times New Roman" w:hint="default"/>
          <w:spacing w:val="-1"/>
        </w:rPr>
        <w:t>”</w:t>
      </w:r>
      <w:r>
        <w:rPr>
          <w:spacing w:val="-1"/>
        </w:rPr>
        <w:t>搬到</w:t>
      </w:r>
      <w:r>
        <w:rPr>
          <w:rFonts w:ascii="Times New Roman" w:hAnsi="Times New Roman" w:cs="Times New Roman" w:eastAsia="Times New Roman" w:hint="default"/>
          <w:spacing w:val="-1"/>
        </w:rPr>
        <w:t>“</w:t>
      </w:r>
      <w:r>
        <w:rPr>
          <w:spacing w:val="-1"/>
        </w:rPr>
        <w:t>线上</w:t>
      </w:r>
      <w:r>
        <w:rPr>
          <w:rFonts w:ascii="Times New Roman" w:hAnsi="Times New Roman" w:cs="Times New Roman" w:eastAsia="Times New Roman" w:hint="default"/>
          <w:spacing w:val="-1"/>
        </w:rPr>
        <w:t>”</w:t>
      </w:r>
      <w:r>
        <w:rPr>
          <w:spacing w:val="-1"/>
        </w:rPr>
        <w:t>，打破税务部门与银行之间的信息屏障，打造个性化的中小微企业信贷</w:t>
      </w:r>
      <w:r>
        <w:rPr>
          <w:spacing w:val="-80"/>
        </w:rPr>
        <w:t> </w:t>
      </w:r>
      <w:r>
        <w:rPr>
          <w:spacing w:val="-80"/>
        </w:rPr>
      </w:r>
      <w:r>
        <w:rPr>
          <w:spacing w:val="-2"/>
        </w:rPr>
        <w:t>产品解决方案，在健全银行信贷产品风险管理机制的同时，助力中小微企业发展，破解融资难题；在农业领域，凭借对金融</w:t>
      </w:r>
      <w:r>
        <w:rPr>
          <w:spacing w:val="-67"/>
        </w:rPr>
        <w:t> </w:t>
      </w:r>
      <w:r>
        <w:rPr>
          <w:spacing w:val="-67"/>
        </w:rPr>
      </w:r>
      <w:r>
        <w:rPr>
          <w:spacing w:val="-2"/>
        </w:rPr>
        <w:t>行业、农业场景的深刻理解，以及业界领先的解决方案能力、数据优势，积极探索资本下乡的出路。以</w:t>
      </w:r>
      <w:r>
        <w:rPr>
          <w:rFonts w:ascii="Times New Roman" w:hAnsi="Times New Roman" w:cs="Times New Roman" w:eastAsia="Times New Roman" w:hint="default"/>
          <w:spacing w:val="-2"/>
        </w:rPr>
        <w:t>“</w:t>
      </w:r>
      <w:r>
        <w:rPr>
          <w:spacing w:val="-2"/>
        </w:rPr>
        <w:t>科技</w:t>
      </w:r>
      <w:r>
        <w:rPr>
          <w:rFonts w:ascii="Times New Roman" w:hAnsi="Times New Roman" w:cs="Times New Roman" w:eastAsia="Times New Roman" w:hint="default"/>
          <w:spacing w:val="-2"/>
        </w:rPr>
        <w:t>+</w:t>
      </w:r>
      <w:r>
        <w:rPr>
          <w:spacing w:val="-2"/>
        </w:rPr>
        <w:t>农业</w:t>
      </w:r>
      <w:r>
        <w:rPr>
          <w:rFonts w:ascii="Times New Roman" w:hAnsi="Times New Roman" w:cs="Times New Roman" w:eastAsia="Times New Roman" w:hint="default"/>
          <w:spacing w:val="-2"/>
        </w:rPr>
        <w:t>+</w:t>
      </w:r>
      <w:r>
        <w:rPr>
          <w:spacing w:val="-2"/>
        </w:rPr>
        <w:t>金融</w:t>
      </w:r>
      <w:r>
        <w:rPr>
          <w:rFonts w:ascii="Times New Roman" w:hAnsi="Times New Roman" w:cs="Times New Roman" w:eastAsia="Times New Roman" w:hint="default"/>
          <w:spacing w:val="-2"/>
        </w:rPr>
        <w:t>”</w:t>
      </w:r>
      <w:r>
        <w:rPr>
          <w:spacing w:val="-2"/>
        </w:rPr>
        <w:t>三</w:t>
      </w:r>
      <w:r>
        <w:rPr>
          <w:spacing w:val="-64"/>
        </w:rPr>
        <w:t> </w:t>
      </w:r>
      <w:r>
        <w:rPr>
          <w:spacing w:val="-1"/>
        </w:rPr>
        <w:t>方赋能、共推资本下乡的新模式，助力农村智慧管理及数字农业发展，落地</w:t>
      </w:r>
      <w:r>
        <w:rPr>
          <w:rFonts w:ascii="Times New Roman" w:hAnsi="Times New Roman" w:cs="Times New Roman" w:eastAsia="Times New Roman" w:hint="default"/>
          <w:spacing w:val="-1"/>
        </w:rPr>
        <w:t>“</w:t>
      </w:r>
      <w:r>
        <w:rPr>
          <w:spacing w:val="-1"/>
        </w:rPr>
        <w:t>苹果</w:t>
      </w:r>
      <w:r>
        <w:rPr>
          <w:rFonts w:ascii="Times New Roman" w:hAnsi="Times New Roman" w:cs="Times New Roman" w:eastAsia="Times New Roman" w:hint="default"/>
          <w:spacing w:val="-1"/>
        </w:rPr>
        <w:t>+</w:t>
      </w:r>
      <w:r>
        <w:rPr>
          <w:spacing w:val="-1"/>
        </w:rPr>
        <w:t>期货</w:t>
      </w:r>
      <w:r>
        <w:rPr>
          <w:rFonts w:ascii="Times New Roman" w:hAnsi="Times New Roman" w:cs="Times New Roman" w:eastAsia="Times New Roman" w:hint="default"/>
          <w:spacing w:val="-1"/>
        </w:rPr>
        <w:t>+</w:t>
      </w:r>
      <w:r>
        <w:rPr>
          <w:spacing w:val="-1"/>
        </w:rPr>
        <w:t>保险</w:t>
      </w:r>
      <w:r>
        <w:rPr>
          <w:rFonts w:ascii="Times New Roman" w:hAnsi="Times New Roman" w:cs="Times New Roman" w:eastAsia="Times New Roman" w:hint="default"/>
          <w:spacing w:val="-1"/>
        </w:rPr>
        <w:t>+</w:t>
      </w:r>
      <w:r>
        <w:rPr>
          <w:spacing w:val="-1"/>
        </w:rPr>
        <w:t>银行</w:t>
      </w:r>
      <w:r>
        <w:rPr>
          <w:rFonts w:ascii="Times New Roman" w:hAnsi="Times New Roman" w:cs="Times New Roman" w:eastAsia="Times New Roman" w:hint="default"/>
          <w:spacing w:val="-1"/>
        </w:rPr>
        <w:t>”</w:t>
      </w:r>
      <w:r>
        <w:rPr>
          <w:spacing w:val="-1"/>
        </w:rPr>
        <w:t>创新模式，帮助陕西果</w:t>
      </w:r>
      <w:r>
        <w:rPr>
          <w:spacing w:val="-47"/>
        </w:rPr>
        <w:t> </w:t>
      </w:r>
      <w:r>
        <w:rPr>
          <w:spacing w:val="-47"/>
        </w:rPr>
      </w:r>
      <w:r>
        <w:rPr/>
        <w:t>农破解借款难题，落地</w:t>
      </w:r>
      <w:r>
        <w:rPr>
          <w:rFonts w:ascii="Times New Roman" w:hAnsi="Times New Roman" w:cs="Times New Roman" w:eastAsia="Times New Roman" w:hint="default"/>
        </w:rPr>
        <w:t>“</w:t>
      </w:r>
      <w:r>
        <w:rPr/>
        <w:t>生物资产抵押品动态评估</w:t>
      </w:r>
      <w:r>
        <w:rPr>
          <w:rFonts w:ascii="Times New Roman" w:hAnsi="Times New Roman" w:cs="Times New Roman" w:eastAsia="Times New Roman" w:hint="default"/>
        </w:rPr>
        <w:t>”</w:t>
      </w:r>
      <w:r>
        <w:rPr/>
        <w:t>模式，已在陕西周至和杨凌实现放款。</w:t>
      </w:r>
    </w:p>
    <w:p>
      <w:pPr>
        <w:spacing w:line="340" w:lineRule="auto" w:before="45"/>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、参与制定各级别行业标准引领行业风向</w:t>
      </w:r>
      <w:r>
        <w:rPr>
          <w:rFonts w:ascii="宋体" w:hAnsi="宋体" w:cs="宋体" w:eastAsia="宋体" w:hint="default"/>
          <w:b/>
          <w:bCs/>
          <w:w w:val="99"/>
          <w:sz w:val="18"/>
          <w:szCs w:val="18"/>
        </w:rPr>
        <w:t> </w:t>
      </w:r>
      <w:r>
        <w:rPr>
          <w:rFonts w:ascii="宋体" w:hAnsi="宋体" w:cs="宋体" w:eastAsia="宋体" w:hint="default"/>
          <w:spacing w:val="-2"/>
          <w:sz w:val="18"/>
          <w:szCs w:val="18"/>
        </w:rPr>
        <w:t>公司以多年信息化建设经验为基础，通过技术研发与客户积累，引领行业发展趋势，在金融、税务、农业等行业积累了</w:t>
      </w:r>
    </w:p>
    <w:p>
      <w:pPr>
        <w:pStyle w:val="BodyText"/>
        <w:spacing w:line="314" w:lineRule="auto" w:before="1"/>
        <w:ind w:right="1128"/>
        <w:jc w:val="both"/>
      </w:pPr>
      <w:r>
        <w:rPr>
          <w:spacing w:val="-2"/>
        </w:rPr>
        <w:t>较深的理解能力和研发能力，并通过参与各类别的标准制定引领行业发展。在金融领域，依据在分布式技术、开放银行两大</w:t>
      </w:r>
      <w:r>
        <w:rPr>
          <w:spacing w:val="-64"/>
        </w:rPr>
        <w:t> </w:t>
      </w:r>
      <w:r>
        <w:rPr>
          <w:spacing w:val="-64"/>
        </w:rPr>
      </w:r>
      <w:r>
        <w:rPr>
          <w:spacing w:val="-2"/>
        </w:rPr>
        <w:t>领域的成熟方法论和实践支持，公司主导编制的、由中国电子工业标准化技术协会批准启动的《金融行业联机交易系统分布</w:t>
      </w:r>
      <w:r>
        <w:rPr>
          <w:spacing w:val="-66"/>
        </w:rPr>
        <w:t> </w:t>
      </w:r>
      <w:r>
        <w:rPr>
          <w:spacing w:val="-66"/>
        </w:rPr>
      </w:r>
      <w:r>
        <w:rPr>
          <w:spacing w:val="-2"/>
        </w:rPr>
        <w:t>式技术规范》和《开放银行应用系统技术要求》，截至本报告披露前，已通过专家评审进入标准报批阶段。在政企领域，作</w:t>
      </w:r>
      <w:r>
        <w:rPr>
          <w:spacing w:val="-70"/>
        </w:rPr>
        <w:t> </w:t>
      </w:r>
      <w:r>
        <w:rPr>
          <w:spacing w:val="-70"/>
        </w:rPr>
      </w:r>
      <w:r>
        <w:rPr>
          <w:spacing w:val="-2"/>
        </w:rPr>
        <w:t>为农业农村部标准专家组成员，参与编写、审定农业信息化标准体系，并参与修订农业农村部农业行业标准《数字果园建设</w:t>
      </w:r>
      <w:r>
        <w:rPr>
          <w:spacing w:val="-64"/>
        </w:rPr>
        <w:t> </w:t>
      </w:r>
      <w:r>
        <w:rPr>
          <w:spacing w:val="-64"/>
        </w:rPr>
      </w:r>
      <w:r>
        <w:rPr/>
        <w:t>技术规范</w:t>
      </w:r>
      <w:r>
        <w:rPr>
          <w:spacing w:val="-2"/>
        </w:rPr>
        <w:t> </w:t>
      </w:r>
      <w:r>
        <w:rPr/>
        <w:t>苹果》。同时，公司是</w:t>
      </w:r>
      <w:r>
        <w:rPr>
          <w:spacing w:val="-41"/>
        </w:rPr>
        <w:t> </w:t>
      </w:r>
      <w:r>
        <w:rPr>
          <w:rFonts w:ascii="Times New Roman" w:hAnsi="Times New Roman" w:cs="Times New Roman" w:eastAsia="Times New Roman" w:hint="default"/>
        </w:rPr>
        <w:t>ITSS</w:t>
      </w:r>
      <w:r>
        <w:rPr>
          <w:rFonts w:ascii="Times New Roman" w:hAnsi="Times New Roman" w:cs="Times New Roman" w:eastAsia="Times New Roman" w:hint="default"/>
          <w:spacing w:val="4"/>
        </w:rPr>
        <w:t> </w:t>
      </w:r>
      <w:r>
        <w:rPr/>
        <w:t>分委会</w:t>
      </w:r>
      <w:r>
        <w:rPr>
          <w:spacing w:val="-42"/>
        </w:rPr>
        <w:t> </w:t>
      </w:r>
      <w:r>
        <w:rPr>
          <w:rFonts w:ascii="Times New Roman" w:hAnsi="Times New Roman" w:cs="Times New Roman" w:eastAsia="Times New Roman" w:hint="default"/>
        </w:rPr>
        <w:t>WG8</w:t>
      </w:r>
      <w:r>
        <w:rPr>
          <w:rFonts w:ascii="Times New Roman" w:hAnsi="Times New Roman" w:cs="Times New Roman" w:eastAsia="Times New Roman" w:hint="default"/>
          <w:spacing w:val="4"/>
        </w:rPr>
        <w:t> </w:t>
      </w:r>
      <w:r>
        <w:rPr/>
        <w:t>国际标准工作组组长单位和</w:t>
      </w:r>
      <w:r>
        <w:rPr>
          <w:spacing w:val="-41"/>
        </w:rPr>
        <w:t> </w:t>
      </w:r>
      <w:r>
        <w:rPr>
          <w:rFonts w:ascii="Times New Roman" w:hAnsi="Times New Roman" w:cs="Times New Roman" w:eastAsia="Times New Roman" w:hint="default"/>
        </w:rPr>
        <w:t>WG4</w:t>
      </w:r>
      <w:r>
        <w:rPr>
          <w:rFonts w:ascii="Times New Roman" w:hAnsi="Times New Roman" w:cs="Times New Roman" w:eastAsia="Times New Roman" w:hint="default"/>
          <w:spacing w:val="5"/>
        </w:rPr>
        <w:t> </w:t>
      </w:r>
      <w:r>
        <w:rPr/>
        <w:t>运行维护标准工作组组长单位，为行 业</w:t>
      </w:r>
      <w:r>
        <w:rPr>
          <w:spacing w:val="-45"/>
        </w:rPr>
        <w:t> </w:t>
      </w:r>
      <w:r>
        <w:rPr>
          <w:rFonts w:ascii="Times New Roman" w:hAnsi="Times New Roman" w:cs="Times New Roman" w:eastAsia="Times New Roman" w:hint="default"/>
        </w:rPr>
        <w:t>IT</w:t>
      </w:r>
      <w:r>
        <w:rPr>
          <w:rFonts w:ascii="Times New Roman" w:hAnsi="Times New Roman" w:cs="Times New Roman" w:eastAsia="Times New Roman" w:hint="default"/>
          <w:spacing w:val="-2"/>
        </w:rPr>
        <w:t> </w:t>
      </w:r>
      <w:r>
        <w:rPr/>
        <w:t>运维市场提供了科学完整的方法体系与指导依据。公司还是全国信标委大数据标准组服务大数据专题组组长单位。</w:t>
      </w:r>
    </w:p>
    <w:p>
      <w:pPr>
        <w:spacing w:after="0" w:line="314" w:lineRule="auto"/>
        <w:jc w:val="both"/>
        <w:sectPr>
          <w:pgSz w:w="11910" w:h="16840"/>
          <w:pgMar w:header="916" w:footer="1261" w:top="1120" w:bottom="14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1"/>
        <w:spacing w:line="240" w:lineRule="auto"/>
        <w:ind w:left="2964" w:right="0"/>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3" w:firstLine="360"/>
        <w:jc w:val="left"/>
        <w:rPr>
          <w:rFonts w:ascii="宋体" w:hAnsi="宋体" w:cs="宋体" w:eastAsia="宋体" w:hint="default"/>
        </w:rPr>
      </w:pPr>
      <w:r>
        <w:rPr>
          <w:spacing w:val="-2"/>
        </w:rPr>
        <w:t>神州信息作为金融科技全产业链综合服务商，聚焦金融科技，以分布式与云计算、大数据、人工智能、量子通信、区块</w:t>
      </w:r>
      <w:r>
        <w:rPr/>
        <w:t> 链等新兴技术的创新应用，推动信息基础设施安全建设与升级，驱动软件及服务产品智能化迭代，并通过融合金融、电信、</w:t>
      </w:r>
      <w:r>
        <w:rPr>
          <w:spacing w:val="-83"/>
        </w:rPr>
        <w:t> </w:t>
      </w:r>
      <w:r>
        <w:rPr>
          <w:spacing w:val="-83"/>
        </w:rPr>
      </w:r>
      <w:r>
        <w:rPr/>
        <w:t>税务、农业等行业数据及场景资源，赋能金融行业的深化改革。</w:t>
      </w:r>
      <w:r>
        <w:rPr>
          <w:rFonts w:ascii="宋体" w:hAnsi="宋体" w:cs="宋体" w:eastAsia="宋体" w:hint="default"/>
        </w:rPr>
        <w:t> </w:t>
      </w:r>
    </w:p>
    <w:p>
      <w:pPr>
        <w:pStyle w:val="BodyText"/>
        <w:spacing w:line="360" w:lineRule="auto" w:before="57"/>
        <w:ind w:left="513" w:right="0" w:firstLine="199"/>
        <w:jc w:val="left"/>
      </w:pPr>
      <w:r>
        <w:rPr>
          <w:rFonts w:ascii="宋体" w:hAnsi="宋体" w:cs="宋体" w:eastAsia="宋体" w:hint="default"/>
          <w:b/>
          <w:bCs/>
        </w:rPr>
        <w:t>（一）收入净利同比增长明显</w:t>
      </w:r>
      <w:r>
        <w:rPr>
          <w:rFonts w:ascii="宋体" w:hAnsi="宋体" w:cs="宋体" w:eastAsia="宋体" w:hint="default"/>
          <w:b/>
          <w:bCs/>
          <w:w w:val="99"/>
        </w:rPr>
        <w:t> </w:t>
      </w:r>
      <w:r>
        <w:rPr>
          <w:spacing w:val="-2"/>
        </w:rPr>
        <w:t>报告期内，公司战略聚焦金融科技，整体业绩实现稳步增长。全年营业收入</w:t>
      </w:r>
      <w:r>
        <w:rPr>
          <w:rFonts w:ascii="宋体" w:hAnsi="宋体" w:cs="宋体" w:eastAsia="宋体" w:hint="default"/>
          <w:spacing w:val="-2"/>
        </w:rPr>
        <w:t>101.46</w:t>
      </w:r>
      <w:r>
        <w:rPr>
          <w:spacing w:val="-2"/>
        </w:rPr>
        <w:t>亿元，同比去年增长</w:t>
      </w:r>
      <w:r>
        <w:rPr>
          <w:rFonts w:ascii="宋体" w:hAnsi="宋体" w:cs="宋体" w:eastAsia="宋体" w:hint="default"/>
          <w:spacing w:val="-2"/>
        </w:rPr>
        <w:t>11.77%</w:t>
      </w:r>
      <w:r>
        <w:rPr>
          <w:spacing w:val="-2"/>
        </w:rPr>
        <w:t>，首次突</w:t>
      </w:r>
    </w:p>
    <w:p>
      <w:pPr>
        <w:pStyle w:val="BodyText"/>
        <w:spacing w:line="222" w:lineRule="exact"/>
        <w:ind w:right="0"/>
        <w:jc w:val="both"/>
      </w:pPr>
      <w:r>
        <w:rPr/>
        <w:t>破百亿元大关。其中，软件开发及技术服务业务实现收入</w:t>
      </w:r>
      <w:r>
        <w:rPr>
          <w:rFonts w:ascii="宋体" w:hAnsi="宋体" w:cs="宋体" w:eastAsia="宋体" w:hint="default"/>
        </w:rPr>
        <w:t>54.08</w:t>
      </w:r>
      <w:r>
        <w:rPr/>
        <w:t>亿元，同比大幅增长</w:t>
      </w:r>
      <w:r>
        <w:rPr>
          <w:rFonts w:ascii="宋体" w:hAnsi="宋体" w:cs="宋体" w:eastAsia="宋体" w:hint="default"/>
        </w:rPr>
        <w:t>29.37%</w:t>
      </w:r>
      <w:r>
        <w:rPr/>
        <w:t>，软件及技术服务在营业收入端</w:t>
      </w:r>
    </w:p>
    <w:p>
      <w:pPr>
        <w:pStyle w:val="BodyText"/>
        <w:spacing w:line="316" w:lineRule="auto" w:before="77"/>
        <w:ind w:right="1128"/>
        <w:jc w:val="both"/>
        <w:rPr>
          <w:rFonts w:ascii="宋体" w:hAnsi="宋体" w:cs="宋体" w:eastAsia="宋体" w:hint="default"/>
        </w:rPr>
      </w:pPr>
      <w:r>
        <w:rPr>
          <w:spacing w:val="-2"/>
        </w:rPr>
        <w:t>占比首次超过系统集成业务。公司在大力拓展市场的同时，严格把控项目质量，系统集成业务毛利率提升至</w:t>
      </w:r>
      <w:r>
        <w:rPr>
          <w:rFonts w:ascii="宋体" w:hAnsi="宋体" w:cs="宋体" w:eastAsia="宋体" w:hint="default"/>
          <w:spacing w:val="-2"/>
        </w:rPr>
        <w:t>12.01%</w:t>
      </w:r>
      <w:r>
        <w:rPr>
          <w:spacing w:val="-2"/>
        </w:rPr>
        <w:t>，同比增</w:t>
      </w:r>
      <w:r>
        <w:rPr>
          <w:spacing w:val="-59"/>
        </w:rPr>
        <w:t> </w:t>
      </w:r>
      <w:r>
        <w:rPr>
          <w:spacing w:val="-59"/>
        </w:rPr>
      </w:r>
      <w:r>
        <w:rPr/>
        <w:t>长</w:t>
      </w:r>
      <w:r>
        <w:rPr>
          <w:rFonts w:ascii="宋体" w:hAnsi="宋体" w:cs="宋体" w:eastAsia="宋体" w:hint="default"/>
        </w:rPr>
        <w:t>2.16</w:t>
      </w:r>
      <w:r>
        <w:rPr/>
        <w:t>个百分点。公司实现归属于母公司所有者的净利润</w:t>
      </w:r>
      <w:r>
        <w:rPr>
          <w:rFonts w:ascii="宋体" w:hAnsi="宋体" w:cs="宋体" w:eastAsia="宋体" w:hint="default"/>
        </w:rPr>
        <w:t>3.76</w:t>
      </w:r>
      <w:r>
        <w:rPr/>
        <w:t>亿元，同比大幅增长</w:t>
      </w:r>
      <w:r>
        <w:rPr>
          <w:rFonts w:ascii="宋体" w:hAnsi="宋体" w:cs="宋体" w:eastAsia="宋体" w:hint="default"/>
        </w:rPr>
        <w:t>792.26%</w:t>
      </w:r>
      <w:r>
        <w:rPr/>
        <w:t>，创上市以来归属于母公司所有</w:t>
      </w:r>
      <w:r>
        <w:rPr>
          <w:spacing w:val="-87"/>
        </w:rPr>
        <w:t> </w:t>
      </w:r>
      <w:r>
        <w:rPr>
          <w:spacing w:val="-87"/>
        </w:rPr>
      </w:r>
      <w:r>
        <w:rPr/>
        <w:t>者的净利润新高。</w:t>
      </w:r>
      <w:r>
        <w:rPr>
          <w:rFonts w:ascii="宋体" w:hAnsi="宋体" w:cs="宋体" w:eastAsia="宋体" w:hint="default"/>
        </w:rPr>
        <w:t> </w:t>
      </w:r>
    </w:p>
    <w:p>
      <w:pPr>
        <w:pStyle w:val="Heading6"/>
        <w:spacing w:line="240" w:lineRule="auto"/>
        <w:ind w:left="712" w:right="0"/>
        <w:jc w:val="left"/>
        <w:rPr>
          <w:rFonts w:ascii="宋体" w:hAnsi="宋体" w:cs="宋体" w:eastAsia="宋体" w:hint="default"/>
          <w:b w:val="0"/>
          <w:bCs w:val="0"/>
        </w:rPr>
      </w:pPr>
      <w:r>
        <w:rPr/>
        <w:t>（二）金融科技战略推动成效显著</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115"/>
        <w:ind w:right="1122" w:firstLine="360"/>
        <w:jc w:val="left"/>
        <w:rPr>
          <w:rFonts w:ascii="宋体" w:hAnsi="宋体" w:cs="宋体" w:eastAsia="宋体" w:hint="default"/>
        </w:rPr>
      </w:pPr>
      <w:r>
        <w:rPr/>
        <w:t>报告期内，公司金融科技业务实现收入</w:t>
      </w:r>
      <w:r>
        <w:rPr>
          <w:spacing w:val="-52"/>
        </w:rPr>
        <w:t> </w:t>
      </w:r>
      <w:r>
        <w:rPr>
          <w:rFonts w:ascii="宋体" w:hAnsi="宋体" w:cs="宋体" w:eastAsia="宋体" w:hint="default"/>
        </w:rPr>
        <w:t>38.99</w:t>
      </w:r>
      <w:r>
        <w:rPr>
          <w:rFonts w:ascii="宋体" w:hAnsi="宋体" w:cs="宋体" w:eastAsia="宋体" w:hint="default"/>
          <w:spacing w:val="-52"/>
        </w:rPr>
        <w:t> </w:t>
      </w:r>
      <w:r>
        <w:rPr>
          <w:spacing w:val="-3"/>
        </w:rPr>
        <w:t>亿元，同比增长</w:t>
      </w:r>
      <w:r>
        <w:rPr>
          <w:spacing w:val="-53"/>
        </w:rPr>
        <w:t> </w:t>
      </w:r>
      <w:r>
        <w:rPr>
          <w:rFonts w:ascii="宋体" w:hAnsi="宋体" w:cs="宋体" w:eastAsia="宋体" w:hint="default"/>
        </w:rPr>
        <w:t>11.29%</w:t>
      </w:r>
      <w:r>
        <w:rPr/>
        <w:t>，毛利率</w:t>
      </w:r>
      <w:r>
        <w:rPr>
          <w:spacing w:val="-55"/>
        </w:rPr>
        <w:t> </w:t>
      </w:r>
      <w:r>
        <w:rPr>
          <w:rFonts w:ascii="宋体" w:hAnsi="宋体" w:cs="宋体" w:eastAsia="宋体" w:hint="default"/>
        </w:rPr>
        <w:t>18.73%</w:t>
      </w:r>
      <w:r>
        <w:rPr/>
        <w:t>，同比增长</w:t>
      </w:r>
      <w:r>
        <w:rPr>
          <w:spacing w:val="-53"/>
        </w:rPr>
        <w:t> </w:t>
      </w:r>
      <w:r>
        <w:rPr>
          <w:rFonts w:ascii="宋体" w:hAnsi="宋体" w:cs="宋体" w:eastAsia="宋体" w:hint="default"/>
        </w:rPr>
        <w:t>2.35</w:t>
      </w:r>
      <w:r>
        <w:rPr>
          <w:rFonts w:ascii="宋体" w:hAnsi="宋体" w:cs="宋体" w:eastAsia="宋体" w:hint="default"/>
          <w:spacing w:val="-52"/>
        </w:rPr>
        <w:t> </w:t>
      </w:r>
      <w:r>
        <w:rPr>
          <w:spacing w:val="-3"/>
        </w:rPr>
        <w:t>个百分点。其中</w:t>
      </w:r>
      <w:r>
        <w:rPr/>
        <w:t> 软件和服务业务实现收入</w:t>
      </w:r>
      <w:r>
        <w:rPr>
          <w:spacing w:val="-47"/>
        </w:rPr>
        <w:t> </w:t>
      </w:r>
      <w:r>
        <w:rPr>
          <w:rFonts w:ascii="宋体" w:hAnsi="宋体" w:cs="宋体" w:eastAsia="宋体" w:hint="default"/>
        </w:rPr>
        <w:t>21.75</w:t>
      </w:r>
      <w:r>
        <w:rPr>
          <w:rFonts w:ascii="宋体" w:hAnsi="宋体" w:cs="宋体" w:eastAsia="宋体" w:hint="default"/>
          <w:spacing w:val="-46"/>
        </w:rPr>
        <w:t> </w:t>
      </w:r>
      <w:r>
        <w:rPr/>
        <w:t>亿元，同比大幅增长</w:t>
      </w:r>
      <w:r>
        <w:rPr>
          <w:spacing w:val="-47"/>
        </w:rPr>
        <w:t> </w:t>
      </w:r>
      <w:r>
        <w:rPr>
          <w:rFonts w:ascii="宋体" w:hAnsi="宋体" w:cs="宋体" w:eastAsia="宋体" w:hint="default"/>
        </w:rPr>
        <w:t>62.34%</w:t>
      </w:r>
      <w:r>
        <w:rPr/>
        <w:t>，实现毛利</w:t>
      </w:r>
      <w:r>
        <w:rPr>
          <w:spacing w:val="-47"/>
        </w:rPr>
        <w:t> </w:t>
      </w:r>
      <w:r>
        <w:rPr>
          <w:rFonts w:ascii="宋体" w:hAnsi="宋体" w:cs="宋体" w:eastAsia="宋体" w:hint="default"/>
        </w:rPr>
        <w:t>5.44</w:t>
      </w:r>
      <w:r>
        <w:rPr>
          <w:rFonts w:ascii="宋体" w:hAnsi="宋体" w:cs="宋体" w:eastAsia="宋体" w:hint="default"/>
          <w:spacing w:val="-46"/>
        </w:rPr>
        <w:t> </w:t>
      </w:r>
      <w:r>
        <w:rPr/>
        <w:t>亿元，毛利率</w:t>
      </w:r>
      <w:r>
        <w:rPr>
          <w:spacing w:val="-46"/>
        </w:rPr>
        <w:t> </w:t>
      </w:r>
      <w:r>
        <w:rPr>
          <w:rFonts w:ascii="宋体" w:hAnsi="宋体" w:cs="宋体" w:eastAsia="宋体" w:hint="default"/>
        </w:rPr>
        <w:t>25.02%</w:t>
      </w:r>
      <w:r>
        <w:rPr/>
        <w:t>。</w:t>
      </w:r>
      <w:r>
        <w:rPr>
          <w:rFonts w:ascii="宋体" w:hAnsi="宋体" w:cs="宋体" w:eastAsia="宋体" w:hint="default"/>
        </w:rPr>
        <w:t> </w:t>
      </w:r>
    </w:p>
    <w:p>
      <w:pPr>
        <w:spacing w:line="360" w:lineRule="auto" w:before="59"/>
        <w:ind w:left="513" w:right="0" w:firstLine="199"/>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、主要金融科技产品与解决方案增长强劲</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报告期内，公司产品及解决方案在国有大行、股份制银行、城商行等领域保持客户数量较快增长，产品渗透率得到进一</w:t>
      </w:r>
    </w:p>
    <w:p>
      <w:pPr>
        <w:pStyle w:val="BodyText"/>
        <w:spacing w:line="222" w:lineRule="exact"/>
        <w:ind w:right="0"/>
        <w:jc w:val="both"/>
      </w:pPr>
      <w:r>
        <w:rPr/>
        <w:t>步提升，形成了对业务规模持续扩大的主要支撑。中国人民银行《金融科技发展规划》发布、银行数字化转型加快，带来新</w:t>
      </w:r>
    </w:p>
    <w:p>
      <w:pPr>
        <w:pStyle w:val="BodyText"/>
        <w:spacing w:line="357" w:lineRule="auto" w:before="76"/>
        <w:ind w:left="513" w:right="0" w:hanging="360"/>
        <w:jc w:val="left"/>
      </w:pPr>
      <w:r>
        <w:rPr/>
        <w:t>一轮</w:t>
      </w:r>
      <w:r>
        <w:rPr>
          <w:rFonts w:ascii="宋体" w:hAnsi="宋体" w:cs="宋体" w:eastAsia="宋体" w:hint="default"/>
        </w:rPr>
        <w:t>IT</w:t>
      </w:r>
      <w:r>
        <w:rPr>
          <w:rFonts w:ascii="宋体" w:hAnsi="宋体" w:cs="宋体" w:eastAsia="宋体" w:hint="default"/>
          <w:spacing w:val="-44"/>
        </w:rPr>
        <w:t> </w:t>
      </w:r>
      <w:r>
        <w:rPr/>
        <w:t>咨询市场机会，公司咨询业务呈现快速增长。</w:t>
      </w:r>
      <w:r>
        <w:rPr>
          <w:rFonts w:ascii="宋体" w:hAnsi="宋体" w:cs="宋体" w:eastAsia="宋体" w:hint="default"/>
        </w:rPr>
        <w:t> </w:t>
      </w:r>
      <w:r>
        <w:rPr>
          <w:spacing w:val="-2"/>
        </w:rPr>
        <w:t>中国银行业处于从传统集中式架构到分布式、微服务的新型架构转型之中，受益于过往较长周期和较大规模的技术研发</w:t>
      </w:r>
    </w:p>
    <w:p>
      <w:pPr>
        <w:pStyle w:val="BodyText"/>
        <w:spacing w:line="224" w:lineRule="exact"/>
        <w:ind w:right="0"/>
        <w:jc w:val="both"/>
      </w:pPr>
      <w:r>
        <w:rPr/>
        <w:t>投入，公司自主研发的新一代分布式核心及应用平台获得市场高度认可，核心应用产品也完成了与华为、蚂蚁金服及京东数</w:t>
      </w:r>
    </w:p>
    <w:p>
      <w:pPr>
        <w:pStyle w:val="BodyText"/>
        <w:spacing w:line="316" w:lineRule="auto" w:before="76"/>
        <w:ind w:right="1130"/>
        <w:jc w:val="both"/>
      </w:pPr>
      <w:r>
        <w:rPr>
          <w:spacing w:val="-2"/>
        </w:rPr>
        <w:t>科等多家云环境及数据库环境的融合。核心系统业务全年中标、签约中国邮政储蓄银行、北京银行、天津银行、营口沿海银</w:t>
      </w:r>
      <w:r>
        <w:rPr>
          <w:spacing w:val="-67"/>
        </w:rPr>
        <w:t> </w:t>
      </w:r>
      <w:r>
        <w:rPr>
          <w:spacing w:val="-67"/>
        </w:rPr>
      </w:r>
      <w:r>
        <w:rPr/>
        <w:t>行、广西北部湾银行、柬埔寨瑞丽银行等</w:t>
      </w:r>
      <w:r>
        <w:rPr>
          <w:spacing w:val="-42"/>
        </w:rPr>
        <w:t> </w:t>
      </w:r>
      <w:r>
        <w:rPr>
          <w:rFonts w:ascii="宋体" w:hAnsi="宋体" w:cs="宋体" w:eastAsia="宋体" w:hint="default"/>
        </w:rPr>
        <w:t>16</w:t>
      </w:r>
      <w:r>
        <w:rPr>
          <w:rFonts w:ascii="宋体" w:hAnsi="宋体" w:cs="宋体" w:eastAsia="宋体" w:hint="default"/>
          <w:spacing w:val="-41"/>
        </w:rPr>
        <w:t> </w:t>
      </w:r>
      <w:r>
        <w:rPr/>
        <w:t>家金融机构，业务类型涵盖核心系统咨询、核心系统建设、核心系统升级等多 </w:t>
      </w:r>
      <w:r>
        <w:rPr>
          <w:spacing w:val="-2"/>
        </w:rPr>
        <w:t>个层面，中标、签约数量创历史新高。报告期内，核心系统业务在银行端覆盖国有大行、城商行、农商行、外资银行和海外</w:t>
      </w:r>
      <w:r>
        <w:rPr>
          <w:spacing w:val="-73"/>
        </w:rPr>
        <w:t> </w:t>
      </w:r>
      <w:r>
        <w:rPr>
          <w:spacing w:val="-73"/>
        </w:rPr>
      </w:r>
      <w:r>
        <w:rPr>
          <w:spacing w:val="-2"/>
        </w:rPr>
        <w:t>银行，在泛金融领域覆盖国家电投集团财务公司、南方电网财务有限公司两家大型央企，实现核心系统在泛金融领域零的突</w:t>
      </w:r>
      <w:r>
        <w:rPr>
          <w:spacing w:val="-63"/>
        </w:rPr>
        <w:t> </w:t>
      </w:r>
      <w:r>
        <w:rPr>
          <w:spacing w:val="-63"/>
        </w:rPr>
      </w:r>
      <w:r>
        <w:rPr>
          <w:spacing w:val="-7"/>
        </w:rPr>
        <w:t>破，显著提升了在金融行业的影响力。根据</w:t>
      </w:r>
      <w:r>
        <w:rPr>
          <w:spacing w:val="-38"/>
        </w:rPr>
        <w:t> </w:t>
      </w:r>
      <w:r>
        <w:rPr>
          <w:rFonts w:ascii="宋体" w:hAnsi="宋体" w:cs="宋体" w:eastAsia="宋体" w:hint="default"/>
        </w:rPr>
        <w:t>IDC</w:t>
      </w:r>
      <w:r>
        <w:rPr>
          <w:rFonts w:ascii="宋体" w:hAnsi="宋体" w:cs="宋体" w:eastAsia="宋体" w:hint="default"/>
          <w:spacing w:val="-38"/>
        </w:rPr>
        <w:t> </w:t>
      </w:r>
      <w:r>
        <w:rPr>
          <w:spacing w:val="-4"/>
        </w:rPr>
        <w:t>相关报告，核心业务系统作为中国银行业</w:t>
      </w:r>
      <w:r>
        <w:rPr>
          <w:spacing w:val="-38"/>
        </w:rPr>
        <w:t> </w:t>
      </w:r>
      <w:r>
        <w:rPr>
          <w:rFonts w:ascii="宋体" w:hAnsi="宋体" w:cs="宋体" w:eastAsia="宋体" w:hint="default"/>
        </w:rPr>
        <w:t>IT</w:t>
      </w:r>
      <w:r>
        <w:rPr>
          <w:rFonts w:ascii="宋体" w:hAnsi="宋体" w:cs="宋体" w:eastAsia="宋体" w:hint="default"/>
          <w:spacing w:val="-40"/>
        </w:rPr>
        <w:t> </w:t>
      </w:r>
      <w:r>
        <w:rPr/>
        <w:t>解决方案市场中最大的子市场， 未来 </w:t>
      </w:r>
      <w:r>
        <w:rPr>
          <w:rFonts w:ascii="宋体" w:hAnsi="宋体" w:cs="宋体" w:eastAsia="宋体" w:hint="default"/>
        </w:rPr>
        <w:t>3-5</w:t>
      </w:r>
      <w:r>
        <w:rPr>
          <w:rFonts w:ascii="宋体" w:hAnsi="宋体" w:cs="宋体" w:eastAsia="宋体" w:hint="default"/>
          <w:spacing w:val="5"/>
        </w:rPr>
        <w:t> </w:t>
      </w:r>
      <w:r>
        <w:rPr/>
        <w:t>年市场规模仍将保持稳定增长的态势。报告期内，公司企业服务总线及微服务平台产品继续保持在业内的领先地</w:t>
      </w:r>
    </w:p>
    <w:p>
      <w:pPr>
        <w:pStyle w:val="BodyText"/>
        <w:spacing w:line="240" w:lineRule="auto" w:before="19"/>
        <w:ind w:right="0"/>
        <w:jc w:val="both"/>
      </w:pPr>
      <w:r>
        <w:rPr/>
        <w:t>位，中标、签约广发银行、浦发银行、广州银行、广西北部湾银行、贵阳农商行、澳门华人银行等</w:t>
      </w:r>
      <w:r>
        <w:rPr>
          <w:spacing w:val="-42"/>
        </w:rPr>
        <w:t> </w:t>
      </w:r>
      <w:r>
        <w:rPr>
          <w:rFonts w:ascii="宋体" w:hAnsi="宋体" w:cs="宋体" w:eastAsia="宋体" w:hint="default"/>
        </w:rPr>
        <w:t>19</w:t>
      </w:r>
      <w:r>
        <w:rPr>
          <w:rFonts w:ascii="宋体" w:hAnsi="宋体" w:cs="宋体" w:eastAsia="宋体" w:hint="default"/>
          <w:spacing w:val="-41"/>
        </w:rPr>
        <w:t> </w:t>
      </w:r>
      <w:r>
        <w:rPr/>
        <w:t>家银行。互联网开放</w:t>
      </w:r>
    </w:p>
    <w:p>
      <w:pPr>
        <w:pStyle w:val="BodyText"/>
        <w:spacing w:line="316" w:lineRule="auto" w:before="76"/>
        <w:ind w:right="1130"/>
        <w:jc w:val="both"/>
        <w:rPr>
          <w:rFonts w:ascii="宋体" w:hAnsi="宋体" w:cs="宋体" w:eastAsia="宋体" w:hint="default"/>
        </w:rPr>
      </w:pPr>
      <w:r>
        <w:rPr/>
        <w:t>平台及互联网金融平台中标、签约北京银行、兰州银行、广州银行、九江银行、秦皇岛银行、宁波银行、阜新银行等</w:t>
      </w:r>
      <w:r>
        <w:rPr>
          <w:spacing w:val="-41"/>
        </w:rPr>
        <w:t> </w:t>
      </w:r>
      <w:r>
        <w:rPr>
          <w:rFonts w:ascii="宋体" w:hAnsi="宋体" w:cs="宋体" w:eastAsia="宋体" w:hint="default"/>
        </w:rPr>
        <w:t>14</w:t>
      </w:r>
      <w:r>
        <w:rPr>
          <w:rFonts w:ascii="宋体" w:hAnsi="宋体" w:cs="宋体" w:eastAsia="宋体" w:hint="default"/>
          <w:spacing w:val="-41"/>
        </w:rPr>
        <w:t> </w:t>
      </w:r>
      <w:r>
        <w:rPr/>
        <w:t>家 银行，在业内持续领跑。</w:t>
      </w:r>
      <w:r>
        <w:rPr>
          <w:rFonts w:ascii="宋体" w:hAnsi="宋体" w:cs="宋体" w:eastAsia="宋体" w:hint="default"/>
        </w:rPr>
        <w:t> </w:t>
      </w:r>
    </w:p>
    <w:p>
      <w:pPr>
        <w:pStyle w:val="BodyText"/>
        <w:spacing w:line="319" w:lineRule="auto" w:before="59"/>
        <w:ind w:right="1033" w:firstLine="360"/>
        <w:jc w:val="left"/>
      </w:pPr>
      <w:r>
        <w:rPr/>
        <w:t>报告期内，公司数据类解决方案得到进一步推广和应用，顺应国家政策对监管的加强，和客户在智能营销、智能风控、 </w:t>
      </w:r>
      <w:r>
        <w:rPr>
          <w:spacing w:val="-2"/>
        </w:rPr>
        <w:t>监管报送、资金管理等方面的需求，推出基于人工智能和大数据技术的反洗钱、反欺诈、二代征信报送和查询、智能头寸等</w:t>
      </w:r>
      <w:r>
        <w:rPr>
          <w:spacing w:val="-67"/>
        </w:rPr>
        <w:t> </w:t>
      </w:r>
      <w:r>
        <w:rPr>
          <w:spacing w:val="-67"/>
        </w:rPr>
      </w:r>
      <w:r>
        <w:rPr>
          <w:spacing w:val="-4"/>
        </w:rPr>
        <w:t>产品及解决方案，相关解决方案在中国人民银行、北京银行、上海华瑞银行、浦发硅谷银行等各类型</w:t>
      </w:r>
      <w:r>
        <w:rPr>
          <w:spacing w:val="-44"/>
        </w:rPr>
        <w:t> </w:t>
      </w:r>
      <w:r>
        <w:rPr>
          <w:rFonts w:ascii="宋体" w:hAnsi="宋体" w:cs="宋体" w:eastAsia="宋体" w:hint="default"/>
        </w:rPr>
        <w:t>17</w:t>
      </w:r>
      <w:r>
        <w:rPr>
          <w:rFonts w:ascii="宋体" w:hAnsi="宋体" w:cs="宋体" w:eastAsia="宋体" w:hint="default"/>
          <w:spacing w:val="-45"/>
        </w:rPr>
        <w:t> </w:t>
      </w:r>
      <w:r>
        <w:rPr/>
        <w:t>家银行均实现落地。</w:t>
      </w:r>
    </w:p>
    <w:p>
      <w:pPr>
        <w:pStyle w:val="BodyText"/>
        <w:spacing w:line="316" w:lineRule="auto" w:before="17"/>
        <w:ind w:right="1129"/>
        <w:jc w:val="both"/>
        <w:rPr>
          <w:rFonts w:ascii="宋体" w:hAnsi="宋体" w:cs="宋体" w:eastAsia="宋体" w:hint="default"/>
        </w:rPr>
      </w:pPr>
      <w:r>
        <w:rPr/>
        <w:t>智慧银行解决方案通过无纸化、集中授权、智慧网点等业务帮助广州银行、重庆银行、兰州银行等</w:t>
      </w:r>
      <w:r>
        <w:rPr>
          <w:spacing w:val="-42"/>
        </w:rPr>
        <w:t> </w:t>
      </w:r>
      <w:r>
        <w:rPr>
          <w:rFonts w:ascii="宋体" w:hAnsi="宋体" w:cs="宋体" w:eastAsia="宋体" w:hint="default"/>
        </w:rPr>
        <w:t>13</w:t>
      </w:r>
      <w:r>
        <w:rPr>
          <w:rFonts w:ascii="宋体" w:hAnsi="宋体" w:cs="宋体" w:eastAsia="宋体" w:hint="default"/>
          <w:spacing w:val="-41"/>
        </w:rPr>
        <w:t> </w:t>
      </w:r>
      <w:r>
        <w:rPr/>
        <w:t>家客户的银行网点实 现智能化转型，处于业界领先地位。公司自主研发的智能区块链平台</w:t>
      </w:r>
      <w:r>
        <w:rPr>
          <w:spacing w:val="3"/>
        </w:rPr>
        <w:t> </w:t>
      </w:r>
      <w:r>
        <w:rPr>
          <w:rFonts w:ascii="宋体" w:hAnsi="宋体" w:cs="宋体" w:eastAsia="宋体" w:hint="default"/>
        </w:rPr>
        <w:t>Sm@rtGAS</w:t>
      </w:r>
      <w:r>
        <w:rPr/>
        <w:t>，目前已领先市场推出了供应链金融、数字 </w:t>
      </w:r>
      <w:r>
        <w:rPr>
          <w:spacing w:val="-2"/>
        </w:rPr>
        <w:t>货币、数字钱包、区块链发票、对账清算、预付卡、积分通兑等系列产品，同时在探索跨境汇兑、农地确权、农业溯源等场</w:t>
      </w:r>
      <w:r>
        <w:rPr>
          <w:spacing w:val="-65"/>
        </w:rPr>
        <w:t> </w:t>
      </w:r>
      <w:r>
        <w:rPr>
          <w:spacing w:val="-65"/>
        </w:rPr>
      </w:r>
      <w:r>
        <w:rPr>
          <w:spacing w:val="-2"/>
        </w:rPr>
        <w:t>景应用，目前正在积极推动相关产品的落地。量子通信产品在金融行业客户持续推广，在交通银行、光大银行等银行实现落</w:t>
      </w:r>
      <w:r>
        <w:rPr>
          <w:spacing w:val="-65"/>
        </w:rPr>
        <w:t> </w:t>
      </w:r>
      <w:r>
        <w:rPr>
          <w:spacing w:val="-65"/>
        </w:rPr>
      </w:r>
      <w:r>
        <w:rPr/>
        <w:t>地应用。</w:t>
      </w:r>
      <w:r>
        <w:rPr>
          <w:rFonts w:ascii="宋体" w:hAnsi="宋体" w:cs="宋体" w:eastAsia="宋体" w:hint="default"/>
        </w:rPr>
        <w:t> </w:t>
      </w:r>
    </w:p>
    <w:p>
      <w:pPr>
        <w:pStyle w:val="Heading6"/>
        <w:spacing w:line="240" w:lineRule="auto"/>
        <w:ind w:right="0"/>
        <w:jc w:val="left"/>
        <w:rPr>
          <w:rFonts w:ascii="宋体" w:hAnsi="宋体" w:cs="宋体" w:eastAsia="宋体" w:hint="default"/>
          <w:b w:val="0"/>
          <w:bCs w:val="0"/>
        </w:rPr>
      </w:pPr>
      <w:r>
        <w:rPr>
          <w:rFonts w:ascii="宋体" w:hAnsi="宋体" w:cs="宋体" w:eastAsia="宋体" w:hint="default"/>
        </w:rPr>
        <w:t>2</w:t>
      </w:r>
      <w:r>
        <w:rPr/>
        <w:t>、金融科技场景业务取得突破</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14"/>
        <w:ind w:left="513" w:right="0"/>
        <w:jc w:val="left"/>
      </w:pPr>
      <w:r>
        <w:rPr>
          <w:rFonts w:ascii="宋体" w:hAnsi="宋体" w:cs="宋体" w:eastAsia="宋体" w:hint="default"/>
        </w:rPr>
        <w:t>2019</w:t>
      </w:r>
      <w:r>
        <w:rPr/>
        <w:t>年是公司在场景业务探索的第一年，一方面，公司基于现有银行</w:t>
      </w:r>
      <w:r>
        <w:rPr>
          <w:rFonts w:ascii="宋体" w:hAnsi="宋体" w:cs="宋体" w:eastAsia="宋体" w:hint="default"/>
        </w:rPr>
        <w:t>IT</w:t>
      </w:r>
      <w:r>
        <w:rPr/>
        <w:t>解决方案能力进行业务创新；另一方面，公司依</w:t>
      </w:r>
    </w:p>
    <w:p>
      <w:pPr>
        <w:spacing w:after="0" w:line="240" w:lineRule="auto"/>
        <w:jc w:val="left"/>
        <w:sectPr>
          <w:pgSz w:w="11910" w:h="16840"/>
          <w:pgMar w:header="916" w:footer="1261" w:top="1120" w:bottom="1460" w:left="980" w:right="0"/>
        </w:sectPr>
      </w:pPr>
    </w:p>
    <w:p>
      <w:pPr>
        <w:spacing w:line="240" w:lineRule="auto" w:before="9"/>
        <w:rPr>
          <w:rFonts w:ascii="宋体" w:hAnsi="宋体" w:cs="宋体" w:eastAsia="宋体" w:hint="default"/>
          <w:sz w:val="20"/>
          <w:szCs w:val="20"/>
        </w:rPr>
      </w:pPr>
    </w:p>
    <w:p>
      <w:pPr>
        <w:pStyle w:val="BodyText"/>
        <w:spacing w:line="319" w:lineRule="auto" w:before="44"/>
        <w:ind w:right="1033"/>
        <w:jc w:val="left"/>
        <w:rPr>
          <w:rFonts w:ascii="宋体" w:hAnsi="宋体" w:cs="宋体" w:eastAsia="宋体" w:hint="default"/>
        </w:rPr>
      </w:pPr>
      <w:r>
        <w:rPr/>
        <w:t>托在税务、农业场景的长期积累，通过融合跨行业的数据与场景，推出“银税互动”、“银农直连”、“生物资产抵押”、</w:t>
      </w:r>
      <w:r>
        <w:rPr>
          <w:spacing w:val="-83"/>
        </w:rPr>
        <w:t> </w:t>
      </w:r>
      <w:r>
        <w:rPr>
          <w:spacing w:val="-83"/>
        </w:rPr>
      </w:r>
      <w:r>
        <w:rPr>
          <w:spacing w:val="-2"/>
        </w:rPr>
        <w:t>“单品大数据助贷”等新型解决方案，随着产品的不断迭代升级，助力解决小微、“三农”融资难题的同时，将积极探索创</w:t>
      </w:r>
      <w:r>
        <w:rPr>
          <w:spacing w:val="-71"/>
        </w:rPr>
        <w:t> </w:t>
      </w:r>
      <w:r>
        <w:rPr>
          <w:spacing w:val="-71"/>
        </w:rPr>
      </w:r>
      <w:r>
        <w:rPr/>
        <w:t>新的业务模式。</w:t>
      </w:r>
      <w:r>
        <w:rPr>
          <w:rFonts w:ascii="宋体" w:hAnsi="宋体" w:cs="宋体" w:eastAsia="宋体" w:hint="default"/>
        </w:rPr>
        <w:t> </w:t>
      </w:r>
    </w:p>
    <w:p>
      <w:pPr>
        <w:pStyle w:val="BodyText"/>
        <w:spacing w:line="316" w:lineRule="auto" w:before="58"/>
        <w:ind w:right="1040" w:firstLine="360"/>
        <w:jc w:val="both"/>
        <w:rPr>
          <w:rFonts w:ascii="宋体" w:hAnsi="宋体" w:cs="宋体" w:eastAsia="宋体" w:hint="default"/>
        </w:rPr>
      </w:pPr>
      <w:r>
        <w:rPr>
          <w:spacing w:val="-2"/>
        </w:rPr>
        <w:t>公司基于开放银行的理念，助力云南红塔银行打造“数字烟草服务平台”。其中，产品中心、交易中心等多个微服务中</w:t>
      </w:r>
      <w:r>
        <w:rPr/>
        <w:t> </w:t>
      </w:r>
      <w:r>
        <w:rPr>
          <w:spacing w:val="-2"/>
        </w:rPr>
        <w:t>心可满足烟草场景不同维度的金融需求，助力红塔银行打通烟草产业上下游，为产业链参与者提供更完善的金融服务，推动</w:t>
      </w:r>
      <w:r>
        <w:rPr>
          <w:spacing w:val="-62"/>
        </w:rPr>
        <w:t> </w:t>
      </w:r>
      <w:r>
        <w:rPr>
          <w:spacing w:val="-62"/>
        </w:rPr>
      </w:r>
      <w:r>
        <w:rPr>
          <w:spacing w:val="-5"/>
        </w:rPr>
        <w:t>烟草行业市场化改革步伐。同京东数科在营销、运营等重点领域的技术能力进行整合，对客户端的落地模式进行了共同探索。</w:t>
      </w:r>
      <w:r>
        <w:rPr>
          <w:rFonts w:ascii="宋体" w:hAnsi="宋体" w:cs="宋体" w:eastAsia="宋体" w:hint="default"/>
        </w:rPr>
        <w:t> </w:t>
      </w:r>
    </w:p>
    <w:p>
      <w:pPr>
        <w:pStyle w:val="BodyText"/>
        <w:spacing w:line="316" w:lineRule="auto" w:before="57"/>
        <w:ind w:right="1130" w:firstLine="360"/>
        <w:jc w:val="both"/>
        <w:rPr>
          <w:rFonts w:ascii="宋体" w:hAnsi="宋体" w:cs="宋体" w:eastAsia="宋体" w:hint="default"/>
        </w:rPr>
      </w:pPr>
      <w:r>
        <w:rPr>
          <w:spacing w:val="-2"/>
        </w:rPr>
        <w:t>依托公司二十余年承建农村电子政务的优势，推出创新型的银农直连业务。报告期内，同多家国有大行、城商行、农商</w:t>
      </w:r>
      <w:r>
        <w:rPr/>
        <w:t> 行建立业务合作，在甘肃、山东、江苏等省市均实现落地突破，全年累计中标、签约</w:t>
      </w:r>
      <w:r>
        <w:rPr>
          <w:rFonts w:ascii="宋体" w:hAnsi="宋体" w:cs="宋体" w:eastAsia="宋体" w:hint="default"/>
        </w:rPr>
        <w:t>29</w:t>
      </w:r>
      <w:r>
        <w:rPr/>
        <w:t>家金融机构，签约额达</w:t>
      </w:r>
      <w:r>
        <w:rPr>
          <w:rFonts w:ascii="宋体" w:hAnsi="宋体" w:cs="宋体" w:eastAsia="宋体" w:hint="default"/>
        </w:rPr>
        <w:t>2,058</w:t>
      </w:r>
      <w:r>
        <w:rPr/>
        <w:t>万。助</w:t>
      </w:r>
      <w:r>
        <w:rPr>
          <w:spacing w:val="-84"/>
        </w:rPr>
        <w:t> </w:t>
      </w:r>
      <w:r>
        <w:rPr>
          <w:spacing w:val="-84"/>
        </w:rPr>
      </w:r>
      <w:r>
        <w:rPr>
          <w:spacing w:val="-5"/>
        </w:rPr>
        <w:t>力金融服务下沉乡村基层，解决农村征信系统缺失、金融基础设施匮乏、融资难融资贵等问题，构建农业农村金融账户生态、</w:t>
      </w:r>
      <w:r>
        <w:rPr>
          <w:spacing w:val="-78"/>
        </w:rPr>
        <w:t> </w:t>
      </w:r>
      <w:r>
        <w:rPr>
          <w:spacing w:val="-78"/>
        </w:rPr>
      </w:r>
      <w:r>
        <w:rPr/>
        <w:t>交易结算生态、信贷生态，助推普惠三农、乡村振兴。</w:t>
      </w:r>
      <w:r>
        <w:rPr>
          <w:rFonts w:ascii="宋体" w:hAnsi="宋体" w:cs="宋体" w:eastAsia="宋体" w:hint="default"/>
        </w:rPr>
        <w:t> </w:t>
      </w:r>
    </w:p>
    <w:p>
      <w:pPr>
        <w:pStyle w:val="BodyText"/>
        <w:spacing w:line="319" w:lineRule="auto" w:before="59"/>
        <w:ind w:right="1033" w:firstLine="360"/>
        <w:jc w:val="left"/>
        <w:rPr>
          <w:rFonts w:ascii="宋体" w:hAnsi="宋体" w:cs="宋体" w:eastAsia="宋体" w:hint="default"/>
        </w:rPr>
      </w:pPr>
      <w:r>
        <w:rPr/>
        <w:t>依托不断演进的银税互动政策，公司成为税局和银行之间的合作纽带。目前“税银平台”项目已在深圳、湖南、甘肃、 </w:t>
      </w:r>
      <w:r>
        <w:rPr>
          <w:spacing w:val="-2"/>
        </w:rPr>
        <w:t>海南等省市落地，为</w:t>
      </w:r>
      <w:r>
        <w:rPr>
          <w:rFonts w:ascii="宋体" w:hAnsi="宋体" w:cs="宋体" w:eastAsia="宋体" w:hint="default"/>
          <w:spacing w:val="-2"/>
        </w:rPr>
        <w:t>25</w:t>
      </w:r>
      <w:r>
        <w:rPr>
          <w:spacing w:val="-2"/>
        </w:rPr>
        <w:t>家银行提供了接入服务，进一步健全银行信贷产品风险管理，缓解小微企业融资难题。目前公司基于</w:t>
      </w:r>
      <w:r>
        <w:rPr>
          <w:spacing w:val="-64"/>
        </w:rPr>
        <w:t> </w:t>
      </w:r>
      <w:r>
        <w:rPr>
          <w:spacing w:val="-64"/>
        </w:rPr>
      </w:r>
      <w:r>
        <w:rPr>
          <w:spacing w:val="-2"/>
        </w:rPr>
        <w:t>税务数据的全量指标库已涵盖企业经营状况、上下游情况、涉税信用历史等维度的</w:t>
      </w:r>
      <w:r>
        <w:rPr>
          <w:rFonts w:ascii="宋体" w:hAnsi="宋体" w:cs="宋体" w:eastAsia="宋体" w:hint="default"/>
          <w:spacing w:val="-2"/>
        </w:rPr>
        <w:t>2800</w:t>
      </w:r>
      <w:r>
        <w:rPr>
          <w:spacing w:val="-2"/>
        </w:rPr>
        <w:t>余个指标，未来将致力于赋能小微企</w:t>
      </w:r>
      <w:r>
        <w:rPr>
          <w:spacing w:val="-64"/>
        </w:rPr>
        <w:t> </w:t>
      </w:r>
      <w:r>
        <w:rPr>
          <w:spacing w:val="-64"/>
        </w:rPr>
      </w:r>
      <w:r>
        <w:rPr/>
        <w:t>业融资。</w:t>
      </w:r>
      <w:r>
        <w:rPr>
          <w:rFonts w:ascii="宋体" w:hAnsi="宋体" w:cs="宋体" w:eastAsia="宋体" w:hint="default"/>
        </w:rPr>
        <w:t> </w:t>
      </w:r>
    </w:p>
    <w:p>
      <w:pPr>
        <w:pStyle w:val="BodyText"/>
        <w:spacing w:line="316" w:lineRule="auto" w:before="58"/>
        <w:ind w:right="1130" w:firstLine="360"/>
        <w:jc w:val="both"/>
        <w:rPr>
          <w:rFonts w:ascii="宋体" w:hAnsi="宋体" w:cs="宋体" w:eastAsia="宋体" w:hint="default"/>
        </w:rPr>
      </w:pPr>
      <w:r>
        <w:rPr>
          <w:spacing w:val="-2"/>
        </w:rPr>
        <w:t>同时，依托公司承建的国家级苹果产业大数据中心，为洛川果农提供了种植户的风险评估报告，信贷机构根据风险报告</w:t>
      </w:r>
      <w:r>
        <w:rPr/>
        <w:t> </w:t>
      </w:r>
      <w:r>
        <w:rPr>
          <w:spacing w:val="-2"/>
        </w:rPr>
        <w:t>放贷，减少了贷款所需环节和抵押担保负担，做到简化借贷流程，为农民群体提供免担保、无抵押的信用贷款，支持农户农</w:t>
      </w:r>
      <w:r>
        <w:rPr>
          <w:spacing w:val="-67"/>
        </w:rPr>
        <w:t> </w:t>
      </w:r>
      <w:r>
        <w:rPr>
          <w:spacing w:val="-67"/>
        </w:rPr>
      </w:r>
      <w:r>
        <w:rPr>
          <w:spacing w:val="-2"/>
        </w:rPr>
        <w:t>业生产经营，切实破解农村金融供给侧改革“最后一公里”的难题，让农户足不出户就可以享受到与城镇居民同等的便捷金</w:t>
      </w:r>
      <w:r>
        <w:rPr>
          <w:spacing w:val="-64"/>
        </w:rPr>
        <w:t> </w:t>
      </w:r>
      <w:r>
        <w:rPr>
          <w:spacing w:val="-64"/>
        </w:rPr>
      </w:r>
      <w:r>
        <w:rPr/>
        <w:t>融服务，目前已助力</w:t>
      </w:r>
      <w:r>
        <w:rPr>
          <w:rFonts w:ascii="宋体" w:hAnsi="宋体" w:cs="宋体" w:eastAsia="宋体" w:hint="default"/>
        </w:rPr>
        <w:t>5600</w:t>
      </w:r>
      <w:r>
        <w:rPr/>
        <w:t>户果农贷款</w:t>
      </w:r>
      <w:r>
        <w:rPr>
          <w:rFonts w:ascii="宋体" w:hAnsi="宋体" w:cs="宋体" w:eastAsia="宋体" w:hint="default"/>
        </w:rPr>
        <w:t>3.9</w:t>
      </w:r>
      <w:r>
        <w:rPr/>
        <w:t>亿元。公司还通过与多家农商行、保险公司、大学等多维度合作，打造“生物资产</w:t>
      </w:r>
      <w:r>
        <w:rPr>
          <w:spacing w:val="-86"/>
        </w:rPr>
        <w:t> </w:t>
      </w:r>
      <w:r>
        <w:rPr>
          <w:spacing w:val="-86"/>
        </w:rPr>
      </w:r>
      <w:r>
        <w:rPr/>
        <w:t>抵押”模式，合作创新金融场景，发力普惠金融和产业金融。</w:t>
      </w:r>
      <w:r>
        <w:rPr>
          <w:rFonts w:ascii="宋体" w:hAnsi="宋体" w:cs="宋体" w:eastAsia="宋体" w:hint="default"/>
        </w:rPr>
        <w:t> </w:t>
      </w:r>
    </w:p>
    <w:p>
      <w:pPr>
        <w:spacing w:line="360" w:lineRule="auto" w:before="57"/>
        <w:ind w:left="513" w:right="1118"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、深化政产学研，构建产业新生态</w:t>
      </w:r>
      <w:r>
        <w:rPr>
          <w:rFonts w:ascii="宋体" w:hAnsi="宋体" w:cs="宋体" w:eastAsia="宋体" w:hint="default"/>
          <w:b/>
          <w:bCs/>
          <w:w w:val="99"/>
          <w:sz w:val="18"/>
          <w:szCs w:val="18"/>
        </w:rPr>
        <w:t> </w:t>
      </w:r>
      <w:r>
        <w:rPr>
          <w:rFonts w:ascii="宋体" w:hAnsi="宋体" w:cs="宋体" w:eastAsia="宋体" w:hint="default"/>
          <w:spacing w:val="-5"/>
          <w:sz w:val="18"/>
          <w:szCs w:val="18"/>
        </w:rPr>
        <w:t>报告期内，在生态创新方面，神州信息不断加强与生态伙伴的深度合作。公司在北京市政府和一行两会领导大力支持下，</w:t>
      </w:r>
    </w:p>
    <w:p>
      <w:pPr>
        <w:pStyle w:val="BodyText"/>
        <w:spacing w:line="222" w:lineRule="exact"/>
        <w:ind w:right="0"/>
        <w:jc w:val="left"/>
      </w:pPr>
      <w:r>
        <w:rPr/>
        <w:t>以发起人身份参与设立北京金融科技研究院，着力打造开放性、公共性、尖端性金融科技公共研发平台，构建金融科技开放</w:t>
      </w:r>
    </w:p>
    <w:p>
      <w:pPr>
        <w:pStyle w:val="BodyText"/>
        <w:spacing w:line="319" w:lineRule="auto" w:before="76"/>
        <w:ind w:right="1129"/>
        <w:jc w:val="both"/>
        <w:rPr>
          <w:rFonts w:ascii="宋体" w:hAnsi="宋体" w:cs="宋体" w:eastAsia="宋体" w:hint="default"/>
        </w:rPr>
      </w:pPr>
      <w:r>
        <w:rPr>
          <w:spacing w:val="-2"/>
        </w:rPr>
        <w:t>创新生态。加入华为金融开放创新联盟，与拥有底层基础软硬件研究能力的</w:t>
      </w:r>
      <w:hyperlink r:id="rId14">
        <w:r>
          <w:rPr>
            <w:spacing w:val="-2"/>
          </w:rPr>
          <w:t>华为</w:t>
        </w:r>
      </w:hyperlink>
      <w:r>
        <w:rPr>
          <w:spacing w:val="-2"/>
        </w:rPr>
        <w:t>、龙芯等企业打造自主创新生态。与国家金</w:t>
      </w:r>
      <w:r>
        <w:rPr>
          <w:spacing w:val="-64"/>
        </w:rPr>
        <w:t> </w:t>
      </w:r>
      <w:r>
        <w:rPr>
          <w:spacing w:val="-64"/>
        </w:rPr>
      </w:r>
      <w:r>
        <w:rPr/>
        <w:t>融与发展实验室共同打造“NIFD</w:t>
      </w:r>
      <w:r>
        <w:rPr>
          <w:rFonts w:ascii="宋体" w:hAnsi="宋体" w:cs="宋体" w:eastAsia="宋体" w:hint="default"/>
        </w:rPr>
        <w:t>-DCITS</w:t>
      </w:r>
      <w:r>
        <w:rPr>
          <w:rFonts w:ascii="宋体" w:hAnsi="宋体" w:cs="宋体" w:eastAsia="宋体" w:hint="default"/>
          <w:spacing w:val="2"/>
        </w:rPr>
        <w:t> </w:t>
      </w:r>
      <w:r>
        <w:rPr/>
        <w:t>全球金融科技创新案例库”，在金融科技领域开展多层次合作。联合深圳市税务局 </w:t>
      </w:r>
      <w:r>
        <w:rPr>
          <w:spacing w:val="-2"/>
        </w:rPr>
        <w:t>挖掘大数据价值，共同研究社区网络应用在税收征管方面的实践路径。同时还与清华大学大数据软件工程实验室、北京航空</w:t>
      </w:r>
      <w:r>
        <w:rPr>
          <w:spacing w:val="-63"/>
        </w:rPr>
        <w:t> </w:t>
      </w:r>
      <w:r>
        <w:rPr>
          <w:spacing w:val="-63"/>
        </w:rPr>
      </w:r>
      <w:r>
        <w:rPr>
          <w:spacing w:val="-2"/>
        </w:rPr>
        <w:t>航天大学重点实验室、专注网络空间科学与技术研究的鹏城实验室、</w:t>
      </w:r>
      <w:hyperlink r:id="rId15">
        <w:r>
          <w:rPr>
            <w:spacing w:val="-2"/>
          </w:rPr>
          <w:t>中国信息通信</w:t>
        </w:r>
      </w:hyperlink>
      <w:r>
        <w:rPr>
          <w:spacing w:val="-2"/>
        </w:rPr>
        <w:t>研究院云计算与大数据研究所等权威研究</w:t>
      </w:r>
      <w:r>
        <w:rPr>
          <w:spacing w:val="-64"/>
        </w:rPr>
        <w:t> </w:t>
      </w:r>
      <w:r>
        <w:rPr>
          <w:spacing w:val="-64"/>
        </w:rPr>
      </w:r>
      <w:r>
        <w:rPr/>
        <w:t>机构达成合作，围绕区块链、大数据、云脑平台智能应用、自主创新与安全等方面共同展开深层次研究。</w:t>
      </w:r>
      <w:r>
        <w:rPr>
          <w:rFonts w:ascii="宋体" w:hAnsi="宋体" w:cs="宋体" w:eastAsia="宋体" w:hint="default"/>
        </w:rPr>
        <w:t> </w:t>
      </w:r>
    </w:p>
    <w:p>
      <w:pPr>
        <w:pStyle w:val="Heading6"/>
        <w:spacing w:line="357" w:lineRule="auto" w:before="58"/>
        <w:ind w:right="7333"/>
        <w:jc w:val="left"/>
        <w:rPr>
          <w:rFonts w:ascii="宋体" w:hAnsi="宋体" w:cs="宋体" w:eastAsia="宋体" w:hint="default"/>
          <w:b w:val="0"/>
          <w:bCs w:val="0"/>
        </w:rPr>
      </w:pPr>
      <w:r>
        <w:rPr/>
        <w:t>（三）基石业务稳健增长</w:t>
      </w:r>
      <w:r>
        <w:rPr>
          <w:rFonts w:ascii="宋体" w:hAnsi="宋体" w:cs="宋体" w:eastAsia="宋体" w:hint="default"/>
          <w:b w:val="0"/>
          <w:bCs w:val="0"/>
        </w:rPr>
        <w:t> </w:t>
      </w:r>
      <w:r>
        <w:rPr>
          <w:rFonts w:ascii="宋体" w:hAnsi="宋体" w:cs="宋体" w:eastAsia="宋体" w:hint="default"/>
        </w:rPr>
        <w:t>1</w:t>
      </w:r>
      <w:r>
        <w:rPr/>
        <w:t>、运营商行业</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29"/>
        <w:ind w:right="1128" w:firstLine="360"/>
        <w:jc w:val="both"/>
        <w:rPr>
          <w:rFonts w:ascii="宋体" w:hAnsi="宋体" w:cs="宋体" w:eastAsia="宋体" w:hint="default"/>
        </w:rPr>
      </w:pPr>
      <w:r>
        <w:rPr/>
        <w:t>报告期内，主要受益于运营商集采需求集中释放影响，公司运营商行业实现收入</w:t>
      </w:r>
      <w:r>
        <w:rPr>
          <w:spacing w:val="-28"/>
        </w:rPr>
        <w:t> </w:t>
      </w:r>
      <w:r>
        <w:rPr>
          <w:rFonts w:ascii="宋体" w:hAnsi="宋体" w:cs="宋体" w:eastAsia="宋体" w:hint="default"/>
        </w:rPr>
        <w:t>29.16</w:t>
      </w:r>
      <w:r>
        <w:rPr>
          <w:rFonts w:ascii="宋体" w:hAnsi="宋体" w:cs="宋体" w:eastAsia="宋体" w:hint="default"/>
          <w:spacing w:val="-27"/>
        </w:rPr>
        <w:t> </w:t>
      </w:r>
      <w:r>
        <w:rPr/>
        <w:t>亿元，同比增长</w:t>
      </w:r>
      <w:r>
        <w:rPr>
          <w:spacing w:val="-29"/>
        </w:rPr>
        <w:t> </w:t>
      </w:r>
      <w:r>
        <w:rPr>
          <w:rFonts w:ascii="宋体" w:hAnsi="宋体" w:cs="宋体" w:eastAsia="宋体" w:hint="default"/>
        </w:rPr>
        <w:t>38.99%</w:t>
      </w:r>
      <w:r>
        <w:rPr/>
        <w:t>，毛利 率</w:t>
      </w:r>
      <w:r>
        <w:rPr>
          <w:spacing w:val="-48"/>
        </w:rPr>
        <w:t> </w:t>
      </w:r>
      <w:r>
        <w:rPr>
          <w:rFonts w:ascii="宋体" w:hAnsi="宋体" w:cs="宋体" w:eastAsia="宋体" w:hint="default"/>
        </w:rPr>
        <w:t>17.72%</w:t>
      </w:r>
      <w:r>
        <w:rPr/>
        <w:t>。其中软件和服务业务实现收入</w:t>
      </w:r>
      <w:r>
        <w:rPr>
          <w:spacing w:val="-47"/>
        </w:rPr>
        <w:t> </w:t>
      </w:r>
      <w:r>
        <w:rPr>
          <w:rFonts w:ascii="宋体" w:hAnsi="宋体" w:cs="宋体" w:eastAsia="宋体" w:hint="default"/>
        </w:rPr>
        <w:t>16.44</w:t>
      </w:r>
      <w:r>
        <w:rPr>
          <w:rFonts w:ascii="宋体" w:hAnsi="宋体" w:cs="宋体" w:eastAsia="宋体" w:hint="default"/>
          <w:spacing w:val="-46"/>
        </w:rPr>
        <w:t> </w:t>
      </w:r>
      <w:r>
        <w:rPr/>
        <w:t>亿元，同比增长</w:t>
      </w:r>
      <w:r>
        <w:rPr>
          <w:spacing w:val="-48"/>
        </w:rPr>
        <w:t> </w:t>
      </w:r>
      <w:r>
        <w:rPr>
          <w:rFonts w:ascii="宋体" w:hAnsi="宋体" w:cs="宋体" w:eastAsia="宋体" w:hint="default"/>
        </w:rPr>
        <w:t>4.69%</w:t>
      </w:r>
      <w:r>
        <w:rPr/>
        <w:t>，实现毛利</w:t>
      </w:r>
      <w:r>
        <w:rPr>
          <w:spacing w:val="-48"/>
        </w:rPr>
        <w:t> </w:t>
      </w:r>
      <w:r>
        <w:rPr>
          <w:rFonts w:ascii="宋体" w:hAnsi="宋体" w:cs="宋体" w:eastAsia="宋体" w:hint="default"/>
        </w:rPr>
        <w:t>3.06</w:t>
      </w:r>
      <w:r>
        <w:rPr>
          <w:rFonts w:ascii="宋体" w:hAnsi="宋体" w:cs="宋体" w:eastAsia="宋体" w:hint="default"/>
          <w:spacing w:val="-47"/>
        </w:rPr>
        <w:t> </w:t>
      </w:r>
      <w:r>
        <w:rPr/>
        <w:t>亿元，毛利率</w:t>
      </w:r>
      <w:r>
        <w:rPr>
          <w:spacing w:val="-48"/>
        </w:rPr>
        <w:t> </w:t>
      </w:r>
      <w:r>
        <w:rPr>
          <w:rFonts w:ascii="宋体" w:hAnsi="宋体" w:cs="宋体" w:eastAsia="宋体" w:hint="default"/>
        </w:rPr>
        <w:t>18.62%</w:t>
      </w:r>
      <w:r>
        <w:rPr/>
        <w:t>。</w:t>
      </w:r>
      <w:r>
        <w:rPr>
          <w:rFonts w:ascii="宋体" w:hAnsi="宋体" w:cs="宋体" w:eastAsia="宋体" w:hint="default"/>
        </w:rPr>
        <w:t> </w:t>
      </w:r>
    </w:p>
    <w:p>
      <w:pPr>
        <w:pStyle w:val="BodyText"/>
        <w:spacing w:line="319" w:lineRule="auto" w:before="59"/>
        <w:ind w:right="1129" w:firstLine="360"/>
        <w:jc w:val="both"/>
        <w:rPr>
          <w:rFonts w:ascii="宋体" w:hAnsi="宋体" w:cs="宋体" w:eastAsia="宋体" w:hint="default"/>
        </w:rPr>
      </w:pPr>
      <w:r>
        <w:rPr>
          <w:spacing w:val="-2"/>
        </w:rPr>
        <w:t>经过中国移动无线网络优化领域的市场洗牌，公司在运营商集采、省采及专业子公司集采结果总体份额保持第三方供应</w:t>
      </w:r>
      <w:r>
        <w:rPr/>
        <w:t> </w:t>
      </w:r>
      <w:r>
        <w:rPr>
          <w:spacing w:val="-6"/>
        </w:rPr>
        <w:t>商第一名；爱立信业务框架招标排名前列；华为、中兴业务实现突破，新增</w:t>
      </w:r>
      <w:r>
        <w:rPr>
          <w:spacing w:val="-29"/>
        </w:rPr>
        <w:t> </w:t>
      </w:r>
      <w:r>
        <w:rPr>
          <w:rFonts w:ascii="宋体" w:hAnsi="宋体" w:cs="宋体" w:eastAsia="宋体" w:hint="default"/>
        </w:rPr>
        <w:t>2</w:t>
      </w:r>
      <w:r>
        <w:rPr>
          <w:rFonts w:ascii="宋体" w:hAnsi="宋体" w:cs="宋体" w:eastAsia="宋体" w:hint="default"/>
          <w:spacing w:val="-29"/>
        </w:rPr>
        <w:t> </w:t>
      </w:r>
      <w:r>
        <w:rPr>
          <w:spacing w:val="-5"/>
        </w:rPr>
        <w:t>省，海外业务落地乌兹别克斯坦、印度尼西亚、</w:t>
      </w:r>
      <w:r>
        <w:rPr>
          <w:spacing w:val="-86"/>
        </w:rPr>
        <w:t> </w:t>
      </w:r>
      <w:r>
        <w:rPr>
          <w:spacing w:val="-86"/>
        </w:rPr>
      </w:r>
      <w:r>
        <w:rPr>
          <w:spacing w:val="-2"/>
        </w:rPr>
        <w:t>乌干达。以智慧室分（</w:t>
      </w:r>
      <w:r>
        <w:rPr>
          <w:rFonts w:ascii="宋体" w:hAnsi="宋体" w:cs="宋体" w:eastAsia="宋体" w:hint="default"/>
          <w:spacing w:val="-2"/>
        </w:rPr>
        <w:t>RFID</w:t>
      </w:r>
      <w:r>
        <w:rPr>
          <w:spacing w:val="-2"/>
        </w:rPr>
        <w:t>）为代表的新业务形成规模销售，产品持续迭代升级，有效提升业务在中国移动、中国铁塔等客</w:t>
      </w:r>
      <w:r>
        <w:rPr>
          <w:spacing w:val="-65"/>
        </w:rPr>
        <w:t> </w:t>
      </w:r>
      <w:r>
        <w:rPr>
          <w:spacing w:val="-65"/>
        </w:rPr>
      </w:r>
      <w:r>
        <w:rPr/>
        <w:t>户端的竞争力。同时为抓住</w:t>
      </w:r>
      <w:r>
        <w:rPr>
          <w:spacing w:val="-44"/>
        </w:rPr>
        <w:t> </w:t>
      </w:r>
      <w:r>
        <w:rPr>
          <w:rFonts w:ascii="宋体" w:hAnsi="宋体" w:cs="宋体" w:eastAsia="宋体" w:hint="default"/>
        </w:rPr>
        <w:t>5G</w:t>
      </w:r>
      <w:r>
        <w:rPr>
          <w:rFonts w:ascii="宋体" w:hAnsi="宋体" w:cs="宋体" w:eastAsia="宋体" w:hint="default"/>
          <w:spacing w:val="-44"/>
        </w:rPr>
        <w:t> </w:t>
      </w:r>
      <w:r>
        <w:rPr/>
        <w:t>来临产生的新机遇，自主研发</w:t>
      </w:r>
      <w:r>
        <w:rPr>
          <w:spacing w:val="-44"/>
        </w:rPr>
        <w:t> </w:t>
      </w:r>
      <w:r>
        <w:rPr>
          <w:rFonts w:ascii="宋体" w:hAnsi="宋体" w:cs="宋体" w:eastAsia="宋体" w:hint="default"/>
        </w:rPr>
        <w:t>5G</w:t>
      </w:r>
      <w:r>
        <w:rPr>
          <w:rFonts w:ascii="宋体" w:hAnsi="宋体" w:cs="宋体" w:eastAsia="宋体" w:hint="default"/>
          <w:spacing w:val="-44"/>
        </w:rPr>
        <w:t> </w:t>
      </w:r>
      <w:r>
        <w:rPr/>
        <w:t>测试终端，与中国移动共建小站网管能力，并在</w:t>
      </w:r>
      <w:r>
        <w:rPr>
          <w:spacing w:val="-44"/>
        </w:rPr>
        <w:t> </w:t>
      </w:r>
      <w:r>
        <w:rPr>
          <w:rFonts w:ascii="宋体" w:hAnsi="宋体" w:cs="宋体" w:eastAsia="宋体" w:hint="default"/>
        </w:rPr>
        <w:t>5G</w:t>
      </w:r>
      <w:r>
        <w:rPr>
          <w:rFonts w:ascii="宋体" w:hAnsi="宋体" w:cs="宋体" w:eastAsia="宋体" w:hint="default"/>
          <w:spacing w:val="-44"/>
        </w:rPr>
        <w:t> </w:t>
      </w:r>
      <w:r>
        <w:rPr/>
        <w:t>行业应 用领域形成突破。</w:t>
      </w:r>
      <w:r>
        <w:rPr>
          <w:rFonts w:ascii="宋体" w:hAnsi="宋体" w:cs="宋体" w:eastAsia="宋体" w:hint="default"/>
        </w:rPr>
        <w:t> </w:t>
      </w:r>
    </w:p>
    <w:p>
      <w:pPr>
        <w:pStyle w:val="Heading6"/>
        <w:spacing w:line="240" w:lineRule="auto" w:before="55"/>
        <w:ind w:right="0"/>
        <w:jc w:val="left"/>
        <w:rPr>
          <w:rFonts w:ascii="宋体" w:hAnsi="宋体" w:cs="宋体" w:eastAsia="宋体" w:hint="default"/>
          <w:b w:val="0"/>
          <w:bCs w:val="0"/>
        </w:rPr>
      </w:pPr>
      <w:r>
        <w:rPr>
          <w:rFonts w:ascii="宋体" w:hAnsi="宋体" w:cs="宋体" w:eastAsia="宋体" w:hint="default"/>
        </w:rPr>
        <w:t>2</w:t>
      </w:r>
      <w:r>
        <w:rPr/>
        <w:t>、政企行业</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117"/>
        <w:ind w:right="1128" w:firstLine="360"/>
        <w:jc w:val="both"/>
        <w:rPr>
          <w:rFonts w:ascii="宋体" w:hAnsi="宋体" w:cs="宋体" w:eastAsia="宋体" w:hint="default"/>
        </w:rPr>
      </w:pPr>
      <w:r>
        <w:rPr/>
        <w:t>公司政企行业受互联网企业采购需求波动影响，实现收入</w:t>
      </w:r>
      <w:r>
        <w:rPr>
          <w:spacing w:val="-53"/>
        </w:rPr>
        <w:t> </w:t>
      </w:r>
      <w:r>
        <w:rPr>
          <w:rFonts w:ascii="宋体" w:hAnsi="宋体" w:cs="宋体" w:eastAsia="宋体" w:hint="default"/>
        </w:rPr>
        <w:t>27.40</w:t>
      </w:r>
      <w:r>
        <w:rPr>
          <w:rFonts w:ascii="宋体" w:hAnsi="宋体" w:cs="宋体" w:eastAsia="宋体" w:hint="default"/>
          <w:spacing w:val="-53"/>
        </w:rPr>
        <w:t> </w:t>
      </w:r>
      <w:r>
        <w:rPr>
          <w:spacing w:val="-4"/>
        </w:rPr>
        <w:t>亿元，同比下降</w:t>
      </w:r>
      <w:r>
        <w:rPr>
          <w:spacing w:val="-53"/>
        </w:rPr>
        <w:t> </w:t>
      </w:r>
      <w:r>
        <w:rPr>
          <w:rFonts w:ascii="宋体" w:hAnsi="宋体" w:cs="宋体" w:eastAsia="宋体" w:hint="default"/>
          <w:spacing w:val="-3"/>
        </w:rPr>
        <w:t>7.09%</w:t>
      </w:r>
      <w:r>
        <w:rPr>
          <w:spacing w:val="-3"/>
        </w:rPr>
        <w:t>，毛利率</w:t>
      </w:r>
      <w:r>
        <w:rPr>
          <w:spacing w:val="-54"/>
        </w:rPr>
        <w:t> </w:t>
      </w:r>
      <w:r>
        <w:rPr>
          <w:rFonts w:ascii="宋体" w:hAnsi="宋体" w:cs="宋体" w:eastAsia="宋体" w:hint="default"/>
        </w:rPr>
        <w:t>19.11%</w:t>
      </w:r>
      <w:r>
        <w:rPr/>
        <w:t>。其中软件和服 务业务实现收入</w:t>
      </w:r>
      <w:r>
        <w:rPr>
          <w:spacing w:val="-54"/>
        </w:rPr>
        <w:t> </w:t>
      </w:r>
      <w:r>
        <w:rPr>
          <w:rFonts w:ascii="宋体" w:hAnsi="宋体" w:cs="宋体" w:eastAsia="宋体" w:hint="default"/>
        </w:rPr>
        <w:t>11.16</w:t>
      </w:r>
      <w:r>
        <w:rPr>
          <w:rFonts w:ascii="宋体" w:hAnsi="宋体" w:cs="宋体" w:eastAsia="宋体" w:hint="default"/>
          <w:spacing w:val="-53"/>
        </w:rPr>
        <w:t> </w:t>
      </w:r>
      <w:r>
        <w:rPr>
          <w:spacing w:val="-3"/>
        </w:rPr>
        <w:t>亿元，同比增长</w:t>
      </w:r>
      <w:r>
        <w:rPr>
          <w:spacing w:val="-53"/>
        </w:rPr>
        <w:t> </w:t>
      </w:r>
      <w:r>
        <w:rPr>
          <w:rFonts w:ascii="宋体" w:hAnsi="宋体" w:cs="宋体" w:eastAsia="宋体" w:hint="default"/>
        </w:rPr>
        <w:t>17.94%</w:t>
      </w:r>
      <w:r>
        <w:rPr/>
        <w:t>，实现毛利</w:t>
      </w:r>
      <w:r>
        <w:rPr>
          <w:spacing w:val="-55"/>
        </w:rPr>
        <w:t> </w:t>
      </w:r>
      <w:r>
        <w:rPr>
          <w:rFonts w:ascii="宋体" w:hAnsi="宋体" w:cs="宋体" w:eastAsia="宋体" w:hint="default"/>
        </w:rPr>
        <w:t>3.66</w:t>
      </w:r>
      <w:r>
        <w:rPr>
          <w:rFonts w:ascii="宋体" w:hAnsi="宋体" w:cs="宋体" w:eastAsia="宋体" w:hint="default"/>
          <w:spacing w:val="-53"/>
        </w:rPr>
        <w:t> </w:t>
      </w:r>
      <w:r>
        <w:rPr>
          <w:spacing w:val="-3"/>
        </w:rPr>
        <w:t>亿元，毛利率</w:t>
      </w:r>
      <w:r>
        <w:rPr>
          <w:spacing w:val="-55"/>
        </w:rPr>
        <w:t> </w:t>
      </w:r>
      <w:r>
        <w:rPr>
          <w:rFonts w:ascii="宋体" w:hAnsi="宋体" w:cs="宋体" w:eastAsia="宋体" w:hint="default"/>
        </w:rPr>
        <w:t>32.80%</w:t>
      </w:r>
      <w:r>
        <w:rPr/>
        <w:t>。公司加大对软服的投入，着重拓展以 税务、农业为代表的基石业务，为公司金融科技战略推进提供丰富场景。</w:t>
      </w:r>
      <w:r>
        <w:rPr>
          <w:rFonts w:ascii="宋体" w:hAnsi="宋体" w:cs="宋体" w:eastAsia="宋体" w:hint="default"/>
        </w:rPr>
        <w:t> </w:t>
      </w:r>
    </w:p>
    <w:p>
      <w:pPr>
        <w:pStyle w:val="BodyText"/>
        <w:spacing w:line="316" w:lineRule="auto" w:before="59"/>
        <w:ind w:right="1128" w:firstLine="360"/>
        <w:jc w:val="both"/>
      </w:pPr>
      <w:r>
        <w:rPr/>
        <w:t>税务方面，报告期内中标“2019</w:t>
      </w:r>
      <w:r>
        <w:rPr>
          <w:spacing w:val="-27"/>
        </w:rPr>
        <w:t> </w:t>
      </w:r>
      <w:r>
        <w:rPr/>
        <w:t>年金税三期管理决策系统升级完善及运维项目（第</w:t>
      </w:r>
      <w:r>
        <w:rPr>
          <w:spacing w:val="-27"/>
        </w:rPr>
        <w:t> </w:t>
      </w:r>
      <w:r>
        <w:rPr>
          <w:rFonts w:ascii="宋体" w:hAnsi="宋体" w:cs="宋体" w:eastAsia="宋体" w:hint="default"/>
        </w:rPr>
        <w:t>1</w:t>
      </w:r>
      <w:r>
        <w:rPr>
          <w:rFonts w:ascii="宋体" w:hAnsi="宋体" w:cs="宋体" w:eastAsia="宋体" w:hint="default"/>
          <w:spacing w:val="-27"/>
        </w:rPr>
        <w:t> </w:t>
      </w:r>
      <w:r>
        <w:rPr/>
        <w:t>包）”，并中标广东稽查一体化 解决方案、江苏国税数据情报平台项目、安徽地税大数据平台项目等新项目，覆盖全国</w:t>
      </w:r>
      <w:r>
        <w:rPr>
          <w:spacing w:val="-41"/>
        </w:rPr>
        <w:t> </w:t>
      </w:r>
      <w:r>
        <w:rPr>
          <w:rFonts w:ascii="宋体" w:hAnsi="宋体" w:cs="宋体" w:eastAsia="宋体" w:hint="default"/>
        </w:rPr>
        <w:t>25</w:t>
      </w:r>
      <w:r>
        <w:rPr>
          <w:rFonts w:ascii="宋体" w:hAnsi="宋体" w:cs="宋体" w:eastAsia="宋体" w:hint="default"/>
          <w:spacing w:val="-41"/>
        </w:rPr>
        <w:t> </w:t>
      </w:r>
      <w:r>
        <w:rPr/>
        <w:t>个省级行政区域。其中，北京税 </w:t>
      </w:r>
      <w:r>
        <w:rPr>
          <w:spacing w:val="-2"/>
        </w:rPr>
        <w:t>务局大数据分析项目，是税务行业首个涵盖发票、纳税服务管理、税收与经济分析、国际税收等全业务场景的税务大数据平</w:t>
      </w:r>
    </w:p>
    <w:p>
      <w:pPr>
        <w:spacing w:after="0" w:line="316" w:lineRule="auto"/>
        <w:jc w:val="both"/>
        <w:sectPr>
          <w:pgSz w:w="11910" w:h="16840"/>
          <w:pgMar w:header="916" w:footer="1261" w:top="1120" w:bottom="1460" w:left="980" w:right="0"/>
        </w:sectPr>
      </w:pPr>
    </w:p>
    <w:p>
      <w:pPr>
        <w:spacing w:line="240" w:lineRule="auto" w:before="9"/>
        <w:rPr>
          <w:rFonts w:ascii="宋体" w:hAnsi="宋体" w:cs="宋体" w:eastAsia="宋体" w:hint="default"/>
          <w:sz w:val="20"/>
          <w:szCs w:val="20"/>
        </w:rPr>
      </w:pPr>
    </w:p>
    <w:p>
      <w:pPr>
        <w:pStyle w:val="BodyText"/>
        <w:spacing w:line="360" w:lineRule="auto" w:before="44"/>
        <w:ind w:left="513" w:right="1119" w:hanging="360"/>
        <w:jc w:val="left"/>
      </w:pPr>
      <w:r>
        <w:rPr/>
        <w:t>台，也是全国首个对税收功能、税收指标、纳税人的搜索与实时计算平台。</w:t>
      </w:r>
      <w:r>
        <w:rPr>
          <w:rFonts w:ascii="宋体" w:hAnsi="宋体" w:cs="宋体" w:eastAsia="宋体" w:hint="default"/>
        </w:rPr>
        <w:t> </w:t>
      </w:r>
      <w:r>
        <w:rPr>
          <w:spacing w:val="-3"/>
        </w:rPr>
        <w:t>农业方面，报告期内公司新建覆盖两区划定、三资管理、产权交易、大数据等信息化平台在内的</w:t>
      </w:r>
      <w:r>
        <w:rPr>
          <w:spacing w:val="-34"/>
        </w:rPr>
        <w:t> </w:t>
      </w:r>
      <w:r>
        <w:rPr>
          <w:rFonts w:ascii="宋体" w:hAnsi="宋体" w:cs="宋体" w:eastAsia="宋体" w:hint="default"/>
        </w:rPr>
        <w:t>5</w:t>
      </w:r>
      <w:r>
        <w:rPr>
          <w:rFonts w:ascii="宋体" w:hAnsi="宋体" w:cs="宋体" w:eastAsia="宋体" w:hint="default"/>
          <w:spacing w:val="-35"/>
        </w:rPr>
        <w:t> </w:t>
      </w:r>
      <w:r>
        <w:rPr>
          <w:spacing w:val="-4"/>
        </w:rPr>
        <w:t>个国家级平台，</w:t>
      </w:r>
      <w:r>
        <w:rPr>
          <w:rFonts w:ascii="宋体" w:hAnsi="宋体" w:cs="宋体" w:eastAsia="宋体" w:hint="default"/>
          <w:spacing w:val="-4"/>
        </w:rPr>
        <w:t>13</w:t>
      </w:r>
      <w:r>
        <w:rPr>
          <w:rFonts w:ascii="宋体" w:hAnsi="宋体" w:cs="宋体" w:eastAsia="宋体" w:hint="default"/>
          <w:spacing w:val="-35"/>
        </w:rPr>
        <w:t> </w:t>
      </w:r>
      <w:r>
        <w:rPr/>
        <w:t>个</w:t>
      </w:r>
    </w:p>
    <w:p>
      <w:pPr>
        <w:pStyle w:val="BodyText"/>
        <w:spacing w:line="222" w:lineRule="exact"/>
        <w:ind w:right="0"/>
        <w:jc w:val="both"/>
      </w:pPr>
      <w:r>
        <w:rPr/>
        <w:t>省级平台，充分依托省部级资源，辐射全国传统业务及新型业务，占领了行业高点，提升了客户体系的生态建设水平。累计</w:t>
      </w:r>
    </w:p>
    <w:p>
      <w:pPr>
        <w:pStyle w:val="BodyText"/>
        <w:spacing w:line="316" w:lineRule="auto" w:before="76"/>
        <w:ind w:right="1130"/>
        <w:jc w:val="both"/>
        <w:rPr>
          <w:rFonts w:ascii="宋体" w:hAnsi="宋体" w:cs="宋体" w:eastAsia="宋体" w:hint="default"/>
        </w:rPr>
      </w:pPr>
      <w:r>
        <w:rPr/>
        <w:t>完成建设 </w:t>
      </w:r>
      <w:r>
        <w:rPr>
          <w:rFonts w:ascii="宋体" w:hAnsi="宋体" w:cs="宋体" w:eastAsia="宋体" w:hint="default"/>
        </w:rPr>
        <w:t>13 </w:t>
      </w:r>
      <w:r>
        <w:rPr/>
        <w:t>个国家级平台，</w:t>
      </w:r>
      <w:r>
        <w:rPr>
          <w:rFonts w:ascii="宋体" w:hAnsi="宋体" w:cs="宋体" w:eastAsia="宋体" w:hint="default"/>
        </w:rPr>
        <w:t>49</w:t>
      </w:r>
      <w:r>
        <w:rPr>
          <w:rFonts w:ascii="宋体" w:hAnsi="宋体" w:cs="宋体" w:eastAsia="宋体" w:hint="default"/>
          <w:spacing w:val="5"/>
        </w:rPr>
        <w:t> </w:t>
      </w:r>
      <w:r>
        <w:rPr/>
        <w:t>个省级平台。报告期内，携手中国农科院茶叶研究所共建“国家级茶叶全产业链大数据中 </w:t>
      </w:r>
      <w:r>
        <w:rPr>
          <w:spacing w:val="-2"/>
        </w:rPr>
        <w:t>心”，中标江苏农业农村大数据、陕西眉县猕猴桃大数据、陕西千阳苹果苗木大数据、陕西韩城花椒质量追溯大数据等各省</w:t>
      </w:r>
      <w:r>
        <w:rPr>
          <w:spacing w:val="-64"/>
        </w:rPr>
        <w:t> </w:t>
      </w:r>
      <w:r>
        <w:rPr>
          <w:spacing w:val="-64"/>
        </w:rPr>
      </w:r>
      <w:r>
        <w:rPr/>
        <w:t>市</w:t>
      </w:r>
      <w:r>
        <w:rPr>
          <w:spacing w:val="-46"/>
        </w:rPr>
        <w:t> </w:t>
      </w:r>
      <w:r>
        <w:rPr>
          <w:rFonts w:ascii="宋体" w:hAnsi="宋体" w:cs="宋体" w:eastAsia="宋体" w:hint="default"/>
        </w:rPr>
        <w:t>17</w:t>
      </w:r>
      <w:r>
        <w:rPr>
          <w:rFonts w:ascii="宋体" w:hAnsi="宋体" w:cs="宋体" w:eastAsia="宋体" w:hint="default"/>
          <w:spacing w:val="-45"/>
        </w:rPr>
        <w:t> </w:t>
      </w:r>
      <w:r>
        <w:rPr/>
        <w:t>个大数据项目。</w:t>
      </w:r>
      <w:r>
        <w:rPr>
          <w:rFonts w:ascii="宋体" w:hAnsi="宋体" w:cs="宋体" w:eastAsia="宋体" w:hint="default"/>
        </w:rPr>
        <w:t> </w:t>
      </w:r>
    </w:p>
    <w:p>
      <w:pPr>
        <w:pStyle w:val="BodyText"/>
        <w:spacing w:line="312" w:lineRule="auto" w:before="57"/>
        <w:ind w:right="1033" w:firstLine="360"/>
        <w:jc w:val="left"/>
        <w:rPr>
          <w:rFonts w:ascii="宋体" w:hAnsi="宋体" w:cs="宋体" w:eastAsia="宋体" w:hint="default"/>
        </w:rPr>
      </w:pPr>
      <w:r>
        <w:rPr>
          <w:spacing w:val="-2"/>
        </w:rPr>
        <w:t>另外，公司完成了多个政府办公领域的信息技术应用创新软件项目，实现了服务器、终端、基础软件等支撑环境的全面</w:t>
      </w:r>
      <w:r>
        <w:rPr/>
        <w:t> 建设。在量子通信领域，成功中标“京汉干线”、“汉广干线”、“粤港澳大湾区干线”骨干网项目以及</w:t>
      </w:r>
      <w:r>
        <w:rPr>
          <w:spacing w:val="-65"/>
        </w:rPr>
        <w:t> </w:t>
      </w:r>
      <w:r>
        <w:rPr>
          <w:rFonts w:ascii="Times New Roman" w:hAnsi="Times New Roman" w:cs="Times New Roman" w:eastAsia="Times New Roman" w:hint="default"/>
        </w:rPr>
        <w:t>5</w:t>
      </w:r>
      <w:r>
        <w:rPr>
          <w:rFonts w:ascii="Times New Roman" w:hAnsi="Times New Roman" w:cs="Times New Roman" w:eastAsia="Times New Roman" w:hint="default"/>
          <w:spacing w:val="-20"/>
        </w:rPr>
        <w:t> </w:t>
      </w:r>
      <w:r>
        <w:rPr/>
        <w:t>个重点城市量子 保密通信城域网项目，继续扩大在量子通信领域的领导者地位。在物联网领域，与华为联合推出“物联网联合解决方案”，</w:t>
      </w:r>
      <w:r>
        <w:rPr>
          <w:spacing w:val="-82"/>
        </w:rPr>
        <w:t> </w:t>
      </w:r>
      <w:r>
        <w:rPr>
          <w:spacing w:val="-82"/>
        </w:rPr>
      </w:r>
      <w:r>
        <w:rPr/>
        <w:t>持续研发物联网在智慧园区等领域的应用。</w:t>
      </w:r>
      <w:r>
        <w:rPr>
          <w:rFonts w:ascii="宋体" w:hAnsi="宋体" w:cs="宋体" w:eastAsia="宋体" w:hint="default"/>
        </w:rPr>
        <w:t> </w:t>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参见“经营情况讨论与分析”中的“一、概述”相关内容。</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1927"/>
        <w:gridCol w:w="1621"/>
        <w:gridCol w:w="1620"/>
        <w:gridCol w:w="1697"/>
        <w:gridCol w:w="1543"/>
        <w:gridCol w:w="1159"/>
      </w:tblGrid>
      <w:tr>
        <w:trPr>
          <w:trHeight w:val="465" w:hRule="exact"/>
        </w:trPr>
        <w:tc>
          <w:tcPr>
            <w:tcW w:w="1927" w:type="dxa"/>
            <w:vMerge w:val="restart"/>
            <w:tcBorders>
              <w:top w:val="single" w:sz="4" w:space="0" w:color="000000"/>
              <w:left w:val="single" w:sz="4" w:space="0" w:color="000000"/>
              <w:right w:val="single" w:sz="4" w:space="0" w:color="000000"/>
            </w:tcBorders>
            <w:shd w:val="clear" w:color="auto" w:fill="D2D2D2"/>
          </w:tcPr>
          <w:p>
            <w:pP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64" w:hRule="exact"/>
        </w:trPr>
        <w:tc>
          <w:tcPr>
            <w:tcW w:w="1927" w:type="dxa"/>
            <w:vMerge/>
            <w:tcBorders>
              <w:left w:val="single" w:sz="4" w:space="0" w:color="000000"/>
              <w:bottom w:val="single" w:sz="4" w:space="0" w:color="000000"/>
              <w:right w:val="single" w:sz="4" w:space="0" w:color="000000"/>
            </w:tcBorders>
            <w:shd w:val="clear" w:color="auto" w:fill="D2D2D2"/>
          </w:tcPr>
          <w:p>
            <w:pPr/>
          </w:p>
        </w:tc>
        <w:tc>
          <w:tcPr>
            <w:tcW w:w="1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7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135"/>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159" w:type="dxa"/>
            <w:vMerge/>
            <w:tcBorders>
              <w:left w:val="single" w:sz="4" w:space="0" w:color="000000"/>
              <w:bottom w:val="single" w:sz="4" w:space="0" w:color="000000"/>
              <w:right w:val="single" w:sz="4" w:space="0" w:color="000000"/>
            </w:tcBorders>
            <w:shd w:val="clear" w:color="auto" w:fill="D2D2D2"/>
          </w:tcPr>
          <w:p>
            <w:pPr/>
          </w:p>
        </w:tc>
      </w:tr>
      <w:tr>
        <w:trPr>
          <w:trHeight w:val="468" w:hRule="exact"/>
        </w:trPr>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10,146,008,170.91</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sz w:val="18"/>
              </w:rPr>
              <w:t>100%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9,077,344,908.68</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94"/>
              <w:jc w:val="right"/>
              <w:rPr>
                <w:rFonts w:ascii="Times New Roman" w:hAnsi="Times New Roman" w:cs="Times New Roman" w:eastAsia="Times New Roman" w:hint="default"/>
                <w:sz w:val="18"/>
                <w:szCs w:val="18"/>
              </w:rPr>
            </w:pPr>
            <w:r>
              <w:rPr>
                <w:rFonts w:ascii="Times New Roman"/>
                <w:sz w:val="18"/>
              </w:rPr>
              <w:t>100%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11.77%</w:t>
            </w:r>
          </w:p>
        </w:tc>
      </w:tr>
      <w:tr>
        <w:trPr>
          <w:trHeight w:val="45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66"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3,899,247,635.86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38.43%</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3,503,560,947.07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38.60%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pacing w:val="-1"/>
                <w:sz w:val="18"/>
              </w:rPr>
              <w:t>11.29%</w:t>
            </w:r>
          </w:p>
        </w:tc>
      </w:tr>
      <w:tr>
        <w:trPr>
          <w:trHeight w:val="463"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运营商</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2,915,737,460.77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28.74%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2,097,772,970.22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pacing w:val="-1"/>
                <w:sz w:val="18"/>
              </w:rPr>
              <w:t>23.11%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38.99%</w:t>
            </w:r>
          </w:p>
        </w:tc>
      </w:tr>
      <w:tr>
        <w:trPr>
          <w:trHeight w:val="463"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政企</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2,740,141,449.98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27.01%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2,949,198,809.79</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32.49%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-7.09%</w:t>
            </w:r>
          </w:p>
        </w:tc>
      </w:tr>
      <w:tr>
        <w:trPr>
          <w:trHeight w:val="466"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590,881,624.30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5.82%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526,812,181.60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5.80%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12.16%</w:t>
            </w:r>
          </w:p>
        </w:tc>
      </w:tr>
      <w:tr>
        <w:trPr>
          <w:trHeight w:val="464"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63"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软件开发及技术服务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5,407,995,244.99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53.30%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4,180,312,955.80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46.05%</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29.37%</w:t>
            </w:r>
          </w:p>
        </w:tc>
      </w:tr>
      <w:tr>
        <w:trPr>
          <w:trHeight w:val="466"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4,731,889,461.89</w:t>
            </w:r>
            <w:r>
              <w:rPr>
                <w:rFonts w:ascii="Times New Roman"/>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46.64%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4,891,263,197.14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53.88%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z w:val="18"/>
              </w:rPr>
              <w:t>-3.26%</w:t>
            </w:r>
          </w:p>
        </w:tc>
      </w:tr>
      <w:tr>
        <w:trPr>
          <w:trHeight w:val="463"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6,123,464.03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0.06%</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5,768,755.74</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0.06%</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6.15%</w:t>
            </w:r>
          </w:p>
        </w:tc>
      </w:tr>
      <w:tr>
        <w:trPr>
          <w:trHeight w:val="46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66"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pacing w:val="-1"/>
                <w:sz w:val="18"/>
              </w:rPr>
              <w:t>10,076,040,798.33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z w:val="18"/>
              </w:rPr>
              <w:t>99.31%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9,041,659,603.65</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99.61%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5"/>
              <w:jc w:val="right"/>
              <w:rPr>
                <w:rFonts w:ascii="Times New Roman" w:hAnsi="Times New Roman" w:cs="Times New Roman" w:eastAsia="Times New Roman" w:hint="default"/>
                <w:sz w:val="18"/>
                <w:szCs w:val="18"/>
              </w:rPr>
            </w:pPr>
            <w:r>
              <w:rPr>
                <w:rFonts w:ascii="Times New Roman"/>
                <w:spacing w:val="-1"/>
                <w:sz w:val="18"/>
              </w:rPr>
              <w:t>11.44%</w:t>
            </w:r>
          </w:p>
        </w:tc>
      </w:tr>
      <w:tr>
        <w:trPr>
          <w:trHeight w:val="463"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69,967,372.58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0.69%</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35,685,305.03</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0.39%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96.07%</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9"/>
        <w:rPr>
          <w:rFonts w:ascii="宋体" w:hAnsi="宋体" w:cs="宋体" w:eastAsia="宋体" w:hint="default"/>
          <w:sz w:val="20"/>
          <w:szCs w:val="20"/>
        </w:rPr>
      </w:pPr>
    </w:p>
    <w:p>
      <w:pPr>
        <w:pStyle w:val="BodyText"/>
        <w:spacing w:line="240" w:lineRule="auto" w:before="44"/>
        <w:ind w:right="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w:t>
      </w:r>
    </w:p>
    <w:p>
      <w:pPr>
        <w:pStyle w:val="BodyText"/>
        <w:spacing w:line="240" w:lineRule="auto" w:before="10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1519"/>
        <w:gridCol w:w="1009"/>
        <w:gridCol w:w="1008"/>
        <w:gridCol w:w="1013"/>
        <w:gridCol w:w="1010"/>
        <w:gridCol w:w="1004"/>
        <w:gridCol w:w="1006"/>
        <w:gridCol w:w="1001"/>
        <w:gridCol w:w="1004"/>
      </w:tblGrid>
      <w:tr>
        <w:trPr>
          <w:trHeight w:val="466" w:hRule="exact"/>
        </w:trPr>
        <w:tc>
          <w:tcPr>
            <w:tcW w:w="1519"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63" w:hRule="exact"/>
        </w:trPr>
        <w:tc>
          <w:tcPr>
            <w:tcW w:w="1519" w:type="dxa"/>
            <w:vMerge/>
            <w:tcBorders>
              <w:left w:val="single" w:sz="4" w:space="0" w:color="000000"/>
              <w:bottom w:val="single" w:sz="4" w:space="0" w:color="000000"/>
              <w:right w:val="single" w:sz="4" w:space="0" w:color="000000"/>
            </w:tcBorders>
            <w:shd w:val="clear" w:color="auto" w:fill="D2D2D2"/>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39"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36"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3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3" w:hRule="exact"/>
        </w:trPr>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2,164,640,</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060.19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1,965,553,</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943.28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2,104,043,</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896.30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3,911,770,</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271.14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2,211,351,</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512.76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1,949,551,</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183.47</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2,010,354,</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029.70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2,906,088,</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182.75</w:t>
            </w:r>
          </w:p>
        </w:tc>
      </w:tr>
      <w:tr>
        <w:trPr>
          <w:trHeight w:val="1027" w:hRule="exact"/>
        </w:trPr>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5" w:right="141"/>
              <w:jc w:val="left"/>
              <w:rPr>
                <w:rFonts w:ascii="宋体" w:hAnsi="宋体" w:cs="宋体" w:eastAsia="宋体" w:hint="default"/>
                <w:sz w:val="18"/>
                <w:szCs w:val="18"/>
              </w:rPr>
            </w:pPr>
            <w:r>
              <w:rPr>
                <w:rFonts w:ascii="宋体" w:hAnsi="宋体" w:cs="宋体" w:eastAsia="宋体" w:hint="default"/>
                <w:sz w:val="18"/>
                <w:szCs w:val="18"/>
              </w:rPr>
              <w:t>归属于上市公司 股东的净利润</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34,135,74</w:t>
            </w:r>
          </w:p>
          <w:p>
            <w:pPr>
              <w:pStyle w:val="TableParagraph"/>
              <w:spacing w:line="240" w:lineRule="auto" w:before="102"/>
              <w:ind w:left="581" w:right="0"/>
              <w:jc w:val="left"/>
              <w:rPr>
                <w:rFonts w:ascii="Times New Roman" w:hAnsi="Times New Roman" w:cs="Times New Roman" w:eastAsia="Times New Roman" w:hint="default"/>
                <w:sz w:val="18"/>
                <w:szCs w:val="18"/>
              </w:rPr>
            </w:pPr>
            <w:r>
              <w:rPr>
                <w:rFonts w:ascii="Times New Roman"/>
                <w:sz w:val="18"/>
              </w:rPr>
              <w:t>6.97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95,008,00</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8.21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61,170,42</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1.26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185,293,5</w:t>
            </w:r>
          </w:p>
          <w:p>
            <w:pPr>
              <w:pStyle w:val="TableParagraph"/>
              <w:spacing w:line="240" w:lineRule="auto" w:before="102"/>
              <w:ind w:left="491" w:right="0"/>
              <w:jc w:val="left"/>
              <w:rPr>
                <w:rFonts w:ascii="Times New Roman" w:hAnsi="Times New Roman" w:cs="Times New Roman" w:eastAsia="Times New Roman" w:hint="default"/>
                <w:sz w:val="18"/>
                <w:szCs w:val="18"/>
              </w:rPr>
            </w:pPr>
            <w:r>
              <w:rPr>
                <w:rFonts w:ascii="Times New Roman"/>
                <w:sz w:val="18"/>
              </w:rPr>
              <w:t>76.33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29,496,93</w:t>
            </w:r>
          </w:p>
          <w:p>
            <w:pPr>
              <w:pStyle w:val="TableParagraph"/>
              <w:spacing w:line="240" w:lineRule="auto" w:before="102"/>
              <w:ind w:left="576" w:right="0"/>
              <w:jc w:val="left"/>
              <w:rPr>
                <w:rFonts w:ascii="Times New Roman" w:hAnsi="Times New Roman" w:cs="Times New Roman" w:eastAsia="Times New Roman" w:hint="default"/>
                <w:sz w:val="18"/>
                <w:szCs w:val="18"/>
              </w:rPr>
            </w:pPr>
            <w:r>
              <w:rPr>
                <w:rFonts w:ascii="Times New Roman"/>
                <w:sz w:val="18"/>
              </w:rPr>
              <w:t>8.98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220,995,2</w:t>
            </w:r>
          </w:p>
          <w:p>
            <w:pPr>
              <w:pStyle w:val="TableParagraph"/>
              <w:spacing w:line="240" w:lineRule="auto" w:before="102"/>
              <w:ind w:left="487" w:right="0"/>
              <w:jc w:val="left"/>
              <w:rPr>
                <w:rFonts w:ascii="Times New Roman" w:hAnsi="Times New Roman" w:cs="Times New Roman" w:eastAsia="Times New Roman" w:hint="default"/>
                <w:sz w:val="18"/>
                <w:szCs w:val="18"/>
              </w:rPr>
            </w:pPr>
            <w:r>
              <w:rPr>
                <w:rFonts w:ascii="Times New Roman"/>
                <w:sz w:val="18"/>
              </w:rPr>
              <w:t>30.99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0" w:right="0"/>
              <w:jc w:val="left"/>
              <w:rPr>
                <w:rFonts w:ascii="Times New Roman" w:hAnsi="Times New Roman" w:cs="Times New Roman" w:eastAsia="Times New Roman" w:hint="default"/>
                <w:sz w:val="18"/>
                <w:szCs w:val="18"/>
              </w:rPr>
            </w:pPr>
            <w:r>
              <w:rPr>
                <w:rFonts w:ascii="Times New Roman"/>
                <w:sz w:val="18"/>
              </w:rPr>
              <w:t>45,863,80</w:t>
            </w:r>
          </w:p>
          <w:p>
            <w:pPr>
              <w:pStyle w:val="TableParagraph"/>
              <w:spacing w:line="240" w:lineRule="auto" w:before="102"/>
              <w:ind w:left="575" w:right="0"/>
              <w:jc w:val="left"/>
              <w:rPr>
                <w:rFonts w:ascii="Times New Roman" w:hAnsi="Times New Roman" w:cs="Times New Roman" w:eastAsia="Times New Roman" w:hint="default"/>
                <w:sz w:val="18"/>
                <w:szCs w:val="18"/>
              </w:rPr>
            </w:pPr>
            <w:r>
              <w:rPr>
                <w:rFonts w:ascii="Times New Roman"/>
                <w:sz w:val="18"/>
              </w:rPr>
              <w:t>8.10</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73" w:right="98" w:firstLine="660"/>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254,259,7</w:t>
            </w:r>
          </w:p>
          <w:p>
            <w:pPr>
              <w:pStyle w:val="TableParagraph"/>
              <w:spacing w:line="240" w:lineRule="auto" w:before="5"/>
              <w:ind w:left="487" w:right="0"/>
              <w:jc w:val="left"/>
              <w:rPr>
                <w:rFonts w:ascii="Times New Roman" w:hAnsi="Times New Roman" w:cs="Times New Roman" w:eastAsia="Times New Roman" w:hint="default"/>
                <w:sz w:val="18"/>
                <w:szCs w:val="18"/>
              </w:rPr>
            </w:pPr>
            <w:r>
              <w:rPr>
                <w:rFonts w:ascii="Times New Roman"/>
                <w:sz w:val="18"/>
              </w:rPr>
              <w:t>33.62</w:t>
            </w:r>
          </w:p>
        </w:tc>
      </w:tr>
    </w:tbl>
    <w:p>
      <w:pPr>
        <w:pStyle w:val="BodyText"/>
        <w:spacing w:line="357" w:lineRule="auto" w:before="49"/>
        <w:ind w:left="513" w:right="1213" w:hanging="360"/>
        <w:jc w:val="left"/>
      </w:pPr>
      <w:r>
        <w:rPr/>
        <w:t>说明经营季节性（或周期性）发生的原因及波动风险 公司季度性经营活动波动主要与公司行业周期特点与客户需求节奏相关。由于公司主要客户为银行、政企、运营商等</w:t>
      </w:r>
    </w:p>
    <w:p>
      <w:pPr>
        <w:pStyle w:val="BodyText"/>
        <w:spacing w:line="224" w:lineRule="exact"/>
        <w:ind w:right="0"/>
        <w:jc w:val="left"/>
      </w:pPr>
      <w:r>
        <w:rPr/>
        <w:t>行业用户，客户通常在一季度启动全年采购计划及履行申请、审批等程序，二、三季度陆续进行项目的招标、谈判、签</w:t>
      </w:r>
    </w:p>
    <w:p>
      <w:pPr>
        <w:pStyle w:val="BodyText"/>
        <w:spacing w:line="240" w:lineRule="auto" w:before="76"/>
        <w:ind w:right="0"/>
        <w:jc w:val="left"/>
        <w:rPr>
          <w:rFonts w:ascii="宋体" w:hAnsi="宋体" w:cs="宋体" w:eastAsia="宋体" w:hint="default"/>
        </w:rPr>
      </w:pPr>
      <w:r>
        <w:rPr/>
        <w:t>约、实施等，三、四季度完成交付并付款，因此相对前三季度，公司第四季度产品交付、验收、确认收入较为集中。</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16" w:footer="1261" w:top="1120" w:bottom="1460" w:left="980" w:right="0"/>
        </w:sectPr>
      </w:pPr>
    </w:p>
    <w:p>
      <w:pPr>
        <w:pStyle w:val="BodyText"/>
        <w:spacing w:line="240" w:lineRule="auto" w:before="44"/>
        <w:ind w:right="-18"/>
        <w:jc w:val="left"/>
      </w:pPr>
      <w:r>
        <w:rPr/>
        <w:t>√ 适用 □</w:t>
      </w:r>
      <w:r>
        <w:rPr>
          <w:spacing w:val="3"/>
        </w:rPr>
        <w:t> </w:t>
      </w:r>
      <w:r>
        <w:rPr/>
        <w:t>不适用</w:t>
      </w:r>
    </w:p>
    <w:p>
      <w:pPr>
        <w:pStyle w:val="BodyText"/>
        <w:spacing w:line="240" w:lineRule="auto" w:before="117"/>
        <w:ind w:right="-18"/>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100" w:bottom="14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1944"/>
        <w:gridCol w:w="1544"/>
        <w:gridCol w:w="1440"/>
        <w:gridCol w:w="811"/>
        <w:gridCol w:w="1335"/>
        <w:gridCol w:w="1334"/>
        <w:gridCol w:w="1164"/>
      </w:tblGrid>
      <w:tr>
        <w:trPr>
          <w:trHeight w:val="731" w:hRule="exact"/>
        </w:trPr>
        <w:tc>
          <w:tcPr>
            <w:tcW w:w="1944" w:type="dxa"/>
            <w:tcBorders>
              <w:top w:val="single" w:sz="4" w:space="0" w:color="000000"/>
              <w:left w:val="single" w:sz="4" w:space="0" w:color="000000"/>
              <w:bottom w:val="single" w:sz="12" w:space="0" w:color="D2D2D2"/>
              <w:right w:val="single" w:sz="4" w:space="0" w:color="000000"/>
            </w:tcBorders>
          </w:tcPr>
          <w:p>
            <w:pPr/>
          </w:p>
        </w:tc>
        <w:tc>
          <w:tcPr>
            <w:tcW w:w="1544"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40"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811"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35" w:type="dxa"/>
            <w:tcBorders>
              <w:top w:val="single" w:sz="4" w:space="0" w:color="000000"/>
              <w:left w:val="single" w:sz="4" w:space="0" w:color="000000"/>
              <w:bottom w:val="single" w:sz="12" w:space="0" w:color="D2D2D2"/>
              <w:right w:val="single" w:sz="4" w:space="0" w:color="000000"/>
            </w:tcBorders>
          </w:tcPr>
          <w:p>
            <w:pPr>
              <w:pStyle w:val="TableParagraph"/>
              <w:spacing w:line="316" w:lineRule="auto" w:before="49"/>
              <w:ind w:left="211" w:right="122"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34" w:type="dxa"/>
            <w:tcBorders>
              <w:top w:val="single" w:sz="4" w:space="0" w:color="000000"/>
              <w:left w:val="single" w:sz="4" w:space="0" w:color="000000"/>
              <w:bottom w:val="single" w:sz="12" w:space="0" w:color="D2D2D2"/>
              <w:right w:val="single" w:sz="4" w:space="0" w:color="000000"/>
            </w:tcBorders>
          </w:tcPr>
          <w:p>
            <w:pPr>
              <w:pStyle w:val="TableParagraph"/>
              <w:spacing w:line="316" w:lineRule="auto" w:before="49"/>
              <w:ind w:left="213" w:right="119"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164" w:type="dxa"/>
            <w:tcBorders>
              <w:top w:val="single" w:sz="4" w:space="0" w:color="000000"/>
              <w:left w:val="single" w:sz="4" w:space="0" w:color="000000"/>
              <w:bottom w:val="single" w:sz="12" w:space="0" w:color="D2D2D2"/>
              <w:right w:val="single" w:sz="4" w:space="0" w:color="000000"/>
            </w:tcBorders>
          </w:tcPr>
          <w:p>
            <w:pPr>
              <w:pStyle w:val="TableParagraph"/>
              <w:spacing w:line="316" w:lineRule="auto" w:before="49"/>
              <w:ind w:left="129" w:right="123"/>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48"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6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3,899,247,635.86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31" w:right="0"/>
              <w:jc w:val="center"/>
              <w:rPr>
                <w:rFonts w:ascii="Times New Roman" w:hAnsi="Times New Roman" w:cs="Times New Roman" w:eastAsia="Times New Roman" w:hint="default"/>
                <w:sz w:val="18"/>
                <w:szCs w:val="18"/>
              </w:rPr>
            </w:pPr>
            <w:r>
              <w:rPr>
                <w:rFonts w:ascii="Times New Roman"/>
                <w:sz w:val="18"/>
              </w:rPr>
              <w:t>3,169,102,642.06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18.73%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11.29%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8.17%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2.35%</w:t>
            </w:r>
          </w:p>
        </w:tc>
      </w:tr>
      <w:tr>
        <w:trPr>
          <w:trHeight w:val="46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运营商</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2,915,737,460.77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31" w:right="0"/>
              <w:jc w:val="center"/>
              <w:rPr>
                <w:rFonts w:ascii="Times New Roman" w:hAnsi="Times New Roman" w:cs="Times New Roman" w:eastAsia="Times New Roman" w:hint="default"/>
                <w:sz w:val="18"/>
                <w:szCs w:val="18"/>
              </w:rPr>
            </w:pPr>
            <w:r>
              <w:rPr>
                <w:rFonts w:ascii="Times New Roman"/>
                <w:sz w:val="18"/>
              </w:rPr>
              <w:t>2,399,032,671.10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17.72%</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38.99%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42.55%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-2.05%</w:t>
            </w:r>
          </w:p>
        </w:tc>
      </w:tr>
      <w:tr>
        <w:trPr>
          <w:trHeight w:val="479" w:hRule="exact"/>
        </w:trPr>
        <w:tc>
          <w:tcPr>
            <w:tcW w:w="194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政企</w:t>
            </w:r>
          </w:p>
        </w:tc>
        <w:tc>
          <w:tcPr>
            <w:tcW w:w="154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2,740,141,449.98</w:t>
            </w:r>
          </w:p>
        </w:tc>
        <w:tc>
          <w:tcPr>
            <w:tcW w:w="144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left="131" w:right="0"/>
              <w:jc w:val="center"/>
              <w:rPr>
                <w:rFonts w:ascii="Times New Roman" w:hAnsi="Times New Roman" w:cs="Times New Roman" w:eastAsia="Times New Roman" w:hint="default"/>
                <w:sz w:val="18"/>
                <w:szCs w:val="18"/>
              </w:rPr>
            </w:pPr>
            <w:r>
              <w:rPr>
                <w:rFonts w:ascii="Times New Roman"/>
                <w:sz w:val="18"/>
              </w:rPr>
              <w:t>2,216,540,487.03</w:t>
            </w:r>
          </w:p>
        </w:tc>
        <w:tc>
          <w:tcPr>
            <w:tcW w:w="811"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19.11%</w:t>
            </w:r>
          </w:p>
        </w:tc>
        <w:tc>
          <w:tcPr>
            <w:tcW w:w="1335"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-7.09%</w:t>
            </w:r>
          </w:p>
        </w:tc>
        <w:tc>
          <w:tcPr>
            <w:tcW w:w="133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-7.79%</w:t>
            </w:r>
          </w:p>
        </w:tc>
        <w:tc>
          <w:tcPr>
            <w:tcW w:w="116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0.62%</w:t>
            </w:r>
          </w:p>
        </w:tc>
      </w:tr>
      <w:tr>
        <w:trPr>
          <w:trHeight w:val="448"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6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软件开发及技术服务</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5,407,995,244.99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31" w:right="0"/>
              <w:jc w:val="center"/>
              <w:rPr>
                <w:rFonts w:ascii="Times New Roman" w:hAnsi="Times New Roman" w:cs="Times New Roman" w:eastAsia="Times New Roman" w:hint="default"/>
                <w:sz w:val="18"/>
                <w:szCs w:val="18"/>
              </w:rPr>
            </w:pPr>
            <w:r>
              <w:rPr>
                <w:rFonts w:ascii="Times New Roman"/>
                <w:sz w:val="18"/>
              </w:rPr>
              <w:t>4,097,817,721.36</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24.23%</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29.37%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37.67%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-4.56%</w:t>
            </w:r>
          </w:p>
        </w:tc>
      </w:tr>
      <w:tr>
        <w:trPr>
          <w:trHeight w:val="479" w:hRule="exact"/>
        </w:trPr>
        <w:tc>
          <w:tcPr>
            <w:tcW w:w="194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4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4,731,889,461.89</w:t>
            </w:r>
          </w:p>
        </w:tc>
        <w:tc>
          <w:tcPr>
            <w:tcW w:w="144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left="131" w:right="0"/>
              <w:jc w:val="center"/>
              <w:rPr>
                <w:rFonts w:ascii="Times New Roman" w:hAnsi="Times New Roman" w:cs="Times New Roman" w:eastAsia="Times New Roman" w:hint="default"/>
                <w:sz w:val="18"/>
                <w:szCs w:val="18"/>
              </w:rPr>
            </w:pPr>
            <w:r>
              <w:rPr>
                <w:rFonts w:ascii="Times New Roman"/>
                <w:sz w:val="18"/>
              </w:rPr>
              <w:t>4,163,541,165.81</w:t>
            </w:r>
          </w:p>
        </w:tc>
        <w:tc>
          <w:tcPr>
            <w:tcW w:w="811"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12.01%</w:t>
            </w:r>
          </w:p>
        </w:tc>
        <w:tc>
          <w:tcPr>
            <w:tcW w:w="1335"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-3.26%</w:t>
            </w:r>
          </w:p>
        </w:tc>
        <w:tc>
          <w:tcPr>
            <w:tcW w:w="133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-5.58%</w:t>
            </w:r>
          </w:p>
        </w:tc>
        <w:tc>
          <w:tcPr>
            <w:tcW w:w="116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2.16%</w:t>
            </w:r>
          </w:p>
        </w:tc>
      </w:tr>
      <w:tr>
        <w:trPr>
          <w:trHeight w:val="448"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66"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10,076,040,798.33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31" w:right="0"/>
              <w:jc w:val="center"/>
              <w:rPr>
                <w:rFonts w:ascii="Times New Roman" w:hAnsi="Times New Roman" w:cs="Times New Roman" w:eastAsia="Times New Roman" w:hint="default"/>
                <w:sz w:val="18"/>
                <w:szCs w:val="18"/>
              </w:rPr>
            </w:pPr>
            <w:r>
              <w:rPr>
                <w:rFonts w:ascii="Times New Roman"/>
                <w:sz w:val="18"/>
              </w:rPr>
              <w:t>8,201,754,874.19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18.60%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11.44%</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11.51%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-0.05%</w:t>
            </w:r>
          </w:p>
        </w:tc>
      </w:tr>
    </w:tbl>
    <w:p>
      <w:pPr>
        <w:pStyle w:val="BodyText"/>
        <w:spacing w:line="240" w:lineRule="auto" w:before="49"/>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是 √</w:t>
      </w:r>
      <w:r>
        <w:rPr>
          <w:spacing w:val="3"/>
        </w:rPr>
        <w:t> </w:t>
      </w:r>
      <w:r>
        <w:rPr/>
        <w:t>否</w:t>
      </w:r>
    </w:p>
    <w:p>
      <w:pPr>
        <w:spacing w:after="0" w:line="240" w:lineRule="auto"/>
        <w:jc w:val="left"/>
        <w:sectPr>
          <w:type w:val="continuous"/>
          <w:pgSz w:w="11910" w:h="16840"/>
          <w:pgMar w:top="110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产品分类</w:t>
      </w:r>
    </w:p>
    <w:p>
      <w:pPr>
        <w:pStyle w:val="BodyText"/>
        <w:spacing w:line="240" w:lineRule="auto" w:before="117"/>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1913"/>
        <w:gridCol w:w="1561"/>
        <w:gridCol w:w="1532"/>
        <w:gridCol w:w="1501"/>
        <w:gridCol w:w="1543"/>
        <w:gridCol w:w="1532"/>
      </w:tblGrid>
      <w:tr>
        <w:trPr>
          <w:trHeight w:val="464"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3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0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6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12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134"/>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32" w:type="dxa"/>
            <w:vMerge/>
            <w:tcBorders>
              <w:left w:val="single" w:sz="4" w:space="0" w:color="000000"/>
              <w:bottom w:val="single" w:sz="4" w:space="0" w:color="000000"/>
              <w:right w:val="single" w:sz="4" w:space="0" w:color="000000"/>
            </w:tcBorders>
            <w:shd w:val="clear" w:color="auto" w:fill="D2D2D2"/>
          </w:tcPr>
          <w:p>
            <w:pPr/>
          </w:p>
        </w:tc>
      </w:tr>
      <w:tr>
        <w:trPr>
          <w:trHeight w:val="46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4,163,541,165.81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50.40%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4,409,515,652.52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59.70%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-5.58%</w:t>
            </w:r>
          </w:p>
        </w:tc>
      </w:tr>
      <w:tr>
        <w:trPr>
          <w:trHeight w:val="46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软件开发及技术服务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4,097,817,721.36</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49.60%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2,976,644,246.17</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40.30%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37.67%</w:t>
            </w:r>
          </w:p>
        </w:tc>
      </w:tr>
      <w:tr>
        <w:trPr>
          <w:trHeight w:val="4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371,450.68</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0.00%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278,588.02</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0.00%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33.33%</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pStyle w:val="BodyText"/>
        <w:spacing w:line="340" w:lineRule="auto" w:before="49"/>
        <w:ind w:right="-18"/>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100" w:bottom="14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1913"/>
        <w:gridCol w:w="1546"/>
        <w:gridCol w:w="1560"/>
        <w:gridCol w:w="1486"/>
        <w:gridCol w:w="1560"/>
        <w:gridCol w:w="1503"/>
      </w:tblGrid>
      <w:tr>
        <w:trPr>
          <w:trHeight w:val="46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0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8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66"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4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144"/>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503" w:type="dxa"/>
            <w:vMerge/>
            <w:tcBorders>
              <w:left w:val="single" w:sz="4" w:space="0" w:color="000000"/>
              <w:bottom w:val="single" w:sz="4" w:space="0" w:color="000000"/>
              <w:right w:val="single" w:sz="4" w:space="0" w:color="000000"/>
            </w:tcBorders>
            <w:shd w:val="clear" w:color="auto" w:fill="D2D2D2"/>
          </w:tcPr>
          <w:p>
            <w:pPr/>
          </w:p>
        </w:tc>
      </w:tr>
      <w:tr>
        <w:trPr>
          <w:trHeight w:val="46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设备类采购款</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4,302,089,406.98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52.07%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4,626,238,917.31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62.64%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-7.01%</w:t>
            </w:r>
          </w:p>
        </w:tc>
      </w:tr>
      <w:tr>
        <w:trPr>
          <w:trHeight w:val="4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人工及技术协作</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3,489,606,484.85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42.24%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2,389,833,585.45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32.35%</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46.02%</w:t>
            </w:r>
          </w:p>
        </w:tc>
      </w:tr>
      <w:tr>
        <w:trPr>
          <w:trHeight w:val="46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pacing w:val="-1"/>
                <w:sz w:val="18"/>
              </w:rPr>
              <w:t>470,034,446.02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5.69%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370,365,983.95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5.01%</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26.91%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424" w:right="1122" w:hanging="272"/>
        <w:jc w:val="left"/>
      </w:pPr>
      <w:r>
        <w:rPr/>
        <w:t>√ 是 □</w:t>
      </w:r>
      <w:r>
        <w:rPr>
          <w:spacing w:val="3"/>
        </w:rPr>
        <w:t> </w:t>
      </w:r>
      <w:r>
        <w:rPr/>
        <w:t>否</w:t>
      </w:r>
      <w:r>
        <w:rPr/>
        <w:t> 本集团合并财务报表范围包括本公司之母公司、神州数码系统集成服务有限公司、神州数码信息系统有限公司等</w:t>
      </w:r>
      <w:r>
        <w:rPr>
          <w:rFonts w:ascii="宋体" w:hAnsi="宋体" w:cs="宋体" w:eastAsia="宋体" w:hint="default"/>
        </w:rPr>
        <w:t>41</w:t>
      </w:r>
      <w:r>
        <w:rPr/>
        <w:t>家公</w:t>
      </w:r>
    </w:p>
    <w:p>
      <w:pPr>
        <w:pStyle w:val="BodyText"/>
        <w:spacing w:line="222" w:lineRule="exact"/>
        <w:ind w:right="0"/>
        <w:jc w:val="left"/>
        <w:rPr>
          <w:rFonts w:ascii="宋体" w:hAnsi="宋体" w:cs="宋体" w:eastAsia="宋体" w:hint="default"/>
        </w:rPr>
      </w:pPr>
      <w:r>
        <w:rPr/>
        <w:t>司。</w:t>
      </w:r>
      <w:r>
        <w:rPr>
          <w:rFonts w:ascii="宋体" w:hAnsi="宋体" w:cs="宋体" w:eastAsia="宋体" w:hint="default"/>
        </w:rPr>
        <w:t> </w:t>
      </w:r>
    </w:p>
    <w:p>
      <w:pPr>
        <w:pStyle w:val="BodyText"/>
        <w:spacing w:line="319" w:lineRule="auto" w:before="117"/>
        <w:ind w:right="1131" w:firstLine="271"/>
        <w:jc w:val="both"/>
        <w:rPr>
          <w:rFonts w:ascii="宋体" w:hAnsi="宋体" w:cs="宋体" w:eastAsia="宋体" w:hint="default"/>
        </w:rPr>
      </w:pPr>
      <w:r>
        <w:rPr/>
        <w:t>与上年相比，本年因非同一控制下企业合并增加神州土地（北京）信息技术有限公司及其子公司枣强县农村产权交易服 </w:t>
      </w:r>
      <w:r>
        <w:rPr>
          <w:spacing w:val="-2"/>
        </w:rPr>
        <w:t>务有限公司，因新设增加智慧神州天融（北京）监测技术有限公司、新疆神州三宝信息技术有限公司、北京神州通慧科技有</w:t>
      </w:r>
      <w:r>
        <w:rPr>
          <w:spacing w:val="-67"/>
        </w:rPr>
        <w:t> </w:t>
      </w:r>
      <w:r>
        <w:rPr>
          <w:spacing w:val="-67"/>
        </w:rPr>
      </w:r>
      <w:r>
        <w:rPr/>
        <w:t>限公司、神州龙安</w:t>
      </w:r>
      <w:r>
        <w:rPr>
          <w:rFonts w:ascii="宋体" w:hAnsi="宋体" w:cs="宋体" w:eastAsia="宋体" w:hint="default"/>
        </w:rPr>
        <w:t>(</w:t>
      </w:r>
      <w:r>
        <w:rPr/>
        <w:t>金华</w:t>
      </w:r>
      <w:r>
        <w:rPr>
          <w:rFonts w:ascii="宋体" w:hAnsi="宋体" w:cs="宋体" w:eastAsia="宋体" w:hint="default"/>
        </w:rPr>
        <w:t>)</w:t>
      </w:r>
      <w:r>
        <w:rPr/>
        <w:t>信息技术服务有限公司及</w:t>
      </w:r>
      <w:r>
        <w:rPr>
          <w:rFonts w:ascii="宋体" w:hAnsi="宋体" w:cs="宋体" w:eastAsia="宋体" w:hint="default"/>
        </w:rPr>
        <w:t>Digital China Information Technology</w:t>
      </w:r>
      <w:r>
        <w:rPr>
          <w:rFonts w:ascii="宋体" w:hAnsi="宋体" w:cs="宋体" w:eastAsia="宋体" w:hint="default"/>
          <w:spacing w:val="-13"/>
        </w:rPr>
        <w:t> </w:t>
      </w:r>
      <w:r>
        <w:rPr>
          <w:rFonts w:ascii="宋体" w:hAnsi="宋体" w:cs="宋体" w:eastAsia="宋体" w:hint="default"/>
        </w:rPr>
        <w:t>Indonesia,PT</w:t>
      </w:r>
      <w:r>
        <w:rPr/>
        <w:t>，因注销减少昆 明中农信息技术有限公司。</w:t>
      </w:r>
      <w:r>
        <w:rPr>
          <w:rFonts w:ascii="宋体" w:hAnsi="宋体" w:cs="宋体" w:eastAsia="宋体" w:hint="default"/>
        </w:rPr>
        <w:t> </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after="0" w:line="240" w:lineRule="auto"/>
        <w:jc w:val="left"/>
        <w:sectPr>
          <w:type w:val="continuous"/>
          <w:pgSz w:w="11910" w:h="16840"/>
          <w:pgMar w:top="110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262" w:type="dxa"/>
        <w:tblLayout w:type="fixed"/>
        <w:tblCellMar>
          <w:top w:w="0" w:type="dxa"/>
          <w:left w:w="0" w:type="dxa"/>
          <w:bottom w:w="0" w:type="dxa"/>
          <w:right w:w="0" w:type="dxa"/>
        </w:tblCellMar>
        <w:tblLook w:val="01E0"/>
      </w:tblPr>
      <w:tblGrid>
        <w:gridCol w:w="4807"/>
        <w:gridCol w:w="4763"/>
      </w:tblGrid>
      <w:tr>
        <w:trPr>
          <w:trHeight w:val="466" w:hRule="exact"/>
        </w:trPr>
        <w:tc>
          <w:tcPr>
            <w:tcW w:w="4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2,041,185,601.98</w:t>
            </w:r>
          </w:p>
        </w:tc>
      </w:tr>
      <w:tr>
        <w:trPr>
          <w:trHeight w:val="463" w:hRule="exact"/>
        </w:trPr>
        <w:tc>
          <w:tcPr>
            <w:tcW w:w="4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20.12%</w:t>
            </w:r>
          </w:p>
        </w:tc>
      </w:tr>
      <w:tr>
        <w:trPr>
          <w:trHeight w:val="463" w:hRule="exact"/>
        </w:trPr>
        <w:tc>
          <w:tcPr>
            <w:tcW w:w="4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261" w:type="dxa"/>
        <w:tblLayout w:type="fixed"/>
        <w:tblCellMar>
          <w:top w:w="0" w:type="dxa"/>
          <w:left w:w="0" w:type="dxa"/>
          <w:bottom w:w="0" w:type="dxa"/>
          <w:right w:w="0" w:type="dxa"/>
        </w:tblCellMar>
        <w:tblLook w:val="01E0"/>
      </w:tblPr>
      <w:tblGrid>
        <w:gridCol w:w="802"/>
        <w:gridCol w:w="3303"/>
        <w:gridCol w:w="2321"/>
        <w:gridCol w:w="3145"/>
      </w:tblGrid>
      <w:tr>
        <w:trPr>
          <w:trHeight w:val="46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617"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758"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6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811,319,054.72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8.00%</w:t>
            </w:r>
          </w:p>
        </w:tc>
      </w:tr>
      <w:tr>
        <w:trPr>
          <w:trHeight w:val="466"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3" w:right="0"/>
              <w:jc w:val="center"/>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435,310,179.35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4.29%</w:t>
            </w:r>
          </w:p>
        </w:tc>
      </w:tr>
      <w:tr>
        <w:trPr>
          <w:trHeight w:val="46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313,648,414.45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3.09%</w:t>
            </w:r>
          </w:p>
        </w:tc>
      </w:tr>
      <w:tr>
        <w:trPr>
          <w:trHeight w:val="46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252,494,398.47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2.49%</w:t>
            </w:r>
          </w:p>
        </w:tc>
      </w:tr>
      <w:tr>
        <w:trPr>
          <w:trHeight w:val="466"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228,413,554.99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2.25%</w:t>
            </w:r>
          </w:p>
        </w:tc>
      </w:tr>
      <w:tr>
        <w:trPr>
          <w:trHeight w:val="46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2,041,185,601.98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20.12%</w:t>
            </w:r>
          </w:p>
        </w:tc>
      </w:tr>
    </w:tbl>
    <w:p>
      <w:pPr>
        <w:pStyle w:val="BodyText"/>
        <w:spacing w:line="240" w:lineRule="auto" w:before="49"/>
        <w:ind w:right="0"/>
        <w:jc w:val="left"/>
      </w:pPr>
      <w:r>
        <w:rPr/>
        <w:t>主要客户其他情况说明</w:t>
      </w:r>
    </w:p>
    <w:p>
      <w:pPr>
        <w:pStyle w:val="BodyText"/>
        <w:spacing w:line="357" w:lineRule="auto" w:before="117"/>
        <w:ind w:right="9133"/>
        <w:jc w:val="left"/>
      </w:pPr>
      <w:r>
        <w:rPr/>
        <w:t>□ 适用 √</w:t>
      </w:r>
      <w:r>
        <w:rPr>
          <w:spacing w:val="3"/>
        </w:rPr>
        <w:t> </w:t>
      </w:r>
      <w:r>
        <w:rPr/>
        <w:t>不适用</w:t>
      </w:r>
      <w:r>
        <w:rPr/>
        <w:t> 公司主要供应商情况</w:t>
      </w:r>
    </w:p>
    <w:tbl>
      <w:tblPr>
        <w:tblW w:w="0" w:type="auto"/>
        <w:jc w:val="left"/>
        <w:tblInd w:w="262" w:type="dxa"/>
        <w:tblLayout w:type="fixed"/>
        <w:tblCellMar>
          <w:top w:w="0" w:type="dxa"/>
          <w:left w:w="0" w:type="dxa"/>
          <w:bottom w:w="0" w:type="dxa"/>
          <w:right w:w="0" w:type="dxa"/>
        </w:tblCellMar>
        <w:tblLook w:val="01E0"/>
      </w:tblPr>
      <w:tblGrid>
        <w:gridCol w:w="4778"/>
        <w:gridCol w:w="4791"/>
      </w:tblGrid>
      <w:tr>
        <w:trPr>
          <w:trHeight w:val="46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2,695,833,942.74</w:t>
            </w:r>
          </w:p>
        </w:tc>
      </w:tr>
      <w:tr>
        <w:trPr>
          <w:trHeight w:val="466"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z w:val="18"/>
              </w:rPr>
              <w:t>37.68%</w:t>
            </w:r>
          </w:p>
        </w:tc>
      </w:tr>
      <w:tr>
        <w:trPr>
          <w:trHeight w:val="46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70"/>
        <w:ind w:right="0"/>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3"/>
        <w:rPr>
          <w:rFonts w:ascii="宋体" w:hAnsi="宋体" w:cs="宋体" w:eastAsia="宋体" w:hint="default"/>
          <w:sz w:val="7"/>
          <w:szCs w:val="7"/>
        </w:rPr>
      </w:pPr>
    </w:p>
    <w:tbl>
      <w:tblPr>
        <w:tblW w:w="0" w:type="auto"/>
        <w:jc w:val="left"/>
        <w:tblInd w:w="261" w:type="dxa"/>
        <w:tblLayout w:type="fixed"/>
        <w:tblCellMar>
          <w:top w:w="0" w:type="dxa"/>
          <w:left w:w="0" w:type="dxa"/>
          <w:bottom w:w="0" w:type="dxa"/>
          <w:right w:w="0" w:type="dxa"/>
        </w:tblCellMar>
        <w:tblLook w:val="01E0"/>
      </w:tblPr>
      <w:tblGrid>
        <w:gridCol w:w="936"/>
        <w:gridCol w:w="3169"/>
        <w:gridCol w:w="2321"/>
        <w:gridCol w:w="3145"/>
      </w:tblGrid>
      <w:tr>
        <w:trPr>
          <w:trHeight w:val="46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617"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758"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6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供应商一</w:t>
            </w:r>
            <w:r>
              <w:rPr>
                <w:rFonts w:ascii="Times New Roman" w:hAnsi="Times New Roman" w:cs="Times New Roman" w:eastAsia="Times New Roman" w:hint="default"/>
                <w:sz w:val="18"/>
                <w:szCs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1,451,241,440.70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20.28%</w:t>
            </w:r>
          </w:p>
        </w:tc>
      </w:tr>
      <w:tr>
        <w:trPr>
          <w:trHeight w:val="46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470,903,200.00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6.58%</w:t>
            </w:r>
          </w:p>
        </w:tc>
      </w:tr>
      <w:tr>
        <w:trPr>
          <w:trHeight w:val="466"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301,194,802.45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4.21%</w:t>
            </w:r>
          </w:p>
        </w:tc>
      </w:tr>
      <w:tr>
        <w:trPr>
          <w:trHeight w:val="46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left="3" w:right="0"/>
              <w:jc w:val="center"/>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pacing w:val="-1"/>
                <w:sz w:val="18"/>
              </w:rPr>
              <w:t>269,499,953.25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98"/>
              <w:jc w:val="right"/>
              <w:rPr>
                <w:rFonts w:ascii="Times New Roman" w:hAnsi="Times New Roman" w:cs="Times New Roman" w:eastAsia="Times New Roman" w:hint="default"/>
                <w:sz w:val="18"/>
                <w:szCs w:val="18"/>
              </w:rPr>
            </w:pPr>
            <w:r>
              <w:rPr>
                <w:rFonts w:ascii="Times New Roman"/>
                <w:sz w:val="18"/>
              </w:rPr>
              <w:t>3.77%</w:t>
            </w:r>
          </w:p>
        </w:tc>
      </w:tr>
      <w:tr>
        <w:trPr>
          <w:trHeight w:val="46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3" w:right="0"/>
              <w:jc w:val="center"/>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202,994,546.34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2.84%</w:t>
            </w:r>
          </w:p>
        </w:tc>
      </w:tr>
      <w:tr>
        <w:trPr>
          <w:trHeight w:val="466"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2,695,833,942.74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37.68%</w:t>
            </w:r>
          </w:p>
        </w:tc>
      </w:tr>
    </w:tbl>
    <w:p>
      <w:pPr>
        <w:pStyle w:val="BodyText"/>
        <w:spacing w:line="240" w:lineRule="auto" w:before="49"/>
        <w:ind w:right="0"/>
        <w:jc w:val="left"/>
      </w:pPr>
      <w:r>
        <w:rPr/>
        <w:t>主要供应商其他情况说明</w:t>
      </w:r>
    </w:p>
    <w:p>
      <w:pPr>
        <w:pStyle w:val="BodyText"/>
        <w:spacing w:line="240" w:lineRule="auto" w:before="115"/>
        <w:ind w:right="0"/>
        <w:jc w:val="left"/>
      </w:pPr>
      <w:r>
        <w:rPr/>
        <w:t>□ 适用 √</w:t>
      </w:r>
      <w:r>
        <w:rPr>
          <w:spacing w:val="3"/>
        </w:rPr>
        <w:t> </w:t>
      </w:r>
      <w:r>
        <w:rPr/>
        <w:t>不适用</w:t>
      </w:r>
    </w:p>
    <w:p>
      <w:pPr>
        <w:spacing w:after="0" w:line="240" w:lineRule="auto"/>
        <w:jc w:val="left"/>
        <w:sectPr>
          <w:pgSz w:w="11910" w:h="16840"/>
          <w:pgMar w:header="916" w:footer="1261" w:top="112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2"/>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1284"/>
        <w:gridCol w:w="1649"/>
        <w:gridCol w:w="1666"/>
        <w:gridCol w:w="1034"/>
        <w:gridCol w:w="3937"/>
      </w:tblGrid>
      <w:tr>
        <w:trPr>
          <w:trHeight w:val="466"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151"/>
              <w:jc w:val="right"/>
              <w:rPr>
                <w:rFonts w:ascii="宋体" w:hAnsi="宋体" w:cs="宋体" w:eastAsia="宋体" w:hint="default"/>
                <w:sz w:val="18"/>
                <w:szCs w:val="18"/>
              </w:rPr>
            </w:pPr>
            <w:r>
              <w:rPr>
                <w:rFonts w:ascii="宋体" w:hAnsi="宋体" w:cs="宋体" w:eastAsia="宋体" w:hint="default"/>
                <w:sz w:val="18"/>
                <w:szCs w:val="18"/>
              </w:rPr>
              <w:t>同比增减</w:t>
            </w:r>
          </w:p>
        </w:tc>
        <w:tc>
          <w:tcPr>
            <w:tcW w:w="3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63"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503,924,867.26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551,750,278.69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-8.67%</w:t>
            </w:r>
          </w:p>
        </w:tc>
        <w:tc>
          <w:tcPr>
            <w:tcW w:w="3937"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402,457,791.98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477,352,200.52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-15.69%</w:t>
            </w:r>
          </w:p>
        </w:tc>
        <w:tc>
          <w:tcPr>
            <w:tcW w:w="3937"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81,486,158.49</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62,811,306.32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29.73%</w:t>
            </w:r>
          </w:p>
        </w:tc>
        <w:tc>
          <w:tcPr>
            <w:tcW w:w="3937"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374,946,590.50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236,502,764.86</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58.54%</w:t>
            </w:r>
          </w:p>
        </w:tc>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主要变动原因是本期增加了对研发的投入所致</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pStyle w:val="BodyText"/>
        <w:spacing w:line="307" w:lineRule="auto" w:before="115"/>
        <w:ind w:right="1573" w:firstLine="424"/>
        <w:jc w:val="left"/>
      </w:pPr>
      <w:r>
        <w:rPr/>
        <w:t>报告期内，公司与研发有关的支出共计</w:t>
      </w:r>
      <w:r>
        <w:rPr>
          <w:spacing w:val="-46"/>
        </w:rPr>
        <w:t> </w:t>
      </w:r>
      <w:r>
        <w:rPr>
          <w:rFonts w:ascii="Times New Roman" w:hAnsi="Times New Roman" w:cs="Times New Roman" w:eastAsia="Times New Roman" w:hint="default"/>
        </w:rPr>
        <w:t>51,400.17 </w:t>
      </w:r>
      <w:r>
        <w:rPr/>
        <w:t>万元，占营业总收入的</w:t>
      </w:r>
      <w:r>
        <w:rPr>
          <w:spacing w:val="-47"/>
        </w:rPr>
        <w:t> </w:t>
      </w:r>
      <w:r>
        <w:rPr>
          <w:rFonts w:ascii="Times New Roman" w:hAnsi="Times New Roman" w:cs="Times New Roman" w:eastAsia="Times New Roman" w:hint="default"/>
        </w:rPr>
        <w:t>5.07%</w:t>
      </w:r>
      <w:r>
        <w:rPr/>
        <w:t>。资本化总额为</w:t>
      </w:r>
      <w:r>
        <w:rPr>
          <w:spacing w:val="-47"/>
        </w:rPr>
        <w:t> </w:t>
      </w:r>
      <w:r>
        <w:rPr>
          <w:rFonts w:ascii="Times New Roman" w:hAnsi="Times New Roman" w:cs="Times New Roman" w:eastAsia="Times New Roman" w:hint="default"/>
        </w:rPr>
        <w:t>2,423.81 </w:t>
      </w:r>
      <w:r>
        <w:rPr/>
        <w:t>万元， 占研发投入的</w:t>
      </w:r>
      <w:r>
        <w:rPr>
          <w:spacing w:val="-46"/>
        </w:rPr>
        <w:t> </w:t>
      </w:r>
      <w:r>
        <w:rPr>
          <w:rFonts w:ascii="Times New Roman" w:hAnsi="Times New Roman" w:cs="Times New Roman" w:eastAsia="Times New Roman" w:hint="default"/>
        </w:rPr>
        <w:t>4.72%</w:t>
      </w:r>
      <w:r>
        <w:rPr/>
        <w:t>。公司在金融领域，继续加强分布式新核心项目的研发投入，完成包括产品的多项重要功能升 级，研发并推出企业级微服务平台、数字央行解决方案、场景支付解决方案、区块链产品及解决方案、远程视频银行 解决方案、人工智能相关解决方案等诸多新型解决方案。运营商领域，持续加强对智慧室分产品、无线网络智能优化 等方面的研发投入。农业领域，苹果产业大数据平台在数据模型、数据分析、数据仓库建设，和</w:t>
      </w:r>
      <w:r>
        <w:rPr>
          <w:spacing w:val="-45"/>
        </w:rPr>
        <w:t> </w:t>
      </w:r>
      <w:r>
        <w:rPr>
          <w:rFonts w:ascii="Times New Roman" w:hAnsi="Times New Roman" w:cs="Times New Roman" w:eastAsia="Times New Roman" w:hint="default"/>
        </w:rPr>
        <w:t>GIS</w:t>
      </w:r>
      <w:r>
        <w:rPr/>
        <w:t>、物联网相关技 术应用均取得进展。税务领域，基于</w:t>
      </w:r>
      <w:r>
        <w:rPr>
          <w:spacing w:val="-45"/>
        </w:rPr>
        <w:t> </w:t>
      </w:r>
      <w:r>
        <w:rPr>
          <w:rFonts w:ascii="Times New Roman" w:hAnsi="Times New Roman" w:cs="Times New Roman" w:eastAsia="Times New Roman" w:hint="default"/>
        </w:rPr>
        <w:t>AI</w:t>
      </w:r>
      <w:r>
        <w:rPr>
          <w:rFonts w:ascii="Times New Roman" w:hAnsi="Times New Roman" w:cs="Times New Roman" w:eastAsia="Times New Roman" w:hint="default"/>
          <w:spacing w:val="-1"/>
        </w:rPr>
        <w:t> </w:t>
      </w:r>
      <w:r>
        <w:rPr/>
        <w:t>技术的</w:t>
      </w:r>
      <w:r>
        <w:rPr>
          <w:spacing w:val="-46"/>
        </w:rPr>
        <w:t> </w:t>
      </w:r>
      <w:r>
        <w:rPr>
          <w:rFonts w:ascii="Times New Roman" w:hAnsi="Times New Roman" w:cs="Times New Roman" w:eastAsia="Times New Roman" w:hint="default"/>
        </w:rPr>
        <w:t>ID@ta</w:t>
      </w:r>
      <w:r>
        <w:rPr>
          <w:rFonts w:ascii="Times New Roman" w:hAnsi="Times New Roman" w:cs="Times New Roman" w:eastAsia="Times New Roman" w:hint="default"/>
          <w:spacing w:val="-2"/>
        </w:rPr>
        <w:t> </w:t>
      </w:r>
      <w:r>
        <w:rPr/>
        <w:t>智票系列产品不断迭代升级。量子领域，完成自有品牌的量子 密钥管理与生成终端、量子密钥</w:t>
      </w:r>
      <w:r>
        <w:rPr>
          <w:spacing w:val="-47"/>
        </w:rPr>
        <w:t> </w:t>
      </w:r>
      <w:r>
        <w:rPr>
          <w:rFonts w:ascii="Times New Roman" w:hAnsi="Times New Roman" w:cs="Times New Roman" w:eastAsia="Times New Roman" w:hint="default"/>
        </w:rPr>
        <w:t>VPN</w:t>
      </w:r>
      <w:r>
        <w:rPr/>
        <w:t>、量子加密即时通信产品的研发工作。</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right="0"/>
        <w:jc w:val="left"/>
      </w:pPr>
      <w:r>
        <w:rPr/>
        <w:t>公司研发投入情况</w:t>
      </w:r>
    </w:p>
    <w:p>
      <w:pPr>
        <w:spacing w:line="240" w:lineRule="auto" w:before="2"/>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2979"/>
        <w:gridCol w:w="2355"/>
        <w:gridCol w:w="2355"/>
        <w:gridCol w:w="1882"/>
      </w:tblGrid>
      <w:tr>
        <w:trPr>
          <w:trHeight w:val="466"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75"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63"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3,908</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z w:val="18"/>
              </w:rPr>
              <w:t>3,870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0.98%</w:t>
            </w:r>
          </w:p>
        </w:tc>
      </w:tr>
      <w:tr>
        <w:trPr>
          <w:trHeight w:val="463"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38.28%</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42.12%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-3.84%</w:t>
            </w:r>
          </w:p>
        </w:tc>
      </w:tr>
      <w:tr>
        <w:trPr>
          <w:trHeight w:val="466"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514,001,677.82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490,055,366.50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4.89%</w:t>
            </w:r>
          </w:p>
        </w:tc>
      </w:tr>
      <w:tr>
        <w:trPr>
          <w:trHeight w:val="463"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5.07%</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5.40%</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-0.33%</w:t>
            </w:r>
          </w:p>
        </w:tc>
      </w:tr>
      <w:tr>
        <w:trPr>
          <w:trHeight w:val="463"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24,238,073.53</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20,207,901.36</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19.94%</w:t>
            </w:r>
          </w:p>
        </w:tc>
      </w:tr>
      <w:tr>
        <w:trPr>
          <w:trHeight w:val="466"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4.72%</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4.12%</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0.60%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pStyle w:val="BodyText"/>
        <w:spacing w:line="240" w:lineRule="auto" w:before="49"/>
        <w:ind w:right="-18"/>
        <w:jc w:val="left"/>
      </w:pPr>
      <w:r>
        <w:rPr/>
        <w:t>研发投入总额占营业收入的比重较上年发生显著变化的原因</w:t>
      </w:r>
    </w:p>
    <w:p>
      <w:pPr>
        <w:pStyle w:val="BodyText"/>
        <w:spacing w:line="240" w:lineRule="auto" w:before="115"/>
        <w:ind w:right="-18"/>
        <w:jc w:val="left"/>
      </w:pPr>
      <w:r>
        <w:rPr/>
        <w:t>□ 适用 √</w:t>
      </w:r>
      <w:r>
        <w:rPr>
          <w:spacing w:val="3"/>
        </w:rPr>
        <w:t> </w:t>
      </w:r>
      <w:r>
        <w:rPr/>
        <w:t>不适用</w:t>
      </w:r>
    </w:p>
    <w:p>
      <w:pPr>
        <w:pStyle w:val="BodyText"/>
        <w:spacing w:line="240" w:lineRule="auto" w:before="117"/>
        <w:ind w:right="-18"/>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left="-32" w:right="0"/>
        <w:jc w:val="left"/>
      </w:pPr>
      <w:r>
        <w:rPr/>
        <w:t>单位：元</w:t>
      </w:r>
    </w:p>
    <w:p>
      <w:pPr>
        <w:spacing w:after="0" w:line="240" w:lineRule="auto"/>
        <w:jc w:val="left"/>
        <w:sectPr>
          <w:type w:val="continuous"/>
          <w:pgSz w:w="11910" w:h="16840"/>
          <w:pgMar w:top="1100" w:bottom="14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1164"/>
        <w:gridCol w:w="1558"/>
        <w:gridCol w:w="4679"/>
        <w:gridCol w:w="2170"/>
      </w:tblGrid>
      <w:tr>
        <w:trPr>
          <w:trHeight w:val="463"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研发资本化金额</w:t>
            </w:r>
          </w:p>
        </w:tc>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526"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720"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102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309" w:right="122" w:hanging="180"/>
              <w:jc w:val="left"/>
              <w:rPr>
                <w:rFonts w:ascii="宋体" w:hAnsi="宋体" w:cs="宋体" w:eastAsia="宋体" w:hint="default"/>
                <w:sz w:val="18"/>
                <w:szCs w:val="18"/>
              </w:rPr>
            </w:pPr>
            <w:r>
              <w:rPr>
                <w:rFonts w:ascii="宋体" w:hAnsi="宋体" w:cs="宋体" w:eastAsia="宋体" w:hint="default"/>
                <w:sz w:val="18"/>
                <w:szCs w:val="18"/>
              </w:rPr>
              <w:t>分布式新核 心项目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15,575,806.41</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241"/>
              <w:jc w:val="both"/>
              <w:rPr>
                <w:rFonts w:ascii="宋体" w:hAnsi="宋体" w:cs="宋体" w:eastAsia="宋体" w:hint="default"/>
                <w:sz w:val="18"/>
                <w:szCs w:val="18"/>
              </w:rPr>
            </w:pPr>
            <w:r>
              <w:rPr>
                <w:rFonts w:ascii="宋体" w:hAnsi="宋体" w:cs="宋体" w:eastAsia="宋体" w:hint="default"/>
                <w:sz w:val="18"/>
                <w:szCs w:val="18"/>
              </w:rPr>
              <w:t>产品工厂与参数配置优化、全流程网贷、新会计准则支 持、核算系统优化、银行承兑汇票、微服务框架、微服 务化</w:t>
            </w:r>
            <w:r>
              <w:rPr>
                <w:rFonts w:ascii="Times New Roman" w:hAnsi="Times New Roman" w:cs="Times New Roman" w:eastAsia="Times New Roman" w:hint="default"/>
                <w:sz w:val="18"/>
                <w:szCs w:val="18"/>
              </w:rPr>
              <w:t>-</w:t>
            </w:r>
            <w:r>
              <w:rPr>
                <w:rFonts w:ascii="宋体" w:hAnsi="宋体" w:cs="宋体" w:eastAsia="宋体" w:hint="default"/>
                <w:sz w:val="18"/>
                <w:szCs w:val="18"/>
              </w:rPr>
              <w:t>业务分离、总账系统升级为大总帐等。</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80" w:right="175"/>
              <w:jc w:val="center"/>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月底项 目整体研发进展在 </w:t>
            </w:r>
            <w:r>
              <w:rPr>
                <w:rFonts w:ascii="Times New Roman" w:hAnsi="Times New Roman" w:cs="Times New Roman" w:eastAsia="Times New Roman" w:hint="default"/>
                <w:sz w:val="18"/>
                <w:szCs w:val="18"/>
              </w:rPr>
              <w:t>90%~100%</w:t>
            </w:r>
            <w:r>
              <w:rPr>
                <w:rFonts w:ascii="宋体" w:hAnsi="宋体" w:cs="宋体" w:eastAsia="宋体" w:hint="default"/>
                <w:sz w:val="18"/>
                <w:szCs w:val="18"/>
              </w:rPr>
              <w:t>之间</w:t>
            </w:r>
          </w:p>
        </w:tc>
      </w:tr>
    </w:tbl>
    <w:p>
      <w:pPr>
        <w:spacing w:after="0" w:line="307" w:lineRule="auto"/>
        <w:jc w:val="center"/>
        <w:rPr>
          <w:rFonts w:ascii="宋体" w:hAnsi="宋体" w:cs="宋体" w:eastAsia="宋体" w:hint="default"/>
          <w:sz w:val="18"/>
          <w:szCs w:val="18"/>
        </w:rPr>
        <w:sectPr>
          <w:type w:val="continuous"/>
          <w:pgSz w:w="11910" w:h="16840"/>
          <w:pgMar w:top="1100" w:bottom="1460" w:left="980" w:right="0"/>
        </w:sectPr>
      </w:pPr>
    </w:p>
    <w:p>
      <w:pPr>
        <w:spacing w:line="240" w:lineRule="auto" w:before="6"/>
        <w:rPr>
          <w:rFonts w:ascii="宋体" w:hAnsi="宋体" w:cs="宋体" w:eastAsia="宋体" w:hint="default"/>
          <w:sz w:val="23"/>
          <w:szCs w:val="23"/>
        </w:rPr>
      </w:pPr>
    </w:p>
    <w:tbl>
      <w:tblPr>
        <w:tblW w:w="0" w:type="auto"/>
        <w:jc w:val="left"/>
        <w:tblInd w:w="261" w:type="dxa"/>
        <w:tblLayout w:type="fixed"/>
        <w:tblCellMar>
          <w:top w:w="0" w:type="dxa"/>
          <w:left w:w="0" w:type="dxa"/>
          <w:bottom w:w="0" w:type="dxa"/>
          <w:right w:w="0" w:type="dxa"/>
        </w:tblCellMar>
        <w:tblLook w:val="01E0"/>
      </w:tblPr>
      <w:tblGrid>
        <w:gridCol w:w="1164"/>
        <w:gridCol w:w="1558"/>
        <w:gridCol w:w="4679"/>
        <w:gridCol w:w="2170"/>
      </w:tblGrid>
      <w:tr>
        <w:trPr>
          <w:trHeight w:val="196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9" w:right="122"/>
              <w:jc w:val="center"/>
              <w:rPr>
                <w:rFonts w:ascii="宋体" w:hAnsi="宋体" w:cs="宋体" w:eastAsia="宋体" w:hint="default"/>
                <w:sz w:val="18"/>
                <w:szCs w:val="18"/>
              </w:rPr>
            </w:pPr>
            <w:r>
              <w:rPr>
                <w:rFonts w:ascii="宋体" w:hAnsi="宋体" w:cs="宋体" w:eastAsia="宋体" w:hint="default"/>
                <w:sz w:val="18"/>
                <w:szCs w:val="18"/>
              </w:rPr>
              <w:t>农村集体经 济产权制度 改革软件研 发项目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5,252,058.53</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241"/>
              <w:jc w:val="left"/>
              <w:rPr>
                <w:rFonts w:ascii="宋体" w:hAnsi="宋体" w:cs="宋体" w:eastAsia="宋体" w:hint="default"/>
                <w:sz w:val="18"/>
                <w:szCs w:val="18"/>
              </w:rPr>
            </w:pPr>
            <w:r>
              <w:rPr>
                <w:rFonts w:ascii="宋体" w:hAnsi="宋体" w:cs="宋体" w:eastAsia="宋体" w:hint="default"/>
                <w:sz w:val="18"/>
                <w:szCs w:val="18"/>
              </w:rPr>
              <w:t>产品特性包括完整的产权制度改革工作流程管理平台， 覆盖产权制度改革工作各个环节，包括前期准备、清产 核资、成员界定、股权量化、成立经济组织、赋码发 证；全面的产权制度改革成果管理功能：包括成员管 理、股权管理、经济组织管理等；资产管理模块与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地理信息技术相结合，形成资产地图。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收尾阶段</w:t>
            </w:r>
          </w:p>
        </w:tc>
      </w:tr>
      <w:tr>
        <w:trPr>
          <w:trHeight w:val="383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129" w:right="122"/>
              <w:jc w:val="both"/>
              <w:rPr>
                <w:rFonts w:ascii="宋体" w:hAnsi="宋体" w:cs="宋体" w:eastAsia="宋体" w:hint="default"/>
                <w:sz w:val="18"/>
                <w:szCs w:val="18"/>
              </w:rPr>
            </w:pPr>
            <w:r>
              <w:rPr>
                <w:rFonts w:ascii="宋体" w:hAnsi="宋体" w:cs="宋体" w:eastAsia="宋体" w:hint="default"/>
                <w:sz w:val="18"/>
                <w:szCs w:val="18"/>
              </w:rPr>
              <w:t>农用通灌溉 及水肥一体 化软件平台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0"/>
              <w:jc w:val="center"/>
              <w:rPr>
                <w:rFonts w:ascii="Times New Roman" w:hAnsi="Times New Roman" w:cs="Times New Roman" w:eastAsia="Times New Roman" w:hint="default"/>
                <w:sz w:val="18"/>
                <w:szCs w:val="18"/>
              </w:rPr>
            </w:pPr>
            <w:r>
              <w:rPr>
                <w:rFonts w:ascii="Times New Roman"/>
                <w:sz w:val="18"/>
              </w:rPr>
              <w:t>1,215,473.11</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5" w:right="110"/>
              <w:jc w:val="left"/>
              <w:rPr>
                <w:rFonts w:ascii="宋体" w:hAnsi="宋体" w:cs="宋体" w:eastAsia="宋体" w:hint="default"/>
                <w:sz w:val="18"/>
                <w:szCs w:val="18"/>
              </w:rPr>
            </w:pPr>
            <w:r>
              <w:rPr>
                <w:rFonts w:ascii="宋体" w:hAnsi="宋体" w:cs="宋体" w:eastAsia="宋体" w:hint="default"/>
                <w:sz w:val="18"/>
                <w:szCs w:val="18"/>
              </w:rPr>
              <w:t>该项目为公司实现互联网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智慧农业重要战略布局。与智 能硬件和平台系统相结合，形成以信息和软件为中心的 农业生产模式，为精准农业提供有力的平台支撑。项目 研发遵循平台主要为农业科研单位和农业企业园区提供 可远程控制的精量灌溉平台；主要体现在：利用物联网 技术，大数据分析技术，进行数据挖掘，运用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模型对 作物需水量进行精准计算，把每一滴水直接送到需要水 的地方，对水资源进行充分的利用；采用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GIS </w:t>
            </w:r>
            <w:r>
              <w:rPr>
                <w:rFonts w:ascii="宋体" w:hAnsi="宋体" w:cs="宋体" w:eastAsia="宋体" w:hint="default"/>
                <w:sz w:val="18"/>
                <w:szCs w:val="18"/>
              </w:rPr>
              <w:t>技术，把 作物，设备直观的显示在地图上，能够实时的看到设备 工作情况，对设备工作状态进行实时掌握。公司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研 发行动纲领，从产品设计、技术架构、商业模式等各方 面严格按照公司战略执行。</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0"/>
              <w:jc w:val="center"/>
              <w:rPr>
                <w:rFonts w:ascii="宋体" w:hAnsi="宋体" w:cs="宋体" w:eastAsia="宋体" w:hint="default"/>
                <w:sz w:val="18"/>
                <w:szCs w:val="18"/>
              </w:rPr>
            </w:pPr>
            <w:r>
              <w:rPr>
                <w:rFonts w:ascii="宋体" w:hAnsi="宋体" w:cs="宋体" w:eastAsia="宋体" w:hint="default"/>
                <w:sz w:val="18"/>
                <w:szCs w:val="18"/>
              </w:rPr>
              <w:t>收尾阶段</w:t>
            </w:r>
          </w:p>
        </w:tc>
      </w:tr>
      <w:tr>
        <w:trPr>
          <w:trHeight w:val="1337"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18" w:right="173" w:hanging="36"/>
              <w:jc w:val="left"/>
              <w:rPr>
                <w:rFonts w:ascii="宋体" w:hAnsi="宋体" w:cs="宋体" w:eastAsia="宋体" w:hint="default"/>
                <w:sz w:val="18"/>
                <w:szCs w:val="18"/>
              </w:rPr>
            </w:pPr>
            <w:r>
              <w:rPr>
                <w:rFonts w:ascii="Times New Roman" w:hAnsi="Times New Roman" w:cs="Times New Roman" w:eastAsia="Times New Roman" w:hint="default"/>
                <w:sz w:val="18"/>
                <w:szCs w:val="18"/>
              </w:rPr>
              <w:t>3C </w:t>
            </w:r>
            <w:r>
              <w:rPr>
                <w:rFonts w:ascii="宋体" w:hAnsi="宋体" w:cs="宋体" w:eastAsia="宋体" w:hint="default"/>
                <w:sz w:val="18"/>
                <w:szCs w:val="18"/>
              </w:rPr>
              <w:t>智能环 境控制器</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693,220.92</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41"/>
              <w:jc w:val="left"/>
              <w:rPr>
                <w:rFonts w:ascii="宋体" w:hAnsi="宋体" w:cs="宋体" w:eastAsia="宋体" w:hint="default"/>
                <w:sz w:val="18"/>
                <w:szCs w:val="18"/>
              </w:rPr>
            </w:pPr>
            <w:r>
              <w:rPr>
                <w:rFonts w:ascii="宋体" w:hAnsi="宋体" w:cs="宋体" w:eastAsia="宋体" w:hint="default"/>
                <w:sz w:val="18"/>
                <w:szCs w:val="18"/>
              </w:rPr>
              <w:t>温室环境控制系统是应用先进物联网技术、云计算技 术、现场综合布线技术将传统温室的需要人工手动操作 来控制环境转变为计算机系统通过云计算数据中心自动 远程控制，达到精准农业的生产标准。</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收尾阶段</w:t>
            </w:r>
          </w:p>
        </w:tc>
      </w:tr>
      <w:tr>
        <w:trPr>
          <w:trHeight w:val="716"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8" w:right="122" w:hanging="89"/>
              <w:jc w:val="left"/>
              <w:rPr>
                <w:rFonts w:ascii="宋体" w:hAnsi="宋体" w:cs="宋体" w:eastAsia="宋体" w:hint="default"/>
                <w:sz w:val="18"/>
                <w:szCs w:val="18"/>
              </w:rPr>
            </w:pPr>
            <w:r>
              <w:rPr>
                <w:rFonts w:ascii="宋体" w:hAnsi="宋体" w:cs="宋体" w:eastAsia="宋体" w:hint="default"/>
                <w:sz w:val="18"/>
                <w:szCs w:val="18"/>
              </w:rPr>
              <w:t>苹果产业大 数据项目</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1,501,514.56</w:t>
            </w:r>
          </w:p>
        </w:tc>
        <w:tc>
          <w:tcPr>
            <w:tcW w:w="4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国家级苹果产业全产链大数据中心平台</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367" w:right="108" w:hanging="25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月底整体研发 进展在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90-100%</w:t>
            </w:r>
            <w:r>
              <w:rPr>
                <w:rFonts w:ascii="宋体" w:hAnsi="宋体" w:cs="宋体" w:eastAsia="宋体" w:hint="default"/>
                <w:sz w:val="18"/>
                <w:szCs w:val="18"/>
              </w:rPr>
              <w:t>。</w:t>
            </w:r>
          </w:p>
        </w:tc>
      </w:tr>
    </w:tbl>
    <w:p>
      <w:pPr>
        <w:pStyle w:val="BodyText"/>
        <w:spacing w:line="316" w:lineRule="auto" w:before="49"/>
        <w:ind w:right="1213" w:firstLine="360"/>
        <w:jc w:val="left"/>
      </w:pPr>
      <w:r>
        <w:rPr/>
        <w:t>公司制定了《资本化研发项目管理办法》，对申报条件要求、评审流程及办法、组织职责、管理机制及财务核算原则 等进行了详细规定。上述资本化项目的立项评审、研发过程监控、变更控制及知识产权管理等，均按照《资本化研发项目 管理办法》实施，并按季度进行审计。公司在研发支出资本化方面有效执行相关制度，保证研发支出计量和确认的准确 性、一致性，公司研发支出资本化的处理符合《企业会计准则》的相关规定。</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right="0"/>
        <w:jc w:val="left"/>
      </w:pPr>
      <w:r>
        <w:rPr/>
        <w:t>研发投入资本化率大幅变动的原因及其合理性说明</w:t>
      </w:r>
    </w:p>
    <w:p>
      <w:pPr>
        <w:pStyle w:val="BodyText"/>
        <w:spacing w:line="240" w:lineRule="auto" w:before="117"/>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2633"/>
        <w:gridCol w:w="2271"/>
        <w:gridCol w:w="2273"/>
        <w:gridCol w:w="2393"/>
      </w:tblGrid>
      <w:tr>
        <w:trPr>
          <w:trHeight w:val="463"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66"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10,580,639,357.22</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10,202,884,887.69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3.70%</w:t>
            </w:r>
          </w:p>
        </w:tc>
      </w:tr>
      <w:tr>
        <w:trPr>
          <w:trHeight w:val="463"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10,290,671,805.02</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9,965,636,722.48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3.26%</w:t>
            </w:r>
          </w:p>
        </w:tc>
      </w:tr>
      <w:tr>
        <w:trPr>
          <w:trHeight w:val="463"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289,967,552.20</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237,248,165.21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22.22%</w:t>
            </w:r>
          </w:p>
        </w:tc>
      </w:tr>
      <w:tr>
        <w:trPr>
          <w:trHeight w:val="466" w:hRule="exact"/>
        </w:trPr>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12,855,948,194.22</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10,814,287,395.22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18.88%</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262" w:type="dxa"/>
        <w:tblLayout w:type="fixed"/>
        <w:tblCellMar>
          <w:top w:w="0" w:type="dxa"/>
          <w:left w:w="0" w:type="dxa"/>
          <w:bottom w:w="0" w:type="dxa"/>
          <w:right w:w="0" w:type="dxa"/>
        </w:tblCellMar>
        <w:tblLook w:val="01E0"/>
      </w:tblPr>
      <w:tblGrid>
        <w:gridCol w:w="2632"/>
        <w:gridCol w:w="2271"/>
        <w:gridCol w:w="2273"/>
        <w:gridCol w:w="2393"/>
      </w:tblGrid>
      <w:tr>
        <w:trPr>
          <w:trHeight w:val="464"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12,489,359,131.87</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11,403,823,314.08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9.52%</w:t>
            </w:r>
          </w:p>
        </w:tc>
      </w:tr>
      <w:tr>
        <w:trPr>
          <w:trHeight w:val="466"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366,589,062.35</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-589,535,918.86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162.18%</w:t>
            </w:r>
          </w:p>
        </w:tc>
      </w:tr>
      <w:tr>
        <w:trPr>
          <w:trHeight w:val="463"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1,037,335,312.45</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1,605,675,845.48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-35.40%</w:t>
            </w:r>
          </w:p>
        </w:tc>
      </w:tr>
      <w:tr>
        <w:trPr>
          <w:trHeight w:val="463"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1,825,616,653.87</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1,545,210,833.90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18.15%</w:t>
            </w:r>
          </w:p>
        </w:tc>
      </w:tr>
      <w:tr>
        <w:trPr>
          <w:trHeight w:val="466"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-788,281,341.42</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60,465,011.58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-1,403.70%</w:t>
            </w:r>
          </w:p>
        </w:tc>
      </w:tr>
      <w:tr>
        <w:trPr>
          <w:trHeight w:val="463" w:hRule="exact"/>
        </w:trPr>
        <w:tc>
          <w:tcPr>
            <w:tcW w:w="2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-133,506,732.22</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-292,697,608.77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54.39%</w:t>
            </w:r>
          </w:p>
        </w:tc>
      </w:tr>
    </w:tbl>
    <w:p>
      <w:pPr>
        <w:pStyle w:val="BodyText"/>
        <w:spacing w:line="240" w:lineRule="auto" w:before="49"/>
        <w:ind w:right="0"/>
        <w:jc w:val="left"/>
      </w:pPr>
      <w:r>
        <w:rPr/>
        <w:t>相关数据同比发生重大变动的主要影响因素说明</w:t>
      </w:r>
    </w:p>
    <w:p>
      <w:pPr>
        <w:pStyle w:val="BodyText"/>
        <w:spacing w:line="360" w:lineRule="auto" w:before="115"/>
        <w:ind w:right="2653"/>
        <w:jc w:val="left"/>
        <w:rPr>
          <w:rFonts w:ascii="宋体" w:hAnsi="宋体" w:cs="宋体" w:eastAsia="宋体" w:hint="default"/>
        </w:rPr>
      </w:pPr>
      <w:r>
        <w:rPr/>
        <w:t>√ 适用 □</w:t>
      </w:r>
      <w:r>
        <w:rPr>
          <w:spacing w:val="3"/>
        </w:rPr>
        <w:t> </w:t>
      </w:r>
      <w:r>
        <w:rPr/>
        <w:t>不适用</w:t>
      </w:r>
      <w:r>
        <w:rPr/>
        <w:t> </w:t>
      </w:r>
      <w:r>
        <w:rPr>
          <w:rFonts w:ascii="宋体" w:hAnsi="宋体" w:cs="宋体" w:eastAsia="宋体" w:hint="default"/>
        </w:rPr>
        <w:t>1</w:t>
      </w:r>
      <w:r>
        <w:rPr/>
        <w:t>、投资活动产生的现金流量净额同比增加</w:t>
      </w:r>
      <w:r>
        <w:rPr>
          <w:rFonts w:ascii="宋体" w:hAnsi="宋体" w:cs="宋体" w:eastAsia="宋体" w:hint="default"/>
        </w:rPr>
        <w:t>162.18%</w:t>
      </w:r>
      <w:r>
        <w:rPr/>
        <w:t>，主要原因是本报告期收回理财所致。</w:t>
      </w:r>
      <w:r>
        <w:rPr>
          <w:rFonts w:ascii="宋体" w:hAnsi="宋体" w:cs="宋体" w:eastAsia="宋体" w:hint="default"/>
        </w:rPr>
        <w:t> </w:t>
      </w:r>
    </w:p>
    <w:p>
      <w:pPr>
        <w:pStyle w:val="BodyText"/>
        <w:spacing w:line="223" w:lineRule="exact"/>
        <w:ind w:right="0"/>
        <w:jc w:val="left"/>
        <w:rPr>
          <w:rFonts w:ascii="宋体" w:hAnsi="宋体" w:cs="宋体" w:eastAsia="宋体" w:hint="default"/>
        </w:rPr>
      </w:pPr>
      <w:r>
        <w:rPr>
          <w:rFonts w:ascii="宋体" w:hAnsi="宋体" w:cs="宋体" w:eastAsia="宋体" w:hint="default"/>
        </w:rPr>
        <w:t>2</w:t>
      </w:r>
      <w:r>
        <w:rPr/>
        <w:t>、筹资活动产生的现金流量净额同比减少</w:t>
      </w:r>
      <w:r>
        <w:rPr>
          <w:rFonts w:ascii="宋体" w:hAnsi="宋体" w:cs="宋体" w:eastAsia="宋体" w:hint="default"/>
        </w:rPr>
        <w:t>1,403.70%</w:t>
      </w:r>
      <w:r>
        <w:rPr/>
        <w:t>，主要原因是本报告期偿还银行贷款所致。</w:t>
      </w:r>
      <w:r>
        <w:rPr>
          <w:rFonts w:ascii="宋体" w:hAnsi="宋体" w:cs="宋体" w:eastAsia="宋体" w:hint="default"/>
        </w:rPr>
        <w:t> </w:t>
      </w:r>
    </w:p>
    <w:p>
      <w:pPr>
        <w:pStyle w:val="BodyText"/>
        <w:spacing w:line="240" w:lineRule="auto" w:before="117"/>
        <w:ind w:right="0"/>
        <w:jc w:val="left"/>
      </w:pPr>
      <w:r>
        <w:rPr/>
        <w:t>报告期内公司经营活动产生的现金净流量与本年度净利润存在重大差异的原因说明</w:t>
      </w:r>
    </w:p>
    <w:p>
      <w:pPr>
        <w:pStyle w:val="BodyText"/>
        <w:spacing w:line="240" w:lineRule="auto" w:before="115"/>
        <w:ind w:right="0"/>
        <w:jc w:val="left"/>
        <w:rPr>
          <w:rFonts w:ascii="宋体" w:hAnsi="宋体" w:cs="宋体" w:eastAsia="宋体" w:hint="default"/>
        </w:rPr>
      </w:pPr>
      <w:r>
        <w:rPr/>
        <w:t>□ 适用 √</w:t>
      </w:r>
      <w:r>
        <w:rPr>
          <w:spacing w:val="3"/>
        </w:rPr>
        <w:t> </w:t>
      </w:r>
      <w:r>
        <w:rPr/>
        <w:t>不适用</w:t>
      </w:r>
      <w:r>
        <w:rPr>
          <w:spacing w:val="-4"/>
        </w:rPr>
        <w:t> </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t>√ 适用 □</w:t>
      </w:r>
      <w:r>
        <w:rPr>
          <w:spacing w:val="3"/>
        </w:rPr>
        <w:t> </w:t>
      </w:r>
      <w:r>
        <w:rPr/>
        <w:t>不适用</w:t>
      </w:r>
    </w:p>
    <w:p>
      <w:pPr>
        <w:pStyle w:val="BodyText"/>
        <w:spacing w:line="240" w:lineRule="auto" w:before="117"/>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1704"/>
        <w:gridCol w:w="1445"/>
        <w:gridCol w:w="1133"/>
        <w:gridCol w:w="4263"/>
        <w:gridCol w:w="1025"/>
      </w:tblGrid>
      <w:tr>
        <w:trPr>
          <w:trHeight w:val="714"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81" w:right="111" w:hanging="272"/>
              <w:jc w:val="left"/>
              <w:rPr>
                <w:rFonts w:ascii="宋体" w:hAnsi="宋体" w:cs="宋体" w:eastAsia="宋体" w:hint="default"/>
                <w:sz w:val="18"/>
                <w:szCs w:val="18"/>
              </w:rPr>
            </w:pPr>
            <w:r>
              <w:rPr>
                <w:rFonts w:ascii="宋体" w:hAnsi="宋体" w:cs="宋体" w:eastAsia="宋体" w:hint="default"/>
                <w:sz w:val="18"/>
                <w:szCs w:val="18"/>
              </w:rPr>
              <w:t>占利润总额 比例</w:t>
            </w:r>
          </w:p>
        </w:tc>
        <w:tc>
          <w:tcPr>
            <w:tcW w:w="4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46" w:right="146"/>
              <w:jc w:val="left"/>
              <w:rPr>
                <w:rFonts w:ascii="宋体" w:hAnsi="宋体" w:cs="宋体" w:eastAsia="宋体" w:hint="default"/>
                <w:sz w:val="18"/>
                <w:szCs w:val="18"/>
              </w:rPr>
            </w:pPr>
            <w:r>
              <w:rPr>
                <w:rFonts w:ascii="宋体" w:hAnsi="宋体" w:cs="宋体" w:eastAsia="宋体" w:hint="default"/>
                <w:sz w:val="18"/>
                <w:szCs w:val="18"/>
              </w:rPr>
              <w:t>是否具有 可持续性</w:t>
            </w:r>
          </w:p>
        </w:tc>
      </w:tr>
      <w:tr>
        <w:trPr>
          <w:trHeight w:val="1025"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94,508,767.34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21.48%</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85"/>
              <w:jc w:val="both"/>
              <w:rPr>
                <w:rFonts w:ascii="宋体" w:hAnsi="宋体" w:cs="宋体" w:eastAsia="宋体" w:hint="default"/>
                <w:sz w:val="18"/>
                <w:szCs w:val="18"/>
              </w:rPr>
            </w:pPr>
            <w:r>
              <w:rPr>
                <w:rFonts w:ascii="宋体" w:hAnsi="宋体" w:cs="宋体" w:eastAsia="宋体" w:hint="default"/>
                <w:sz w:val="18"/>
                <w:szCs w:val="18"/>
              </w:rPr>
              <w:t>处置长期股权投资及交易性金融资产取得的投资收 益、权益法核算的长期股权投资收益、交易性金融 资产在持有期间的投资收益等</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41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66"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-1,959,628.15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-0.45%</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交易性金融资产公允价值变动</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1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78,369,295.29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17.81%</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存货跌价、长期股权投资减值</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1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6,065,146.35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1.38%</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清理无需支付款项利得、处置固定资产利得等</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1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33,675,004.06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7.65%</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非流动资产处置损失、预计负债等</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1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70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55,454,245.31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12.61%</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政府补助、增值税加计抵减等</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15"/>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466" w:hRule="exact"/>
        </w:trPr>
        <w:tc>
          <w:tcPr>
            <w:tcW w:w="170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85,466,911.85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19.43%</w:t>
            </w:r>
          </w:p>
        </w:tc>
        <w:tc>
          <w:tcPr>
            <w:tcW w:w="4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计提应收款项、应收票据预期信用损失</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15"/>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right"/>
        <w:rPr>
          <w:rFonts w:ascii="宋体" w:hAnsi="宋体" w:cs="宋体" w:eastAsia="宋体" w:hint="default"/>
          <w:sz w:val="18"/>
          <w:szCs w:val="18"/>
        </w:rPr>
        <w:sectPr>
          <w:pgSz w:w="11910" w:h="16840"/>
          <w:pgMar w:header="916" w:footer="1261" w:top="1120" w:bottom="1460" w:left="980" w:right="0"/>
        </w:sectPr>
      </w:pPr>
    </w:p>
    <w:p>
      <w:pPr>
        <w:spacing w:line="240" w:lineRule="auto" w:before="8"/>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16" w:footer="1261" w:top="1120" w:bottom="1460" w:left="980" w:right="0"/>
        </w:sectPr>
      </w:pPr>
    </w:p>
    <w:p>
      <w:pPr>
        <w:pStyle w:val="BodyText"/>
        <w:spacing w:line="240" w:lineRule="auto" w:before="44"/>
        <w:ind w:right="-17"/>
        <w:jc w:val="left"/>
      </w:pPr>
      <w:r>
        <w:rPr/>
        <w:t>公司</w:t>
      </w:r>
      <w:r>
        <w:rPr>
          <w:spacing w:val="-47"/>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7"/>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4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238"/>
        <w:gridCol w:w="1395"/>
        <w:gridCol w:w="840"/>
        <w:gridCol w:w="1366"/>
        <w:gridCol w:w="900"/>
        <w:gridCol w:w="841"/>
        <w:gridCol w:w="2991"/>
      </w:tblGrid>
      <w:tr>
        <w:trPr>
          <w:trHeight w:val="429" w:hRule="exact"/>
        </w:trPr>
        <w:tc>
          <w:tcPr>
            <w:tcW w:w="1238" w:type="dxa"/>
            <w:vMerge w:val="restart"/>
            <w:tcBorders>
              <w:top w:val="single" w:sz="4" w:space="0" w:color="000000"/>
              <w:left w:val="single" w:sz="4" w:space="0" w:color="000000"/>
              <w:right w:val="single" w:sz="4" w:space="0" w:color="000000"/>
            </w:tcBorders>
            <w:shd w:val="clear" w:color="auto" w:fill="D2D2D2"/>
          </w:tcPr>
          <w:p>
            <w:pPr/>
          </w:p>
        </w:tc>
        <w:tc>
          <w:tcPr>
            <w:tcW w:w="22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7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8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9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6" w:hRule="exact"/>
        </w:trPr>
        <w:tc>
          <w:tcPr>
            <w:tcW w:w="1238" w:type="dxa"/>
            <w:vMerge/>
            <w:tcBorders>
              <w:left w:val="single" w:sz="4" w:space="0" w:color="000000"/>
              <w:right w:val="single" w:sz="4" w:space="0" w:color="000000"/>
            </w:tcBorders>
            <w:shd w:val="clear" w:color="auto" w:fill="D2D2D2"/>
          </w:tcPr>
          <w:p>
            <w:pPr/>
          </w:p>
        </w:tc>
        <w:tc>
          <w:tcPr>
            <w:tcW w:w="13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5"/>
              <w:ind w:left="235" w:right="5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85"/>
              <w:ind w:left="266" w:right="8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41" w:type="dxa"/>
            <w:vMerge/>
            <w:tcBorders>
              <w:left w:val="single" w:sz="4" w:space="0" w:color="000000"/>
              <w:right w:val="single" w:sz="4" w:space="0" w:color="000000"/>
            </w:tcBorders>
            <w:shd w:val="clear" w:color="auto" w:fill="D2D2D2"/>
          </w:tcPr>
          <w:p>
            <w:pPr/>
          </w:p>
        </w:tc>
        <w:tc>
          <w:tcPr>
            <w:tcW w:w="29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3"/>
              <w:ind w:left="950"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94" w:hRule="exact"/>
        </w:trPr>
        <w:tc>
          <w:tcPr>
            <w:tcW w:w="1238" w:type="dxa"/>
            <w:vMerge/>
            <w:tcBorders>
              <w:left w:val="single" w:sz="4" w:space="0" w:color="000000"/>
              <w:bottom w:val="single" w:sz="4" w:space="0" w:color="000000"/>
              <w:right w:val="single" w:sz="4" w:space="0" w:color="000000"/>
            </w:tcBorders>
            <w:shd w:val="clear" w:color="auto" w:fill="D2D2D2"/>
          </w:tcPr>
          <w:p>
            <w:pPr/>
          </w:p>
        </w:tc>
        <w:tc>
          <w:tcPr>
            <w:tcW w:w="1395"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841" w:type="dxa"/>
            <w:vMerge/>
            <w:tcBorders>
              <w:left w:val="single" w:sz="4" w:space="0" w:color="000000"/>
              <w:bottom w:val="single" w:sz="4" w:space="0" w:color="000000"/>
              <w:right w:val="single" w:sz="4" w:space="0" w:color="000000"/>
            </w:tcBorders>
            <w:shd w:val="clear" w:color="auto" w:fill="D2D2D2"/>
          </w:tcPr>
          <w:p>
            <w:pPr/>
          </w:p>
        </w:tc>
        <w:tc>
          <w:tcPr>
            <w:tcW w:w="299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64"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1,448,892,189.10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13.47%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1,518,050,558.45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14.28%</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-0.81%</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3,304,302,973.61</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30.72%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2,944,412,778.10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27.69%</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3.03%</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主要原因是本期销售规模增长所致</w:t>
            </w:r>
          </w:p>
        </w:tc>
      </w:tr>
      <w:tr>
        <w:trPr>
          <w:trHeight w:val="463"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1,888,738,998.44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17.56%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1,726,098,649.25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16.23%</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1.33%</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14,001,627.67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14,373,078.37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0.14%</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-0.01%</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477,177,638.66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509,384,368.44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4.79%</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-0.35%</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490,712,621.32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4.56%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532,791,372.68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5.01%</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-0.45%</w:t>
            </w:r>
          </w:p>
        </w:tc>
        <w:tc>
          <w:tcPr>
            <w:tcW w:w="2991"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952,479,511.83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1,666,082,608.27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15.67%</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-6.81%</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主要原因是本期偿还借款所致</w:t>
            </w:r>
          </w:p>
        </w:tc>
      </w:tr>
      <w:tr>
        <w:trPr>
          <w:trHeight w:val="716" w:hRule="exact"/>
        </w:trPr>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9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45,059,375.00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0.42%</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主要原因是重分类为一年内到期的非 流动负债所致</w:t>
            </w:r>
          </w:p>
        </w:tc>
      </w:tr>
    </w:tbl>
    <w:p>
      <w:pPr>
        <w:spacing w:after="0" w:line="316" w:lineRule="auto"/>
        <w:jc w:val="left"/>
        <w:rPr>
          <w:rFonts w:ascii="宋体" w:hAnsi="宋体" w:cs="宋体" w:eastAsia="宋体" w:hint="default"/>
          <w:sz w:val="18"/>
          <w:szCs w:val="18"/>
        </w:rPr>
        <w:sectPr>
          <w:type w:val="continuous"/>
          <w:pgSz w:w="11910" w:h="16840"/>
          <w:pgMar w:top="1100" w:bottom="1460" w:left="980" w:right="0"/>
        </w:sectPr>
      </w:pPr>
    </w:p>
    <w:p>
      <w:pPr>
        <w:spacing w:line="240" w:lineRule="auto" w:before="8"/>
        <w:rPr>
          <w:rFonts w:ascii="宋体" w:hAnsi="宋体" w:cs="宋体" w:eastAsia="宋体" w:hint="default"/>
          <w:sz w:val="25"/>
          <w:szCs w:val="25"/>
        </w:rPr>
      </w:pPr>
    </w:p>
    <w:p>
      <w:pPr>
        <w:pStyle w:val="Heading4"/>
        <w:spacing w:line="240" w:lineRule="auto"/>
        <w:ind w:left="140" w:right="-4"/>
        <w:jc w:val="left"/>
        <w:rPr>
          <w:b w:val="0"/>
          <w:bCs w:val="0"/>
        </w:rPr>
      </w:pPr>
      <w:r>
        <w:rPr>
          <w:rFonts w:ascii="Times New Roman" w:hAnsi="Times New Roman" w:cs="Times New Roman" w:eastAsia="Times New Roman" w:hint="default"/>
          <w:spacing w:val="-1"/>
        </w:rPr>
        <w:t>2</w:t>
      </w:r>
      <w:r>
        <w:rPr>
          <w:spacing w:val="-1"/>
        </w:rPr>
        <w:t>、以公允价值计量的资产和负债</w:t>
      </w:r>
      <w:r>
        <w:rPr>
          <w:b w:val="0"/>
          <w:bCs w:val="0"/>
          <w:spacing w:val="-1"/>
        </w:rPr>
      </w:r>
    </w:p>
    <w:p>
      <w:pPr>
        <w:spacing w:line="240" w:lineRule="auto" w:before="4"/>
        <w:rPr>
          <w:rFonts w:ascii="宋体" w:hAnsi="宋体" w:cs="宋体" w:eastAsia="宋体" w:hint="default"/>
          <w:b/>
          <w:bCs/>
          <w:sz w:val="26"/>
          <w:szCs w:val="26"/>
        </w:rPr>
      </w:pPr>
    </w:p>
    <w:p>
      <w:pPr>
        <w:pStyle w:val="BodyText"/>
        <w:spacing w:line="240" w:lineRule="auto"/>
        <w:ind w:left="140" w:right="-4"/>
        <w:jc w:val="left"/>
      </w:pPr>
      <w:r>
        <w:rPr/>
        <w:t>√ 适用 □</w:t>
      </w:r>
      <w:r>
        <w:rPr>
          <w:spacing w:val="3"/>
        </w:rPr>
        <w:t> </w:t>
      </w:r>
      <w:r>
        <w:rPr/>
        <w:t>不适用</w:t>
      </w:r>
    </w:p>
    <w:p>
      <w:pPr>
        <w:pStyle w:val="BodyText"/>
        <w:spacing w:line="240" w:lineRule="auto" w:before="34"/>
        <w:ind w:left="0" w:right="133"/>
        <w:jc w:val="right"/>
      </w:pPr>
      <w:r>
        <w:rPr/>
        <w:br w:type="column"/>
      </w: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BodyText"/>
        <w:spacing w:line="240" w:lineRule="auto"/>
        <w:ind w:left="0" w:right="137"/>
        <w:jc w:val="right"/>
      </w:pPr>
      <w:r>
        <w:rPr/>
        <w:pict>
          <v:group style="position:absolute;margin-left:70.559998pt;margin-top:-51.048286pt;width:700.9pt;height:.1pt;mso-position-horizontal-relative:page;mso-position-vertical-relative:paragraph;z-index:1096" coordorigin="1411,-1021" coordsize="14018,2">
            <v:shape style="position:absolute;left:1411;top:-1021;width:14018;height:2" coordorigin="1411,-1021" coordsize="14018,0" path="m1411,-1021l15429,-1021e" filled="false" stroked="true" strokeweight=".48pt" strokecolor="#000000">
              <v:path arrowok="t"/>
            </v:shape>
            <w10:wrap type="none"/>
          </v:group>
        </w:pict>
      </w:r>
      <w:r>
        <w:rPr/>
        <w:t>单位：元</w:t>
      </w:r>
    </w:p>
    <w:p>
      <w:pPr>
        <w:spacing w:after="0" w:line="240" w:lineRule="auto"/>
        <w:jc w:val="right"/>
        <w:sectPr>
          <w:headerReference w:type="default" r:id="rId16"/>
          <w:footerReference w:type="default" r:id="rId17"/>
          <w:pgSz w:w="16840" w:h="11910" w:orient="landscape"/>
          <w:pgMar w:header="0" w:footer="0" w:top="820" w:bottom="0" w:left="1300" w:right="1300"/>
          <w:cols w:num="2" w:equalWidth="0">
            <w:col w:w="3198" w:space="6530"/>
            <w:col w:w="4512"/>
          </w:cols>
        </w:sectPr>
      </w:pPr>
    </w:p>
    <w:p>
      <w:pPr>
        <w:spacing w:line="240" w:lineRule="auto" w:before="2"/>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1647"/>
        <w:gridCol w:w="1764"/>
        <w:gridCol w:w="1793"/>
        <w:gridCol w:w="1790"/>
        <w:gridCol w:w="944"/>
        <w:gridCol w:w="1586"/>
        <w:gridCol w:w="1568"/>
        <w:gridCol w:w="871"/>
        <w:gridCol w:w="1987"/>
      </w:tblGrid>
      <w:tr>
        <w:trPr>
          <w:trHeight w:val="715"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1" w:right="171" w:hanging="541"/>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168" w:hanging="269"/>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6" w:hanging="92"/>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161" w:hanging="180"/>
              <w:jc w:val="left"/>
              <w:rPr>
                <w:rFonts w:ascii="宋体" w:hAnsi="宋体" w:cs="宋体" w:eastAsia="宋体" w:hint="default"/>
                <w:sz w:val="18"/>
                <w:szCs w:val="18"/>
              </w:rPr>
            </w:pPr>
            <w:r>
              <w:rPr>
                <w:rFonts w:ascii="宋体" w:hAnsi="宋体" w:cs="宋体" w:eastAsia="宋体" w:hint="default"/>
                <w:sz w:val="18"/>
                <w:szCs w:val="18"/>
              </w:rPr>
              <w:t>其他变 动</w:t>
            </w:r>
          </w:p>
        </w:tc>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64"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12304"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p>
          <w:p>
            <w:pPr>
              <w:pStyle w:val="TableParagraph"/>
              <w:spacing w:line="316" w:lineRule="auto" w:before="63"/>
              <w:ind w:left="103" w:right="273"/>
              <w:jc w:val="left"/>
              <w:rPr>
                <w:rFonts w:ascii="宋体" w:hAnsi="宋体" w:cs="宋体" w:eastAsia="宋体" w:hint="default"/>
                <w:sz w:val="18"/>
                <w:szCs w:val="18"/>
              </w:rPr>
            </w:pPr>
            <w:r>
              <w:rPr>
                <w:rFonts w:ascii="宋体" w:hAnsi="宋体" w:cs="宋体" w:eastAsia="宋体" w:hint="default"/>
                <w:sz w:val="18"/>
                <w:szCs w:val="18"/>
              </w:rPr>
              <w:t>（不含衍生金融 资产）</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1,121,676,020.00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-1,959,628.15</w:t>
            </w:r>
          </w:p>
        </w:tc>
        <w:tc>
          <w:tcPr>
            <w:tcW w:w="1790" w:type="dxa"/>
            <w:tcBorders>
              <w:top w:val="single" w:sz="4" w:space="0" w:color="000000"/>
              <w:left w:val="single" w:sz="4" w:space="0" w:color="000000"/>
              <w:bottom w:val="single" w:sz="4" w:space="0" w:color="000000"/>
              <w:right w:val="single" w:sz="4" w:space="0" w:color="000000"/>
            </w:tcBorders>
          </w:tcPr>
          <w:p>
            <w:pPr/>
          </w:p>
        </w:tc>
        <w:tc>
          <w:tcPr>
            <w:tcW w:w="94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12,406,492,450.00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12,729,629,715.50</w:t>
            </w:r>
          </w:p>
        </w:tc>
        <w:tc>
          <w:tcPr>
            <w:tcW w:w="87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796,579,126.35</w:t>
            </w:r>
          </w:p>
        </w:tc>
      </w:tr>
      <w:tr>
        <w:trPr>
          <w:trHeight w:val="713"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03"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其他权益工具投 资</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116,371,464.16</w:t>
            </w:r>
          </w:p>
        </w:tc>
        <w:tc>
          <w:tcPr>
            <w:tcW w:w="1793" w:type="dxa"/>
            <w:tcBorders>
              <w:top w:val="single" w:sz="4" w:space="0" w:color="000000"/>
              <w:left w:val="single" w:sz="4" w:space="0" w:color="000000"/>
              <w:bottom w:val="single" w:sz="4" w:space="0" w:color="000000"/>
              <w:right w:val="single" w:sz="4" w:space="0" w:color="000000"/>
            </w:tcBorders>
          </w:tcPr>
          <w:p>
            <w:pP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-3,097,252.16</w:t>
            </w:r>
          </w:p>
        </w:tc>
        <w:tc>
          <w:tcPr>
            <w:tcW w:w="94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c>
          <w:tcPr>
            <w:tcW w:w="1568"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113,274,212.00</w:t>
            </w:r>
          </w:p>
        </w:tc>
      </w:tr>
      <w:tr>
        <w:trPr>
          <w:trHeight w:val="464"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1,238,047,484.16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-1,959,628.15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-3,097,252.16</w:t>
            </w:r>
          </w:p>
        </w:tc>
        <w:tc>
          <w:tcPr>
            <w:tcW w:w="94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12,406,492,450.00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12,729,629,715.50</w:t>
            </w:r>
          </w:p>
        </w:tc>
        <w:tc>
          <w:tcPr>
            <w:tcW w:w="87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909,853,338.35</w:t>
            </w:r>
          </w:p>
        </w:tc>
      </w:tr>
      <w:tr>
        <w:trPr>
          <w:trHeight w:val="466"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1,238,047,484.16</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-1,959,628.15</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-3,097,252.16</w:t>
            </w:r>
          </w:p>
        </w:tc>
        <w:tc>
          <w:tcPr>
            <w:tcW w:w="944"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12,406,492,450.00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12,729,629,715.50</w:t>
            </w:r>
          </w:p>
        </w:tc>
        <w:tc>
          <w:tcPr>
            <w:tcW w:w="871"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909,853,338.35</w:t>
            </w:r>
          </w:p>
        </w:tc>
      </w:tr>
      <w:tr>
        <w:trPr>
          <w:trHeight w:val="463" w:hRule="exact"/>
        </w:trPr>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0.00</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16" w:right="0"/>
              <w:jc w:val="left"/>
              <w:rPr>
                <w:rFonts w:ascii="Times New Roman" w:hAnsi="Times New Roman" w:cs="Times New Roman" w:eastAsia="Times New Roman" w:hint="default"/>
                <w:sz w:val="18"/>
                <w:szCs w:val="18"/>
              </w:rPr>
            </w:pPr>
            <w:r>
              <w:rPr>
                <w:rFonts w:ascii="Times New Roman"/>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444" w:right="0"/>
              <w:jc w:val="left"/>
              <w:rPr>
                <w:rFonts w:ascii="Times New Roman" w:hAnsi="Times New Roman" w:cs="Times New Roman" w:eastAsia="Times New Roman" w:hint="default"/>
                <w:sz w:val="18"/>
                <w:szCs w:val="18"/>
              </w:rPr>
            </w:pPr>
            <w:r>
              <w:rPr>
                <w:rFonts w:ascii="Times New Roman"/>
                <w:sz w:val="18"/>
              </w:rPr>
              <w:t>0.00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left="140" w:right="173"/>
        <w:jc w:val="left"/>
      </w:pPr>
      <w:r>
        <w:rPr/>
        <w:t>报告期内公司主要资产计量属性是否发生重大变化</w:t>
      </w:r>
    </w:p>
    <w:p>
      <w:pPr>
        <w:pStyle w:val="BodyText"/>
        <w:spacing w:line="240" w:lineRule="auto" w:before="117"/>
        <w:ind w:left="140" w:right="173"/>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18"/>
        <w:ind w:left="140" w:right="17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140" w:right="173" w:firstLine="360"/>
        <w:jc w:val="left"/>
      </w:pPr>
      <w:r>
        <w:rPr/>
        <w:t>本报告期末受限货币资金余额为</w:t>
      </w:r>
      <w:r>
        <w:rPr>
          <w:rFonts w:ascii="Times New Roman" w:hAnsi="Times New Roman" w:cs="Times New Roman" w:eastAsia="Times New Roman" w:hint="default"/>
        </w:rPr>
        <w:t>98,723,714.95</w:t>
      </w:r>
      <w:r>
        <w:rPr/>
        <w:t>元，其中保函保证金</w:t>
      </w:r>
      <w:r>
        <w:rPr>
          <w:rFonts w:ascii="Times New Roman" w:hAnsi="Times New Roman" w:cs="Times New Roman" w:eastAsia="Times New Roman" w:hint="default"/>
        </w:rPr>
        <w:t>11,802,500.00</w:t>
      </w:r>
      <w:r>
        <w:rPr/>
        <w:t>元，国内信用证付款保证金</w:t>
      </w:r>
      <w:r>
        <w:rPr>
          <w:rFonts w:ascii="Times New Roman" w:hAnsi="Times New Roman" w:cs="Times New Roman" w:eastAsia="Times New Roman" w:hint="default"/>
        </w:rPr>
        <w:t>50,486,216.76</w:t>
      </w:r>
      <w:r>
        <w:rPr/>
        <w:t>元，因尚未完成服务冻结的共管户资金</w:t>
      </w:r>
      <w:r>
        <w:rPr>
          <w:rFonts w:ascii="Times New Roman" w:hAnsi="Times New Roman" w:cs="Times New Roman" w:eastAsia="Times New Roman" w:hint="default"/>
        </w:rPr>
        <w:t>6,250,200.52 </w:t>
      </w:r>
      <w:r>
        <w:rPr/>
        <w:t>元，因未决诉讼被冻结的资金</w:t>
      </w:r>
      <w:r>
        <w:rPr>
          <w:rFonts w:ascii="Times New Roman" w:hAnsi="Times New Roman" w:cs="Times New Roman" w:eastAsia="Times New Roman" w:hint="default"/>
        </w:rPr>
        <w:t>29,326,197.67</w:t>
      </w:r>
      <w:r>
        <w:rPr/>
        <w:t>元及为提起诉讼进行的资产担保抵押资金</w:t>
      </w:r>
      <w:r>
        <w:rPr>
          <w:rFonts w:ascii="Times New Roman" w:hAnsi="Times New Roman" w:cs="Times New Roman" w:eastAsia="Times New Roman" w:hint="default"/>
        </w:rPr>
        <w:t>858,600.00</w:t>
      </w:r>
      <w:r>
        <w:rPr/>
        <w:t>元。除此之外，截至报告期末，公司不存在其他主要资产被查封、扣押、冻结或者 补抵押、质押的情况。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before="76"/>
        <w:ind w:left="0" w:right="140"/>
        <w:jc w:val="right"/>
        <w:rPr>
          <w:rFonts w:ascii="Times New Roman" w:hAnsi="Times New Roman" w:cs="Times New Roman" w:eastAsia="Times New Roman" w:hint="default"/>
        </w:rPr>
      </w:pPr>
      <w:r>
        <w:rPr>
          <w:rFonts w:ascii="Times New Roman"/>
        </w:rPr>
        <w:t>24</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18"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100" w:bottom="1460" w:left="1300" w:right="1300"/>
        </w:sectPr>
      </w:pPr>
    </w:p>
    <w:p>
      <w:pPr>
        <w:spacing w:line="240" w:lineRule="auto" w:before="2"/>
        <w:rPr>
          <w:rFonts w:ascii="Times New Roman" w:hAnsi="Times New Roman" w:cs="Times New Roman" w:eastAsia="Times New Roman" w:hint="default"/>
          <w:sz w:val="21"/>
          <w:szCs w:val="21"/>
        </w:rPr>
      </w:pPr>
    </w:p>
    <w:p>
      <w:pPr>
        <w:pStyle w:val="Heading2"/>
        <w:spacing w:line="240" w:lineRule="auto" w:before="26"/>
        <w:ind w:right="0"/>
        <w:jc w:val="left"/>
        <w:rPr>
          <w:b w:val="0"/>
          <w:bCs w:val="0"/>
        </w:rPr>
      </w:pPr>
      <w:r>
        <w:rPr/>
        <w:t>五、投资状况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3188"/>
        <w:gridCol w:w="3192"/>
        <w:gridCol w:w="3191"/>
      </w:tblGrid>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 w:right="0"/>
              <w:jc w:val="center"/>
              <w:rPr>
                <w:rFonts w:ascii="Times New Roman" w:hAnsi="Times New Roman" w:cs="Times New Roman" w:eastAsia="Times New Roman" w:hint="default"/>
                <w:sz w:val="18"/>
                <w:szCs w:val="18"/>
              </w:rPr>
            </w:pPr>
            <w:r>
              <w:rPr>
                <w:rFonts w:ascii="Times New Roman"/>
                <w:sz w:val="18"/>
              </w:rPr>
              <w:t>355,931,627.20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49,845,542.50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614.07%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before="76"/>
        <w:ind w:left="0" w:right="1133"/>
        <w:jc w:val="right"/>
        <w:rPr>
          <w:rFonts w:ascii="Times New Roman" w:hAnsi="Times New Roman" w:cs="Times New Roman" w:eastAsia="Times New Roman" w:hint="default"/>
        </w:rPr>
      </w:pPr>
      <w:r>
        <w:rPr/>
        <w:pict>
          <v:shape style="position:absolute;margin-left:535.634705pt;margin-top:42.786865pt;width:59.493346pt;height:26.794713pt;mso-position-horizontal-relative:page;mso-position-vertical-relative:paragraph;z-index:1120" type="#_x0000_t75" stroked="false">
            <v:imagedata r:id="rId18" o:title=""/>
          </v:shape>
        </w:pict>
      </w:r>
      <w:r>
        <w:rPr>
          <w:rFonts w:ascii="Times New Roman"/>
        </w:rPr>
        <w:t>25</w:t>
      </w:r>
    </w:p>
    <w:p>
      <w:pPr>
        <w:spacing w:after="0" w:line="240" w:lineRule="auto"/>
        <w:jc w:val="right"/>
        <w:rPr>
          <w:rFonts w:ascii="Times New Roman" w:hAnsi="Times New Roman" w:cs="Times New Roman" w:eastAsia="Times New Roman" w:hint="default"/>
        </w:rPr>
        <w:sectPr>
          <w:headerReference w:type="default" r:id="rId19"/>
          <w:footerReference w:type="default" r:id="rId20"/>
          <w:pgSz w:w="11910" w:h="16840"/>
          <w:pgMar w:header="916" w:footer="0" w:top="1120" w:bottom="0" w:left="980" w:right="0"/>
        </w:sectPr>
      </w:pPr>
    </w:p>
    <w:p>
      <w:pPr>
        <w:spacing w:line="240" w:lineRule="auto" w:before="2"/>
        <w:rPr>
          <w:rFonts w:ascii="Times New Roman" w:hAnsi="Times New Roman" w:cs="Times New Roman" w:eastAsia="Times New Roman" w:hint="default"/>
          <w:sz w:val="29"/>
          <w:szCs w:val="29"/>
        </w:rPr>
      </w:pPr>
    </w:p>
    <w:p>
      <w:pPr>
        <w:pStyle w:val="Heading4"/>
        <w:spacing w:line="240" w:lineRule="auto"/>
        <w:ind w:left="140" w:right="-16"/>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40" w:right="-16"/>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40" w:right="-16"/>
        <w:jc w:val="left"/>
      </w:pPr>
      <w:r>
        <w:rPr/>
        <w:t>√ 适用 □</w:t>
      </w:r>
      <w:r>
        <w:rPr>
          <w:spacing w:val="3"/>
        </w:rPr>
        <w:t> </w:t>
      </w:r>
      <w:r>
        <w:rPr/>
        <w:t>不适用</w:t>
      </w:r>
    </w:p>
    <w:p>
      <w:pPr>
        <w:pStyle w:val="BodyText"/>
        <w:spacing w:line="240" w:lineRule="auto" w:before="34"/>
        <w:ind w:left="0" w:right="133"/>
        <w:jc w:val="right"/>
      </w:pPr>
      <w:r>
        <w:rPr/>
        <w:br w:type="column"/>
      </w: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8"/>
          <w:szCs w:val="18"/>
        </w:rPr>
      </w:pPr>
    </w:p>
    <w:p>
      <w:pPr>
        <w:pStyle w:val="BodyText"/>
        <w:spacing w:line="240" w:lineRule="auto"/>
        <w:ind w:left="0" w:right="137"/>
        <w:jc w:val="right"/>
      </w:pPr>
      <w:r>
        <w:rPr/>
        <w:pict>
          <v:group style="position:absolute;margin-left:70.559998pt;margin-top:-81.648293pt;width:700.9pt;height:.1pt;mso-position-horizontal-relative:page;mso-position-vertical-relative:paragraph;z-index:1144" coordorigin="1411,-1633" coordsize="14018,2">
            <v:shape style="position:absolute;left:1411;top:-1633;width:14018;height:2" coordorigin="1411,-1633" coordsize="14018,0" path="m1411,-1633l15429,-1633e" filled="false" stroked="true" strokeweight=".48pt" strokecolor="#000000">
              <v:path arrowok="t"/>
            </v:shape>
            <w10:wrap type="none"/>
          </v:group>
        </w:pict>
      </w:r>
      <w:r>
        <w:rPr/>
        <w:t>单位：元</w:t>
      </w:r>
    </w:p>
    <w:p>
      <w:pPr>
        <w:spacing w:after="0" w:line="240" w:lineRule="auto"/>
        <w:jc w:val="right"/>
        <w:sectPr>
          <w:headerReference w:type="default" r:id="rId21"/>
          <w:footerReference w:type="default" r:id="rId22"/>
          <w:pgSz w:w="16840" w:h="11910" w:orient="landscape"/>
          <w:pgMar w:header="0" w:footer="0" w:top="820" w:bottom="0" w:left="1300" w:right="1300"/>
          <w:cols w:num="2" w:equalWidth="0">
            <w:col w:w="1936" w:space="7792"/>
            <w:col w:w="4512"/>
          </w:cols>
        </w:sectPr>
      </w:pP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704"/>
        <w:gridCol w:w="756"/>
        <w:gridCol w:w="662"/>
        <w:gridCol w:w="1342"/>
        <w:gridCol w:w="788"/>
        <w:gridCol w:w="1274"/>
        <w:gridCol w:w="1162"/>
        <w:gridCol w:w="1104"/>
        <w:gridCol w:w="1418"/>
        <w:gridCol w:w="1390"/>
        <w:gridCol w:w="1160"/>
        <w:gridCol w:w="710"/>
        <w:gridCol w:w="850"/>
        <w:gridCol w:w="631"/>
      </w:tblGrid>
      <w:tr>
        <w:trPr>
          <w:trHeight w:val="1083" w:hRule="exact"/>
        </w:trPr>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165" w:right="166"/>
              <w:jc w:val="left"/>
              <w:rPr>
                <w:rFonts w:ascii="宋体" w:hAnsi="宋体" w:cs="宋体" w:eastAsia="宋体" w:hint="default"/>
                <w:sz w:val="18"/>
                <w:szCs w:val="18"/>
              </w:rPr>
            </w:pPr>
            <w:r>
              <w:rPr>
                <w:rFonts w:ascii="宋体" w:hAnsi="宋体" w:cs="宋体" w:eastAsia="宋体" w:hint="default"/>
                <w:sz w:val="18"/>
                <w:szCs w:val="18"/>
              </w:rPr>
              <w:t>证券 品种</w:t>
            </w:r>
          </w:p>
        </w:tc>
        <w:tc>
          <w:tcPr>
            <w:tcW w:w="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283" w:right="101"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146" w:right="144"/>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25"/>
              <w:jc w:val="right"/>
              <w:rPr>
                <w:rFonts w:ascii="宋体" w:hAnsi="宋体" w:cs="宋体" w:eastAsia="宋体" w:hint="default"/>
                <w:sz w:val="18"/>
                <w:szCs w:val="18"/>
              </w:rPr>
            </w:pPr>
            <w:r>
              <w:rPr>
                <w:rFonts w:ascii="宋体" w:hAnsi="宋体" w:cs="宋体" w:eastAsia="宋体" w:hint="default"/>
                <w:sz w:val="18"/>
                <w:szCs w:val="18"/>
              </w:rPr>
              <w:t>最初投资成本</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117" w:right="118"/>
              <w:jc w:val="left"/>
              <w:rPr>
                <w:rFonts w:ascii="宋体" w:hAnsi="宋体" w:cs="宋体" w:eastAsia="宋体" w:hint="default"/>
                <w:sz w:val="18"/>
                <w:szCs w:val="18"/>
              </w:rPr>
            </w:pPr>
            <w:r>
              <w:rPr>
                <w:rFonts w:ascii="宋体" w:hAnsi="宋体" w:cs="宋体" w:eastAsia="宋体" w:hint="default"/>
                <w:sz w:val="18"/>
                <w:szCs w:val="18"/>
              </w:rPr>
              <w:t>会计计 量模式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542" w:right="180" w:hanging="360"/>
              <w:jc w:val="left"/>
              <w:rPr>
                <w:rFonts w:ascii="宋体" w:hAnsi="宋体" w:cs="宋体" w:eastAsia="宋体" w:hint="default"/>
                <w:sz w:val="18"/>
                <w:szCs w:val="18"/>
              </w:rPr>
            </w:pPr>
            <w:r>
              <w:rPr>
                <w:rFonts w:ascii="宋体" w:hAnsi="宋体" w:cs="宋体" w:eastAsia="宋体" w:hint="default"/>
                <w:sz w:val="18"/>
                <w:szCs w:val="18"/>
              </w:rPr>
              <w:t>期初账面价 值</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124" w:right="12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计入权益</w:t>
            </w:r>
          </w:p>
          <w:p>
            <w:pPr>
              <w:pStyle w:val="TableParagraph"/>
              <w:spacing w:line="273" w:lineRule="auto" w:before="33"/>
              <w:ind w:left="187" w:right="185"/>
              <w:jc w:val="center"/>
              <w:rPr>
                <w:rFonts w:ascii="宋体" w:hAnsi="宋体" w:cs="宋体" w:eastAsia="宋体" w:hint="default"/>
                <w:sz w:val="18"/>
                <w:szCs w:val="18"/>
              </w:rPr>
            </w:pPr>
            <w:r>
              <w:rPr>
                <w:rFonts w:ascii="宋体" w:hAnsi="宋体" w:cs="宋体" w:eastAsia="宋体" w:hint="default"/>
                <w:sz w:val="18"/>
                <w:szCs w:val="18"/>
              </w:rPr>
              <w:t>的累计公 允价值变 动</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63"/>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49"/>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23"/>
              <w:jc w:val="right"/>
              <w:rPr>
                <w:rFonts w:ascii="宋体" w:hAnsi="宋体" w:cs="宋体" w:eastAsia="宋体" w:hint="default"/>
                <w:sz w:val="18"/>
                <w:szCs w:val="18"/>
              </w:rPr>
            </w:pPr>
            <w:r>
              <w:rPr>
                <w:rFonts w:ascii="宋体" w:hAnsi="宋体" w:cs="宋体" w:eastAsia="宋体" w:hint="default"/>
                <w:sz w:val="18"/>
                <w:szCs w:val="18"/>
              </w:rPr>
              <w:t>报告期损益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02"/>
              <w:ind w:left="168" w:right="170"/>
              <w:jc w:val="both"/>
              <w:rPr>
                <w:rFonts w:ascii="宋体" w:hAnsi="宋体" w:cs="宋体" w:eastAsia="宋体" w:hint="default"/>
                <w:sz w:val="18"/>
                <w:szCs w:val="18"/>
              </w:rPr>
            </w:pPr>
            <w:r>
              <w:rPr>
                <w:rFonts w:ascii="宋体" w:hAnsi="宋体" w:cs="宋体" w:eastAsia="宋体" w:hint="default"/>
                <w:sz w:val="18"/>
                <w:szCs w:val="18"/>
              </w:rPr>
              <w:t>期末 账面 价值</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151" w:right="146"/>
              <w:jc w:val="left"/>
              <w:rPr>
                <w:rFonts w:ascii="宋体" w:hAnsi="宋体" w:cs="宋体" w:eastAsia="宋体" w:hint="default"/>
                <w:sz w:val="18"/>
                <w:szCs w:val="18"/>
              </w:rPr>
            </w:pPr>
            <w:r>
              <w:rPr>
                <w:rFonts w:ascii="宋体" w:hAnsi="宋体" w:cs="宋体" w:eastAsia="宋体" w:hint="default"/>
                <w:sz w:val="18"/>
                <w:szCs w:val="18"/>
              </w:rPr>
              <w:t>会计核 算科目</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73" w:lineRule="auto"/>
              <w:ind w:left="129" w:right="131"/>
              <w:jc w:val="left"/>
              <w:rPr>
                <w:rFonts w:ascii="宋体" w:hAnsi="宋体" w:cs="宋体" w:eastAsia="宋体" w:hint="default"/>
                <w:sz w:val="18"/>
                <w:szCs w:val="18"/>
              </w:rPr>
            </w:pPr>
            <w:r>
              <w:rPr>
                <w:rFonts w:ascii="宋体" w:hAnsi="宋体" w:cs="宋体" w:eastAsia="宋体" w:hint="default"/>
                <w:sz w:val="18"/>
                <w:szCs w:val="18"/>
              </w:rPr>
              <w:t>资金 来源</w:t>
            </w:r>
          </w:p>
        </w:tc>
      </w:tr>
      <w:tr>
        <w:trPr>
          <w:trHeight w:val="547"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债券</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Times New Roman" w:hAnsi="Times New Roman" w:cs="Times New Roman" w:eastAsia="Times New Roman" w:hint="default"/>
                <w:sz w:val="18"/>
                <w:szCs w:val="18"/>
              </w:rPr>
            </w:pPr>
            <w:r>
              <w:rPr>
                <w:rFonts w:ascii="Times New Roman"/>
                <w:sz w:val="18"/>
              </w:rPr>
              <w:t>155228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中</w:t>
            </w:r>
          </w:p>
          <w:p>
            <w:pPr>
              <w:pStyle w:val="TableParagraph"/>
              <w:spacing w:line="240" w:lineRule="auto" w:before="1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280,000,000.00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w:t>
            </w:r>
          </w:p>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值计量</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3"/>
              <w:jc w:val="right"/>
              <w:rPr>
                <w:rFonts w:ascii="Times New Roman" w:hAnsi="Times New Roman" w:cs="Times New Roman" w:eastAsia="Times New Roman" w:hint="default"/>
                <w:sz w:val="18"/>
                <w:szCs w:val="18"/>
              </w:rPr>
            </w:pPr>
            <w:r>
              <w:rPr>
                <w:rFonts w:ascii="Times New Roman"/>
                <w:spacing w:val="-1"/>
                <w:sz w:val="18"/>
              </w:rPr>
              <w:t>280,000,000.00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280,000,000.00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99"/>
              <w:jc w:val="right"/>
              <w:rPr>
                <w:rFonts w:ascii="Times New Roman" w:hAnsi="Times New Roman" w:cs="Times New Roman" w:eastAsia="Times New Roman" w:hint="default"/>
                <w:sz w:val="18"/>
                <w:szCs w:val="18"/>
              </w:rPr>
            </w:pPr>
            <w:r>
              <w:rPr>
                <w:rFonts w:ascii="Times New Roman"/>
                <w:spacing w:val="-1"/>
                <w:sz w:val="18"/>
              </w:rPr>
              <w:t>3,340,141.76</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74"/>
              <w:jc w:val="right"/>
              <w:rPr>
                <w:rFonts w:ascii="宋体" w:hAnsi="宋体" w:cs="宋体" w:eastAsia="宋体" w:hint="default"/>
                <w:sz w:val="18"/>
                <w:szCs w:val="18"/>
              </w:rPr>
            </w:pPr>
            <w:r>
              <w:rPr>
                <w:rFonts w:ascii="宋体" w:hAnsi="宋体" w:cs="宋体" w:eastAsia="宋体" w:hint="default"/>
                <w:sz w:val="18"/>
                <w:szCs w:val="18"/>
              </w:rPr>
              <w:t>其他</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自有</w:t>
            </w:r>
          </w:p>
          <w:p>
            <w:pPr>
              <w:pStyle w:val="TableParagraph"/>
              <w:spacing w:line="240" w:lineRule="auto" w:before="31"/>
              <w:ind w:left="103" w:right="0"/>
              <w:jc w:val="left"/>
              <w:rPr>
                <w:rFonts w:ascii="宋体" w:hAnsi="宋体" w:cs="宋体" w:eastAsia="宋体" w:hint="default"/>
                <w:sz w:val="18"/>
                <w:szCs w:val="18"/>
              </w:rPr>
            </w:pPr>
            <w:r>
              <w:rPr>
                <w:rFonts w:ascii="宋体" w:hAnsi="宋体" w:cs="宋体" w:eastAsia="宋体" w:hint="default"/>
                <w:sz w:val="18"/>
                <w:szCs w:val="18"/>
              </w:rPr>
              <w:t>资金</w:t>
            </w:r>
          </w:p>
        </w:tc>
      </w:tr>
      <w:tr>
        <w:trPr>
          <w:trHeight w:val="816"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w:t>
            </w:r>
          </w:p>
          <w:p>
            <w:pPr>
              <w:pStyle w:val="TableParagraph"/>
              <w:spacing w:line="273" w:lineRule="auto" w:before="33"/>
              <w:ind w:left="103" w:right="228"/>
              <w:jc w:val="left"/>
              <w:rPr>
                <w:rFonts w:ascii="宋体" w:hAnsi="宋体" w:cs="宋体" w:eastAsia="宋体" w:hint="default"/>
                <w:sz w:val="18"/>
                <w:szCs w:val="18"/>
              </w:rPr>
            </w:pPr>
            <w:r>
              <w:rPr>
                <w:rFonts w:ascii="宋体" w:hAnsi="宋体" w:cs="宋体" w:eastAsia="宋体" w:hint="default"/>
                <w:sz w:val="18"/>
                <w:szCs w:val="18"/>
              </w:rPr>
              <w:t>外股 票</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000034</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1"/>
              <w:ind w:left="103" w:right="187"/>
              <w:jc w:val="left"/>
              <w:rPr>
                <w:rFonts w:ascii="宋体" w:hAnsi="宋体" w:cs="宋体" w:eastAsia="宋体" w:hint="default"/>
                <w:sz w:val="18"/>
                <w:szCs w:val="18"/>
              </w:rPr>
            </w:pPr>
            <w:r>
              <w:rPr>
                <w:rFonts w:ascii="宋体" w:hAnsi="宋体" w:cs="宋体" w:eastAsia="宋体" w:hint="default"/>
                <w:sz w:val="18"/>
                <w:szCs w:val="18"/>
              </w:rPr>
              <w:t>神州 数码</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23,937,265.50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1"/>
              <w:ind w:left="103" w:right="134"/>
              <w:jc w:val="left"/>
              <w:rPr>
                <w:rFonts w:ascii="宋体" w:hAnsi="宋体" w:cs="宋体" w:eastAsia="宋体" w:hint="default"/>
                <w:sz w:val="18"/>
                <w:szCs w:val="18"/>
              </w:rPr>
            </w:pPr>
            <w:r>
              <w:rPr>
                <w:rFonts w:ascii="宋体" w:hAnsi="宋体" w:cs="宋体" w:eastAsia="宋体" w:hint="default"/>
                <w:sz w:val="18"/>
                <w:szCs w:val="18"/>
              </w:rPr>
              <w:t>公允价 值计量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21,676,020.00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2,261,245.50</w:t>
            </w:r>
          </w:p>
        </w:tc>
        <w:tc>
          <w:tcPr>
            <w:tcW w:w="11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27,884,579.35</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6,616,294.15</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交易性</w:t>
            </w:r>
          </w:p>
          <w:p>
            <w:pPr>
              <w:pStyle w:val="TableParagraph"/>
              <w:spacing w:line="273" w:lineRule="auto" w:before="33"/>
              <w:ind w:left="103" w:right="194"/>
              <w:jc w:val="left"/>
              <w:rPr>
                <w:rFonts w:ascii="宋体" w:hAnsi="宋体" w:cs="宋体" w:eastAsia="宋体" w:hint="default"/>
                <w:sz w:val="18"/>
                <w:szCs w:val="18"/>
              </w:rPr>
            </w:pPr>
            <w:r>
              <w:rPr>
                <w:rFonts w:ascii="宋体" w:hAnsi="宋体" w:cs="宋体" w:eastAsia="宋体" w:hint="default"/>
                <w:sz w:val="18"/>
                <w:szCs w:val="18"/>
              </w:rPr>
              <w:t>金融资 产</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1"/>
              <w:ind w:left="103" w:right="156"/>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816" w:hRule="exact"/>
        </w:trPr>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w:t>
            </w:r>
          </w:p>
          <w:p>
            <w:pPr>
              <w:pStyle w:val="TableParagraph"/>
              <w:spacing w:line="273" w:lineRule="auto" w:before="33"/>
              <w:ind w:left="103" w:right="228"/>
              <w:jc w:val="left"/>
              <w:rPr>
                <w:rFonts w:ascii="宋体" w:hAnsi="宋体" w:cs="宋体" w:eastAsia="宋体" w:hint="default"/>
                <w:sz w:val="18"/>
                <w:szCs w:val="18"/>
              </w:rPr>
            </w:pPr>
            <w:r>
              <w:rPr>
                <w:rFonts w:ascii="宋体" w:hAnsi="宋体" w:cs="宋体" w:eastAsia="宋体" w:hint="default"/>
                <w:sz w:val="18"/>
                <w:szCs w:val="18"/>
              </w:rPr>
              <w:t>外股 票</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003816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1"/>
              <w:ind w:left="103" w:right="187"/>
              <w:jc w:val="left"/>
              <w:rPr>
                <w:rFonts w:ascii="宋体" w:hAnsi="宋体" w:cs="宋体" w:eastAsia="宋体" w:hint="default"/>
                <w:sz w:val="18"/>
                <w:szCs w:val="18"/>
              </w:rPr>
            </w:pPr>
            <w:r>
              <w:rPr>
                <w:rFonts w:ascii="宋体" w:hAnsi="宋体" w:cs="宋体" w:eastAsia="宋体" w:hint="default"/>
                <w:sz w:val="18"/>
                <w:szCs w:val="18"/>
              </w:rPr>
              <w:t>中国 广核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12,450.00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1"/>
              <w:ind w:left="103" w:right="134"/>
              <w:jc w:val="left"/>
              <w:rPr>
                <w:rFonts w:ascii="宋体" w:hAnsi="宋体" w:cs="宋体" w:eastAsia="宋体" w:hint="default"/>
                <w:sz w:val="18"/>
                <w:szCs w:val="18"/>
              </w:rPr>
            </w:pPr>
            <w:r>
              <w:rPr>
                <w:rFonts w:ascii="宋体" w:hAnsi="宋体" w:cs="宋体" w:eastAsia="宋体" w:hint="default"/>
                <w:sz w:val="18"/>
                <w:szCs w:val="18"/>
              </w:rPr>
              <w:t>公允价 值计量</w:t>
            </w:r>
          </w:p>
        </w:tc>
        <w:tc>
          <w:tcPr>
            <w:tcW w:w="127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12,450.00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24,068.67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w w:val="95"/>
                <w:sz w:val="18"/>
              </w:rPr>
              <w:t>11,618.67</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交易性</w:t>
            </w:r>
          </w:p>
          <w:p>
            <w:pPr>
              <w:pStyle w:val="TableParagraph"/>
              <w:spacing w:line="273" w:lineRule="auto" w:before="33"/>
              <w:ind w:left="103" w:right="194"/>
              <w:jc w:val="left"/>
              <w:rPr>
                <w:rFonts w:ascii="宋体" w:hAnsi="宋体" w:cs="宋体" w:eastAsia="宋体" w:hint="default"/>
                <w:sz w:val="18"/>
                <w:szCs w:val="18"/>
              </w:rPr>
            </w:pPr>
            <w:r>
              <w:rPr>
                <w:rFonts w:ascii="宋体" w:hAnsi="宋体" w:cs="宋体" w:eastAsia="宋体" w:hint="default"/>
                <w:sz w:val="18"/>
                <w:szCs w:val="18"/>
              </w:rPr>
              <w:t>金融资 产</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1"/>
              <w:ind w:left="103" w:right="156"/>
              <w:jc w:val="left"/>
              <w:rPr>
                <w:rFonts w:ascii="宋体" w:hAnsi="宋体" w:cs="宋体" w:eastAsia="宋体" w:hint="default"/>
                <w:sz w:val="18"/>
                <w:szCs w:val="18"/>
              </w:rPr>
            </w:pPr>
            <w:r>
              <w:rPr>
                <w:rFonts w:ascii="宋体" w:hAnsi="宋体" w:cs="宋体" w:eastAsia="宋体" w:hint="default"/>
                <w:sz w:val="18"/>
                <w:szCs w:val="18"/>
              </w:rPr>
              <w:t>自有 资金</w:t>
            </w:r>
          </w:p>
        </w:tc>
      </w:tr>
      <w:tr>
        <w:trPr>
          <w:trHeight w:val="463" w:hRule="exact"/>
        </w:trPr>
        <w:tc>
          <w:tcPr>
            <w:tcW w:w="212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303,949,715.50</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21,676,020.00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2,261,245.50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77" w:right="0"/>
              <w:jc w:val="left"/>
              <w:rPr>
                <w:rFonts w:ascii="Times New Roman" w:hAnsi="Times New Roman" w:cs="Times New Roman" w:eastAsia="Times New Roman" w:hint="default"/>
                <w:sz w:val="18"/>
                <w:szCs w:val="18"/>
              </w:rPr>
            </w:pPr>
            <w:r>
              <w:rPr>
                <w:rFonts w:ascii="Times New Roman"/>
                <w:sz w:val="18"/>
              </w:rPr>
              <w:t>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3"/>
              <w:jc w:val="right"/>
              <w:rPr>
                <w:rFonts w:ascii="Times New Roman" w:hAnsi="Times New Roman" w:cs="Times New Roman" w:eastAsia="Times New Roman" w:hint="default"/>
                <w:sz w:val="18"/>
                <w:szCs w:val="18"/>
              </w:rPr>
            </w:pPr>
            <w:r>
              <w:rPr>
                <w:rFonts w:ascii="Times New Roman"/>
                <w:spacing w:val="-1"/>
                <w:sz w:val="18"/>
              </w:rPr>
              <w:t>280,012,450.00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pacing w:val="-1"/>
                <w:sz w:val="18"/>
              </w:rPr>
              <w:t>307,908,648.02</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99"/>
              <w:jc w:val="right"/>
              <w:rPr>
                <w:rFonts w:ascii="Times New Roman" w:hAnsi="Times New Roman" w:cs="Times New Roman" w:eastAsia="Times New Roman" w:hint="default"/>
                <w:sz w:val="18"/>
                <w:szCs w:val="18"/>
              </w:rPr>
            </w:pPr>
            <w:r>
              <w:rPr>
                <w:rFonts w:ascii="Times New Roman"/>
                <w:spacing w:val="-1"/>
                <w:sz w:val="18"/>
              </w:rPr>
              <w:t>9,968,054.58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80" w:right="0"/>
              <w:jc w:val="lef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359"/>
              <w:jc w:val="right"/>
              <w:rPr>
                <w:rFonts w:ascii="Times New Roman" w:hAnsi="Times New Roman" w:cs="Times New Roman" w:eastAsia="Times New Roman" w:hint="default"/>
                <w:sz w:val="18"/>
                <w:szCs w:val="18"/>
              </w:rPr>
            </w:pPr>
            <w:r>
              <w:rPr>
                <w:rFonts w:ascii="Times New Roman"/>
                <w:sz w:val="18"/>
              </w:rPr>
              <w:t>--</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w:t>
            </w:r>
          </w:p>
        </w:tc>
      </w:tr>
      <w:tr>
        <w:trPr>
          <w:trHeight w:val="463" w:hRule="exact"/>
        </w:trPr>
        <w:tc>
          <w:tcPr>
            <w:tcW w:w="34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证券投资审批董事会公告披露日期</w:t>
            </w:r>
          </w:p>
        </w:tc>
        <w:tc>
          <w:tcPr>
            <w:tcW w:w="1048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66" w:hRule="exact"/>
        </w:trPr>
        <w:tc>
          <w:tcPr>
            <w:tcW w:w="34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证券投资审批股东会公告披露日期</w:t>
            </w:r>
          </w:p>
        </w:tc>
        <w:tc>
          <w:tcPr>
            <w:tcW w:w="10487" w:type="dxa"/>
            <w:gridSpan w:val="10"/>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140" w:right="173"/>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left="140" w:right="11558"/>
        <w:jc w:val="left"/>
      </w:pPr>
      <w:r>
        <w:rPr/>
        <w:t>□ 适用 √</w:t>
      </w:r>
      <w:r>
        <w:rPr>
          <w:spacing w:val="3"/>
        </w:rPr>
        <w:t> </w:t>
      </w:r>
      <w:r>
        <w:rPr/>
        <w:t>不适用</w:t>
      </w:r>
      <w:r>
        <w:rPr/>
        <w:t> 公司报告期不存在衍生品投资。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76"/>
        <w:ind w:left="0" w:right="140"/>
        <w:jc w:val="right"/>
        <w:rPr>
          <w:rFonts w:ascii="Times New Roman" w:hAnsi="Times New Roman" w:cs="Times New Roman" w:eastAsia="Times New Roman" w:hint="default"/>
        </w:rPr>
      </w:pPr>
      <w:r>
        <w:rPr>
          <w:rFonts w:ascii="Times New Roman"/>
        </w:rPr>
        <w:t>26</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18"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100" w:bottom="14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5"/>
          <w:szCs w:val="25"/>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 适用 □</w:t>
      </w:r>
      <w:r>
        <w:rPr>
          <w:spacing w:val="3"/>
        </w:rPr>
        <w:t> </w:t>
      </w:r>
      <w:r>
        <w:rPr/>
        <w:t>不适用</w:t>
      </w:r>
    </w:p>
    <w:p>
      <w:pPr>
        <w:pStyle w:val="BodyText"/>
        <w:spacing w:line="240" w:lineRule="auto" w:before="117"/>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638"/>
        <w:gridCol w:w="1092"/>
        <w:gridCol w:w="977"/>
        <w:gridCol w:w="720"/>
        <w:gridCol w:w="992"/>
        <w:gridCol w:w="797"/>
        <w:gridCol w:w="871"/>
        <w:gridCol w:w="869"/>
        <w:gridCol w:w="871"/>
        <w:gridCol w:w="869"/>
        <w:gridCol w:w="869"/>
      </w:tblGrid>
      <w:tr>
        <w:trPr>
          <w:trHeight w:val="1961"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136" w:right="131"/>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7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305" w:right="122" w:hanging="181"/>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77" w:right="170"/>
              <w:jc w:val="both"/>
              <w:rPr>
                <w:rFonts w:ascii="宋体" w:hAnsi="宋体" w:cs="宋体" w:eastAsia="宋体" w:hint="default"/>
                <w:sz w:val="18"/>
                <w:szCs w:val="18"/>
              </w:rPr>
            </w:pPr>
            <w:r>
              <w:rPr>
                <w:rFonts w:ascii="宋体" w:hAnsi="宋体" w:cs="宋体" w:eastAsia="宋体" w:hint="default"/>
                <w:sz w:val="18"/>
                <w:szCs w:val="18"/>
              </w:rPr>
              <w:t>本期 已使 用募 集资 金总 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31" w:right="12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22" w:right="122"/>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58" w:right="161"/>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58" w:right="159"/>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58" w:right="161"/>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58" w:right="159"/>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58" w:right="158"/>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466"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left"/>
              <w:rPr>
                <w:rFonts w:ascii="Times New Roman" w:hAnsi="Times New Roman" w:cs="Times New Roman" w:eastAsia="Times New Roman" w:hint="default"/>
                <w:sz w:val="18"/>
                <w:szCs w:val="18"/>
              </w:rPr>
            </w:pPr>
            <w:r>
              <w:rPr>
                <w:rFonts w:ascii="Times New Roman"/>
                <w:sz w:val="18"/>
              </w:rPr>
              <w:t>2013</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20,000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17,497.52</w:t>
            </w:r>
          </w:p>
        </w:tc>
        <w:tc>
          <w:tcPr>
            <w:tcW w:w="79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9" w:right="0"/>
              <w:jc w:val="center"/>
              <w:rPr>
                <w:rFonts w:ascii="Times New Roman" w:hAnsi="Times New Roman" w:cs="Times New Roman" w:eastAsia="Times New Roman" w:hint="default"/>
                <w:sz w:val="18"/>
                <w:szCs w:val="18"/>
              </w:rPr>
            </w:pPr>
            <w:r>
              <w:rPr>
                <w:rFonts w:ascii="Times New Roman"/>
                <w:sz w:val="18"/>
              </w:rPr>
              <w:t>2,502.48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w w:val="95"/>
                <w:sz w:val="18"/>
              </w:rPr>
              <w:t>2,502.48</w:t>
            </w:r>
          </w:p>
        </w:tc>
      </w:tr>
      <w:tr>
        <w:trPr>
          <w:trHeight w:val="46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left"/>
              <w:rPr>
                <w:rFonts w:ascii="Times New Roman" w:hAnsi="Times New Roman" w:cs="Times New Roman" w:eastAsia="Times New Roman" w:hint="default"/>
                <w:sz w:val="18"/>
                <w:szCs w:val="18"/>
              </w:rPr>
            </w:pPr>
            <w:r>
              <w:rPr>
                <w:rFonts w:ascii="Times New Roman"/>
                <w:sz w:val="18"/>
              </w:rPr>
              <w:t>2014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22,666.67</w:t>
            </w:r>
          </w:p>
        </w:tc>
        <w:tc>
          <w:tcPr>
            <w:tcW w:w="72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22,666.67</w:t>
            </w:r>
          </w:p>
        </w:tc>
        <w:tc>
          <w:tcPr>
            <w:tcW w:w="79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413.89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1.83%</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left"/>
              <w:rPr>
                <w:rFonts w:ascii="Times New Roman" w:hAnsi="Times New Roman" w:cs="Times New Roman" w:eastAsia="Times New Roman" w:hint="default"/>
                <w:sz w:val="18"/>
                <w:szCs w:val="18"/>
              </w:rPr>
            </w:pPr>
            <w:r>
              <w:rPr>
                <w:rFonts w:ascii="Times New Roman"/>
                <w:sz w:val="18"/>
              </w:rPr>
              <w:t>2016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56,100</w:t>
            </w:r>
          </w:p>
        </w:tc>
        <w:tc>
          <w:tcPr>
            <w:tcW w:w="72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56,100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pacing w:val="-1"/>
                <w:sz w:val="18"/>
              </w:rPr>
              <w:t>98,766.67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96,264.19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413.89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0.42%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9" w:right="0"/>
              <w:jc w:val="center"/>
              <w:rPr>
                <w:rFonts w:ascii="Times New Roman" w:hAnsi="Times New Roman" w:cs="Times New Roman" w:eastAsia="Times New Roman" w:hint="default"/>
                <w:sz w:val="18"/>
                <w:szCs w:val="18"/>
              </w:rPr>
            </w:pPr>
            <w:r>
              <w:rPr>
                <w:rFonts w:ascii="Times New Roman"/>
                <w:sz w:val="18"/>
              </w:rPr>
              <w:t>2,502.48</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w w:val="95"/>
                <w:sz w:val="18"/>
              </w:rPr>
              <w:t>2,502.48</w:t>
            </w:r>
          </w:p>
        </w:tc>
      </w:tr>
      <w:tr>
        <w:trPr>
          <w:trHeight w:val="46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54"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年变更募集资金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413.89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万元，系收购中农信达项目的募集资金节余自动转为补充流动资金；</w:t>
            </w:r>
          </w:p>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）上述尚未使用的募集资金因未决诉讼事项被冻结。</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 适用 □</w:t>
      </w:r>
      <w:r>
        <w:rPr>
          <w:spacing w:val="3"/>
        </w:rPr>
        <w:t> </w:t>
      </w:r>
      <w:r>
        <w:rPr/>
        <w:t>不适用</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1673"/>
        <w:gridCol w:w="795"/>
        <w:gridCol w:w="965"/>
        <w:gridCol w:w="987"/>
        <w:gridCol w:w="600"/>
        <w:gridCol w:w="826"/>
        <w:gridCol w:w="869"/>
        <w:gridCol w:w="780"/>
        <w:gridCol w:w="646"/>
        <w:gridCol w:w="651"/>
        <w:gridCol w:w="780"/>
      </w:tblGrid>
      <w:tr>
        <w:trPr>
          <w:trHeight w:val="165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84" w:right="108"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4" w:right="118"/>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7" w:right="115"/>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12" w:right="111"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5" w:right="113"/>
              <w:jc w:val="both"/>
              <w:rPr>
                <w:rFonts w:ascii="宋体" w:hAnsi="宋体" w:cs="宋体" w:eastAsia="宋体" w:hint="default"/>
                <w:sz w:val="18"/>
                <w:szCs w:val="18"/>
              </w:rPr>
            </w:pPr>
            <w:r>
              <w:rPr>
                <w:rFonts w:ascii="宋体" w:hAnsi="宋体" w:cs="宋体" w:eastAsia="宋体" w:hint="default"/>
                <w:sz w:val="18"/>
                <w:szCs w:val="18"/>
              </w:rPr>
              <w:t>本报 告期 投入 金额</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6" w:right="137"/>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4" w:right="142"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7" w:right="110"/>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39" w:right="134"/>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9" w:right="141"/>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5"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63"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15"/>
              <w:jc w:val="both"/>
              <w:rPr>
                <w:rFonts w:ascii="Times New Roman" w:hAnsi="Times New Roman" w:cs="Times New Roman" w:eastAsia="Times New Roman" w:hint="default"/>
                <w:sz w:val="18"/>
                <w:szCs w:val="18"/>
              </w:rPr>
            </w:pPr>
            <w:r>
              <w:rPr>
                <w:rFonts w:ascii="宋体" w:hAnsi="宋体" w:cs="宋体" w:eastAsia="宋体" w:hint="default"/>
                <w:sz w:val="18"/>
                <w:szCs w:val="18"/>
              </w:rPr>
              <w:t>偿还欠付昆山开发 区国投控股有限公 司债务</w:t>
            </w:r>
            <w:r>
              <w:rPr>
                <w:rFonts w:ascii="Times New Roman" w:hAnsi="Times New Roman" w:cs="Times New Roman" w:eastAsia="Times New Roman" w:hint="default"/>
                <w:sz w:val="18"/>
                <w:szCs w:val="18"/>
              </w:rPr>
              <w:t>*1</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13,830.42</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13,830.42</w:t>
            </w:r>
          </w:p>
        </w:tc>
        <w:tc>
          <w:tcPr>
            <w:tcW w:w="60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14,240.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102.97%</w:t>
            </w:r>
          </w:p>
        </w:tc>
        <w:tc>
          <w:tcPr>
            <w:tcW w:w="78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中介机构费用</w:t>
            </w:r>
            <w:r>
              <w:rPr>
                <w:rFonts w:ascii="Times New Roman" w:hAnsi="Times New Roman" w:cs="Times New Roman" w:eastAsia="Times New Roman" w:hint="default"/>
                <w:sz w:val="18"/>
                <w:szCs w:val="18"/>
              </w:rPr>
              <w:t>*2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2,580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2,580</w:t>
            </w:r>
          </w:p>
        </w:tc>
        <w:tc>
          <w:tcPr>
            <w:tcW w:w="60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2,924.9</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113.37%</w:t>
            </w:r>
          </w:p>
        </w:tc>
        <w:tc>
          <w:tcPr>
            <w:tcW w:w="78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迁址费用</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2,500</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2,500</w:t>
            </w:r>
          </w:p>
        </w:tc>
        <w:tc>
          <w:tcPr>
            <w:tcW w:w="60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23"/>
          <w:pgSz w:w="11910" w:h="16840"/>
          <w:pgMar w:footer="1261" w:header="0" w:top="1120" w:bottom="1460" w:left="980" w:right="0"/>
          <w:pgNumType w:start="27"/>
        </w:sectPr>
      </w:pPr>
    </w:p>
    <w:p>
      <w:pPr>
        <w:spacing w:line="240" w:lineRule="auto" w:before="8"/>
        <w:rPr>
          <w:rFonts w:ascii="Times New Roman" w:hAnsi="Times New Roman" w:cs="Times New Roman" w:eastAsia="Times New Roman" w:hint="default"/>
          <w:sz w:val="26"/>
          <w:szCs w:val="26"/>
        </w:rPr>
      </w:pPr>
    </w:p>
    <w:tbl>
      <w:tblPr>
        <w:tblW w:w="0" w:type="auto"/>
        <w:jc w:val="left"/>
        <w:tblInd w:w="261" w:type="dxa"/>
        <w:tblLayout w:type="fixed"/>
        <w:tblCellMar>
          <w:top w:w="0" w:type="dxa"/>
          <w:left w:w="0" w:type="dxa"/>
          <w:bottom w:w="0" w:type="dxa"/>
          <w:right w:w="0" w:type="dxa"/>
        </w:tblCellMar>
        <w:tblLook w:val="01E0"/>
      </w:tblPr>
      <w:tblGrid>
        <w:gridCol w:w="1673"/>
        <w:gridCol w:w="795"/>
        <w:gridCol w:w="965"/>
        <w:gridCol w:w="142"/>
        <w:gridCol w:w="845"/>
        <w:gridCol w:w="600"/>
        <w:gridCol w:w="826"/>
        <w:gridCol w:w="869"/>
        <w:gridCol w:w="780"/>
        <w:gridCol w:w="646"/>
        <w:gridCol w:w="650"/>
        <w:gridCol w:w="780"/>
      </w:tblGrid>
      <w:tr>
        <w:trPr>
          <w:trHeight w:val="464"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人员安置费用</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400</w:t>
            </w:r>
          </w:p>
        </w:tc>
        <w:tc>
          <w:tcPr>
            <w:tcW w:w="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02" w:right="0"/>
              <w:jc w:val="left"/>
              <w:rPr>
                <w:rFonts w:ascii="Times New Roman" w:hAnsi="Times New Roman" w:cs="Times New Roman" w:eastAsia="Times New Roman" w:hint="default"/>
                <w:sz w:val="18"/>
                <w:szCs w:val="18"/>
              </w:rPr>
            </w:pPr>
            <w:r>
              <w:rPr>
                <w:rFonts w:ascii="Times New Roman"/>
                <w:sz w:val="18"/>
              </w:rPr>
              <w:t>400</w:t>
            </w:r>
          </w:p>
        </w:tc>
        <w:tc>
          <w:tcPr>
            <w:tcW w:w="60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226.17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56.54%</w:t>
            </w:r>
          </w:p>
        </w:tc>
        <w:tc>
          <w:tcPr>
            <w:tcW w:w="78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其他并购整合费用</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689.58</w:t>
            </w:r>
          </w:p>
        </w:tc>
        <w:tc>
          <w:tcPr>
            <w:tcW w:w="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79" w:right="0"/>
              <w:jc w:val="left"/>
              <w:rPr>
                <w:rFonts w:ascii="Times New Roman" w:hAnsi="Times New Roman" w:cs="Times New Roman" w:eastAsia="Times New Roman" w:hint="default"/>
                <w:sz w:val="18"/>
                <w:szCs w:val="18"/>
              </w:rPr>
            </w:pPr>
            <w:r>
              <w:rPr>
                <w:rFonts w:ascii="Times New Roman"/>
                <w:sz w:val="18"/>
              </w:rPr>
              <w:t>689.58</w:t>
            </w:r>
          </w:p>
        </w:tc>
        <w:tc>
          <w:tcPr>
            <w:tcW w:w="60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105.76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15.34%</w:t>
            </w:r>
          </w:p>
        </w:tc>
        <w:tc>
          <w:tcPr>
            <w:tcW w:w="78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15"/>
              <w:jc w:val="left"/>
              <w:rPr>
                <w:rFonts w:ascii="宋体" w:hAnsi="宋体" w:cs="宋体" w:eastAsia="宋体" w:hint="default"/>
                <w:sz w:val="18"/>
                <w:szCs w:val="18"/>
              </w:rPr>
            </w:pPr>
            <w:r>
              <w:rPr>
                <w:rFonts w:ascii="宋体" w:hAnsi="宋体" w:cs="宋体" w:eastAsia="宋体" w:hint="default"/>
                <w:sz w:val="18"/>
                <w:szCs w:val="18"/>
              </w:rPr>
              <w:t>支付中农信达股权 转让款</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21,300</w:t>
            </w:r>
          </w:p>
        </w:tc>
        <w:tc>
          <w:tcPr>
            <w:tcW w:w="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21,300</w:t>
            </w:r>
          </w:p>
        </w:tc>
        <w:tc>
          <w:tcPr>
            <w:tcW w:w="60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21,300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15"/>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支付收购中农信达 的中介机构费用</w:t>
            </w:r>
            <w:r>
              <w:rPr>
                <w:rFonts w:ascii="Times New Roman" w:hAnsi="Times New Roman" w:cs="Times New Roman" w:eastAsia="Times New Roman" w:hint="default"/>
                <w:sz w:val="18"/>
                <w:szCs w:val="18"/>
              </w:rPr>
              <w:t>*2</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1,366.67</w:t>
            </w:r>
          </w:p>
        </w:tc>
        <w:tc>
          <w:tcPr>
            <w:tcW w:w="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2" w:right="0"/>
              <w:jc w:val="left"/>
              <w:rPr>
                <w:rFonts w:ascii="Times New Roman" w:hAnsi="Times New Roman" w:cs="Times New Roman" w:eastAsia="Times New Roman" w:hint="default"/>
                <w:sz w:val="18"/>
                <w:szCs w:val="18"/>
              </w:rPr>
            </w:pPr>
            <w:r>
              <w:rPr>
                <w:rFonts w:ascii="Times New Roman"/>
                <w:sz w:val="18"/>
              </w:rPr>
              <w:t>1,366.67</w:t>
            </w:r>
          </w:p>
        </w:tc>
        <w:tc>
          <w:tcPr>
            <w:tcW w:w="60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62.93%</w:t>
            </w:r>
          </w:p>
        </w:tc>
        <w:tc>
          <w:tcPr>
            <w:tcW w:w="78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15"/>
              <w:jc w:val="left"/>
              <w:rPr>
                <w:rFonts w:ascii="宋体" w:hAnsi="宋体" w:cs="宋体" w:eastAsia="宋体" w:hint="default"/>
                <w:sz w:val="18"/>
                <w:szCs w:val="18"/>
              </w:rPr>
            </w:pPr>
            <w:r>
              <w:rPr>
                <w:rFonts w:ascii="宋体" w:hAnsi="宋体" w:cs="宋体" w:eastAsia="宋体" w:hint="default"/>
                <w:sz w:val="18"/>
                <w:szCs w:val="18"/>
              </w:rPr>
              <w:t>支付收购中农信达 的其他费用</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92.77</w:t>
            </w:r>
          </w:p>
        </w:tc>
        <w:tc>
          <w:tcPr>
            <w:tcW w:w="86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15"/>
              <w:jc w:val="left"/>
              <w:rPr>
                <w:rFonts w:ascii="宋体" w:hAnsi="宋体" w:cs="宋体" w:eastAsia="宋体" w:hint="default"/>
                <w:sz w:val="18"/>
                <w:szCs w:val="18"/>
              </w:rPr>
            </w:pPr>
            <w:r>
              <w:rPr>
                <w:rFonts w:ascii="宋体" w:hAnsi="宋体" w:cs="宋体" w:eastAsia="宋体" w:hint="default"/>
                <w:sz w:val="18"/>
                <w:szCs w:val="18"/>
              </w:rPr>
              <w:t>支付华苏科技股权 转让款</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56,100</w:t>
            </w:r>
          </w:p>
        </w:tc>
        <w:tc>
          <w:tcPr>
            <w:tcW w:w="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56,100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56,100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8"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9"/>
              <w:jc w:val="righ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98,766.67</w:t>
            </w:r>
          </w:p>
        </w:tc>
        <w:tc>
          <w:tcPr>
            <w:tcW w:w="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98,766.67</w:t>
            </w:r>
          </w:p>
        </w:tc>
        <w:tc>
          <w:tcPr>
            <w:tcW w:w="600"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95,850.</w:t>
            </w:r>
          </w:p>
          <w:p>
            <w:pPr>
              <w:pStyle w:val="TableParagraph"/>
              <w:spacing w:line="240" w:lineRule="auto" w:before="102"/>
              <w:ind w:left="532" w:right="0"/>
              <w:jc w:val="lef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61"/>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r>
      <w:tr>
        <w:trPr>
          <w:trHeight w:val="458"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5"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29"/>
              <w:jc w:val="right"/>
              <w:rPr>
                <w:rFonts w:ascii="Times New Roman" w:hAnsi="Times New Roman" w:cs="Times New Roman" w:eastAsia="Times New Roman" w:hint="default"/>
                <w:sz w:val="18"/>
                <w:szCs w:val="18"/>
              </w:rPr>
            </w:pPr>
            <w:r>
              <w:rPr>
                <w:rFonts w:ascii="Times New Roman"/>
                <w:sz w:val="18"/>
              </w:rPr>
              <w:t>--</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98,766.67</w:t>
            </w:r>
          </w:p>
        </w:tc>
        <w:tc>
          <w:tcPr>
            <w:tcW w:w="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98,766.67</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95,850.</w:t>
            </w:r>
          </w:p>
          <w:p>
            <w:pPr>
              <w:pStyle w:val="TableParagraph"/>
              <w:spacing w:line="240" w:lineRule="auto" w:before="102"/>
              <w:ind w:left="532" w:right="0"/>
              <w:jc w:val="left"/>
              <w:rPr>
                <w:rFonts w:ascii="Times New Roman" w:hAnsi="Times New Roman" w:cs="Times New Roman" w:eastAsia="Times New Roman" w:hint="default"/>
                <w:sz w:val="18"/>
                <w:szCs w:val="18"/>
              </w:rPr>
            </w:pPr>
            <w:r>
              <w:rPr>
                <w:rFonts w:ascii="Times New Roman"/>
                <w:sz w:val="18"/>
              </w:rPr>
              <w:t>29</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61"/>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357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未达到计划进度或预计收益的情况和原因</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599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6" w:hRule="exact"/>
        </w:trPr>
        <w:tc>
          <w:tcPr>
            <w:tcW w:w="357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r>
          </w:p>
        </w:tc>
        <w:tc>
          <w:tcPr>
            <w:tcW w:w="599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3" w:hRule="exact"/>
        </w:trPr>
        <w:tc>
          <w:tcPr>
            <w:tcW w:w="357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超募资金的金额、用途及使用进展情况</w:t>
            </w:r>
          </w:p>
        </w:tc>
        <w:tc>
          <w:tcPr>
            <w:tcW w:w="599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4" w:hRule="exact"/>
        </w:trPr>
        <w:tc>
          <w:tcPr>
            <w:tcW w:w="357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r>
          </w:p>
        </w:tc>
        <w:tc>
          <w:tcPr>
            <w:tcW w:w="599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6" w:hRule="exact"/>
        </w:trPr>
        <w:tc>
          <w:tcPr>
            <w:tcW w:w="357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r>
          </w:p>
        </w:tc>
        <w:tc>
          <w:tcPr>
            <w:tcW w:w="599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3" w:hRule="exact"/>
        </w:trPr>
        <w:tc>
          <w:tcPr>
            <w:tcW w:w="357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tc>
        <w:tc>
          <w:tcPr>
            <w:tcW w:w="599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63" w:hRule="exact"/>
        </w:trPr>
        <w:tc>
          <w:tcPr>
            <w:tcW w:w="3574" w:type="dxa"/>
            <w:gridSpan w:val="4"/>
            <w:vMerge/>
            <w:tcBorders>
              <w:left w:val="single" w:sz="4" w:space="0" w:color="000000"/>
              <w:bottom w:val="single" w:sz="4" w:space="0" w:color="000000"/>
              <w:right w:val="single" w:sz="4" w:space="0" w:color="000000"/>
            </w:tcBorders>
            <w:shd w:val="clear" w:color="auto" w:fill="D2D2D2"/>
          </w:tcPr>
          <w:p>
            <w:pPr/>
          </w:p>
        </w:tc>
        <w:tc>
          <w:tcPr>
            <w:tcW w:w="599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本公司先期已经以自有资金支付的购买中农信达募集配套资金项目</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2,367,691.95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年自募集配套资金中置换。该事项业经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日信永中和会计师事务所以“</w:t>
            </w:r>
            <w:r>
              <w:rPr>
                <w:rFonts w:ascii="Times New Roman" w:hAnsi="Times New Roman" w:cs="Times New Roman" w:eastAsia="Times New Roman" w:hint="default"/>
                <w:sz w:val="18"/>
                <w:szCs w:val="18"/>
              </w:rPr>
              <w:t>XYZH/2013A1054-7</w:t>
            </w:r>
            <w:r>
              <w:rPr>
                <w:rFonts w:ascii="宋体" w:hAnsi="宋体" w:cs="宋体" w:eastAsia="宋体" w:hint="default"/>
                <w:sz w:val="18"/>
                <w:szCs w:val="18"/>
              </w:rPr>
              <w:t>”号鉴证报告予</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以鉴证。本公司第六届董事会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年第一次临时会议审议通过以非公开</w:t>
            </w:r>
          </w:p>
          <w:p>
            <w:pPr>
              <w:pStyle w:val="TableParagraph"/>
              <w:spacing w:line="300" w:lineRule="auto" w:before="63"/>
              <w:ind w:left="103" w:right="163"/>
              <w:jc w:val="left"/>
              <w:rPr>
                <w:rFonts w:ascii="宋体" w:hAnsi="宋体" w:cs="宋体" w:eastAsia="宋体" w:hint="default"/>
                <w:sz w:val="18"/>
                <w:szCs w:val="18"/>
              </w:rPr>
            </w:pPr>
            <w:r>
              <w:rPr>
                <w:rFonts w:ascii="宋体" w:hAnsi="宋体" w:cs="宋体" w:eastAsia="宋体" w:hint="default"/>
                <w:sz w:val="18"/>
                <w:szCs w:val="18"/>
              </w:rPr>
              <w:t>发行股票募集配套资金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2,367,691.95 </w:t>
            </w:r>
            <w:r>
              <w:rPr>
                <w:rFonts w:ascii="宋体" w:hAnsi="宋体" w:cs="宋体" w:eastAsia="宋体" w:hint="default"/>
                <w:sz w:val="18"/>
                <w:szCs w:val="18"/>
              </w:rPr>
              <w:t>元置换预先投入募集配套资金使用项 目的自筹资金。</w:t>
            </w:r>
          </w:p>
        </w:tc>
      </w:tr>
      <w:tr>
        <w:trPr>
          <w:trHeight w:val="464" w:hRule="exact"/>
        </w:trPr>
        <w:tc>
          <w:tcPr>
            <w:tcW w:w="3574"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r>
          </w:p>
        </w:tc>
        <w:tc>
          <w:tcPr>
            <w:tcW w:w="599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587" w:hRule="exact"/>
        </w:trPr>
        <w:tc>
          <w:tcPr>
            <w:tcW w:w="3574" w:type="dxa"/>
            <w:gridSpan w:val="4"/>
            <w:vMerge/>
            <w:tcBorders>
              <w:left w:val="single" w:sz="4" w:space="0" w:color="000000"/>
              <w:bottom w:val="single" w:sz="4" w:space="0" w:color="000000"/>
              <w:right w:val="single" w:sz="4" w:space="0" w:color="000000"/>
            </w:tcBorders>
            <w:shd w:val="clear" w:color="auto" w:fill="D2D2D2"/>
          </w:tcPr>
          <w:p>
            <w:pPr/>
          </w:p>
        </w:tc>
        <w:tc>
          <w:tcPr>
            <w:tcW w:w="5997" w:type="dxa"/>
            <w:gridSpan w:val="8"/>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21"/>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日召开的第七届董事会第三次临时会议审议通过 了《关于使用闲置募集资金暂时补充流动资金的议案》，使用不超过 </w:t>
            </w:r>
            <w:r>
              <w:rPr>
                <w:rFonts w:ascii="Times New Roman" w:hAnsi="Times New Roman" w:cs="Times New Roman" w:eastAsia="Times New Roman" w:hint="default"/>
                <w:sz w:val="18"/>
                <w:szCs w:val="18"/>
              </w:rPr>
              <w:t>2,643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万元（含本数）闲置募集资金暂时补充流动资金，使用期限为自董</w:t>
            </w:r>
          </w:p>
          <w:p>
            <w:pPr>
              <w:pStyle w:val="TableParagraph"/>
              <w:spacing w:line="312" w:lineRule="auto" w:before="5"/>
              <w:ind w:left="103" w:right="121"/>
              <w:jc w:val="left"/>
              <w:rPr>
                <w:rFonts w:ascii="宋体" w:hAnsi="宋体" w:cs="宋体" w:eastAsia="宋体" w:hint="default"/>
                <w:sz w:val="18"/>
                <w:szCs w:val="18"/>
              </w:rPr>
            </w:pPr>
            <w:r>
              <w:rPr>
                <w:rFonts w:ascii="宋体" w:hAnsi="宋体" w:cs="宋体" w:eastAsia="宋体" w:hint="default"/>
                <w:sz w:val="18"/>
                <w:szCs w:val="18"/>
              </w:rPr>
              <w:t>事会审议通过之日起不超过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个月。补充的流动资金仅限用于与公司主 营业务相关的生产经营活动。到期前，公司将及时归还至募集资金专用账 户。至本报告期末，本公司使用闲置募集资金暂时补充流动资金余额为 </w:t>
            </w:r>
            <w:r>
              <w:rPr>
                <w:rFonts w:ascii="Times New Roman" w:hAnsi="Times New Roman" w:cs="Times New Roman" w:eastAsia="Times New Roman" w:hint="default"/>
                <w:sz w:val="18"/>
                <w:szCs w:val="18"/>
              </w:rPr>
              <w:t>2,643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日，公司将上述用于暂时补充流动资金的</w:t>
            </w:r>
          </w:p>
          <w:p>
            <w:pPr>
              <w:pStyle w:val="TableParagraph"/>
              <w:spacing w:line="240" w:lineRule="auto" w:before="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万元闲置募集资金一次性全部归还至募集资金专用账户。</w:t>
            </w:r>
          </w:p>
        </w:tc>
      </w:tr>
    </w:tbl>
    <w:p>
      <w:pPr>
        <w:spacing w:after="0" w:line="240" w:lineRule="auto"/>
        <w:jc w:val="left"/>
        <w:rPr>
          <w:rFonts w:ascii="宋体" w:hAnsi="宋体" w:cs="宋体" w:eastAsia="宋体" w:hint="default"/>
          <w:sz w:val="18"/>
          <w:szCs w:val="18"/>
        </w:rPr>
        <w:sectPr>
          <w:pgSz w:w="11910" w:h="16840"/>
          <w:pgMar w:header="0"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262" w:type="dxa"/>
        <w:tblLayout w:type="fixed"/>
        <w:tblCellMar>
          <w:top w:w="0" w:type="dxa"/>
          <w:left w:w="0" w:type="dxa"/>
          <w:bottom w:w="0" w:type="dxa"/>
          <w:right w:w="0" w:type="dxa"/>
        </w:tblCellMar>
        <w:tblLook w:val="01E0"/>
      </w:tblPr>
      <w:tblGrid>
        <w:gridCol w:w="3573"/>
        <w:gridCol w:w="5997"/>
      </w:tblGrid>
      <w:tr>
        <w:trPr>
          <w:trHeight w:val="464" w:hRule="exact"/>
        </w:trPr>
        <w:tc>
          <w:tcPr>
            <w:tcW w:w="3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r>
          </w:p>
        </w:tc>
        <w:tc>
          <w:tcPr>
            <w:tcW w:w="5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66" w:hRule="exact"/>
        </w:trPr>
        <w:tc>
          <w:tcPr>
            <w:tcW w:w="3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尚未使用的募集资金用途及去向</w:t>
            </w:r>
          </w:p>
        </w:tc>
        <w:tc>
          <w:tcPr>
            <w:tcW w:w="5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依原募集资金用途继续使用。</w:t>
            </w:r>
          </w:p>
        </w:tc>
      </w:tr>
      <w:tr>
        <w:trPr>
          <w:trHeight w:val="713" w:hRule="exact"/>
        </w:trPr>
        <w:tc>
          <w:tcPr>
            <w:tcW w:w="3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4" w:right="216"/>
              <w:jc w:val="left"/>
              <w:rPr>
                <w:rFonts w:ascii="宋体" w:hAnsi="宋体" w:cs="宋体" w:eastAsia="宋体" w:hint="default"/>
                <w:sz w:val="18"/>
                <w:szCs w:val="18"/>
              </w:rPr>
            </w:pPr>
            <w:r>
              <w:rPr>
                <w:rFonts w:ascii="宋体" w:hAnsi="宋体" w:cs="宋体" w:eastAsia="宋体" w:hint="default"/>
                <w:sz w:val="18"/>
                <w:szCs w:val="18"/>
              </w:rPr>
              <w:t>募集资金使用及披露中存在的问题或其他 情况</w:t>
            </w:r>
          </w:p>
        </w:tc>
        <w:tc>
          <w:tcPr>
            <w:tcW w:w="5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333"/>
        <w:jc w:val="left"/>
      </w:pPr>
      <w:r>
        <w:rPr/>
        <w:t>□ 适用 √</w:t>
      </w:r>
      <w:r>
        <w:rPr>
          <w:spacing w:val="3"/>
        </w:rPr>
        <w:t> </w:t>
      </w:r>
      <w:r>
        <w:rPr/>
        <w:t>不适用</w:t>
      </w:r>
      <w:r>
        <w:rPr/>
        <w:t> 公司报告期不存在募集资金变更项目情况。</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413"/>
        <w:jc w:val="left"/>
      </w:pPr>
      <w:r>
        <w:rPr/>
        <w:t>□ 适用 √</w:t>
      </w:r>
      <w:r>
        <w:rPr>
          <w:spacing w:val="3"/>
        </w:rPr>
        <w:t> </w:t>
      </w:r>
      <w:r>
        <w:rPr/>
        <w:t>不适用</w:t>
      </w:r>
      <w:r>
        <w:rPr/>
        <w:t> 公司报告期未出售重大资产。</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after="0" w:line="240" w:lineRule="auto"/>
        <w:jc w:val="left"/>
        <w:sectPr>
          <w:pgSz w:w="11910" w:h="16840"/>
          <w:pgMar w:header="0" w:footer="1261" w:top="1120" w:bottom="1460" w:left="980" w:right="0"/>
        </w:sectPr>
      </w:pPr>
    </w:p>
    <w:p>
      <w:pPr>
        <w:spacing w:line="240" w:lineRule="auto" w:before="9"/>
        <w:rPr>
          <w:rFonts w:ascii="宋体" w:hAnsi="宋体" w:cs="宋体" w:eastAsia="宋体" w:hint="default"/>
          <w:sz w:val="23"/>
          <w:szCs w:val="23"/>
        </w:rPr>
      </w:pPr>
    </w:p>
    <w:p>
      <w:pPr>
        <w:pStyle w:val="Heading2"/>
        <w:spacing w:line="240" w:lineRule="auto"/>
        <w:ind w:left="140" w:right="-19"/>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0" w:right="-19"/>
        <w:jc w:val="left"/>
      </w:pPr>
      <w:r>
        <w:rPr/>
        <w:t>√ 适用 □</w:t>
      </w:r>
      <w:r>
        <w:rPr>
          <w:spacing w:val="3"/>
        </w:rPr>
        <w:t> </w:t>
      </w:r>
      <w:r>
        <w:rPr/>
        <w:t>不适用</w:t>
      </w:r>
    </w:p>
    <w:p>
      <w:pPr>
        <w:pStyle w:val="BodyText"/>
        <w:spacing w:line="240" w:lineRule="auto" w:before="117"/>
        <w:ind w:left="140" w:right="-19"/>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pStyle w:val="BodyText"/>
        <w:spacing w:line="240" w:lineRule="auto" w:before="34"/>
        <w:ind w:left="0" w:right="133"/>
        <w:jc w:val="right"/>
      </w:pPr>
      <w:r>
        <w:rPr/>
        <w:br w:type="column"/>
      </w: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BodyText"/>
        <w:spacing w:line="240" w:lineRule="auto"/>
        <w:ind w:left="0" w:right="137"/>
        <w:jc w:val="right"/>
      </w:pPr>
      <w:r>
        <w:rPr/>
        <w:pict>
          <v:group style="position:absolute;margin-left:70.559998pt;margin-top:-68.568275pt;width:700.9pt;height:.1pt;mso-position-horizontal-relative:page;mso-position-vertical-relative:paragraph;z-index:1168" coordorigin="1411,-1371" coordsize="14018,2">
            <v:shape style="position:absolute;left:1411;top:-1371;width:14018;height:2" coordorigin="1411,-1371" coordsize="14018,0" path="m1411,-1371l15429,-1371e" filled="false" stroked="true" strokeweight=".48pt" strokecolor="#000000">
              <v:path arrowok="t"/>
            </v:shape>
            <w10:wrap type="none"/>
          </v:group>
        </w:pict>
      </w:r>
      <w:r>
        <w:rPr/>
        <w:t>单位：元</w:t>
      </w:r>
    </w:p>
    <w:p>
      <w:pPr>
        <w:spacing w:after="0" w:line="240" w:lineRule="auto"/>
        <w:jc w:val="right"/>
        <w:sectPr>
          <w:headerReference w:type="default" r:id="rId24"/>
          <w:footerReference w:type="default" r:id="rId25"/>
          <w:pgSz w:w="16840" w:h="11910" w:orient="landscape"/>
          <w:pgMar w:header="0" w:footer="0" w:top="820" w:bottom="0" w:left="1300" w:right="1300"/>
          <w:cols w:num="2" w:equalWidth="0">
            <w:col w:w="4838" w:space="4891"/>
            <w:col w:w="4511"/>
          </w:cols>
        </w:sectPr>
      </w:pP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2004"/>
        <w:gridCol w:w="1116"/>
        <w:gridCol w:w="1400"/>
        <w:gridCol w:w="1402"/>
        <w:gridCol w:w="1935"/>
        <w:gridCol w:w="1524"/>
        <w:gridCol w:w="1524"/>
        <w:gridCol w:w="1522"/>
        <w:gridCol w:w="1524"/>
      </w:tblGrid>
      <w:tr>
        <w:trPr>
          <w:trHeight w:val="754"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63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49"/>
              <w:ind w:left="372" w:right="372"/>
              <w:jc w:val="center"/>
              <w:rPr>
                <w:rFonts w:ascii="宋体" w:hAnsi="宋体" w:cs="宋体" w:eastAsia="宋体" w:hint="default"/>
                <w:sz w:val="18"/>
                <w:szCs w:val="18"/>
              </w:rPr>
            </w:pPr>
            <w:r>
              <w:rPr>
                <w:rFonts w:ascii="宋体" w:hAnsi="宋体" w:cs="宋体" w:eastAsia="宋体" w:hint="default"/>
                <w:sz w:val="18"/>
                <w:szCs w:val="18"/>
              </w:rPr>
              <w:t>公司 类型</w:t>
            </w:r>
          </w:p>
        </w:tc>
        <w:tc>
          <w:tcPr>
            <w:tcW w:w="1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396"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8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9"/>
              <w:jc w:val="left"/>
              <w:rPr>
                <w:rFonts w:ascii="宋体" w:hAnsi="宋体" w:cs="宋体" w:eastAsia="宋体" w:hint="default"/>
                <w:sz w:val="18"/>
                <w:szCs w:val="18"/>
              </w:rPr>
            </w:pPr>
            <w:r>
              <w:rPr>
                <w:rFonts w:ascii="宋体" w:hAnsi="宋体" w:cs="宋体" w:eastAsia="宋体" w:hint="default"/>
                <w:sz w:val="18"/>
                <w:szCs w:val="18"/>
              </w:rPr>
              <w:t>神州数码系统集成服 务有限公司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51"/>
              <w:jc w:val="left"/>
              <w:rPr>
                <w:rFonts w:ascii="宋体" w:hAnsi="宋体" w:cs="宋体" w:eastAsia="宋体" w:hint="default"/>
                <w:sz w:val="18"/>
                <w:szCs w:val="18"/>
              </w:rPr>
            </w:pPr>
            <w:r>
              <w:rPr>
                <w:rFonts w:ascii="Times New Roman" w:hAnsi="Times New Roman" w:cs="Times New Roman" w:eastAsia="Times New Roman" w:hint="default"/>
                <w:sz w:val="18"/>
                <w:szCs w:val="18"/>
              </w:rPr>
              <w:t>80000 </w:t>
            </w:r>
            <w:r>
              <w:rPr>
                <w:rFonts w:ascii="宋体" w:hAnsi="宋体" w:cs="宋体" w:eastAsia="宋体" w:hint="default"/>
                <w:sz w:val="18"/>
                <w:szCs w:val="18"/>
              </w:rPr>
              <w:t>万元人 民币</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5,367,292,827.25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1,257,970,597.09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6,775,507,582.39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152,758,161.51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130,386,951.77</w:t>
            </w:r>
          </w:p>
        </w:tc>
      </w:tr>
      <w:tr>
        <w:trPr>
          <w:trHeight w:val="713"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69"/>
              <w:jc w:val="left"/>
              <w:rPr>
                <w:rFonts w:ascii="宋体" w:hAnsi="宋体" w:cs="宋体" w:eastAsia="宋体" w:hint="default"/>
                <w:sz w:val="18"/>
                <w:szCs w:val="18"/>
              </w:rPr>
            </w:pPr>
            <w:r>
              <w:rPr>
                <w:rFonts w:ascii="宋体" w:hAnsi="宋体" w:cs="宋体" w:eastAsia="宋体" w:hint="default"/>
                <w:sz w:val="18"/>
                <w:szCs w:val="18"/>
              </w:rPr>
              <w:t>神州数码融信软件有 限公司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万港元</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1,177,508,942.44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807,460,287.77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1,383,625,749.23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124,100,219.04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112,658,505.56</w:t>
            </w:r>
          </w:p>
        </w:tc>
      </w:tr>
      <w:tr>
        <w:trPr>
          <w:trHeight w:val="716"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69"/>
              <w:jc w:val="left"/>
              <w:rPr>
                <w:rFonts w:ascii="宋体" w:hAnsi="宋体" w:cs="宋体" w:eastAsia="宋体" w:hint="default"/>
                <w:sz w:val="18"/>
                <w:szCs w:val="18"/>
              </w:rPr>
            </w:pPr>
            <w:r>
              <w:rPr>
                <w:rFonts w:ascii="宋体" w:hAnsi="宋体" w:cs="宋体" w:eastAsia="宋体" w:hint="default"/>
                <w:sz w:val="18"/>
                <w:szCs w:val="18"/>
              </w:rPr>
              <w:t>南京华苏科技有限公 司</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网络优化服务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51"/>
              <w:jc w:val="left"/>
              <w:rPr>
                <w:rFonts w:ascii="宋体" w:hAnsi="宋体" w:cs="宋体" w:eastAsia="宋体" w:hint="default"/>
                <w:sz w:val="18"/>
                <w:szCs w:val="18"/>
              </w:rPr>
            </w:pPr>
            <w:r>
              <w:rPr>
                <w:rFonts w:ascii="Times New Roman" w:hAnsi="Times New Roman" w:cs="Times New Roman" w:eastAsia="Times New Roman" w:hint="default"/>
                <w:sz w:val="18"/>
                <w:szCs w:val="18"/>
              </w:rPr>
              <w:t>10234 </w:t>
            </w:r>
            <w:r>
              <w:rPr>
                <w:rFonts w:ascii="宋体" w:hAnsi="宋体" w:cs="宋体" w:eastAsia="宋体" w:hint="default"/>
                <w:sz w:val="18"/>
                <w:szCs w:val="18"/>
              </w:rPr>
              <w:t>万元人 民币</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928,474,716.73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537,356,288.26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966,297,100.94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105,564,208.28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97,877,967.75</w:t>
            </w:r>
          </w:p>
        </w:tc>
      </w:tr>
      <w:tr>
        <w:trPr>
          <w:trHeight w:val="1025" w:hRule="exact"/>
        </w:trPr>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103" w:right="510"/>
              <w:jc w:val="left"/>
              <w:rPr>
                <w:rFonts w:ascii="Times New Roman" w:hAnsi="Times New Roman" w:cs="Times New Roman" w:eastAsia="Times New Roman" w:hint="default"/>
                <w:sz w:val="18"/>
                <w:szCs w:val="18"/>
              </w:rPr>
            </w:pPr>
            <w:r>
              <w:rPr>
                <w:rFonts w:ascii="Times New Roman"/>
                <w:spacing w:val="-3"/>
                <w:sz w:val="18"/>
              </w:rPr>
              <w:t>DIGITAL</w:t>
            </w:r>
            <w:r>
              <w:rPr>
                <w:rFonts w:ascii="Times New Roman"/>
                <w:spacing w:val="-9"/>
                <w:sz w:val="18"/>
              </w:rPr>
              <w:t> </w:t>
            </w:r>
            <w:r>
              <w:rPr>
                <w:rFonts w:ascii="Times New Roman"/>
                <w:sz w:val="18"/>
              </w:rPr>
              <w:t>CHINA</w:t>
            </w:r>
            <w:r>
              <w:rPr>
                <w:rFonts w:ascii="Times New Roman"/>
                <w:spacing w:val="-42"/>
                <w:sz w:val="18"/>
              </w:rPr>
              <w:t> </w:t>
            </w:r>
            <w:r>
              <w:rPr>
                <w:rFonts w:ascii="Times New Roman"/>
                <w:spacing w:val="-42"/>
                <w:sz w:val="18"/>
              </w:rPr>
            </w:r>
            <w:r>
              <w:rPr>
                <w:rFonts w:ascii="Times New Roman"/>
                <w:spacing w:val="-2"/>
                <w:sz w:val="18"/>
              </w:rPr>
              <w:t>SOFTWARE(BVI)</w:t>
            </w:r>
            <w:r>
              <w:rPr>
                <w:rFonts w:ascii="Times New Roman"/>
                <w:spacing w:val="-42"/>
                <w:sz w:val="18"/>
              </w:rPr>
              <w:t> </w:t>
            </w:r>
            <w:r>
              <w:rPr>
                <w:rFonts w:ascii="Times New Roman"/>
                <w:spacing w:val="-42"/>
                <w:sz w:val="18"/>
              </w:rPr>
            </w:r>
            <w:r>
              <w:rPr>
                <w:rFonts w:ascii="Times New Roman"/>
                <w:sz w:val="18"/>
              </w:rPr>
              <w:t>LIMITED</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万港元</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741,465,340.05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410,857,523.98</w:t>
            </w:r>
          </w:p>
        </w:tc>
        <w:tc>
          <w:tcPr>
            <w:tcW w:w="1524"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59,496,392.00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53,483,021.52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ind w:left="0" w:right="140"/>
        <w:jc w:val="right"/>
        <w:rPr>
          <w:rFonts w:ascii="Times New Roman" w:hAnsi="Times New Roman" w:cs="Times New Roman" w:eastAsia="Times New Roman" w:hint="default"/>
        </w:rPr>
      </w:pPr>
      <w:r>
        <w:rPr>
          <w:rFonts w:ascii="Times New Roman"/>
        </w:rPr>
        <w:t>30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8"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100" w:bottom="1460" w:left="1300" w:right="1300"/>
        </w:sectPr>
      </w:pPr>
    </w:p>
    <w:p>
      <w:pPr>
        <w:spacing w:line="240" w:lineRule="auto" w:before="6"/>
        <w:rPr>
          <w:rFonts w:ascii="Times New Roman" w:hAnsi="Times New Roman" w:cs="Times New Roman" w:eastAsia="Times New Roman" w:hint="default"/>
          <w:sz w:val="23"/>
          <w:szCs w:val="23"/>
        </w:rPr>
      </w:pPr>
    </w:p>
    <w:p>
      <w:pPr>
        <w:pStyle w:val="BodyText"/>
        <w:spacing w:line="240" w:lineRule="auto" w:before="44"/>
        <w:ind w:right="0"/>
        <w:jc w:val="left"/>
      </w:pPr>
      <w:r>
        <w:rPr/>
        <w:t>报告期内取得和处置子公司的情况</w:t>
      </w:r>
    </w:p>
    <w:p>
      <w:pPr>
        <w:pStyle w:val="BodyText"/>
        <w:spacing w:line="240" w:lineRule="auto" w:before="117"/>
        <w:ind w:right="0"/>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3608"/>
        <w:gridCol w:w="2987"/>
        <w:gridCol w:w="2976"/>
      </w:tblGrid>
      <w:tr>
        <w:trPr>
          <w:trHeight w:val="466" w:hRule="exact"/>
        </w:trPr>
        <w:tc>
          <w:tcPr>
            <w:tcW w:w="3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14"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63"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智慧神州天融（北京）监测技术有限公司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新设增加</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63"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新疆神州三宝信息技术有限公司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新设增加</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66"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北京神州通慧科技有限公司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新设增加</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63"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神州龙安</w:t>
            </w:r>
            <w:r>
              <w:rPr>
                <w:rFonts w:ascii="Times New Roman" w:hAnsi="Times New Roman" w:cs="Times New Roman" w:eastAsia="Times New Roman" w:hint="default"/>
                <w:sz w:val="18"/>
                <w:szCs w:val="18"/>
              </w:rPr>
              <w:t>(</w:t>
            </w:r>
            <w:r>
              <w:rPr>
                <w:rFonts w:ascii="宋体" w:hAnsi="宋体" w:cs="宋体" w:eastAsia="宋体" w:hint="default"/>
                <w:sz w:val="18"/>
                <w:szCs w:val="18"/>
              </w:rPr>
              <w:t>金华</w:t>
            </w:r>
            <w:r>
              <w:rPr>
                <w:rFonts w:ascii="Times New Roman" w:hAnsi="Times New Roman" w:cs="Times New Roman" w:eastAsia="Times New Roman" w:hint="default"/>
                <w:sz w:val="18"/>
                <w:szCs w:val="18"/>
              </w:rPr>
              <w:t>)</w:t>
            </w:r>
            <w:r>
              <w:rPr>
                <w:rFonts w:ascii="宋体" w:hAnsi="宋体" w:cs="宋体" w:eastAsia="宋体" w:hint="default"/>
                <w:sz w:val="18"/>
                <w:szCs w:val="18"/>
              </w:rPr>
              <w:t>信息技术服务有限公司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新设增加</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713"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5" w:right="724"/>
              <w:jc w:val="left"/>
              <w:rPr>
                <w:rFonts w:ascii="Times New Roman" w:hAnsi="Times New Roman" w:cs="Times New Roman" w:eastAsia="Times New Roman" w:hint="default"/>
                <w:sz w:val="18"/>
                <w:szCs w:val="18"/>
              </w:rPr>
            </w:pPr>
            <w:r>
              <w:rPr>
                <w:rFonts w:ascii="Times New Roman"/>
                <w:sz w:val="18"/>
              </w:rPr>
              <w:t>Digital China Information</w:t>
            </w:r>
            <w:r>
              <w:rPr>
                <w:rFonts w:ascii="Times New Roman"/>
                <w:spacing w:val="-25"/>
                <w:sz w:val="18"/>
              </w:rPr>
              <w:t> </w:t>
            </w:r>
            <w:r>
              <w:rPr>
                <w:rFonts w:ascii="Times New Roman"/>
                <w:sz w:val="18"/>
              </w:rPr>
              <w:t>Technology</w:t>
            </w:r>
            <w:r>
              <w:rPr>
                <w:rFonts w:ascii="Times New Roman"/>
                <w:sz w:val="18"/>
              </w:rPr>
              <w:t> Indonesia,PT</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新设增加</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66"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left"/>
              <w:rPr>
                <w:rFonts w:ascii="宋体" w:hAnsi="宋体" w:cs="宋体" w:eastAsia="宋体" w:hint="default"/>
                <w:sz w:val="18"/>
                <w:szCs w:val="18"/>
              </w:rPr>
            </w:pPr>
            <w:r>
              <w:rPr>
                <w:rFonts w:ascii="宋体" w:hAnsi="宋体" w:cs="宋体" w:eastAsia="宋体" w:hint="default"/>
                <w:sz w:val="18"/>
                <w:szCs w:val="18"/>
              </w:rPr>
              <w:t>昆明中农信息技术有限公司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63"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神州土地（北京）信息技术有限公司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66"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枣强县农村产权交易服务有限公司</w:t>
            </w:r>
          </w:p>
        </w:tc>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现金购买</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357" w:lineRule="auto" w:before="49"/>
        <w:ind w:left="573" w:right="1153" w:hanging="420"/>
        <w:jc w:val="left"/>
      </w:pPr>
      <w:r>
        <w:rPr/>
        <w:t>主要控股参股公司情况说明 神州数码融信软件有限公司受益于过往持续的研发投入，相关产品及解决方案在国有大行、股份制银行、城商行等领</w:t>
      </w:r>
    </w:p>
    <w:p>
      <w:pPr>
        <w:pStyle w:val="BodyText"/>
        <w:spacing w:line="237" w:lineRule="exact"/>
        <w:ind w:right="0"/>
        <w:jc w:val="left"/>
      </w:pPr>
      <w:r>
        <w:rPr/>
        <w:t>域客户数量实现较快增长，产品渗透率得到进一步提升，业务规模同比明显增长。实现营业收入</w:t>
      </w:r>
      <w:r>
        <w:rPr>
          <w:spacing w:val="-44"/>
        </w:rPr>
        <w:t> </w:t>
      </w:r>
      <w:r>
        <w:rPr>
          <w:rFonts w:ascii="Times New Roman" w:hAnsi="Times New Roman" w:cs="Times New Roman" w:eastAsia="Times New Roman" w:hint="default"/>
        </w:rPr>
        <w:t>13.84</w:t>
      </w:r>
      <w:r>
        <w:rPr>
          <w:rFonts w:ascii="Times New Roman" w:hAnsi="Times New Roman" w:cs="Times New Roman" w:eastAsia="Times New Roman" w:hint="default"/>
          <w:spacing w:val="1"/>
        </w:rPr>
        <w:t> </w:t>
      </w:r>
      <w:r>
        <w:rPr/>
        <w:t>亿，同比增长</w:t>
      </w:r>
    </w:p>
    <w:p>
      <w:pPr>
        <w:pStyle w:val="BodyText"/>
        <w:spacing w:line="300" w:lineRule="auto" w:before="63"/>
        <w:ind w:right="1247"/>
        <w:jc w:val="left"/>
      </w:pPr>
      <w:r>
        <w:rPr>
          <w:rFonts w:ascii="Times New Roman" w:hAnsi="Times New Roman" w:cs="Times New Roman" w:eastAsia="Times New Roman" w:hint="default"/>
        </w:rPr>
        <w:t>90%</w:t>
      </w:r>
      <w:r>
        <w:rPr/>
        <w:t>，净利润</w:t>
      </w:r>
      <w:r>
        <w:rPr>
          <w:spacing w:val="-47"/>
        </w:rPr>
        <w:t> </w:t>
      </w:r>
      <w:r>
        <w:rPr>
          <w:rFonts w:ascii="Times New Roman" w:hAnsi="Times New Roman" w:cs="Times New Roman" w:eastAsia="Times New Roman" w:hint="default"/>
        </w:rPr>
        <w:t>1.13</w:t>
      </w:r>
      <w:r>
        <w:rPr>
          <w:rFonts w:ascii="Times New Roman" w:hAnsi="Times New Roman" w:cs="Times New Roman" w:eastAsia="Times New Roman" w:hint="default"/>
          <w:spacing w:val="-1"/>
        </w:rPr>
        <w:t> </w:t>
      </w:r>
      <w:r>
        <w:rPr/>
        <w:t>亿，同比增长</w:t>
      </w:r>
      <w:r>
        <w:rPr>
          <w:spacing w:val="-46"/>
        </w:rPr>
        <w:t> </w:t>
      </w:r>
      <w:r>
        <w:rPr>
          <w:rFonts w:ascii="Times New Roman" w:hAnsi="Times New Roman" w:cs="Times New Roman" w:eastAsia="Times New Roman" w:hint="default"/>
        </w:rPr>
        <w:t>137%</w:t>
      </w:r>
      <w:r>
        <w:rPr/>
        <w:t>。神州数码系统集成服务有限公司实现营业收入</w:t>
      </w:r>
      <w:r>
        <w:rPr>
          <w:spacing w:val="-46"/>
        </w:rPr>
        <w:t> </w:t>
      </w:r>
      <w:r>
        <w:rPr>
          <w:rFonts w:ascii="Times New Roman" w:hAnsi="Times New Roman" w:cs="Times New Roman" w:eastAsia="Times New Roman" w:hint="default"/>
        </w:rPr>
        <w:t>67.76 </w:t>
      </w:r>
      <w:r>
        <w:rPr/>
        <w:t>亿，净利润</w:t>
      </w:r>
      <w:r>
        <w:rPr>
          <w:spacing w:val="-47"/>
        </w:rPr>
        <w:t> </w:t>
      </w:r>
      <w:r>
        <w:rPr>
          <w:rFonts w:ascii="Times New Roman" w:hAnsi="Times New Roman" w:cs="Times New Roman" w:eastAsia="Times New Roman" w:hint="default"/>
        </w:rPr>
        <w:t>1.30 </w:t>
      </w:r>
      <w:r>
        <w:rPr/>
        <w:t>亿，同比增</w:t>
      </w:r>
      <w:r>
        <w:rPr>
          <w:w w:val="99"/>
        </w:rPr>
        <w:t> </w:t>
      </w:r>
      <w:r>
        <w:rPr/>
        <w:t>长</w:t>
      </w:r>
      <w:r>
        <w:rPr>
          <w:spacing w:val="-50"/>
        </w:rPr>
        <w:t> </w:t>
      </w:r>
      <w:r>
        <w:rPr>
          <w:rFonts w:ascii="Times New Roman" w:hAnsi="Times New Roman" w:cs="Times New Roman" w:eastAsia="Times New Roman" w:hint="default"/>
        </w:rPr>
        <w:t>1353%</w:t>
      </w:r>
      <w:r>
        <w:rPr/>
        <w:t>，主要受去年该公司对金信科技长期投资减值影响。</w:t>
      </w:r>
      <w:r>
        <w:rPr>
          <w:rFonts w:ascii="Times New Roman" w:hAnsi="Times New Roman" w:cs="Times New Roman" w:eastAsia="Times New Roman" w:hint="default"/>
        </w:rPr>
        <w:t>DIGITAL</w:t>
      </w:r>
      <w:r>
        <w:rPr>
          <w:rFonts w:ascii="Times New Roman" w:hAnsi="Times New Roman" w:cs="Times New Roman" w:eastAsia="Times New Roman" w:hint="default"/>
          <w:spacing w:val="-14"/>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17"/>
        </w:rPr>
        <w:t> </w:t>
      </w:r>
      <w:r>
        <w:rPr>
          <w:rFonts w:ascii="Times New Roman" w:hAnsi="Times New Roman" w:cs="Times New Roman" w:eastAsia="Times New Roman" w:hint="default"/>
        </w:rPr>
        <w:t>SOFTWARE(BVI)</w:t>
      </w:r>
      <w:r>
        <w:rPr>
          <w:rFonts w:ascii="Times New Roman" w:hAnsi="Times New Roman" w:cs="Times New Roman" w:eastAsia="Times New Roman" w:hint="default"/>
          <w:spacing w:val="-5"/>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2"/>
        </w:rPr>
        <w:t> </w:t>
      </w:r>
      <w:r>
        <w:rPr/>
        <w:t>实现净利润 </w:t>
      </w:r>
      <w:r>
        <w:rPr>
          <w:rFonts w:ascii="Times New Roman" w:hAnsi="Times New Roman" w:cs="Times New Roman" w:eastAsia="Times New Roman" w:hint="default"/>
        </w:rPr>
        <w:t>5,348.30</w:t>
      </w:r>
      <w:r>
        <w:rPr>
          <w:rFonts w:ascii="Times New Roman" w:hAnsi="Times New Roman" w:cs="Times New Roman" w:eastAsia="Times New Roman" w:hint="default"/>
          <w:spacing w:val="-1"/>
        </w:rPr>
        <w:t> </w:t>
      </w:r>
      <w:r>
        <w:rPr/>
        <w:t>万元，同比增长</w:t>
      </w:r>
      <w:r>
        <w:rPr>
          <w:spacing w:val="-47"/>
        </w:rPr>
        <w:t> </w:t>
      </w:r>
      <w:r>
        <w:rPr>
          <w:rFonts w:ascii="Times New Roman" w:hAnsi="Times New Roman" w:cs="Times New Roman" w:eastAsia="Times New Roman" w:hint="default"/>
        </w:rPr>
        <w:t>312%</w:t>
      </w:r>
      <w:r>
        <w:rPr/>
        <w:t>，该公司是持有鼎捷软件的主体，鼎捷软件情况请参见其</w:t>
      </w:r>
      <w:r>
        <w:rPr>
          <w:spacing w:val="-46"/>
        </w:rPr>
        <w:t> </w:t>
      </w:r>
      <w:r>
        <w:rPr>
          <w:rFonts w:ascii="Times New Roman" w:hAnsi="Times New Roman" w:cs="Times New Roman" w:eastAsia="Times New Roman" w:hint="default"/>
        </w:rPr>
        <w:t>2019 </w:t>
      </w:r>
      <w:r>
        <w:rPr/>
        <w:t>年年度报告，鼎捷软件股票 出售情况请参见第五节、十九（三）“关于下属子公司对外出售股票资产的进展情况”部分。</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3" w:right="1137"/>
        <w:jc w:val="left"/>
      </w:pPr>
      <w:r>
        <w:rPr>
          <w:rFonts w:ascii="宋体" w:hAnsi="宋体" w:cs="宋体" w:eastAsia="宋体" w:hint="default"/>
          <w:b/>
          <w:bCs/>
        </w:rPr>
        <w:t>（一）公司未来发展战略</w:t>
      </w:r>
      <w:r>
        <w:rPr>
          <w:rFonts w:ascii="宋体" w:hAnsi="宋体" w:cs="宋体" w:eastAsia="宋体" w:hint="default"/>
          <w:b/>
          <w:bCs/>
          <w:w w:val="99"/>
        </w:rPr>
        <w:t> </w:t>
      </w:r>
      <w:r>
        <w:rPr>
          <w:spacing w:val="-2"/>
        </w:rPr>
        <w:t>公司将以金融科技战略为引领，持续发力金融行业信息技术应用创新和场景金融。一方面，紧跟信创试点项目机遇，发</w:t>
      </w:r>
      <w:r>
        <w:rPr/>
      </w:r>
    </w:p>
    <w:p>
      <w:pPr>
        <w:pStyle w:val="BodyText"/>
        <w:spacing w:line="222" w:lineRule="exact"/>
        <w:ind w:right="0"/>
        <w:jc w:val="left"/>
      </w:pPr>
      <w:r>
        <w:rPr/>
        <w:t>挥金融行业分布式技术的先发优势，助力打造安全、可控、先进、高效的金融科技应用体系，巩固公司在信息基础设施建设</w:t>
      </w:r>
    </w:p>
    <w:p>
      <w:pPr>
        <w:pStyle w:val="BodyText"/>
        <w:spacing w:line="319" w:lineRule="auto" w:before="76"/>
        <w:ind w:right="0"/>
        <w:jc w:val="left"/>
        <w:rPr>
          <w:rFonts w:ascii="宋体" w:hAnsi="宋体" w:cs="宋体" w:eastAsia="宋体" w:hint="default"/>
        </w:rPr>
      </w:pPr>
      <w:r>
        <w:rPr>
          <w:spacing w:val="-2"/>
        </w:rPr>
        <w:t>领域，尤其是金融行业信息基础设施建设领域的优势地位；另一方面，紧跟技术前沿和政策引领，发挥场景资源优势，推动</w:t>
      </w:r>
      <w:r>
        <w:rPr>
          <w:spacing w:val="-67"/>
        </w:rPr>
        <w:t> </w:t>
      </w:r>
      <w:r>
        <w:rPr>
          <w:spacing w:val="-67"/>
        </w:rPr>
      </w:r>
      <w:r>
        <w:rPr/>
        <w:t>金融行业的深化改革，融合跨行业的数据和场景，更好地服务实体经济。</w:t>
      </w:r>
      <w:r>
        <w:rPr>
          <w:rFonts w:ascii="宋体" w:hAnsi="宋体" w:cs="宋体" w:eastAsia="宋体" w:hint="default"/>
        </w:rPr>
        <w:t> </w:t>
      </w:r>
    </w:p>
    <w:p>
      <w:pPr>
        <w:pStyle w:val="BodyText"/>
        <w:spacing w:line="360" w:lineRule="auto" w:before="55"/>
        <w:ind w:left="513" w:right="0"/>
        <w:jc w:val="left"/>
      </w:pPr>
      <w:r>
        <w:rPr>
          <w:rFonts w:ascii="宋体" w:hAnsi="宋体" w:cs="宋体" w:eastAsia="宋体" w:hint="default"/>
          <w:b/>
          <w:bCs/>
        </w:rPr>
        <w:t>（二）</w:t>
      </w:r>
      <w:r>
        <w:rPr>
          <w:rFonts w:ascii="宋体" w:hAnsi="宋体" w:cs="宋体" w:eastAsia="宋体" w:hint="default"/>
          <w:b/>
          <w:bCs/>
        </w:rPr>
        <w:t>2020</w:t>
      </w:r>
      <w:r>
        <w:rPr>
          <w:rFonts w:ascii="宋体" w:hAnsi="宋体" w:cs="宋体" w:eastAsia="宋体" w:hint="default"/>
          <w:b/>
          <w:bCs/>
        </w:rPr>
        <w:t>年经营计划</w:t>
      </w:r>
      <w:r>
        <w:rPr>
          <w:rFonts w:ascii="宋体" w:hAnsi="宋体" w:cs="宋体" w:eastAsia="宋体" w:hint="default"/>
          <w:b/>
          <w:bCs/>
          <w:w w:val="99"/>
        </w:rPr>
        <w:t> </w:t>
      </w:r>
      <w:r>
        <w:rPr>
          <w:spacing w:val="-2"/>
        </w:rPr>
        <w:t>在信息技术应用创新领域，抓住金融行业信息技术应用创新产业的发展机遇，推动软件开发、技术服务和系统集成业务</w:t>
      </w:r>
    </w:p>
    <w:p>
      <w:pPr>
        <w:pStyle w:val="BodyText"/>
        <w:spacing w:line="222" w:lineRule="exact"/>
        <w:ind w:right="0"/>
        <w:jc w:val="left"/>
      </w:pPr>
      <w:r>
        <w:rPr/>
        <w:t>的迅速增长。深化与华为、龙芯、信通院云大所等合作伙伴的合作，共建信创生态，积极推动金融科技领域的信息基础设施</w:t>
      </w:r>
    </w:p>
    <w:p>
      <w:pPr>
        <w:pStyle w:val="BodyText"/>
        <w:spacing w:line="360" w:lineRule="auto" w:before="76"/>
        <w:ind w:left="513" w:right="0" w:hanging="360"/>
        <w:jc w:val="left"/>
      </w:pPr>
      <w:r>
        <w:rPr/>
        <w:t>建设和金融行业的技术升级，为国家金融科技创新提供技术保障。</w:t>
      </w:r>
      <w:r>
        <w:rPr>
          <w:rFonts w:ascii="宋体" w:hAnsi="宋体" w:cs="宋体" w:eastAsia="宋体" w:hint="default"/>
        </w:rPr>
        <w:t> </w:t>
      </w:r>
      <w:r>
        <w:rPr>
          <w:spacing w:val="-2"/>
        </w:rPr>
        <w:t>在场景金融领域，推动金融科技场景业务模式走向成熟，携手合作伙伴，通过优势技术的输出，拓展合作场景。公司将</w:t>
      </w:r>
    </w:p>
    <w:p>
      <w:pPr>
        <w:pStyle w:val="BodyText"/>
        <w:spacing w:line="222" w:lineRule="exact"/>
        <w:ind w:right="0"/>
        <w:jc w:val="left"/>
      </w:pPr>
      <w:r>
        <w:rPr>
          <w:spacing w:val="-5"/>
        </w:rPr>
        <w:t>基于云计算、大数据、人工智能等底层技术和我们对行业的理解，构建行业知识图谱，打通金融、科技、产业间的信息渠道，</w:t>
      </w:r>
    </w:p>
    <w:p>
      <w:pPr>
        <w:pStyle w:val="BodyText"/>
        <w:spacing w:line="240" w:lineRule="auto" w:before="76"/>
        <w:ind w:right="0"/>
        <w:jc w:val="left"/>
        <w:rPr>
          <w:rFonts w:ascii="宋体" w:hAnsi="宋体" w:cs="宋体" w:eastAsia="宋体" w:hint="default"/>
        </w:rPr>
      </w:pPr>
      <w:r>
        <w:rPr/>
        <w:t>实现在创新业务模式的落地。</w:t>
      </w:r>
      <w:r>
        <w:rPr>
          <w:rFonts w:ascii="宋体" w:hAnsi="宋体" w:cs="宋体" w:eastAsia="宋体" w:hint="default"/>
        </w:rPr>
        <w:t> </w:t>
      </w:r>
    </w:p>
    <w:p>
      <w:pPr>
        <w:pStyle w:val="BodyText"/>
        <w:spacing w:line="240" w:lineRule="auto" w:before="114"/>
        <w:ind w:left="513" w:right="0"/>
        <w:jc w:val="left"/>
      </w:pPr>
      <w:r>
        <w:rPr/>
        <w:t>在基石业务领域，公司将把握</w:t>
      </w:r>
      <w:r>
        <w:rPr>
          <w:spacing w:val="-53"/>
        </w:rPr>
        <w:t> </w:t>
      </w:r>
      <w:r>
        <w:rPr>
          <w:rFonts w:ascii="宋体" w:hAnsi="宋体" w:cs="宋体" w:eastAsia="宋体" w:hint="default"/>
        </w:rPr>
        <w:t>5G</w:t>
      </w:r>
      <w:r>
        <w:rPr>
          <w:rFonts w:ascii="宋体" w:hAnsi="宋体" w:cs="宋体" w:eastAsia="宋体" w:hint="default"/>
          <w:spacing w:val="-53"/>
        </w:rPr>
        <w:t> </w:t>
      </w:r>
      <w:r>
        <w:rPr>
          <w:spacing w:val="-3"/>
        </w:rPr>
        <w:t>浪潮，积极拓展运营商行业市场份额；在</w:t>
      </w:r>
      <w:r>
        <w:rPr>
          <w:spacing w:val="-53"/>
        </w:rPr>
        <w:t> </w:t>
      </w:r>
      <w:r>
        <w:rPr>
          <w:rFonts w:ascii="宋体" w:hAnsi="宋体" w:cs="宋体" w:eastAsia="宋体" w:hint="default"/>
        </w:rPr>
        <w:t>2020</w:t>
      </w:r>
      <w:r>
        <w:rPr>
          <w:rFonts w:ascii="宋体" w:hAnsi="宋体" w:cs="宋体" w:eastAsia="宋体" w:hint="default"/>
          <w:spacing w:val="-53"/>
        </w:rPr>
        <w:t> </w:t>
      </w:r>
      <w:r>
        <w:rPr/>
        <w:t>年中央一号文件的指引下，以技术补充</w:t>
      </w:r>
    </w:p>
    <w:p>
      <w:pPr>
        <w:spacing w:after="0" w:line="240" w:lineRule="auto"/>
        <w:jc w:val="left"/>
        <w:sectPr>
          <w:footerReference w:type="default" r:id="rId26"/>
          <w:pgSz w:w="11910" w:h="16840"/>
          <w:pgMar w:footer="1261" w:header="0" w:top="1120" w:bottom="1460" w:left="980" w:right="0"/>
          <w:pgNumType w:start="31"/>
        </w:sectPr>
      </w:pPr>
    </w:p>
    <w:p>
      <w:pPr>
        <w:spacing w:line="240" w:lineRule="auto" w:before="9"/>
        <w:rPr>
          <w:rFonts w:ascii="宋体" w:hAnsi="宋体" w:cs="宋体" w:eastAsia="宋体" w:hint="default"/>
          <w:sz w:val="20"/>
          <w:szCs w:val="20"/>
        </w:rPr>
      </w:pPr>
    </w:p>
    <w:p>
      <w:pPr>
        <w:pStyle w:val="BodyText"/>
        <w:spacing w:line="319" w:lineRule="auto" w:before="44"/>
        <w:ind w:right="1133"/>
        <w:jc w:val="both"/>
        <w:rPr>
          <w:rFonts w:ascii="宋体" w:hAnsi="宋体" w:cs="宋体" w:eastAsia="宋体" w:hint="default"/>
        </w:rPr>
      </w:pPr>
      <w:r>
        <w:rPr>
          <w:spacing w:val="-2"/>
        </w:rPr>
        <w:t>“三农”领域短板；同时，在税务、量子通信等其他领域也将积极挖掘行业机会，促进业务健康、稳健发展，并持续探索与</w:t>
      </w:r>
      <w:r>
        <w:rPr>
          <w:spacing w:val="-68"/>
        </w:rPr>
        <w:t> </w:t>
      </w:r>
      <w:r>
        <w:rPr>
          <w:spacing w:val="-68"/>
        </w:rPr>
      </w:r>
      <w:r>
        <w:rPr/>
        <w:t>金融业务的融合。</w:t>
      </w:r>
      <w:r>
        <w:rPr>
          <w:rFonts w:ascii="宋体" w:hAnsi="宋体" w:cs="宋体" w:eastAsia="宋体" w:hint="default"/>
        </w:rPr>
        <w:t> </w:t>
      </w:r>
    </w:p>
    <w:p>
      <w:pPr>
        <w:pStyle w:val="BodyText"/>
        <w:spacing w:line="240" w:lineRule="auto" w:before="58"/>
        <w:ind w:left="513" w:right="0"/>
        <w:jc w:val="left"/>
        <w:rPr>
          <w:rFonts w:ascii="宋体" w:hAnsi="宋体" w:cs="宋体" w:eastAsia="宋体" w:hint="default"/>
        </w:rPr>
      </w:pPr>
      <w:r>
        <w:rPr/>
        <w:t>上述经营计划并不构成公司对投资者的业绩承诺，敬请广大投资者注意投资风险。</w:t>
      </w:r>
      <w:r>
        <w:rPr>
          <w:rFonts w:ascii="宋体" w:hAnsi="宋体" w:cs="宋体" w:eastAsia="宋体" w:hint="default"/>
        </w:rPr>
        <w:t> </w:t>
      </w:r>
    </w:p>
    <w:p>
      <w:pPr>
        <w:pStyle w:val="Heading6"/>
        <w:spacing w:line="240" w:lineRule="auto" w:before="115"/>
        <w:ind w:right="0"/>
        <w:jc w:val="left"/>
        <w:rPr>
          <w:b w:val="0"/>
          <w:bCs w:val="0"/>
        </w:rPr>
      </w:pPr>
      <w:r>
        <w:rPr/>
        <w:t>（三）公司发展过程中可能面临的风险</w:t>
      </w:r>
      <w:r>
        <w:rPr>
          <w:b w:val="0"/>
          <w:bCs w:val="0"/>
        </w:rPr>
      </w:r>
    </w:p>
    <w:p>
      <w:pPr>
        <w:pStyle w:val="BodyText"/>
        <w:spacing w:line="340" w:lineRule="auto" w:before="117"/>
        <w:ind w:left="573" w:right="0"/>
        <w:jc w:val="left"/>
      </w:pPr>
      <w:r>
        <w:rPr>
          <w:rFonts w:ascii="Times New Roman" w:hAnsi="Times New Roman" w:cs="Times New Roman" w:eastAsia="Times New Roman" w:hint="default"/>
          <w:b/>
          <w:bCs/>
        </w:rPr>
        <w:t>1</w:t>
      </w:r>
      <w:r>
        <w:rPr>
          <w:rFonts w:ascii="宋体" w:hAnsi="宋体" w:cs="宋体" w:eastAsia="宋体" w:hint="default"/>
          <w:b/>
          <w:bCs/>
        </w:rPr>
        <w:t>、产品技术风险</w:t>
      </w:r>
      <w:r>
        <w:rPr>
          <w:rFonts w:ascii="宋体" w:hAnsi="宋体" w:cs="宋体" w:eastAsia="宋体" w:hint="default"/>
          <w:b/>
          <w:bCs/>
          <w:w w:val="99"/>
        </w:rPr>
        <w:t> </w:t>
      </w:r>
      <w:r>
        <w:rPr/>
        <w:t>随着近年来行业客户需求的增长以及分布式和云计算、大数据、人工智能、区块链等新技术和模式的出现，我国的软</w:t>
      </w:r>
    </w:p>
    <w:p>
      <w:pPr>
        <w:pStyle w:val="BodyText"/>
        <w:spacing w:line="316" w:lineRule="auto" w:before="1"/>
        <w:ind w:right="1129"/>
        <w:jc w:val="both"/>
        <w:rPr>
          <w:rFonts w:ascii="宋体" w:hAnsi="宋体" w:cs="宋体" w:eastAsia="宋体" w:hint="default"/>
        </w:rPr>
      </w:pPr>
      <w:r>
        <w:rPr>
          <w:spacing w:val="-2"/>
        </w:rPr>
        <w:t>件与信息技术服务市场规模不断扩大，市场竞争也不断加剧。公司依旧面临着现有产品及服务市场竞争加剧的风险，在个别</w:t>
      </w:r>
      <w:r>
        <w:rPr>
          <w:spacing w:val="-63"/>
        </w:rPr>
        <w:t> </w:t>
      </w:r>
      <w:r>
        <w:rPr>
          <w:spacing w:val="-63"/>
        </w:rPr>
      </w:r>
      <w:r>
        <w:rPr>
          <w:spacing w:val="-2"/>
        </w:rPr>
        <w:t>细分市场或者项目上可能出现竞争态势进一步激化的情况。公司将坚持以自主创新为导向，同时，基于培养的一批既懂技术</w:t>
      </w:r>
      <w:r>
        <w:rPr>
          <w:spacing w:val="-66"/>
        </w:rPr>
        <w:t> </w:t>
      </w:r>
      <w:r>
        <w:rPr>
          <w:spacing w:val="-66"/>
        </w:rPr>
      </w:r>
      <w:r>
        <w:rPr/>
        <w:t>又对所服务行业有深刻理解的复合型人才，紧跟前沿不断革新，为客户不断创造新的价值。</w:t>
      </w:r>
      <w:r>
        <w:rPr>
          <w:rFonts w:ascii="宋体" w:hAnsi="宋体" w:cs="宋体" w:eastAsia="宋体" w:hint="default"/>
        </w:rPr>
        <w:t> </w:t>
      </w:r>
    </w:p>
    <w:p>
      <w:pPr>
        <w:pStyle w:val="BodyText"/>
        <w:spacing w:line="360" w:lineRule="auto" w:before="57"/>
        <w:ind w:left="573" w:right="0" w:hanging="60"/>
        <w:jc w:val="left"/>
      </w:pPr>
      <w:r>
        <w:rPr>
          <w:rFonts w:ascii="宋体" w:hAnsi="宋体" w:cs="宋体" w:eastAsia="宋体" w:hint="default"/>
          <w:b/>
          <w:bCs/>
        </w:rPr>
        <w:t>2</w:t>
      </w:r>
      <w:r>
        <w:rPr>
          <w:rFonts w:ascii="宋体" w:hAnsi="宋体" w:cs="宋体" w:eastAsia="宋体" w:hint="default"/>
          <w:b/>
          <w:bCs/>
        </w:rPr>
        <w:t>、市场竞争风险</w:t>
      </w:r>
      <w:r>
        <w:rPr>
          <w:rFonts w:ascii="宋体" w:hAnsi="宋体" w:cs="宋体" w:eastAsia="宋体" w:hint="default"/>
          <w:b/>
          <w:bCs/>
          <w:w w:val="99"/>
        </w:rPr>
        <w:t> </w:t>
      </w:r>
      <w:r>
        <w:rPr/>
        <w:t>软件开发具有高度的复杂性，如果公司开发的软件技术产品出现质量问题，可能将对客户的业务运作产生不利影响，</w:t>
      </w:r>
    </w:p>
    <w:p>
      <w:pPr>
        <w:pStyle w:val="BodyText"/>
        <w:spacing w:line="223" w:lineRule="exact"/>
        <w:ind w:right="0"/>
        <w:jc w:val="both"/>
      </w:pPr>
      <w:r>
        <w:rPr/>
        <w:t>并可能因此额外增加公司的成本。公司十分注重技术产品开发的质量，并依据</w:t>
      </w:r>
      <w:r>
        <w:rPr>
          <w:rFonts w:ascii="宋体" w:hAnsi="宋体" w:cs="宋体" w:eastAsia="宋体" w:hint="default"/>
        </w:rPr>
        <w:t>GB/T19001-2000 idt</w:t>
      </w:r>
      <w:r>
        <w:rPr>
          <w:rFonts w:ascii="宋体" w:hAnsi="宋体" w:cs="宋体" w:eastAsia="宋体" w:hint="default"/>
          <w:spacing w:val="-5"/>
        </w:rPr>
        <w:t> </w:t>
      </w:r>
      <w:r>
        <w:rPr>
          <w:rFonts w:ascii="宋体" w:hAnsi="宋体" w:cs="宋体" w:eastAsia="宋体" w:hint="default"/>
        </w:rPr>
        <w:t>ISO9001:2000</w:t>
      </w:r>
      <w:r>
        <w:rPr/>
        <w:t>和</w:t>
      </w:r>
      <w:r>
        <w:rPr>
          <w:rFonts w:ascii="宋体" w:hAnsi="宋体" w:cs="宋体" w:eastAsia="宋体" w:hint="default"/>
        </w:rPr>
        <w:t>CMMI</w:t>
      </w:r>
      <w:r>
        <w:rPr/>
        <w:t>等</w:t>
      </w:r>
    </w:p>
    <w:p>
      <w:pPr>
        <w:pStyle w:val="BodyText"/>
        <w:spacing w:line="316" w:lineRule="auto" w:before="76"/>
        <w:ind w:right="1133"/>
        <w:jc w:val="both"/>
        <w:rPr>
          <w:rFonts w:ascii="宋体" w:hAnsi="宋体" w:cs="宋体" w:eastAsia="宋体" w:hint="default"/>
        </w:rPr>
      </w:pPr>
      <w:r>
        <w:rPr/>
        <w:t>标准，运用</w:t>
      </w:r>
      <w:r>
        <w:rPr>
          <w:rFonts w:ascii="宋体" w:hAnsi="宋体" w:cs="宋体" w:eastAsia="宋体" w:hint="default"/>
        </w:rPr>
        <w:t>ITIL</w:t>
      </w:r>
      <w:r>
        <w:rPr/>
        <w:t>和</w:t>
      </w:r>
      <w:r>
        <w:rPr>
          <w:rFonts w:ascii="宋体" w:hAnsi="宋体" w:cs="宋体" w:eastAsia="宋体" w:hint="default"/>
        </w:rPr>
        <w:t>PMBOK</w:t>
      </w:r>
      <w:r>
        <w:rPr/>
        <w:t>知识体系，结合自身丰富的技术开发经验，形成了匹配客户业务视角的服务支持体系与贯穿交付全 过程的技术管理体系和质量控制标准，优化产品品质。</w:t>
      </w:r>
      <w:r>
        <w:rPr>
          <w:rFonts w:ascii="宋体" w:hAnsi="宋体" w:cs="宋体" w:eastAsia="宋体" w:hint="default"/>
        </w:rPr>
        <w:t> </w:t>
      </w:r>
    </w:p>
    <w:p>
      <w:pPr>
        <w:pStyle w:val="BodyText"/>
        <w:spacing w:line="357" w:lineRule="auto" w:before="59"/>
        <w:ind w:left="513" w:right="0" w:firstLine="60"/>
        <w:jc w:val="left"/>
      </w:pPr>
      <w:r>
        <w:rPr>
          <w:rFonts w:ascii="宋体" w:hAnsi="宋体" w:cs="宋体" w:eastAsia="宋体" w:hint="default"/>
          <w:b/>
          <w:bCs/>
        </w:rPr>
        <w:t>3</w:t>
      </w:r>
      <w:r>
        <w:rPr>
          <w:rFonts w:ascii="宋体" w:hAnsi="宋体" w:cs="宋体" w:eastAsia="宋体" w:hint="default"/>
          <w:b/>
          <w:bCs/>
        </w:rPr>
        <w:t>、人力资源风险</w:t>
      </w:r>
      <w:r>
        <w:rPr>
          <w:rFonts w:ascii="宋体" w:hAnsi="宋体" w:cs="宋体" w:eastAsia="宋体" w:hint="default"/>
          <w:b/>
          <w:bCs/>
          <w:w w:val="99"/>
        </w:rPr>
        <w:t> </w:t>
      </w:r>
      <w:r>
        <w:rPr>
          <w:spacing w:val="-2"/>
        </w:rPr>
        <w:t>公司的技术研发和创新，对核心技术人员和关键管理人员的依赖性较大。面对日益激烈的信息技术人才竞争，仍存在着</w:t>
      </w:r>
    </w:p>
    <w:p>
      <w:pPr>
        <w:pStyle w:val="BodyText"/>
        <w:spacing w:line="224" w:lineRule="exact"/>
        <w:ind w:right="0"/>
        <w:jc w:val="both"/>
      </w:pPr>
      <w:r>
        <w:rPr/>
        <w:t>人力资源成本上升，或因关键人才流失而对公司的业务发展造成一定影响的可能。因此，公司面临着人力成本压力增大，提</w:t>
      </w:r>
    </w:p>
    <w:p>
      <w:pPr>
        <w:pStyle w:val="BodyText"/>
        <w:spacing w:line="316" w:lineRule="auto" w:before="76"/>
        <w:ind w:right="1133"/>
        <w:jc w:val="both"/>
        <w:rPr>
          <w:rFonts w:ascii="宋体" w:hAnsi="宋体" w:cs="宋体" w:eastAsia="宋体" w:hint="default"/>
        </w:rPr>
      </w:pPr>
      <w:r>
        <w:rPr>
          <w:spacing w:val="-2"/>
        </w:rPr>
        <w:t>升核心技术人员的忠诚度和归属感、有效保留和吸引人才难度增大的风险。多年来，公司通过提供有竞争力的薪酬福利，建</w:t>
      </w:r>
      <w:r>
        <w:rPr>
          <w:spacing w:val="-66"/>
        </w:rPr>
        <w:t> </w:t>
      </w:r>
      <w:r>
        <w:rPr>
          <w:spacing w:val="-66"/>
        </w:rPr>
      </w:r>
      <w:r>
        <w:rPr>
          <w:spacing w:val="-2"/>
        </w:rPr>
        <w:t>立公平的晋升机制，创造开放、协作的工作环境和企业文化氛围，努力吸引人才、培养人才和保留人才。报告期内，公司还</w:t>
      </w:r>
      <w:r>
        <w:rPr>
          <w:spacing w:val="-68"/>
        </w:rPr>
        <w:t> </w:t>
      </w:r>
      <w:r>
        <w:rPr>
          <w:spacing w:val="-68"/>
        </w:rPr>
      </w:r>
      <w:r>
        <w:rPr/>
        <w:t>通过股权激励计划的方式，提升核心技术人员的忠诚度、有效保留和吸引人才。</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1730"/>
        <w:gridCol w:w="1258"/>
        <w:gridCol w:w="1440"/>
        <w:gridCol w:w="4806"/>
      </w:tblGrid>
      <w:tr>
        <w:trPr>
          <w:trHeight w:val="463"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262"/>
              <w:jc w:val="right"/>
              <w:rPr>
                <w:rFonts w:ascii="宋体" w:hAnsi="宋体" w:cs="宋体" w:eastAsia="宋体" w:hint="default"/>
                <w:sz w:val="18"/>
                <w:szCs w:val="18"/>
              </w:rPr>
            </w:pPr>
            <w:r>
              <w:rPr>
                <w:rFonts w:ascii="宋体" w:hAnsi="宋体" w:cs="宋体" w:eastAsia="宋体" w:hint="default"/>
                <w:sz w:val="18"/>
                <w:szCs w:val="18"/>
              </w:rPr>
              <w:t>接待方式</w:t>
            </w:r>
          </w:p>
        </w:tc>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588"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03" w:right="109"/>
              <w:jc w:val="both"/>
              <w:rPr>
                <w:rFonts w:ascii="Times New Roman" w:hAnsi="Times New Roman" w:cs="Times New Roman" w:eastAsia="Times New Roman" w:hint="default"/>
                <w:sz w:val="18"/>
                <w:szCs w:val="18"/>
              </w:rPr>
            </w:pPr>
            <w:hyperlink r:id="rId27">
              <w:r>
                <w:rPr>
                  <w:rFonts w:ascii="Times New Roman"/>
                  <w:spacing w:val="-1"/>
                  <w:sz w:val="18"/>
                </w:rPr>
                <w:t>http://www.cninfo.com.cn/new/disclosure/detail?stockCode=00</w:t>
              </w:r>
            </w:hyperlink>
            <w:r>
              <w:rPr>
                <w:rFonts w:ascii="Times New Roman"/>
                <w:spacing w:val="-16"/>
                <w:sz w:val="18"/>
              </w:rPr>
              <w:t> </w:t>
            </w:r>
            <w:r>
              <w:rPr>
                <w:rFonts w:ascii="Times New Roman"/>
                <w:spacing w:val="-16"/>
                <w:sz w:val="18"/>
              </w:rPr>
            </w:r>
            <w:r>
              <w:rPr>
                <w:rFonts w:ascii="Times New Roman"/>
                <w:sz w:val="18"/>
              </w:rPr>
              <w:t>0555&amp;announcementId=1205962712&amp;orgId=gssz0000555&amp;an</w:t>
            </w:r>
            <w:r>
              <w:rPr>
                <w:rFonts w:ascii="Times New Roman"/>
                <w:sz w:val="18"/>
              </w:rPr>
              <w:t> nouncementTime=2019-03-29</w:t>
            </w:r>
          </w:p>
        </w:tc>
      </w:tr>
      <w:tr>
        <w:trPr>
          <w:trHeight w:val="1025"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62"/>
              <w:jc w:val="right"/>
              <w:rPr>
                <w:rFonts w:ascii="宋体" w:hAnsi="宋体" w:cs="宋体" w:eastAsia="宋体" w:hint="default"/>
                <w:sz w:val="18"/>
                <w:szCs w:val="18"/>
              </w:rPr>
            </w:pPr>
            <w:r>
              <w:rPr>
                <w:rFonts w:ascii="宋体" w:hAnsi="宋体" w:cs="宋体" w:eastAsia="宋体" w:hint="default"/>
                <w:sz w:val="18"/>
                <w:szCs w:val="18"/>
              </w:rPr>
              <w:t>电话沟通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09"/>
              <w:jc w:val="both"/>
              <w:rPr>
                <w:rFonts w:ascii="Times New Roman" w:hAnsi="Times New Roman" w:cs="Times New Roman" w:eastAsia="Times New Roman" w:hint="default"/>
                <w:sz w:val="18"/>
                <w:szCs w:val="18"/>
              </w:rPr>
            </w:pPr>
            <w:hyperlink r:id="rId27">
              <w:r>
                <w:rPr>
                  <w:rFonts w:ascii="Times New Roman"/>
                  <w:spacing w:val="-1"/>
                  <w:sz w:val="18"/>
                </w:rPr>
                <w:t>http://www.cninfo.com.cn/new/disclosure/detail?stockCode=00</w:t>
              </w:r>
            </w:hyperlink>
            <w:r>
              <w:rPr>
                <w:rFonts w:ascii="Times New Roman"/>
                <w:spacing w:val="-16"/>
                <w:sz w:val="18"/>
              </w:rPr>
              <w:t> </w:t>
            </w:r>
            <w:r>
              <w:rPr>
                <w:rFonts w:ascii="Times New Roman"/>
                <w:spacing w:val="-16"/>
                <w:sz w:val="18"/>
              </w:rPr>
            </w:r>
            <w:r>
              <w:rPr>
                <w:rFonts w:ascii="Times New Roman"/>
                <w:sz w:val="18"/>
              </w:rPr>
              <w:t>0555&amp;announcementId=1206019437&amp;orgId=gssz0000555&amp;an</w:t>
            </w:r>
            <w:r>
              <w:rPr>
                <w:rFonts w:ascii="Times New Roman"/>
                <w:sz w:val="18"/>
              </w:rPr>
              <w:t> nouncementTime=2019-04-15</w:t>
            </w:r>
          </w:p>
        </w:tc>
      </w:tr>
      <w:tr>
        <w:trPr>
          <w:trHeight w:val="1027"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6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03" w:right="109"/>
              <w:jc w:val="both"/>
              <w:rPr>
                <w:rFonts w:ascii="Times New Roman" w:hAnsi="Times New Roman" w:cs="Times New Roman" w:eastAsia="Times New Roman" w:hint="default"/>
                <w:sz w:val="18"/>
                <w:szCs w:val="18"/>
              </w:rPr>
            </w:pPr>
            <w:hyperlink r:id="rId27">
              <w:r>
                <w:rPr>
                  <w:rFonts w:ascii="Times New Roman"/>
                  <w:spacing w:val="-1"/>
                  <w:sz w:val="18"/>
                </w:rPr>
                <w:t>http://www.cninfo.com.cn/new/disclosure/detail?stockCode=00</w:t>
              </w:r>
            </w:hyperlink>
            <w:r>
              <w:rPr>
                <w:rFonts w:ascii="Times New Roman"/>
                <w:spacing w:val="-16"/>
                <w:sz w:val="18"/>
              </w:rPr>
              <w:t> </w:t>
            </w:r>
            <w:r>
              <w:rPr>
                <w:rFonts w:ascii="Times New Roman"/>
                <w:spacing w:val="-16"/>
                <w:sz w:val="18"/>
              </w:rPr>
            </w:r>
            <w:r>
              <w:rPr>
                <w:rFonts w:ascii="Times New Roman"/>
                <w:sz w:val="18"/>
              </w:rPr>
              <w:t>0555&amp;announcementId=1206196441&amp;orgId=gssz0000555&amp;an</w:t>
            </w:r>
            <w:r>
              <w:rPr>
                <w:rFonts w:ascii="Times New Roman"/>
                <w:sz w:val="18"/>
              </w:rPr>
              <w:t> nouncementTime=2019-04-30</w:t>
            </w:r>
          </w:p>
        </w:tc>
      </w:tr>
      <w:tr>
        <w:trPr>
          <w:trHeight w:val="1027"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62"/>
              <w:jc w:val="right"/>
              <w:rPr>
                <w:rFonts w:ascii="宋体" w:hAnsi="宋体" w:cs="宋体" w:eastAsia="宋体" w:hint="default"/>
                <w:sz w:val="18"/>
                <w:szCs w:val="18"/>
              </w:rPr>
            </w:pPr>
            <w:r>
              <w:rPr>
                <w:rFonts w:ascii="宋体" w:hAnsi="宋体" w:cs="宋体" w:eastAsia="宋体" w:hint="default"/>
                <w:sz w:val="18"/>
                <w:szCs w:val="18"/>
              </w:rPr>
              <w:t>实地调研</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09"/>
              <w:jc w:val="both"/>
              <w:rPr>
                <w:rFonts w:ascii="Times New Roman" w:hAnsi="Times New Roman" w:cs="Times New Roman" w:eastAsia="Times New Roman" w:hint="default"/>
                <w:sz w:val="18"/>
                <w:szCs w:val="18"/>
              </w:rPr>
            </w:pPr>
            <w:hyperlink r:id="rId27">
              <w:r>
                <w:rPr>
                  <w:rFonts w:ascii="Times New Roman"/>
                  <w:spacing w:val="-1"/>
                  <w:sz w:val="18"/>
                </w:rPr>
                <w:t>http://www.cninfo.com.cn/new/disclosure/detail?stockCode=00</w:t>
              </w:r>
            </w:hyperlink>
            <w:r>
              <w:rPr>
                <w:rFonts w:ascii="Times New Roman"/>
                <w:spacing w:val="-16"/>
                <w:sz w:val="18"/>
              </w:rPr>
              <w:t> </w:t>
            </w:r>
            <w:r>
              <w:rPr>
                <w:rFonts w:ascii="Times New Roman"/>
                <w:spacing w:val="-16"/>
                <w:sz w:val="18"/>
              </w:rPr>
            </w:r>
            <w:r>
              <w:rPr>
                <w:rFonts w:ascii="Times New Roman"/>
                <w:sz w:val="18"/>
              </w:rPr>
              <w:t>0555&amp;announcementId=1206340120&amp;orgId=gssz0000555&amp;an</w:t>
            </w:r>
            <w:r>
              <w:rPr>
                <w:rFonts w:ascii="Times New Roman"/>
                <w:sz w:val="18"/>
              </w:rPr>
              <w:t> nouncementTime=2019-06-06</w:t>
            </w:r>
          </w:p>
        </w:tc>
      </w:tr>
    </w:tbl>
    <w:p>
      <w:pPr>
        <w:spacing w:after="0" w:line="362" w:lineRule="auto"/>
        <w:jc w:val="both"/>
        <w:rPr>
          <w:rFonts w:ascii="Times New Roman" w:hAnsi="Times New Roman" w:cs="Times New Roman" w:eastAsia="Times New Roman" w:hint="default"/>
          <w:sz w:val="18"/>
          <w:szCs w:val="18"/>
        </w:rPr>
        <w:sectPr>
          <w:pgSz w:w="11910" w:h="16840"/>
          <w:pgMar w:header="0"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261" w:type="dxa"/>
        <w:tblLayout w:type="fixed"/>
        <w:tblCellMar>
          <w:top w:w="0" w:type="dxa"/>
          <w:left w:w="0" w:type="dxa"/>
          <w:bottom w:w="0" w:type="dxa"/>
          <w:right w:w="0" w:type="dxa"/>
        </w:tblCellMar>
        <w:tblLook w:val="01E0"/>
      </w:tblPr>
      <w:tblGrid>
        <w:gridCol w:w="1730"/>
        <w:gridCol w:w="1258"/>
        <w:gridCol w:w="1440"/>
        <w:gridCol w:w="4806"/>
      </w:tblGrid>
      <w:tr>
        <w:trPr>
          <w:trHeight w:val="1025"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09"/>
              <w:jc w:val="both"/>
              <w:rPr>
                <w:rFonts w:ascii="Times New Roman" w:hAnsi="Times New Roman" w:cs="Times New Roman" w:eastAsia="Times New Roman" w:hint="default"/>
                <w:sz w:val="18"/>
                <w:szCs w:val="18"/>
              </w:rPr>
            </w:pPr>
            <w:hyperlink r:id="rId27">
              <w:r>
                <w:rPr>
                  <w:rFonts w:ascii="Times New Roman"/>
                  <w:spacing w:val="-1"/>
                  <w:sz w:val="18"/>
                </w:rPr>
                <w:t>http://www.cninfo.com.cn/new/disclosure/detail?stockCode=00</w:t>
              </w:r>
            </w:hyperlink>
            <w:r>
              <w:rPr>
                <w:rFonts w:ascii="Times New Roman"/>
                <w:spacing w:val="-16"/>
                <w:sz w:val="18"/>
              </w:rPr>
              <w:t> </w:t>
            </w:r>
            <w:r>
              <w:rPr>
                <w:rFonts w:ascii="Times New Roman"/>
                <w:spacing w:val="-16"/>
                <w:sz w:val="18"/>
              </w:rPr>
            </w:r>
            <w:r>
              <w:rPr>
                <w:rFonts w:ascii="Times New Roman"/>
                <w:sz w:val="18"/>
              </w:rPr>
              <w:t>0555&amp;announcementId=1206383366&amp;orgId=gssz0000555&amp;an</w:t>
            </w:r>
            <w:r>
              <w:rPr>
                <w:rFonts w:ascii="Times New Roman"/>
                <w:sz w:val="18"/>
              </w:rPr>
              <w:t> nouncementTime=2019-06-24</w:t>
            </w:r>
          </w:p>
        </w:tc>
      </w:tr>
      <w:tr>
        <w:trPr>
          <w:trHeight w:val="1027"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03" w:right="109"/>
              <w:jc w:val="both"/>
              <w:rPr>
                <w:rFonts w:ascii="Times New Roman" w:hAnsi="Times New Roman" w:cs="Times New Roman" w:eastAsia="Times New Roman" w:hint="default"/>
                <w:sz w:val="18"/>
                <w:szCs w:val="18"/>
              </w:rPr>
            </w:pPr>
            <w:hyperlink r:id="rId27">
              <w:r>
                <w:rPr>
                  <w:rFonts w:ascii="Times New Roman"/>
                  <w:spacing w:val="-1"/>
                  <w:sz w:val="18"/>
                </w:rPr>
                <w:t>http://www.cninfo.com.cn/new/disclosure/detail?stockCode=00</w:t>
              </w:r>
            </w:hyperlink>
            <w:r>
              <w:rPr>
                <w:rFonts w:ascii="Times New Roman"/>
                <w:spacing w:val="-16"/>
                <w:sz w:val="18"/>
              </w:rPr>
              <w:t> </w:t>
            </w:r>
            <w:r>
              <w:rPr>
                <w:rFonts w:ascii="Times New Roman"/>
                <w:spacing w:val="-16"/>
                <w:sz w:val="18"/>
              </w:rPr>
            </w:r>
            <w:r>
              <w:rPr>
                <w:rFonts w:ascii="Times New Roman"/>
                <w:sz w:val="18"/>
              </w:rPr>
              <w:t>0555&amp;announcementId=1206474348&amp;orgId=gssz0000555&amp;an</w:t>
            </w:r>
            <w:r>
              <w:rPr>
                <w:rFonts w:ascii="Times New Roman"/>
                <w:sz w:val="18"/>
              </w:rPr>
              <w:t> nouncementTime=2019-07-25</w:t>
            </w:r>
          </w:p>
        </w:tc>
      </w:tr>
      <w:tr>
        <w:trPr>
          <w:trHeight w:val="1025"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09"/>
              <w:jc w:val="both"/>
              <w:rPr>
                <w:rFonts w:ascii="Times New Roman" w:hAnsi="Times New Roman" w:cs="Times New Roman" w:eastAsia="Times New Roman" w:hint="default"/>
                <w:sz w:val="18"/>
                <w:szCs w:val="18"/>
              </w:rPr>
            </w:pPr>
            <w:hyperlink r:id="rId27">
              <w:r>
                <w:rPr>
                  <w:rFonts w:ascii="Times New Roman"/>
                  <w:spacing w:val="-1"/>
                  <w:sz w:val="18"/>
                </w:rPr>
                <w:t>http://www.cninfo.com.cn/new/disclosure/detail?stockCode=00</w:t>
              </w:r>
            </w:hyperlink>
            <w:r>
              <w:rPr>
                <w:rFonts w:ascii="Times New Roman"/>
                <w:spacing w:val="-16"/>
                <w:sz w:val="18"/>
              </w:rPr>
              <w:t> </w:t>
            </w:r>
            <w:r>
              <w:rPr>
                <w:rFonts w:ascii="Times New Roman"/>
                <w:spacing w:val="-16"/>
                <w:sz w:val="18"/>
              </w:rPr>
            </w:r>
            <w:r>
              <w:rPr>
                <w:rFonts w:ascii="Times New Roman"/>
                <w:sz w:val="18"/>
              </w:rPr>
              <w:t>0555&amp;announcementId=1206886920&amp;orgId=gssz0000555&amp;an</w:t>
            </w:r>
            <w:r>
              <w:rPr>
                <w:rFonts w:ascii="Times New Roman"/>
                <w:sz w:val="18"/>
              </w:rPr>
              <w:t> nouncementTime=2019-09-04</w:t>
            </w:r>
          </w:p>
        </w:tc>
      </w:tr>
      <w:tr>
        <w:trPr>
          <w:trHeight w:val="1028"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03" w:right="121"/>
              <w:jc w:val="left"/>
              <w:rPr>
                <w:rFonts w:ascii="Times New Roman" w:hAnsi="Times New Roman" w:cs="Times New Roman" w:eastAsia="Times New Roman" w:hint="default"/>
                <w:sz w:val="18"/>
                <w:szCs w:val="18"/>
              </w:rPr>
            </w:pPr>
            <w:r>
              <w:rPr>
                <w:rFonts w:ascii="Times New Roman"/>
                <w:spacing w:val="-1"/>
                <w:sz w:val="18"/>
              </w:rPr>
              <w:t>https://view.officeapps.live.com/op/view.aspx?src=http%3A%2</w:t>
            </w:r>
            <w:r>
              <w:rPr>
                <w:rFonts w:ascii="Times New Roman"/>
                <w:spacing w:val="-35"/>
                <w:sz w:val="18"/>
              </w:rPr>
              <w:t> </w:t>
            </w:r>
            <w:r>
              <w:rPr>
                <w:rFonts w:ascii="Times New Roman"/>
                <w:spacing w:val="-35"/>
                <w:sz w:val="18"/>
              </w:rPr>
            </w:r>
            <w:r>
              <w:rPr>
                <w:rFonts w:ascii="Times New Roman"/>
                <w:sz w:val="18"/>
              </w:rPr>
              <w:t>F%2Fstatic.cninfo.com.cn%2Ffinalpage%2F2019-09-</w:t>
            </w:r>
            <w:r>
              <w:rPr>
                <w:rFonts w:ascii="Times New Roman"/>
                <w:sz w:val="18"/>
              </w:rPr>
              <w:t> 11%2F1206917360.doc</w:t>
            </w:r>
          </w:p>
        </w:tc>
      </w:tr>
      <w:tr>
        <w:trPr>
          <w:trHeight w:val="1025"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09"/>
              <w:jc w:val="both"/>
              <w:rPr>
                <w:rFonts w:ascii="Times New Roman" w:hAnsi="Times New Roman" w:cs="Times New Roman" w:eastAsia="Times New Roman" w:hint="default"/>
                <w:sz w:val="18"/>
                <w:szCs w:val="18"/>
              </w:rPr>
            </w:pPr>
            <w:hyperlink r:id="rId27">
              <w:r>
                <w:rPr>
                  <w:rFonts w:ascii="Times New Roman"/>
                  <w:spacing w:val="-1"/>
                  <w:sz w:val="18"/>
                </w:rPr>
                <w:t>http://www.cninfo.com.cn/new/disclosure/detail?stockCode=00</w:t>
              </w:r>
            </w:hyperlink>
            <w:r>
              <w:rPr>
                <w:rFonts w:ascii="Times New Roman"/>
                <w:spacing w:val="-16"/>
                <w:sz w:val="18"/>
              </w:rPr>
              <w:t> </w:t>
            </w:r>
            <w:r>
              <w:rPr>
                <w:rFonts w:ascii="Times New Roman"/>
                <w:spacing w:val="-16"/>
                <w:sz w:val="18"/>
              </w:rPr>
            </w:r>
            <w:r>
              <w:rPr>
                <w:rFonts w:ascii="Times New Roman"/>
                <w:sz w:val="18"/>
              </w:rPr>
              <w:t>0555&amp;announcementId=1207006073&amp;orgId=gssz0000555&amp;an</w:t>
            </w:r>
            <w:r>
              <w:rPr>
                <w:rFonts w:ascii="Times New Roman"/>
                <w:sz w:val="18"/>
              </w:rPr>
              <w:t> nouncementTime=2019-10-23</w:t>
            </w:r>
          </w:p>
        </w:tc>
      </w:tr>
      <w:tr>
        <w:trPr>
          <w:trHeight w:val="1027"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03" w:right="109"/>
              <w:jc w:val="both"/>
              <w:rPr>
                <w:rFonts w:ascii="Times New Roman" w:hAnsi="Times New Roman" w:cs="Times New Roman" w:eastAsia="Times New Roman" w:hint="default"/>
                <w:sz w:val="18"/>
                <w:szCs w:val="18"/>
              </w:rPr>
            </w:pPr>
            <w:hyperlink r:id="rId27">
              <w:r>
                <w:rPr>
                  <w:rFonts w:ascii="Times New Roman"/>
                  <w:spacing w:val="-1"/>
                  <w:sz w:val="18"/>
                </w:rPr>
                <w:t>http://www.cninfo.com.cn/new/disclosure/detail?stockCode=00</w:t>
              </w:r>
            </w:hyperlink>
            <w:r>
              <w:rPr>
                <w:rFonts w:ascii="Times New Roman"/>
                <w:spacing w:val="-16"/>
                <w:sz w:val="18"/>
              </w:rPr>
              <w:t> </w:t>
            </w:r>
            <w:r>
              <w:rPr>
                <w:rFonts w:ascii="Times New Roman"/>
                <w:spacing w:val="-16"/>
                <w:sz w:val="18"/>
              </w:rPr>
            </w:r>
            <w:r>
              <w:rPr>
                <w:rFonts w:ascii="Times New Roman"/>
                <w:sz w:val="18"/>
              </w:rPr>
              <w:t>0555&amp;announcementId=1207025473&amp;orgId=gssz0000555&amp;an</w:t>
            </w:r>
            <w:r>
              <w:rPr>
                <w:rFonts w:ascii="Times New Roman"/>
                <w:sz w:val="18"/>
              </w:rPr>
              <w:t> nouncementTime=2019-10-28</w:t>
            </w:r>
          </w:p>
        </w:tc>
      </w:tr>
      <w:tr>
        <w:trPr>
          <w:trHeight w:val="1025"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09"/>
              <w:jc w:val="both"/>
              <w:rPr>
                <w:rFonts w:ascii="Times New Roman" w:hAnsi="Times New Roman" w:cs="Times New Roman" w:eastAsia="Times New Roman" w:hint="default"/>
                <w:sz w:val="18"/>
                <w:szCs w:val="18"/>
              </w:rPr>
            </w:pPr>
            <w:hyperlink r:id="rId27">
              <w:r>
                <w:rPr>
                  <w:rFonts w:ascii="Times New Roman"/>
                  <w:spacing w:val="-1"/>
                  <w:sz w:val="18"/>
                </w:rPr>
                <w:t>http://www.cninfo.com.cn/new/disclosure/detail?stockCode=00</w:t>
              </w:r>
            </w:hyperlink>
            <w:r>
              <w:rPr>
                <w:rFonts w:ascii="Times New Roman"/>
                <w:spacing w:val="-16"/>
                <w:sz w:val="18"/>
              </w:rPr>
              <w:t> </w:t>
            </w:r>
            <w:r>
              <w:rPr>
                <w:rFonts w:ascii="Times New Roman"/>
                <w:spacing w:val="-16"/>
                <w:sz w:val="18"/>
              </w:rPr>
            </w:r>
            <w:r>
              <w:rPr>
                <w:rFonts w:ascii="Times New Roman"/>
                <w:sz w:val="18"/>
              </w:rPr>
              <w:t>0555&amp;announcementId=1207042983&amp;orgId=gssz0000555&amp;an</w:t>
            </w:r>
            <w:r>
              <w:rPr>
                <w:rFonts w:ascii="Times New Roman"/>
                <w:sz w:val="18"/>
              </w:rPr>
              <w:t> nouncementTime=2019-10-30</w:t>
            </w:r>
          </w:p>
        </w:tc>
      </w:tr>
      <w:tr>
        <w:trPr>
          <w:trHeight w:val="1028"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103" w:right="109"/>
              <w:jc w:val="both"/>
              <w:rPr>
                <w:rFonts w:ascii="Times New Roman" w:hAnsi="Times New Roman" w:cs="Times New Roman" w:eastAsia="Times New Roman" w:hint="default"/>
                <w:sz w:val="18"/>
                <w:szCs w:val="18"/>
              </w:rPr>
            </w:pPr>
            <w:hyperlink r:id="rId27">
              <w:r>
                <w:rPr>
                  <w:rFonts w:ascii="Times New Roman"/>
                  <w:spacing w:val="-1"/>
                  <w:sz w:val="18"/>
                </w:rPr>
                <w:t>http://www.cninfo.com.cn/new/disclosure/detail?stockCode=00</w:t>
              </w:r>
            </w:hyperlink>
            <w:r>
              <w:rPr>
                <w:rFonts w:ascii="Times New Roman"/>
                <w:spacing w:val="-16"/>
                <w:sz w:val="18"/>
              </w:rPr>
              <w:t> </w:t>
            </w:r>
            <w:r>
              <w:rPr>
                <w:rFonts w:ascii="Times New Roman"/>
                <w:spacing w:val="-16"/>
                <w:sz w:val="18"/>
              </w:rPr>
            </w:r>
            <w:r>
              <w:rPr>
                <w:rFonts w:ascii="Times New Roman"/>
                <w:sz w:val="18"/>
              </w:rPr>
              <w:t>0555&amp;announcementId=1207078233&amp;orgId=gssz0000555&amp;an</w:t>
            </w:r>
            <w:r>
              <w:rPr>
                <w:rFonts w:ascii="Times New Roman"/>
                <w:sz w:val="18"/>
              </w:rPr>
              <w:t> nouncementTime=2019-11-08</w:t>
            </w:r>
          </w:p>
        </w:tc>
      </w:tr>
      <w:tr>
        <w:trPr>
          <w:trHeight w:val="1025"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实地调研</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机构</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109"/>
              <w:jc w:val="both"/>
              <w:rPr>
                <w:rFonts w:ascii="Times New Roman" w:hAnsi="Times New Roman" w:cs="Times New Roman" w:eastAsia="Times New Roman" w:hint="default"/>
                <w:sz w:val="18"/>
                <w:szCs w:val="18"/>
              </w:rPr>
            </w:pPr>
            <w:hyperlink r:id="rId27">
              <w:r>
                <w:rPr>
                  <w:rFonts w:ascii="Times New Roman"/>
                  <w:spacing w:val="-1"/>
                  <w:sz w:val="18"/>
                </w:rPr>
                <w:t>http://www.cninfo.com.cn/new/disclosure/detail?stockCode=00</w:t>
              </w:r>
            </w:hyperlink>
            <w:r>
              <w:rPr>
                <w:rFonts w:ascii="Times New Roman"/>
                <w:spacing w:val="-16"/>
                <w:sz w:val="18"/>
              </w:rPr>
              <w:t> </w:t>
            </w:r>
            <w:r>
              <w:rPr>
                <w:rFonts w:ascii="Times New Roman"/>
                <w:spacing w:val="-16"/>
                <w:sz w:val="18"/>
              </w:rPr>
            </w:r>
            <w:r>
              <w:rPr>
                <w:rFonts w:ascii="Times New Roman"/>
                <w:sz w:val="18"/>
              </w:rPr>
              <w:t>0555&amp;announcementId=1207137840&amp;orgId=gssz0000555&amp;an</w:t>
            </w:r>
            <w:r>
              <w:rPr>
                <w:rFonts w:ascii="Times New Roman"/>
                <w:sz w:val="18"/>
              </w:rPr>
              <w:t> nouncementTime=2019-12-04</w:t>
            </w:r>
          </w:p>
        </w:tc>
      </w:tr>
      <w:tr>
        <w:trPr>
          <w:trHeight w:val="466" w:hRule="exact"/>
        </w:trPr>
        <w:tc>
          <w:tcPr>
            <w:tcW w:w="44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13</w:t>
            </w:r>
          </w:p>
        </w:tc>
      </w:tr>
      <w:tr>
        <w:trPr>
          <w:trHeight w:val="463" w:hRule="exact"/>
        </w:trPr>
        <w:tc>
          <w:tcPr>
            <w:tcW w:w="44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123</w:t>
            </w:r>
          </w:p>
        </w:tc>
      </w:tr>
      <w:tr>
        <w:trPr>
          <w:trHeight w:val="464" w:hRule="exact"/>
        </w:trPr>
        <w:tc>
          <w:tcPr>
            <w:tcW w:w="44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r>
      <w:tr>
        <w:trPr>
          <w:trHeight w:val="465" w:hRule="exact"/>
        </w:trPr>
        <w:tc>
          <w:tcPr>
            <w:tcW w:w="44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44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4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right"/>
        <w:rPr>
          <w:rFonts w:ascii="宋体" w:hAnsi="宋体" w:cs="宋体" w:eastAsia="宋体" w:hint="default"/>
          <w:sz w:val="18"/>
          <w:szCs w:val="18"/>
        </w:rPr>
        <w:sectPr>
          <w:pgSz w:w="11910" w:h="16840"/>
          <w:pgMar w:header="0" w:footer="1261" w:top="112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pStyle w:val="Heading1"/>
        <w:spacing w:line="240" w:lineRule="auto"/>
        <w:ind w:right="975"/>
        <w:jc w:val="center"/>
        <w:rPr>
          <w:b w:val="0"/>
          <w:bCs w:val="0"/>
        </w:rPr>
      </w:pPr>
      <w:bookmarkStart w:name="_bookmark4" w:id="5"/>
      <w:bookmarkEnd w:id="5"/>
      <w:r>
        <w:rPr>
          <w:b w:val="0"/>
          <w:bCs w:val="0"/>
        </w:rPr>
      </w:r>
      <w:r>
        <w:rPr/>
        <w:t>第五节</w:t>
      </w:r>
      <w:r>
        <w:rPr>
          <w:spacing w:val="-1"/>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357" w:lineRule="auto" w:before="117"/>
        <w:ind w:left="513" w:right="1125" w:hanging="360"/>
        <w:jc w:val="left"/>
      </w:pPr>
      <w:r>
        <w:rPr/>
        <w:t>√ 适用 □</w:t>
      </w:r>
      <w:r>
        <w:rPr>
          <w:spacing w:val="3"/>
        </w:rPr>
        <w:t> </w:t>
      </w:r>
      <w:r>
        <w:rPr/>
        <w:t>不适用</w:t>
      </w:r>
      <w:r>
        <w:rPr/>
        <w:t> </w:t>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18</w:t>
      </w:r>
      <w:r>
        <w:rPr>
          <w:spacing w:val="-2"/>
        </w:rPr>
        <w:t>日，公司</w:t>
      </w:r>
      <w:r>
        <w:rPr>
          <w:rFonts w:ascii="宋体" w:hAnsi="宋体" w:cs="宋体" w:eastAsia="宋体" w:hint="default"/>
          <w:spacing w:val="-2"/>
        </w:rPr>
        <w:t>2018</w:t>
      </w:r>
      <w:r>
        <w:rPr>
          <w:spacing w:val="-2"/>
        </w:rPr>
        <w:t>年年度股东大会审议通过了《关于</w:t>
      </w:r>
      <w:r>
        <w:rPr>
          <w:rFonts w:ascii="宋体" w:hAnsi="宋体" w:cs="宋体" w:eastAsia="宋体" w:hint="default"/>
          <w:spacing w:val="-2"/>
        </w:rPr>
        <w:t>&lt;2018</w:t>
      </w:r>
      <w:r>
        <w:rPr>
          <w:spacing w:val="-2"/>
        </w:rPr>
        <w:t>年度利润分配预案</w:t>
      </w:r>
      <w:r>
        <w:rPr>
          <w:rFonts w:ascii="宋体" w:hAnsi="宋体" w:cs="宋体" w:eastAsia="宋体" w:hint="default"/>
          <w:spacing w:val="-2"/>
        </w:rPr>
        <w:t>&gt;</w:t>
      </w:r>
      <w:r>
        <w:rPr>
          <w:spacing w:val="-2"/>
        </w:rPr>
        <w:t>的议案》，利润分配方案为公</w:t>
      </w:r>
    </w:p>
    <w:p>
      <w:pPr>
        <w:pStyle w:val="BodyText"/>
        <w:spacing w:line="224" w:lineRule="exact"/>
        <w:ind w:right="0"/>
        <w:jc w:val="left"/>
      </w:pPr>
      <w:r>
        <w:rPr/>
        <w:t>司以总股本</w:t>
      </w:r>
      <w:r>
        <w:rPr>
          <w:rFonts w:ascii="宋体" w:hAnsi="宋体" w:cs="宋体" w:eastAsia="宋体" w:hint="default"/>
        </w:rPr>
        <w:t>963,431,273</w:t>
      </w:r>
      <w:r>
        <w:rPr/>
        <w:t>股为基数，向全体股东每</w:t>
      </w:r>
      <w:r>
        <w:rPr>
          <w:rFonts w:ascii="宋体" w:hAnsi="宋体" w:cs="宋体" w:eastAsia="宋体" w:hint="default"/>
        </w:rPr>
        <w:t>10</w:t>
      </w:r>
      <w:r>
        <w:rPr/>
        <w:t>股派发现金红利</w:t>
      </w:r>
      <w:r>
        <w:rPr>
          <w:rFonts w:ascii="宋体" w:hAnsi="宋体" w:cs="宋体" w:eastAsia="宋体" w:hint="default"/>
        </w:rPr>
        <w:t>0.35</w:t>
      </w:r>
      <w:r>
        <w:rPr/>
        <w:t>元（含税）。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31</w:t>
      </w:r>
      <w:r>
        <w:rPr/>
        <w:t>日，公司披露了《</w:t>
      </w:r>
      <w:r>
        <w:rPr>
          <w:rFonts w:ascii="宋体" w:hAnsi="宋体" w:cs="宋体" w:eastAsia="宋体" w:hint="default"/>
        </w:rPr>
        <w:t>2018</w:t>
      </w:r>
      <w:r>
        <w:rPr/>
        <w:t>年</w:t>
      </w:r>
    </w:p>
    <w:p>
      <w:pPr>
        <w:pStyle w:val="BodyText"/>
        <w:spacing w:line="319" w:lineRule="auto" w:before="76"/>
        <w:ind w:right="0"/>
        <w:jc w:val="left"/>
        <w:rPr>
          <w:rFonts w:ascii="宋体" w:hAnsi="宋体" w:cs="宋体" w:eastAsia="宋体" w:hint="default"/>
        </w:rPr>
      </w:pPr>
      <w:r>
        <w:rPr>
          <w:spacing w:val="-2"/>
        </w:rPr>
        <w:t>年度权益分派实施公告》，股权登记日为</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10</w:t>
      </w:r>
      <w:r>
        <w:rPr>
          <w:spacing w:val="-2"/>
        </w:rPr>
        <w:t>日，除权除息日为</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11</w:t>
      </w:r>
      <w:r>
        <w:rPr>
          <w:spacing w:val="-2"/>
        </w:rPr>
        <w:t>日。报告期内，公司派息工作已依法定</w:t>
      </w:r>
      <w:r>
        <w:rPr>
          <w:spacing w:val="-57"/>
        </w:rPr>
        <w:t> </w:t>
      </w:r>
      <w:r>
        <w:rPr>
          <w:spacing w:val="-57"/>
        </w:rPr>
      </w:r>
      <w:r>
        <w:rPr/>
        <w:t>程序顺利完成。</w:t>
      </w:r>
      <w:r>
        <w:rPr>
          <w:rFonts w:ascii="宋体" w:hAnsi="宋体" w:cs="宋体" w:eastAsia="宋体" w:hint="default"/>
        </w:rPr>
        <w:t> </w:t>
      </w:r>
    </w:p>
    <w:p>
      <w:pPr>
        <w:pStyle w:val="BodyText"/>
        <w:spacing w:line="240" w:lineRule="auto" w:before="17"/>
        <w:ind w:left="513" w:right="0"/>
        <w:jc w:val="left"/>
        <w:rPr>
          <w:rFonts w:ascii="宋体" w:hAnsi="宋体" w:cs="宋体" w:eastAsia="宋体" w:hint="default"/>
        </w:rPr>
      </w:pPr>
      <w:r>
        <w:rPr>
          <w:rFonts w:ascii="宋体" w:hAnsi="宋体" w:cs="宋体" w:eastAsia="宋体" w:hint="default"/>
        </w:rPr>
        <w:t>2</w:t>
      </w:r>
      <w:r>
        <w:rPr/>
        <w:t>、报告期内，公司没有调整利润分配政策，公司利润分配政策符合《公司章程》的相关规定。</w:t>
      </w:r>
      <w:r>
        <w:rPr>
          <w:rFonts w:ascii="宋体" w:hAnsi="宋体" w:cs="宋体" w:eastAsia="宋体" w:hint="default"/>
        </w:rPr>
        <w:t> </w:t>
      </w:r>
    </w:p>
    <w:p>
      <w:pPr>
        <w:spacing w:line="240" w:lineRule="auto" w:before="4"/>
        <w:rPr>
          <w:rFonts w:ascii="宋体" w:hAnsi="宋体" w:cs="宋体" w:eastAsia="宋体" w:hint="default"/>
          <w:sz w:val="5"/>
          <w:szCs w:val="5"/>
        </w:rPr>
      </w:pPr>
    </w:p>
    <w:tbl>
      <w:tblPr>
        <w:tblW w:w="0" w:type="auto"/>
        <w:jc w:val="left"/>
        <w:tblInd w:w="261" w:type="dxa"/>
        <w:tblLayout w:type="fixed"/>
        <w:tblCellMar>
          <w:top w:w="0" w:type="dxa"/>
          <w:left w:w="0" w:type="dxa"/>
          <w:bottom w:w="0" w:type="dxa"/>
          <w:right w:w="0" w:type="dxa"/>
        </w:tblCellMar>
        <w:tblLook w:val="01E0"/>
      </w:tblPr>
      <w:tblGrid>
        <w:gridCol w:w="5499"/>
        <w:gridCol w:w="4071"/>
      </w:tblGrid>
      <w:tr>
        <w:trPr>
          <w:trHeight w:val="460"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3"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68" w:hRule="exact"/>
        </w:trPr>
        <w:tc>
          <w:tcPr>
            <w:tcW w:w="5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5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5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5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5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62"/>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中小股东是否有充分表达意见和诉求的机会，其合法权益是否得到 了充分保护：</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4" w:hRule="exact"/>
        </w:trPr>
        <w:tc>
          <w:tcPr>
            <w:tcW w:w="5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现金分红政策进行调整或变更的，条件及程序是否合规、透明：</w:t>
            </w:r>
          </w:p>
        </w:tc>
        <w:tc>
          <w:tcPr>
            <w:tcW w:w="4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报告期内公司未调整或变更现金分红政策。</w:t>
            </w:r>
          </w:p>
        </w:tc>
      </w:tr>
    </w:tbl>
    <w:p>
      <w:pPr>
        <w:pStyle w:val="BodyText"/>
        <w:spacing w:line="338" w:lineRule="auto" w:before="49"/>
        <w:ind w:left="513" w:right="0" w:hanging="360"/>
        <w:jc w:val="left"/>
      </w:pPr>
      <w:r>
        <w:rPr/>
        <w:t>公司近</w:t>
      </w:r>
      <w:r>
        <w:rPr>
          <w:spacing w:val="-46"/>
        </w:rPr>
        <w:t> </w:t>
      </w:r>
      <w:r>
        <w:rPr>
          <w:rFonts w:ascii="Times New Roman" w:hAnsi="Times New Roman" w:cs="Times New Roman" w:eastAsia="Times New Roman" w:hint="default"/>
        </w:rPr>
        <w:t>3 </w:t>
      </w:r>
      <w:r>
        <w:rPr/>
        <w:t>年（包括本报告期）的普通股股利分配方案（预案）、资本公积金转增股本方案（预案）情况 </w:t>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年度利润分配预案：拟以总股本</w:t>
      </w:r>
      <w:r>
        <w:rPr>
          <w:rFonts w:ascii="宋体" w:hAnsi="宋体" w:cs="宋体" w:eastAsia="宋体" w:hint="default"/>
          <w:spacing w:val="-2"/>
        </w:rPr>
        <w:t>970,381,273</w:t>
      </w:r>
      <w:r>
        <w:rPr>
          <w:spacing w:val="-2"/>
        </w:rPr>
        <w:t>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0.39</w:t>
      </w:r>
      <w:r>
        <w:rPr>
          <w:spacing w:val="-2"/>
        </w:rPr>
        <w:t>元（含税），不送</w:t>
      </w:r>
    </w:p>
    <w:p>
      <w:pPr>
        <w:pStyle w:val="BodyText"/>
        <w:spacing w:line="316" w:lineRule="auto" w:before="2"/>
        <w:ind w:left="513" w:right="0" w:hanging="360"/>
        <w:jc w:val="left"/>
      </w:pPr>
      <w:r>
        <w:rPr/>
        <w:t>红股，不以公积金转增股本。本次利润分配预案将提交公司</w:t>
      </w:r>
      <w:r>
        <w:rPr>
          <w:rFonts w:ascii="宋体" w:hAnsi="宋体" w:cs="宋体" w:eastAsia="宋体" w:hint="default"/>
        </w:rPr>
        <w:t>2019</w:t>
      </w:r>
      <w:r>
        <w:rPr/>
        <w:t>年年度股东大会进行审议。</w:t>
      </w:r>
      <w:r>
        <w:rPr>
          <w:rFonts w:ascii="宋体" w:hAnsi="宋体" w:cs="宋体" w:eastAsia="宋体" w:hint="default"/>
        </w:rPr>
        <w:t> </w:t>
      </w:r>
      <w:r>
        <w:rPr>
          <w:rFonts w:ascii="宋体" w:hAnsi="宋体" w:cs="宋体" w:eastAsia="宋体" w:hint="default"/>
          <w:spacing w:val="-2"/>
        </w:rPr>
        <w:t>2</w:t>
      </w:r>
      <w:r>
        <w:rPr>
          <w:spacing w:val="-2"/>
        </w:rPr>
        <w:t>、</w:t>
      </w:r>
      <w:r>
        <w:rPr>
          <w:rFonts w:ascii="宋体" w:hAnsi="宋体" w:cs="宋体" w:eastAsia="宋体" w:hint="default"/>
          <w:spacing w:val="-2"/>
        </w:rPr>
        <w:t>2018</w:t>
      </w:r>
      <w:r>
        <w:rPr>
          <w:spacing w:val="-2"/>
        </w:rPr>
        <w:t>年度利润分配方案：以总股本</w:t>
      </w:r>
      <w:r>
        <w:rPr>
          <w:rFonts w:ascii="宋体" w:hAnsi="宋体" w:cs="宋体" w:eastAsia="宋体" w:hint="default"/>
          <w:spacing w:val="-2"/>
        </w:rPr>
        <w:t>963,431,273</w:t>
      </w:r>
      <w:r>
        <w:rPr>
          <w:spacing w:val="-2"/>
        </w:rPr>
        <w:t>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0.35</w:t>
      </w:r>
      <w:r>
        <w:rPr>
          <w:spacing w:val="-2"/>
        </w:rPr>
        <w:t>元（含税），不送红</w:t>
      </w:r>
    </w:p>
    <w:p>
      <w:pPr>
        <w:pStyle w:val="BodyText"/>
        <w:spacing w:line="316" w:lineRule="auto" w:before="19"/>
        <w:ind w:left="513" w:right="0" w:hanging="360"/>
        <w:jc w:val="left"/>
      </w:pPr>
      <w:r>
        <w:rPr/>
        <w:t>股，不以公积金转增股本。本次利润分配方案已于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11</w:t>
      </w:r>
      <w:r>
        <w:rPr/>
        <w:t>日实施完毕。</w:t>
      </w:r>
      <w:r>
        <w:rPr>
          <w:rFonts w:ascii="宋体" w:hAnsi="宋体" w:cs="宋体" w:eastAsia="宋体" w:hint="default"/>
        </w:rPr>
        <w:t> </w:t>
      </w:r>
      <w:r>
        <w:rPr>
          <w:rFonts w:ascii="宋体" w:hAnsi="宋体" w:cs="宋体" w:eastAsia="宋体" w:hint="default"/>
          <w:spacing w:val="-2"/>
        </w:rPr>
        <w:t>3</w:t>
      </w:r>
      <w:r>
        <w:rPr>
          <w:spacing w:val="-2"/>
        </w:rPr>
        <w:t>、</w:t>
      </w:r>
      <w:r>
        <w:rPr>
          <w:rFonts w:ascii="宋体" w:hAnsi="宋体" w:cs="宋体" w:eastAsia="宋体" w:hint="default"/>
          <w:spacing w:val="-2"/>
        </w:rPr>
        <w:t>2017</w:t>
      </w:r>
      <w:r>
        <w:rPr>
          <w:spacing w:val="-2"/>
        </w:rPr>
        <w:t>年度利润分配方案：以总股本</w:t>
      </w:r>
      <w:r>
        <w:rPr>
          <w:rFonts w:ascii="宋体" w:hAnsi="宋体" w:cs="宋体" w:eastAsia="宋体" w:hint="default"/>
          <w:spacing w:val="-2"/>
        </w:rPr>
        <w:t>963,431,273</w:t>
      </w:r>
      <w:r>
        <w:rPr>
          <w:spacing w:val="-2"/>
        </w:rPr>
        <w:t>股为基数，向全体股东每</w:t>
      </w:r>
      <w:r>
        <w:rPr>
          <w:rFonts w:ascii="宋体" w:hAnsi="宋体" w:cs="宋体" w:eastAsia="宋体" w:hint="default"/>
          <w:spacing w:val="-2"/>
        </w:rPr>
        <w:t>10</w:t>
      </w:r>
      <w:r>
        <w:rPr>
          <w:spacing w:val="-2"/>
        </w:rPr>
        <w:t>股派发现金红利</w:t>
      </w:r>
      <w:r>
        <w:rPr>
          <w:rFonts w:ascii="宋体" w:hAnsi="宋体" w:cs="宋体" w:eastAsia="宋体" w:hint="default"/>
          <w:spacing w:val="-2"/>
        </w:rPr>
        <w:t>0.32</w:t>
      </w:r>
      <w:r>
        <w:rPr>
          <w:spacing w:val="-2"/>
        </w:rPr>
        <w:t>元（含税），不送红</w:t>
      </w:r>
    </w:p>
    <w:p>
      <w:pPr>
        <w:pStyle w:val="BodyText"/>
        <w:spacing w:line="240" w:lineRule="auto" w:before="19"/>
        <w:ind w:right="0"/>
        <w:jc w:val="left"/>
        <w:rPr>
          <w:rFonts w:ascii="宋体" w:hAnsi="宋体" w:cs="宋体" w:eastAsia="宋体" w:hint="default"/>
        </w:rPr>
      </w:pPr>
      <w:r>
        <w:rPr/>
        <w:t>股，不以公积金转增股本。本次利润分配方案已于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29</w:t>
      </w:r>
      <w:r>
        <w:rPr/>
        <w:t>日实施完毕。</w:t>
      </w:r>
      <w:r>
        <w:rPr>
          <w:rFonts w:ascii="宋体" w:hAnsi="宋体" w:cs="宋体" w:eastAsia="宋体" w:hint="default"/>
        </w:rPr>
        <w:t> </w:t>
      </w:r>
    </w:p>
    <w:p>
      <w:pPr>
        <w:pStyle w:val="BodyText"/>
        <w:spacing w:line="360" w:lineRule="auto" w:before="76"/>
        <w:ind w:right="6523"/>
        <w:jc w:val="left"/>
      </w:pPr>
      <w:r>
        <w:rPr>
          <w:rFonts w:ascii="宋体" w:hAnsi="宋体" w:cs="宋体" w:eastAsia="宋体" w:hint="default"/>
        </w:rPr>
        <w:t> </w:t>
      </w:r>
      <w:r>
        <w:rPr/>
        <w:t>公司近三年（包括本报告期）普通股现金分红情况表</w:t>
      </w:r>
    </w:p>
    <w:p>
      <w:pPr>
        <w:pStyle w:val="BodyText"/>
        <w:spacing w:line="240" w:lineRule="auto" w:before="28"/>
        <w:ind w:left="0" w:right="1130"/>
        <w:jc w:val="right"/>
      </w:pPr>
      <w:r>
        <w:rPr/>
        <w:t>单位：元</w:t>
      </w:r>
    </w:p>
    <w:p>
      <w:pPr>
        <w:spacing w:line="240" w:lineRule="auto" w:before="3"/>
        <w:rPr>
          <w:rFonts w:ascii="宋体" w:hAnsi="宋体" w:cs="宋体" w:eastAsia="宋体" w:hint="default"/>
          <w:sz w:val="8"/>
          <w:szCs w:val="8"/>
        </w:rPr>
      </w:pPr>
    </w:p>
    <w:tbl>
      <w:tblPr>
        <w:tblW w:w="0" w:type="auto"/>
        <w:jc w:val="left"/>
        <w:tblInd w:w="262" w:type="dxa"/>
        <w:tblLayout w:type="fixed"/>
        <w:tblCellMar>
          <w:top w:w="0" w:type="dxa"/>
          <w:left w:w="0" w:type="dxa"/>
          <w:bottom w:w="0" w:type="dxa"/>
          <w:right w:w="0" w:type="dxa"/>
        </w:tblCellMar>
        <w:tblLook w:val="01E0"/>
      </w:tblPr>
      <w:tblGrid>
        <w:gridCol w:w="894"/>
        <w:gridCol w:w="1301"/>
        <w:gridCol w:w="1392"/>
        <w:gridCol w:w="1196"/>
        <w:gridCol w:w="936"/>
        <w:gridCol w:w="1354"/>
        <w:gridCol w:w="1298"/>
        <w:gridCol w:w="1198"/>
      </w:tblGrid>
      <w:tr>
        <w:trPr>
          <w:trHeight w:val="2586" w:hRule="exact"/>
        </w:trPr>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4" w:lineRule="auto"/>
              <w:ind w:left="354" w:right="168" w:hanging="180"/>
              <w:jc w:val="left"/>
              <w:rPr>
                <w:rFonts w:ascii="宋体" w:hAnsi="宋体" w:cs="宋体" w:eastAsia="宋体" w:hint="default"/>
                <w:sz w:val="18"/>
                <w:szCs w:val="18"/>
              </w:rPr>
            </w:pPr>
            <w:r>
              <w:rPr>
                <w:rFonts w:ascii="宋体" w:hAnsi="宋体" w:cs="宋体" w:eastAsia="宋体" w:hint="default"/>
                <w:sz w:val="18"/>
                <w:szCs w:val="18"/>
              </w:rPr>
              <w:t>分红年 度</w:t>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51" w:right="149"/>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3" w:right="141"/>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5" w:right="98"/>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34" w:right="128"/>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5"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65" w:right="191"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4" w:right="142"/>
              <w:jc w:val="center"/>
              <w:rPr>
                <w:rFonts w:ascii="宋体" w:hAnsi="宋体" w:cs="宋体" w:eastAsia="宋体" w:hint="default"/>
                <w:sz w:val="18"/>
                <w:szCs w:val="18"/>
              </w:rPr>
            </w:pPr>
            <w:r>
              <w:rPr>
                <w:rFonts w:ascii="宋体" w:hAnsi="宋体" w:cs="宋体" w:eastAsia="宋体" w:hint="default"/>
                <w:sz w:val="18"/>
                <w:szCs w:val="18"/>
              </w:rPr>
              <w:t>现金分红总 额（含其他 方式）占合 并报表中归 属于上市公 司普通股股 东的净利润 的比率</w:t>
            </w:r>
          </w:p>
        </w:tc>
      </w:tr>
    </w:tbl>
    <w:p>
      <w:pPr>
        <w:spacing w:after="0" w:line="316" w:lineRule="auto"/>
        <w:jc w:val="center"/>
        <w:rPr>
          <w:rFonts w:ascii="宋体" w:hAnsi="宋体" w:cs="宋体" w:eastAsia="宋体" w:hint="default"/>
          <w:sz w:val="18"/>
          <w:szCs w:val="18"/>
        </w:rPr>
        <w:sectPr>
          <w:pgSz w:w="11910" w:h="16840"/>
          <w:pgMar w:header="0"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262" w:type="dxa"/>
        <w:tblLayout w:type="fixed"/>
        <w:tblCellMar>
          <w:top w:w="0" w:type="dxa"/>
          <w:left w:w="0" w:type="dxa"/>
          <w:bottom w:w="0" w:type="dxa"/>
          <w:right w:w="0" w:type="dxa"/>
        </w:tblCellMar>
        <w:tblLook w:val="01E0"/>
      </w:tblPr>
      <w:tblGrid>
        <w:gridCol w:w="894"/>
        <w:gridCol w:w="1301"/>
        <w:gridCol w:w="1392"/>
        <w:gridCol w:w="1196"/>
        <w:gridCol w:w="936"/>
        <w:gridCol w:w="1354"/>
        <w:gridCol w:w="1298"/>
        <w:gridCol w:w="1198"/>
      </w:tblGrid>
      <w:tr>
        <w:trPr>
          <w:trHeight w:val="464" w:hRule="exact"/>
        </w:trPr>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37,844,869.65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375,607,752.77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10.08%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37,844,869.65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10.08%</w:t>
            </w:r>
          </w:p>
        </w:tc>
      </w:tr>
      <w:tr>
        <w:trPr>
          <w:trHeight w:val="466" w:hRule="exact"/>
        </w:trPr>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33,720,094.56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42,096,244.42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80.10%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33,720,094.56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80.10%</w:t>
            </w:r>
          </w:p>
        </w:tc>
      </w:tr>
      <w:tr>
        <w:trPr>
          <w:trHeight w:val="463" w:hRule="exact"/>
        </w:trPr>
        <w:tc>
          <w:tcPr>
            <w:tcW w:w="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30,829,800.74</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302,642,281.64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10.19%</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0.00%</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30,829,800.74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10.19%</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4467"/>
        <w:gridCol w:w="5103"/>
      </w:tblGrid>
      <w:tr>
        <w:trPr>
          <w:trHeight w:val="464" w:hRule="exact"/>
        </w:trPr>
        <w:tc>
          <w:tcPr>
            <w:tcW w:w="446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64" w:hRule="exact"/>
        </w:trPr>
        <w:tc>
          <w:tcPr>
            <w:tcW w:w="4467"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股派息数（元）（含税）</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0.39</w:t>
            </w:r>
          </w:p>
        </w:tc>
      </w:tr>
      <w:tr>
        <w:trPr>
          <w:trHeight w:val="464" w:hRule="exact"/>
        </w:trPr>
        <w:tc>
          <w:tcPr>
            <w:tcW w:w="4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105"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4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970,381,273</w:t>
            </w:r>
          </w:p>
        </w:tc>
      </w:tr>
      <w:tr>
        <w:trPr>
          <w:trHeight w:val="464" w:hRule="exact"/>
        </w:trPr>
        <w:tc>
          <w:tcPr>
            <w:tcW w:w="4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现金分红金额（元）（含税）</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37,844,869.65</w:t>
            </w:r>
          </w:p>
        </w:tc>
      </w:tr>
      <w:tr>
        <w:trPr>
          <w:trHeight w:val="464" w:hRule="exact"/>
        </w:trPr>
        <w:tc>
          <w:tcPr>
            <w:tcW w:w="4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105"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63" w:hRule="exact"/>
        </w:trPr>
        <w:tc>
          <w:tcPr>
            <w:tcW w:w="4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现金分红总额（含其他方式）（元）</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37,844,869.65</w:t>
            </w:r>
          </w:p>
        </w:tc>
      </w:tr>
      <w:tr>
        <w:trPr>
          <w:trHeight w:val="464" w:hRule="exact"/>
        </w:trPr>
        <w:tc>
          <w:tcPr>
            <w:tcW w:w="4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44,277,007.62</w:t>
            </w:r>
          </w:p>
        </w:tc>
      </w:tr>
      <w:tr>
        <w:trPr>
          <w:trHeight w:val="470" w:hRule="exact"/>
        </w:trPr>
        <w:tc>
          <w:tcPr>
            <w:tcW w:w="4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105"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5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z w:val="18"/>
              </w:rPr>
              <w:t>100%</w:t>
            </w:r>
          </w:p>
        </w:tc>
      </w:tr>
      <w:tr>
        <w:trPr>
          <w:trHeight w:val="45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64"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4"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2892"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经信永中和会计师事务所（特殊普通合伙）审计，本公司母公司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7,684,318.18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法》及公司章程的有关规定，按母公司弥补亏损后的净利润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768,431.82 </w:t>
            </w:r>
            <w:r>
              <w:rPr>
                <w:rFonts w:ascii="宋体" w:hAnsi="宋体" w:cs="宋体" w:eastAsia="宋体" w:hint="default"/>
                <w:sz w:val="18"/>
                <w:szCs w:val="18"/>
              </w:rPr>
              <w:t>元，实施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年度权</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益分配向全体股东派发现金红利减少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33,720,094.56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元，加上母公司年初未分配利润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71,081,214.60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年度母公司</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实际可供股东分配的未分配利润为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44,277,007.62 </w:t>
            </w:r>
            <w:r>
              <w:rPr>
                <w:rFonts w:ascii="宋体" w:hAnsi="宋体" w:cs="宋体" w:eastAsia="宋体" w:hint="default"/>
                <w:sz w:val="18"/>
                <w:szCs w:val="18"/>
              </w:rPr>
              <w:t>元。</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日，公司第八届董事会第五次会议审议通过的</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年度利润分配预案为：公司拟以总股本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970,381,273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税），不送红股，不以公积金转增股本。本次利润分配预案尚需经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年年度股东大会审议通过后实施。</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6"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after="0" w:line="240" w:lineRule="auto"/>
        <w:jc w:val="left"/>
        <w:sectPr>
          <w:pgSz w:w="11910" w:h="16840"/>
          <w:pgMar w:header="0" w:footer="1261" w:top="112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2"/>
      </w:tblGrid>
      <w:tr>
        <w:trPr>
          <w:trHeight w:val="715"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81"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承诺方</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2" w:right="144"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2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2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22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03"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1" w:right="215"/>
              <w:jc w:val="both"/>
              <w:rPr>
                <w:rFonts w:ascii="宋体" w:hAnsi="宋体" w:cs="宋体" w:eastAsia="宋体" w:hint="default"/>
                <w:sz w:val="18"/>
                <w:szCs w:val="18"/>
              </w:rPr>
            </w:pPr>
            <w:r>
              <w:rPr>
                <w:rFonts w:ascii="宋体" w:hAnsi="宋体" w:cs="宋体" w:eastAsia="宋体" w:hint="default"/>
                <w:sz w:val="18"/>
                <w:szCs w:val="18"/>
              </w:rPr>
              <w:t>神码软件、 天津信锐、 中新创投、 华亿投资、 南京汇庆</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《关于资产权属的承诺》：交易对方承诺已履行了神州信息</w:t>
            </w:r>
          </w:p>
          <w:p>
            <w:pPr>
              <w:pStyle w:val="TableParagraph"/>
              <w:spacing w:line="316" w:lineRule="auto" w:before="74"/>
              <w:ind w:left="103" w:right="101"/>
              <w:jc w:val="both"/>
              <w:rPr>
                <w:rFonts w:ascii="宋体" w:hAnsi="宋体" w:cs="宋体" w:eastAsia="宋体" w:hint="default"/>
                <w:sz w:val="18"/>
                <w:szCs w:val="18"/>
              </w:rPr>
            </w:pPr>
            <w:r>
              <w:rPr>
                <w:rFonts w:ascii="宋体" w:hAnsi="宋体" w:cs="宋体" w:eastAsia="宋体" w:hint="default"/>
                <w:sz w:val="18"/>
                <w:szCs w:val="18"/>
              </w:rPr>
              <w:t>《公司章程》规定的全额出资义务，持有的股份所对应的注册 资本均已按时足额出资到位；依法拥有神州信息股份的全部法 律权益，包括但不限于占有、使用、收益及处分权；所持有的 神州信息股份资产权属清晰，不存在任何权属纠纷，亦不存在 其他法律纠纷；持有的神州信息股份不存在质押、抵押、其他 担保或第三方权益或限制情形，也不存在法院或其他有权机关 冻结、查封、拍卖本合伙企业持有上述股份之情形；持有的神 州信息股份过户或者转移不存在法律障碍。</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00" w:right="191"/>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r>
        <w:trPr>
          <w:trHeight w:val="2273" w:hRule="exact"/>
        </w:trPr>
        <w:tc>
          <w:tcPr>
            <w:tcW w:w="1893" w:type="dxa"/>
            <w:vMerge/>
            <w:tcBorders>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101" w:right="215"/>
              <w:jc w:val="both"/>
              <w:rPr>
                <w:rFonts w:ascii="宋体" w:hAnsi="宋体" w:cs="宋体" w:eastAsia="宋体" w:hint="default"/>
                <w:sz w:val="18"/>
                <w:szCs w:val="18"/>
              </w:rPr>
            </w:pPr>
            <w:r>
              <w:rPr>
                <w:rFonts w:ascii="宋体" w:hAnsi="宋体" w:cs="宋体" w:eastAsia="宋体" w:hint="default"/>
                <w:sz w:val="18"/>
                <w:szCs w:val="18"/>
              </w:rPr>
              <w:t>华亿投资、 南京汇庆、 神码软件、 天津信锐、 中新创投</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《交易对方关于无违法行为的确认函》：本次交易的交易对方 出具了无违法行为的确认函，确认：公司（合伙企业）及公司</w:t>
            </w:r>
          </w:p>
          <w:p>
            <w:pPr>
              <w:pStyle w:val="TableParagraph"/>
              <w:spacing w:line="319" w:lineRule="auto" w:before="19"/>
              <w:ind w:left="103" w:right="101"/>
              <w:jc w:val="both"/>
              <w:rPr>
                <w:rFonts w:ascii="宋体" w:hAnsi="宋体" w:cs="宋体" w:eastAsia="宋体" w:hint="default"/>
                <w:sz w:val="18"/>
                <w:szCs w:val="18"/>
              </w:rPr>
            </w:pPr>
            <w:r>
              <w:rPr>
                <w:rFonts w:ascii="宋体" w:hAnsi="宋体" w:cs="宋体" w:eastAsia="宋体" w:hint="default"/>
                <w:sz w:val="18"/>
                <w:szCs w:val="18"/>
              </w:rPr>
              <w:t>（合伙企业）主要管理人员最近五年未受过与证券市场相关的 行政处罚、刑事处罚，没有涉及与经济纠纷有关的重大民事诉 讼或者仲裁；本公司（合伙企业）符合作为上市公司非公开发 行股票发行对象的条件，不存在法律、法规、规章或规范性文 件规定的不得作为上市公司非公开发行股票发行对象的情形。</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100" w:right="191"/>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r>
        <w:trPr>
          <w:trHeight w:val="161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395"/>
              <w:jc w:val="right"/>
              <w:rPr>
                <w:rFonts w:ascii="宋体" w:hAnsi="宋体" w:cs="宋体" w:eastAsia="宋体" w:hint="default"/>
                <w:sz w:val="18"/>
                <w:szCs w:val="18"/>
              </w:rPr>
            </w:pPr>
            <w:r>
              <w:rPr>
                <w:rFonts w:ascii="宋体" w:hAnsi="宋体" w:cs="宋体" w:eastAsia="宋体" w:hint="default"/>
                <w:sz w:val="18"/>
                <w:szCs w:val="18"/>
              </w:rPr>
              <w:t>神码软件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《关于标的资产隐形负债的承诺》：就神州信息相关员工的工 资、社会保险及住房公积金等隐性负债可能给上市公司导致的 损失，神码软件承诺：如本次交易完成后，因神州信息或其下 属控股</w:t>
            </w:r>
            <w:r>
              <w:rPr>
                <w:rFonts w:ascii="Times New Roman" w:hAnsi="Times New Roman" w:cs="Times New Roman" w:eastAsia="Times New Roman" w:hint="default"/>
                <w:sz w:val="18"/>
                <w:szCs w:val="18"/>
              </w:rPr>
              <w:t>/</w:t>
            </w:r>
            <w:r>
              <w:rPr>
                <w:rFonts w:ascii="宋体" w:hAnsi="宋体" w:cs="宋体" w:eastAsia="宋体" w:hint="default"/>
                <w:sz w:val="18"/>
                <w:szCs w:val="18"/>
              </w:rPr>
              <w:t>控制子公司或分公司就任何员工的工资、社会保险及 住房公积金方面存在违反法律、法规或规范性文件要求，或违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0" w:right="191"/>
              <w:jc w:val="both"/>
              <w:rPr>
                <w:rFonts w:ascii="宋体" w:hAnsi="宋体" w:cs="宋体" w:eastAsia="宋体" w:hint="default"/>
                <w:sz w:val="18"/>
                <w:szCs w:val="18"/>
              </w:rPr>
            </w:pPr>
            <w:r>
              <w:rPr>
                <w:rFonts w:ascii="宋体" w:hAnsi="宋体" w:cs="宋体" w:eastAsia="宋体" w:hint="default"/>
                <w:sz w:val="18"/>
                <w:szCs w:val="18"/>
              </w:rPr>
              <w:t>神码软件出具该承诺时，神 州信息拥有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家境内控股</w:t>
            </w:r>
          </w:p>
          <w:p>
            <w:pPr>
              <w:pStyle w:val="TableParagraph"/>
              <w:spacing w:line="300" w:lineRule="auto" w:before="1"/>
              <w:ind w:left="100" w:right="143"/>
              <w:jc w:val="both"/>
              <w:rPr>
                <w:rFonts w:ascii="宋体" w:hAnsi="宋体" w:cs="宋体" w:eastAsia="宋体" w:hint="default"/>
                <w:sz w:val="18"/>
                <w:szCs w:val="18"/>
              </w:rPr>
            </w:pPr>
            <w:r>
              <w:rPr>
                <w:rFonts w:ascii="宋体" w:hAnsi="宋体" w:cs="宋体" w:eastAsia="宋体" w:hint="default"/>
                <w:sz w:val="18"/>
                <w:szCs w:val="18"/>
              </w:rPr>
              <w:t>子公司及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家境内分公司， 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家已完成注销（</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日完成注销）和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家</w:t>
            </w:r>
          </w:p>
        </w:tc>
      </w:tr>
    </w:tbl>
    <w:p>
      <w:pPr>
        <w:spacing w:after="0" w:line="300" w:lineRule="auto"/>
        <w:jc w:val="both"/>
        <w:rPr>
          <w:rFonts w:ascii="宋体" w:hAnsi="宋体" w:cs="宋体" w:eastAsia="宋体" w:hint="default"/>
          <w:sz w:val="18"/>
          <w:szCs w:val="18"/>
        </w:rPr>
        <w:sectPr>
          <w:headerReference w:type="default" r:id="rId28"/>
          <w:footerReference w:type="default" r:id="rId29"/>
          <w:pgSz w:w="16840" w:h="11910" w:orient="landscape"/>
          <w:pgMar w:header="916" w:footer="1260" w:top="1120" w:bottom="1460" w:left="1180" w:right="1160"/>
          <w:pgNumType w:start="36"/>
        </w:sect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2"/>
      </w:tblGrid>
      <w:tr>
        <w:trPr>
          <w:trHeight w:val="9062"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反劳动合同约定，而导致上市公司受到起诉、被提起仲裁、遭 受索赔、受到行政调查或处罚、被判决或被裁决作出赔偿或补 偿或承担其他形式的责任，则神码软件将以现金方式向上市公 司补足该等遭受的损失，以确保上市公司利益不会受到损害。</w:t>
            </w: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100" w:right="187"/>
              <w:jc w:val="left"/>
              <w:rPr>
                <w:rFonts w:ascii="宋体" w:hAnsi="宋体" w:cs="宋体" w:eastAsia="宋体" w:hint="default"/>
                <w:sz w:val="18"/>
                <w:szCs w:val="18"/>
              </w:rPr>
            </w:pPr>
            <w:r>
              <w:rPr>
                <w:rFonts w:ascii="宋体" w:hAnsi="宋体" w:cs="宋体" w:eastAsia="宋体" w:hint="default"/>
                <w:sz w:val="18"/>
                <w:szCs w:val="18"/>
              </w:rPr>
              <w:t>拟注销的子公司（截至目 前，已完成注销）、</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家无 员工的子公司或分公司外， 公司及各该子公司及分公司 的社会保险主管机构均已出 具证明或缴纳记录，确认该 等公司及分公司在报告期内 或自设立起不存在欠费或违 反社会保险法规或受到处罚 的情形。就住房公积金守法 情况，在神码软件出具承诺 时，上述神州信息子公司及 分公司中，除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家已完成注</w:t>
            </w:r>
          </w:p>
          <w:p>
            <w:pPr>
              <w:pStyle w:val="TableParagraph"/>
              <w:spacing w:line="248" w:lineRule="exact"/>
              <w:ind w:left="100" w:right="0"/>
              <w:jc w:val="left"/>
              <w:rPr>
                <w:rFonts w:ascii="宋体" w:hAnsi="宋体" w:cs="宋体" w:eastAsia="宋体" w:hint="default"/>
                <w:sz w:val="18"/>
                <w:szCs w:val="18"/>
              </w:rPr>
            </w:pPr>
            <w:r>
              <w:rPr>
                <w:rFonts w:ascii="宋体" w:hAnsi="宋体" w:cs="宋体" w:eastAsia="宋体" w:hint="default"/>
                <w:sz w:val="18"/>
                <w:szCs w:val="18"/>
              </w:rPr>
              <w:t>销和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家拟注销的子公司</w:t>
            </w:r>
          </w:p>
          <w:p>
            <w:pPr>
              <w:pStyle w:val="TableParagraph"/>
              <w:spacing w:line="316" w:lineRule="auto" w:before="61"/>
              <w:ind w:left="100" w:right="191"/>
              <w:jc w:val="left"/>
              <w:rPr>
                <w:rFonts w:ascii="宋体" w:hAnsi="宋体" w:cs="宋体" w:eastAsia="宋体" w:hint="default"/>
                <w:sz w:val="18"/>
                <w:szCs w:val="18"/>
              </w:rPr>
            </w:pPr>
            <w:r>
              <w:rPr>
                <w:rFonts w:ascii="宋体" w:hAnsi="宋体" w:cs="宋体" w:eastAsia="宋体" w:hint="default"/>
                <w:sz w:val="18"/>
                <w:szCs w:val="18"/>
              </w:rPr>
              <w:t>（截至目前已注销）、</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 无员工的子公司或分公司 外，公司及各该子公司及分 公司的住房公积金主管机构 均已出具证明，确认该等公 司及分公司在报告期内或自 设立起不存在违反住房公积 金法规或受到处罚的情形。 综上所述，除神码软件出具 承诺时已注销、正在注销</w:t>
            </w:r>
          </w:p>
          <w:p>
            <w:pPr>
              <w:pStyle w:val="TableParagraph"/>
              <w:spacing w:line="319" w:lineRule="auto" w:before="19"/>
              <w:ind w:left="100" w:right="191"/>
              <w:jc w:val="both"/>
              <w:rPr>
                <w:rFonts w:ascii="宋体" w:hAnsi="宋体" w:cs="宋体" w:eastAsia="宋体" w:hint="default"/>
                <w:sz w:val="18"/>
                <w:szCs w:val="18"/>
              </w:rPr>
            </w:pPr>
            <w:r>
              <w:rPr>
                <w:rFonts w:ascii="宋体" w:hAnsi="宋体" w:cs="宋体" w:eastAsia="宋体" w:hint="default"/>
                <w:sz w:val="18"/>
                <w:szCs w:val="18"/>
              </w:rPr>
              <w:t>（目前已注销）以及无员工 的分子公司外，神州信息及 其余子公司及分公司均已取 得主管机关确认在报告期内 或自设立起不存在违反社会</w:t>
            </w:r>
          </w:p>
        </w:tc>
      </w:tr>
    </w:tbl>
    <w:p>
      <w:pPr>
        <w:spacing w:after="0" w:line="319" w:lineRule="auto"/>
        <w:jc w:val="both"/>
        <w:rPr>
          <w:rFonts w:ascii="宋体" w:hAnsi="宋体" w:cs="宋体" w:eastAsia="宋体" w:hint="default"/>
          <w:sz w:val="18"/>
          <w:szCs w:val="18"/>
        </w:rPr>
        <w:sectPr>
          <w:pgSz w:w="16840" w:h="11910" w:orient="landscape"/>
          <w:pgMar w:header="916" w:footer="1260" w:top="1180" w:bottom="1460" w:left="1180" w:right="1160"/>
        </w:sect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2"/>
      </w:tblGrid>
      <w:tr>
        <w:trPr>
          <w:trHeight w:val="3795" w:hRule="exact"/>
        </w:trPr>
        <w:tc>
          <w:tcPr>
            <w:tcW w:w="1893" w:type="dxa"/>
            <w:vMerge w:val="restart"/>
            <w:tcBorders>
              <w:top w:val="single" w:sz="4" w:space="0" w:color="000000"/>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0" w:right="191"/>
              <w:jc w:val="left"/>
              <w:rPr>
                <w:rFonts w:ascii="宋体" w:hAnsi="宋体" w:cs="宋体" w:eastAsia="宋体" w:hint="default"/>
                <w:sz w:val="18"/>
                <w:szCs w:val="18"/>
              </w:rPr>
            </w:pPr>
            <w:r>
              <w:rPr>
                <w:rFonts w:ascii="宋体" w:hAnsi="宋体" w:cs="宋体" w:eastAsia="宋体" w:hint="default"/>
                <w:sz w:val="18"/>
                <w:szCs w:val="18"/>
              </w:rPr>
              <w:t>保险、住房公积金法规或受 到处罚的情形，未取得合规 确认的子公司目前已注销、 分子公司无员工（不涉及社 会报销及住房公积金事 项）；且截至目前，上市公 司未因上述事项发生损失， 因此，未来因员工社会保 险、住房公积金事项可能导 致公司发生损失的风险很 小。截至目前，承诺人无违 反上述承诺的情况。</w:t>
            </w:r>
          </w:p>
        </w:tc>
      </w:tr>
      <w:tr>
        <w:trPr>
          <w:trHeight w:val="5356"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《关于上市公司股利分配政策的承诺》：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）、本次重组完成 后、我公司作为上市公司股东期间，我公司将全力支持上市公 司履行于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日所公告的经修订后《章程》中有关 上市公司分红政策及现金分红的规定，包括但不限于：①将调 整或变更上市公司利润分配政策作为股东大会特别决议事项；</w:t>
            </w:r>
          </w:p>
          <w:p>
            <w:pPr>
              <w:pStyle w:val="TableParagraph"/>
              <w:spacing w:line="309" w:lineRule="auto" w:before="24"/>
              <w:ind w:left="103" w:right="101"/>
              <w:jc w:val="left"/>
              <w:rPr>
                <w:rFonts w:ascii="宋体" w:hAnsi="宋体" w:cs="宋体" w:eastAsia="宋体" w:hint="default"/>
                <w:sz w:val="18"/>
                <w:szCs w:val="18"/>
              </w:rPr>
            </w:pPr>
            <w:r>
              <w:rPr>
                <w:rFonts w:ascii="宋体" w:hAnsi="宋体" w:cs="宋体" w:eastAsia="宋体" w:hint="default"/>
                <w:sz w:val="18"/>
                <w:szCs w:val="18"/>
              </w:rPr>
              <w:t>②坚持该等《章程》第一百五十五条所规定的公司利润分配政 策，包括利润分配的原则、程序、形式、现金分红条件、现金 分红的比例及时间、股票股利分配条件、利润分配的决策程序 和机制等事项；③特别地，本公司承诺，本公司将支持上市公 司按照前述《章程》条款进行分红，以确保上市公司每年以现 金方式分配的利润不低于上市公司当年实现的可分配利润的 </w:t>
            </w:r>
            <w:r>
              <w:rPr>
                <w:rFonts w:ascii="Times New Roman" w:hAnsi="Times New Roman" w:cs="Times New Roman" w:eastAsia="Times New Roman" w:hint="default"/>
                <w:sz w:val="18"/>
                <w:szCs w:val="18"/>
              </w:rPr>
              <w:t>10%</w:t>
            </w:r>
            <w:r>
              <w:rPr>
                <w:rFonts w:ascii="宋体" w:hAnsi="宋体" w:cs="宋体" w:eastAsia="宋体" w:hint="default"/>
                <w:sz w:val="18"/>
                <w:szCs w:val="18"/>
              </w:rPr>
              <w:t>，且任意三个连续会计年度内，上市公司以现金方式累计 分配的利润不少于该三年实现的年均可分配利润的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）、本交易完成后我公司作为上市公司股东期间，我公司将 全力支持上市公司严格履行于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日公告的《未来 三年（</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年）股东回报规划》。该等规划到期后， 我公司将支持上市公司及时制定接续性的股东回报规划，并确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9" w:lineRule="auto"/>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0"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年，神州信 息分红情况如下：</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年度：母公司累计可供 股东分配的利润为</w:t>
            </w:r>
            <w:r>
              <w:rPr>
                <w:rFonts w:ascii="Times New Roman" w:hAnsi="Times New Roman" w:cs="Times New Roman" w:eastAsia="Times New Roman" w:hint="default"/>
                <w:sz w:val="18"/>
                <w:szCs w:val="18"/>
              </w:rPr>
              <w:t>-28,182.12 </w:t>
            </w:r>
            <w:r>
              <w:rPr>
                <w:rFonts w:ascii="宋体" w:hAnsi="宋体" w:cs="宋体" w:eastAsia="宋体" w:hint="default"/>
                <w:sz w:val="18"/>
                <w:szCs w:val="18"/>
              </w:rPr>
              <w:t>万元。尚不满足分红条件， 因此，</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年度不进行利润 分配，也不进行资本公积金 转增股本。</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度：公司利润分配以未来实 施</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年度权益分配方案 时股权登记日的总股本为基 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p>
          <w:p>
            <w:pPr>
              <w:pStyle w:val="TableParagraph"/>
              <w:spacing w:line="312" w:lineRule="auto" w:before="7"/>
              <w:ind w:left="100" w:right="191"/>
              <w:jc w:val="left"/>
              <w:rPr>
                <w:rFonts w:ascii="宋体" w:hAnsi="宋体" w:cs="宋体" w:eastAsia="宋体" w:hint="default"/>
                <w:sz w:val="18"/>
                <w:szCs w:val="18"/>
              </w:rPr>
            </w:pPr>
            <w:r>
              <w:rPr>
                <w:rFonts w:ascii="宋体" w:hAnsi="宋体" w:cs="宋体" w:eastAsia="宋体" w:hint="default"/>
                <w:sz w:val="18"/>
                <w:szCs w:val="18"/>
              </w:rPr>
              <w:t>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 税），不送红股，不以公积 金转增股本。该利润分配方 案已于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月中旬实</w:t>
            </w:r>
          </w:p>
          <w:p>
            <w:pPr>
              <w:pStyle w:val="TableParagraph"/>
              <w:spacing w:line="240" w:lineRule="auto" w:before="3"/>
              <w:ind w:left="100" w:right="0"/>
              <w:jc w:val="left"/>
              <w:rPr>
                <w:rFonts w:ascii="宋体" w:hAnsi="宋体" w:cs="宋体" w:eastAsia="宋体" w:hint="default"/>
                <w:sz w:val="18"/>
                <w:szCs w:val="18"/>
              </w:rPr>
            </w:pPr>
            <w:r>
              <w:rPr>
                <w:rFonts w:ascii="宋体" w:hAnsi="宋体" w:cs="宋体" w:eastAsia="宋体" w:hint="default"/>
                <w:sz w:val="18"/>
                <w:szCs w:val="18"/>
              </w:rPr>
              <w:t>施完毕。公司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年度现</w:t>
            </w:r>
          </w:p>
        </w:tc>
      </w:tr>
    </w:tbl>
    <w:p>
      <w:pPr>
        <w:spacing w:after="0" w:line="240" w:lineRule="auto"/>
        <w:jc w:val="left"/>
        <w:rPr>
          <w:rFonts w:ascii="宋体" w:hAnsi="宋体" w:cs="宋体" w:eastAsia="宋体" w:hint="default"/>
          <w:sz w:val="18"/>
          <w:szCs w:val="18"/>
        </w:rPr>
        <w:sectPr>
          <w:pgSz w:w="16840" w:h="11910" w:orient="landscape"/>
          <w:pgMar w:header="916" w:footer="1260" w:top="1160" w:bottom="1460" w:left="1180" w:right="1160"/>
        </w:sect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2"/>
      </w:tblGrid>
      <w:tr>
        <w:trPr>
          <w:trHeight w:val="9062"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ind w:left="103" w:right="191"/>
              <w:jc w:val="both"/>
              <w:rPr>
                <w:rFonts w:ascii="宋体" w:hAnsi="宋体" w:cs="宋体" w:eastAsia="宋体" w:hint="default"/>
                <w:sz w:val="18"/>
                <w:szCs w:val="18"/>
              </w:rPr>
            </w:pPr>
            <w:r>
              <w:rPr>
                <w:rFonts w:ascii="宋体" w:hAnsi="宋体" w:cs="宋体" w:eastAsia="宋体" w:hint="default"/>
                <w:sz w:val="18"/>
                <w:szCs w:val="18"/>
              </w:rPr>
              <w:t>保该等回报规划符合上市公司的分红政策。</w:t>
            </w:r>
            <w:r>
              <w:rPr>
                <w:rFonts w:ascii="Times New Roman" w:hAnsi="Times New Roman" w:cs="Times New Roman" w:eastAsia="Times New Roman" w:hint="default"/>
                <w:sz w:val="18"/>
                <w:szCs w:val="18"/>
              </w:rPr>
              <w:t>3</w:t>
            </w:r>
            <w:r>
              <w:rPr>
                <w:rFonts w:ascii="宋体" w:hAnsi="宋体" w:cs="宋体" w:eastAsia="宋体" w:hint="default"/>
                <w:sz w:val="18"/>
                <w:szCs w:val="18"/>
              </w:rPr>
              <w:t>）、为确保上述 承诺实施，如上市公司未来存在未依照前述《章程》及有关</w:t>
            </w:r>
          </w:p>
          <w:p>
            <w:pPr>
              <w:pStyle w:val="TableParagraph"/>
              <w:spacing w:line="316" w:lineRule="auto" w:before="31"/>
              <w:ind w:left="103" w:right="101"/>
              <w:jc w:val="both"/>
              <w:rPr>
                <w:rFonts w:ascii="宋体" w:hAnsi="宋体" w:cs="宋体" w:eastAsia="宋体" w:hint="default"/>
                <w:sz w:val="18"/>
                <w:szCs w:val="18"/>
              </w:rPr>
            </w:pPr>
            <w:r>
              <w:rPr>
                <w:rFonts w:ascii="宋体" w:hAnsi="宋体" w:cs="宋体" w:eastAsia="宋体" w:hint="default"/>
                <w:sz w:val="18"/>
                <w:szCs w:val="18"/>
              </w:rPr>
              <w:t>《股东回报规划》进行分红情形，我公司将通过提出股东大会 提案、否决有关违反《章程》或有关《股东回报规划》提案等 方式，确保上述承诺得到有效实施。</w:t>
            </w: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ind w:left="100" w:right="187"/>
              <w:jc w:val="left"/>
              <w:rPr>
                <w:rFonts w:ascii="宋体" w:hAnsi="宋体" w:cs="宋体" w:eastAsia="宋体" w:hint="default"/>
                <w:sz w:val="18"/>
                <w:szCs w:val="18"/>
              </w:rPr>
            </w:pPr>
            <w:r>
              <w:rPr>
                <w:rFonts w:ascii="宋体" w:hAnsi="宋体" w:cs="宋体" w:eastAsia="宋体" w:hint="default"/>
                <w:sz w:val="18"/>
                <w:szCs w:val="18"/>
              </w:rPr>
              <w:t>金分红金额为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2,753.44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元，实际可供股东分配利润 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6,966.05 </w:t>
            </w:r>
            <w:r>
              <w:rPr>
                <w:rFonts w:ascii="宋体" w:hAnsi="宋体" w:cs="宋体" w:eastAsia="宋体" w:hint="default"/>
                <w:sz w:val="18"/>
                <w:szCs w:val="18"/>
              </w:rPr>
              <w:t>万元，现金分红 金额占实际可供分配利润的 </w:t>
            </w:r>
            <w:r>
              <w:rPr>
                <w:rFonts w:ascii="Times New Roman" w:hAnsi="Times New Roman" w:cs="Times New Roman" w:eastAsia="Times New Roman" w:hint="default"/>
                <w:sz w:val="18"/>
                <w:szCs w:val="18"/>
              </w:rPr>
              <w:t>39.53%</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年半年 度：公司利润分配方案为以 公司总股本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458,905,958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 为基数，以资本公积金向全 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w:t>
            </w:r>
          </w:p>
          <w:p>
            <w:pPr>
              <w:pStyle w:val="TableParagraph"/>
              <w:spacing w:line="304" w:lineRule="auto" w:before="5"/>
              <w:ind w:left="100" w:right="103"/>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年半年度不送红股、不 进行现金分红。该事项已于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日实施完 毕。</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年年度：以 公司总股本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917,811,916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股为</w:t>
            </w:r>
          </w:p>
          <w:p>
            <w:pPr>
              <w:pStyle w:val="TableParagraph"/>
              <w:spacing w:line="240" w:lineRule="auto" w:before="7"/>
              <w:ind w:left="100" w:right="0"/>
              <w:jc w:val="left"/>
              <w:rPr>
                <w:rFonts w:ascii="宋体" w:hAnsi="宋体" w:cs="宋体" w:eastAsia="宋体" w:hint="default"/>
                <w:sz w:val="18"/>
                <w:szCs w:val="18"/>
              </w:rPr>
            </w:pPr>
            <w:r>
              <w:rPr>
                <w:rFonts w:ascii="宋体" w:hAnsi="宋体" w:cs="宋体" w:eastAsia="宋体" w:hint="default"/>
                <w:sz w:val="18"/>
                <w:szCs w:val="18"/>
              </w:rPr>
              <w:t>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派发现金股利人民币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09" w:lineRule="auto" w:before="63"/>
              <w:ind w:left="100" w:right="143"/>
              <w:jc w:val="left"/>
              <w:rPr>
                <w:rFonts w:ascii="宋体" w:hAnsi="宋体" w:cs="宋体" w:eastAsia="宋体" w:hint="default"/>
                <w:sz w:val="18"/>
                <w:szCs w:val="18"/>
              </w:rPr>
            </w:pPr>
            <w:r>
              <w:rPr>
                <w:rFonts w:ascii="宋体" w:hAnsi="宋体" w:cs="宋体" w:eastAsia="宋体" w:hint="default"/>
                <w:sz w:val="18"/>
                <w:szCs w:val="18"/>
              </w:rPr>
              <w:t>（含税），合计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3,671.25 </w:t>
            </w:r>
            <w:r>
              <w:rPr>
                <w:rFonts w:ascii="宋体" w:hAnsi="宋体" w:cs="宋体" w:eastAsia="宋体" w:hint="default"/>
                <w:sz w:val="18"/>
                <w:szCs w:val="18"/>
              </w:rPr>
              <w:t>万 元。该利润分配方案已于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月中旬实施完毕。</w:t>
            </w:r>
          </w:p>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年度现金分红金</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3,671.25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万元，实际可</w:t>
            </w:r>
          </w:p>
          <w:p>
            <w:pPr>
              <w:pStyle w:val="TableParagraph"/>
              <w:spacing w:line="307" w:lineRule="auto" w:before="63"/>
              <w:ind w:left="100" w:right="143"/>
              <w:jc w:val="left"/>
              <w:rPr>
                <w:rFonts w:ascii="宋体" w:hAnsi="宋体" w:cs="宋体" w:eastAsia="宋体" w:hint="default"/>
                <w:sz w:val="18"/>
                <w:szCs w:val="18"/>
              </w:rPr>
            </w:pPr>
            <w:r>
              <w:rPr>
                <w:rFonts w:ascii="宋体" w:hAnsi="宋体" w:cs="宋体" w:eastAsia="宋体" w:hint="default"/>
                <w:sz w:val="18"/>
                <w:szCs w:val="18"/>
              </w:rPr>
              <w:t>供股东分配利润为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13,513.18 </w:t>
            </w:r>
            <w:r>
              <w:rPr>
                <w:rFonts w:ascii="宋体" w:hAnsi="宋体" w:cs="宋体" w:eastAsia="宋体" w:hint="default"/>
                <w:sz w:val="18"/>
                <w:szCs w:val="18"/>
              </w:rPr>
              <w:t>万元，现金分红金额占实际 可供分配利润的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27.17%</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年度：以总股本</w:t>
            </w:r>
          </w:p>
          <w:p>
            <w:pPr>
              <w:pStyle w:val="TableParagraph"/>
              <w:spacing w:line="240" w:lineRule="auto" w:before="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963,431,273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w:t>
            </w:r>
          </w:p>
          <w:p>
            <w:pPr>
              <w:pStyle w:val="TableParagraph"/>
              <w:spacing w:line="300" w:lineRule="auto" w:before="63"/>
              <w:ind w:left="100" w:right="143"/>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元（含税），不送红 股，不以公积金转增股本。</w:t>
            </w:r>
          </w:p>
        </w:tc>
      </w:tr>
    </w:tbl>
    <w:p>
      <w:pPr>
        <w:spacing w:after="0" w:line="300" w:lineRule="auto"/>
        <w:jc w:val="left"/>
        <w:rPr>
          <w:rFonts w:ascii="宋体" w:hAnsi="宋体" w:cs="宋体" w:eastAsia="宋体" w:hint="default"/>
          <w:sz w:val="18"/>
          <w:szCs w:val="18"/>
        </w:rPr>
        <w:sectPr>
          <w:pgSz w:w="16840" w:h="11910" w:orient="landscape"/>
          <w:pgMar w:header="916" w:footer="1260" w:top="1180" w:bottom="1460" w:left="1180" w:right="1160"/>
        </w:sect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5"/>
      </w:tblGrid>
      <w:tr>
        <w:trPr>
          <w:trHeight w:val="7852" w:hRule="exact"/>
        </w:trPr>
        <w:tc>
          <w:tcPr>
            <w:tcW w:w="1893" w:type="dxa"/>
            <w:vMerge w:val="restart"/>
            <w:tcBorders>
              <w:top w:val="single" w:sz="4" w:space="0" w:color="000000"/>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0"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本次利润分配方案已于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100"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日实施完毕。</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p>
            <w:pPr>
              <w:pStyle w:val="TableParagraph"/>
              <w:spacing w:line="240" w:lineRule="auto" w:before="63"/>
              <w:ind w:left="10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年度：以总股本</w:t>
            </w:r>
          </w:p>
          <w:p>
            <w:pPr>
              <w:pStyle w:val="TableParagraph"/>
              <w:spacing w:line="240" w:lineRule="auto" w:before="63"/>
              <w:ind w:left="10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963,431,273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w:t>
            </w:r>
          </w:p>
          <w:p>
            <w:pPr>
              <w:pStyle w:val="TableParagraph"/>
              <w:spacing w:line="240" w:lineRule="auto" w:before="63"/>
              <w:ind w:left="100" w:right="0"/>
              <w:jc w:val="both"/>
              <w:rPr>
                <w:rFonts w:ascii="宋体" w:hAnsi="宋体" w:cs="宋体" w:eastAsia="宋体" w:hint="default"/>
                <w:sz w:val="18"/>
                <w:szCs w:val="18"/>
              </w:rPr>
            </w:pPr>
            <w:r>
              <w:rPr>
                <w:rFonts w:ascii="宋体" w:hAnsi="宋体" w:cs="宋体" w:eastAsia="宋体" w:hint="default"/>
                <w:sz w:val="18"/>
                <w:szCs w:val="18"/>
              </w:rPr>
              <w:t>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w:t>
            </w:r>
          </w:p>
          <w:p>
            <w:pPr>
              <w:pStyle w:val="TableParagraph"/>
              <w:spacing w:line="309" w:lineRule="auto" w:before="63"/>
              <w:ind w:left="100"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元（含税），不送红 股，不以公积金转增股本。 本次利润分配方案已于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240" w:lineRule="auto" w:before="5"/>
              <w:ind w:left="100"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日实施完毕。</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p>
          <w:p>
            <w:pPr>
              <w:pStyle w:val="TableParagraph"/>
              <w:spacing w:line="240" w:lineRule="auto" w:before="63"/>
              <w:ind w:left="10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年度：以总股本</w:t>
            </w:r>
          </w:p>
          <w:p>
            <w:pPr>
              <w:pStyle w:val="TableParagraph"/>
              <w:spacing w:line="240" w:lineRule="auto" w:before="63"/>
              <w:ind w:left="10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963,431,273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w:t>
            </w:r>
          </w:p>
          <w:p>
            <w:pPr>
              <w:pStyle w:val="TableParagraph"/>
              <w:spacing w:line="240" w:lineRule="auto" w:before="63"/>
              <w:ind w:left="100" w:right="0"/>
              <w:jc w:val="both"/>
              <w:rPr>
                <w:rFonts w:ascii="宋体" w:hAnsi="宋体" w:cs="宋体" w:eastAsia="宋体" w:hint="default"/>
                <w:sz w:val="18"/>
                <w:szCs w:val="18"/>
              </w:rPr>
            </w:pPr>
            <w:r>
              <w:rPr>
                <w:rFonts w:ascii="宋体" w:hAnsi="宋体" w:cs="宋体" w:eastAsia="宋体" w:hint="default"/>
                <w:sz w:val="18"/>
                <w:szCs w:val="18"/>
              </w:rPr>
              <w:t>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w:t>
            </w:r>
          </w:p>
          <w:p>
            <w:pPr>
              <w:pStyle w:val="TableParagraph"/>
              <w:spacing w:line="307" w:lineRule="auto" w:before="63"/>
              <w:ind w:left="100" w:right="144"/>
              <w:jc w:val="both"/>
              <w:rPr>
                <w:rFonts w:ascii="Times New Roman" w:hAnsi="Times New Roman" w:cs="Times New Roman" w:eastAsia="Times New Roman" w:hint="default"/>
                <w:sz w:val="18"/>
                <w:szCs w:val="18"/>
              </w:rPr>
            </w:pPr>
            <w:r>
              <w:rPr>
                <w:rFonts w:ascii="宋体" w:hAnsi="宋体" w:cs="宋体" w:eastAsia="宋体" w:hint="default"/>
                <w:sz w:val="18"/>
                <w:szCs w:val="18"/>
              </w:rPr>
              <w:t>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元（含税），不送红 股，不以公积金转增股本。 本次利润分配方案已于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0" w:lineRule="auto" w:before="7"/>
              <w:ind w:left="100"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日实施完毕。</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p>
            <w:pPr>
              <w:pStyle w:val="TableParagraph"/>
              <w:spacing w:line="240" w:lineRule="auto" w:before="63"/>
              <w:ind w:left="10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年度：以总股本</w:t>
            </w:r>
          </w:p>
          <w:p>
            <w:pPr>
              <w:pStyle w:val="TableParagraph"/>
              <w:spacing w:line="240" w:lineRule="auto" w:before="63"/>
              <w:ind w:left="10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970,381,273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w:t>
            </w:r>
          </w:p>
          <w:p>
            <w:pPr>
              <w:pStyle w:val="TableParagraph"/>
              <w:spacing w:line="240" w:lineRule="auto" w:before="63"/>
              <w:ind w:left="100" w:right="0"/>
              <w:jc w:val="both"/>
              <w:rPr>
                <w:rFonts w:ascii="宋体" w:hAnsi="宋体" w:cs="宋体" w:eastAsia="宋体" w:hint="default"/>
                <w:sz w:val="18"/>
                <w:szCs w:val="18"/>
              </w:rPr>
            </w:pPr>
            <w:r>
              <w:rPr>
                <w:rFonts w:ascii="宋体" w:hAnsi="宋体" w:cs="宋体" w:eastAsia="宋体" w:hint="default"/>
                <w:sz w:val="18"/>
                <w:szCs w:val="18"/>
              </w:rPr>
              <w:t>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w:t>
            </w:r>
          </w:p>
          <w:p>
            <w:pPr>
              <w:pStyle w:val="TableParagraph"/>
              <w:spacing w:line="312" w:lineRule="auto" w:before="63"/>
              <w:ind w:left="100" w:right="144"/>
              <w:jc w:val="left"/>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元（含税），不送红 股，不以公积金转增股本。 本预案将提交公司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年度股东大会进行审议。综 上所述，截至目前，承诺人 无违反上述承诺的情况。</w:t>
            </w:r>
          </w:p>
        </w:tc>
      </w:tr>
      <w:tr>
        <w:trPr>
          <w:trHeight w:val="1299"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7"/>
              <w:ind w:left="103" w:right="101"/>
              <w:jc w:val="both"/>
              <w:rPr>
                <w:rFonts w:ascii="宋体" w:hAnsi="宋体" w:cs="宋体" w:eastAsia="宋体" w:hint="default"/>
                <w:sz w:val="18"/>
                <w:szCs w:val="18"/>
              </w:rPr>
            </w:pPr>
            <w:r>
              <w:rPr>
                <w:rFonts w:ascii="宋体" w:hAnsi="宋体" w:cs="宋体" w:eastAsia="宋体" w:hint="default"/>
                <w:sz w:val="18"/>
                <w:szCs w:val="18"/>
              </w:rPr>
              <w:t>《关于标的资产租赁房屋事项的承诺》：如因租赁房屋权属瑕 疵导致神州信息或其任何现有子公司、分公司无法继续租赁该 等房屋而必须搬迁，我公司将积极协助神州信息或其任何现有 子公司、分公司及时寻找合适的替代性合法经营场所。如神州</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2"/>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9" w:lineRule="auto"/>
              <w:ind w:left="100" w:right="192"/>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bl>
    <w:p>
      <w:pPr>
        <w:spacing w:after="0" w:line="319" w:lineRule="auto"/>
        <w:jc w:val="both"/>
        <w:rPr>
          <w:rFonts w:ascii="宋体" w:hAnsi="宋体" w:cs="宋体" w:eastAsia="宋体" w:hint="default"/>
          <w:sz w:val="18"/>
          <w:szCs w:val="18"/>
        </w:rPr>
        <w:sectPr>
          <w:pgSz w:w="16840" w:h="11910" w:orient="landscape"/>
          <w:pgMar w:header="916" w:footer="1260" w:top="1180" w:bottom="1460" w:left="1180" w:right="1160"/>
        </w:sect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5"/>
      </w:tblGrid>
      <w:tr>
        <w:trPr>
          <w:trHeight w:val="2547" w:hRule="exact"/>
        </w:trPr>
        <w:tc>
          <w:tcPr>
            <w:tcW w:w="1893" w:type="dxa"/>
            <w:vMerge w:val="restart"/>
            <w:tcBorders>
              <w:top w:val="single" w:sz="4" w:space="0" w:color="000000"/>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信息及其任何现有子公司、分公司无法在相关区域内及时找到 合适的替代性合法经营办公场所，我公司承诺对由此给神州信 息或其任何现有子公司、分公司的经营和财务状况造成的任何 损失承担责任；如因上述房屋未履行房屋租赁登记备案手续而 致使神州信息或其任何现有子公司、分公司受到房地产管理部 门处罚的，同意无条件代神州信息或其任何现有子公司、分公 司承担所有罚款或处罚，保证神州信息或其任何现有子公司、 分公司不因此受到损失。</w:t>
            </w: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4148" w:hRule="exact"/>
        </w:trPr>
        <w:tc>
          <w:tcPr>
            <w:tcW w:w="1893" w:type="dxa"/>
            <w:vMerge/>
            <w:tcBorders>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1" w:right="215"/>
              <w:jc w:val="left"/>
              <w:rPr>
                <w:rFonts w:ascii="宋体" w:hAnsi="宋体" w:cs="宋体" w:eastAsia="宋体" w:hint="default"/>
                <w:sz w:val="18"/>
                <w:szCs w:val="18"/>
              </w:rPr>
            </w:pPr>
            <w:r>
              <w:rPr>
                <w:rFonts w:ascii="宋体" w:hAnsi="宋体" w:cs="宋体" w:eastAsia="宋体" w:hint="default"/>
                <w:sz w:val="18"/>
                <w:szCs w:val="18"/>
              </w:rPr>
              <w:t>神州控股、 神码软件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0" w:right="170"/>
              <w:jc w:val="left"/>
              <w:rPr>
                <w:rFonts w:ascii="宋体" w:hAnsi="宋体" w:cs="宋体" w:eastAsia="宋体" w:hint="default"/>
                <w:sz w:val="18"/>
                <w:szCs w:val="18"/>
              </w:rPr>
            </w:pPr>
            <w:r>
              <w:rPr>
                <w:rFonts w:ascii="宋体" w:hAnsi="宋体" w:cs="宋体" w:eastAsia="宋体" w:hint="default"/>
                <w:sz w:val="18"/>
                <w:szCs w:val="18"/>
              </w:rPr>
              <w:t>关联交易的承 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《关于规范关联交易的承诺》：神州控股和神码软件就本次重 大资产重组涉及的关联交易问题，承诺如下：①本公司及本公 司控制的企业与神州信息之间不存在显失公平的关联交易。② 重组完成后，本公司及本公司控制的企业将尽量避免或减少与 神州信息及其下属子公司之间的关联交易，对于无法避免或有 合理理由存在的关联交易，将与上市公司依法签订规范的关联 交易协议，并按照有关法律、法规、规章、上市规则和其他规 范性文件以及上市公司章程的规定履行批准程序；关联交易价 格依照与无关联关系的独立第三方进行相同或相似交易时的价 格确定，保证关联交易价格具有公允性；保证按照有关法律、 法规、上市公司章程的规定履行关联交易的信息披露义务。本 公司保证不利用关联交易非法转移上市公司的资金、利润，不 利用关联交易损害非关联股东的利益。</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0" w:right="192"/>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r>
        <w:trPr>
          <w:trHeight w:val="2235"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01" w:right="215"/>
              <w:jc w:val="left"/>
              <w:rPr>
                <w:rFonts w:ascii="宋体" w:hAnsi="宋体" w:cs="宋体" w:eastAsia="宋体" w:hint="default"/>
                <w:sz w:val="18"/>
                <w:szCs w:val="18"/>
              </w:rPr>
            </w:pPr>
            <w:r>
              <w:rPr>
                <w:rFonts w:ascii="宋体" w:hAnsi="宋体" w:cs="宋体" w:eastAsia="宋体" w:hint="default"/>
                <w:sz w:val="18"/>
                <w:szCs w:val="18"/>
              </w:rPr>
              <w:t>神州控股、 神码软件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《保持上市公司独立性的承诺》：神州控股和神码软件就本次 重大资产重组涉及的上市公司独立性问题承诺如下：（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）自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月神州信息成立以来，神州信息一直在业务、资 产、机构、人员、财务等方面与本公司或本公司控制的其他企 业完全分开，双方的业务、资产、人员、财务和机构独立，不 存在混同情况。（</w:t>
            </w:r>
            <w:r>
              <w:rPr>
                <w:rFonts w:ascii="Times New Roman" w:hAnsi="Times New Roman" w:cs="Times New Roman" w:eastAsia="Times New Roman" w:hint="default"/>
                <w:sz w:val="18"/>
                <w:szCs w:val="18"/>
              </w:rPr>
              <w:t>2</w:t>
            </w:r>
            <w:r>
              <w:rPr>
                <w:rFonts w:ascii="宋体" w:hAnsi="宋体" w:cs="宋体" w:eastAsia="宋体" w:hint="default"/>
                <w:sz w:val="18"/>
                <w:szCs w:val="18"/>
              </w:rPr>
              <w:t>）在重组完成后，保证上市公司在人员、 资产、财务、机构及业务方面继续与本公司或本公司控制的其</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316" w:lineRule="auto"/>
              <w:ind w:left="100" w:right="192"/>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bl>
    <w:p>
      <w:pPr>
        <w:spacing w:after="0" w:line="316" w:lineRule="auto"/>
        <w:jc w:val="both"/>
        <w:rPr>
          <w:rFonts w:ascii="宋体" w:hAnsi="宋体" w:cs="宋体" w:eastAsia="宋体" w:hint="default"/>
          <w:sz w:val="18"/>
          <w:szCs w:val="18"/>
        </w:rPr>
        <w:sectPr>
          <w:pgSz w:w="16840" w:h="11910" w:orient="landscape"/>
          <w:pgMar w:header="916" w:footer="1260" w:top="1160" w:bottom="1460" w:left="1180" w:right="1160"/>
        </w:sect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5"/>
      </w:tblGrid>
      <w:tr>
        <w:trPr>
          <w:trHeight w:val="674" w:hRule="exact"/>
        </w:trPr>
        <w:tc>
          <w:tcPr>
            <w:tcW w:w="1893" w:type="dxa"/>
            <w:vMerge w:val="restart"/>
            <w:tcBorders>
              <w:top w:val="single" w:sz="4" w:space="0" w:color="000000"/>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他企业完全分开，保持上市公司在业务、资产、人员、财务和 机构方面的独立。</w:t>
            </w: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8476"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101" w:right="215"/>
              <w:jc w:val="both"/>
              <w:rPr>
                <w:rFonts w:ascii="宋体" w:hAnsi="宋体" w:cs="宋体" w:eastAsia="宋体" w:hint="default"/>
                <w:sz w:val="18"/>
                <w:szCs w:val="18"/>
              </w:rPr>
            </w:pPr>
            <w:r>
              <w:rPr>
                <w:rFonts w:ascii="宋体" w:hAnsi="宋体" w:cs="宋体" w:eastAsia="宋体" w:hint="default"/>
                <w:sz w:val="18"/>
                <w:szCs w:val="18"/>
              </w:rPr>
              <w:t>郭为、神州 控股、神码 软件、阎焱</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同业竞争承诺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《关于同业竞争事项的承诺》：（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）神州控股承诺：</w:t>
            </w:r>
            <w:r>
              <w:rPr>
                <w:rFonts w:ascii="宋体" w:hAnsi="宋体" w:cs="宋体" w:eastAsia="宋体" w:hint="default"/>
                <w:spacing w:val="-1"/>
                <w:sz w:val="18"/>
                <w:szCs w:val="18"/>
              </w:rPr>
              <w:t> </w:t>
            </w:r>
            <w:r>
              <w:rPr>
                <w:rFonts w:ascii="宋体" w:hAnsi="宋体" w:cs="宋体" w:eastAsia="宋体" w:hint="default"/>
                <w:sz w:val="18"/>
                <w:szCs w:val="18"/>
              </w:rPr>
              <w:t>①神州</w:t>
            </w:r>
            <w:r>
              <w:rPr>
                <w:rFonts w:ascii="宋体" w:hAnsi="宋体" w:cs="宋体" w:eastAsia="宋体" w:hint="default"/>
                <w:sz w:val="18"/>
                <w:szCs w:val="18"/>
              </w:rPr>
              <w:t> 数码控股及其控制的除神州信息外其他企业的主营业务不包括 系统集成服务、技术服务、应用软件以及</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等金融自助设 备业务，与神州信息的主营业务不存在重叠，双方之间不存在 潜在的同业竞争关系；②重组完成后，除上市公司外，神州数 码控股不存在、今后亦不会通过神州数码控股或神州数码控股 可控制的其他企业在任何地方和以任何方式从事对上市公司主 营业务（系统集成服务、技术服务、应用软件以及</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等金 融自助设备）构成或可能构成直接或间接竞争关系的业务（不 包括神州数码控股或其附属公司或其联营公司持有从事竞争性 业务的其他上市公司总计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或以下的权益的情形）。如果神 州数码控股将来出现所投资的全资、控股企业从事的业务与上 市公司构成竞争的情况，上市公司有权随时要求神州数码控股 以公允的价格出让其在该等企业中的全部股权，在同等条件下 神州数码控股给予上市公司或其指定的第三方对该等股权的优 先购买权，并将尽最大努力促使有关交易的价格在公平及正常 交易原则的基础上确定；若违反上述承诺，神州数码控股将赔 偿上市公司因此而产生的相关损失。神州数码控股今后作为上 市公司直接或间接股东期间，不会利用对上市公司股东地位损 害上市公司及上市公司其他股东（特别是中小股东）的合法权 益。（</w:t>
            </w:r>
            <w:r>
              <w:rPr>
                <w:rFonts w:ascii="Times New Roman" w:hAnsi="Times New Roman" w:cs="Times New Roman" w:eastAsia="Times New Roman" w:hint="default"/>
                <w:sz w:val="18"/>
                <w:szCs w:val="18"/>
              </w:rPr>
              <w:t>2</w:t>
            </w:r>
            <w:r>
              <w:rPr>
                <w:rFonts w:ascii="宋体" w:hAnsi="宋体" w:cs="宋体" w:eastAsia="宋体" w:hint="default"/>
                <w:sz w:val="18"/>
                <w:szCs w:val="18"/>
              </w:rPr>
              <w:t>）神码软件承诺：①本公司及本公司控制的除神州信 息外其他企业的主营业务不包括系统集成服务、技术服务、应 用软件以及</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等金融自助设备业务，与神州信息主营业务 不存在重叠，双方之间不存在潜在的同业竞争；②重组完成 后，本公司及本公司的全资子公司、控股子公司或本公司拥有 实际控制权的其他企业将不会从事任何与上市公司目前或未来 所从事的业务发生或可能发生竞争的业务。除神州信息及重组</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100" w:right="192"/>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bl>
    <w:p>
      <w:pPr>
        <w:spacing w:after="0" w:line="316" w:lineRule="auto"/>
        <w:jc w:val="both"/>
        <w:rPr>
          <w:rFonts w:ascii="宋体" w:hAnsi="宋体" w:cs="宋体" w:eastAsia="宋体" w:hint="default"/>
          <w:sz w:val="18"/>
          <w:szCs w:val="18"/>
        </w:rPr>
        <w:sectPr>
          <w:pgSz w:w="16840" w:h="11910" w:orient="landscape"/>
          <w:pgMar w:header="916" w:footer="1260" w:top="1160" w:bottom="1460" w:left="1180" w:right="1160"/>
        </w:sect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5"/>
      </w:tblGrid>
      <w:tr>
        <w:trPr>
          <w:trHeight w:val="6604" w:hRule="exact"/>
        </w:trPr>
        <w:tc>
          <w:tcPr>
            <w:tcW w:w="1893" w:type="dxa"/>
            <w:vMerge w:val="restart"/>
            <w:tcBorders>
              <w:top w:val="single" w:sz="4" w:space="0" w:color="000000"/>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后上市公司外，本公司不存在、今后亦不会通过任何其他企业 在任何地方和以任何方式从事对重组后上市公司主营业务（系 统集成服务、技术服务、应用软件以及</w:t>
            </w:r>
            <w:r>
              <w:rPr>
                <w:rFonts w:ascii="宋体" w:hAnsi="宋体" w:cs="宋体" w:eastAsia="宋体" w:hint="default"/>
                <w:spacing w:val="-44"/>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等金融自助设 备）</w:t>
            </w:r>
            <w:r>
              <w:rPr>
                <w:rFonts w:ascii="宋体" w:hAnsi="宋体" w:cs="宋体" w:eastAsia="宋体" w:hint="default"/>
                <w:spacing w:val="1"/>
                <w:sz w:val="18"/>
                <w:szCs w:val="18"/>
              </w:rPr>
              <w:t> </w:t>
            </w:r>
            <w:r>
              <w:rPr>
                <w:rFonts w:ascii="宋体" w:hAnsi="宋体" w:cs="宋体" w:eastAsia="宋体" w:hint="default"/>
                <w:sz w:val="18"/>
                <w:szCs w:val="18"/>
              </w:rPr>
              <w:t>构成或可能构成直接或间接竞争关系的业务。如果本公</w:t>
            </w:r>
            <w:r>
              <w:rPr>
                <w:rFonts w:ascii="宋体" w:hAnsi="宋体" w:cs="宋体" w:eastAsia="宋体" w:hint="default"/>
                <w:sz w:val="18"/>
                <w:szCs w:val="18"/>
              </w:rPr>
              <w:t> 司将来出现所投资的全资、控股企业从事的业务与重组后上市 公司构成竞争的情况，重组后上市公司有权随时要求本公司以 公允的价格出让其在该等企业中的全部股权，在同等条件下本 公司给予重组后上市公司或其指定的第三方对该等股权的优先 购买权，并将尽最大努力促使有关交易的价格在公平及正常交 易原则的基础上确定；若违反上述承诺，本公司将赔偿重组后 上市公司因此而产生的相关损失。本公司今后作为重组后上市 公司控股股东期间，不会利用重组后上市公司股东地位损害重 组后上市公司及其他股东（特别是中小股东）的合法权益。</w:t>
            </w:r>
          </w:p>
          <w:p>
            <w:pPr>
              <w:pStyle w:val="TableParagraph"/>
              <w:spacing w:line="304" w:lineRule="auto" w:before="19"/>
              <w:ind w:left="103" w:right="10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）郭为先生声明：本人在神州信息担任董事长，同时通过 天津信锐间接持有神州信息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5.39%</w:t>
            </w:r>
            <w:r>
              <w:rPr>
                <w:rFonts w:ascii="宋体" w:hAnsi="宋体" w:cs="宋体" w:eastAsia="宋体" w:hint="default"/>
                <w:sz w:val="18"/>
                <w:szCs w:val="18"/>
              </w:rPr>
              <w:t>股份；目前不存在且不从事 其他与神州信息相同或类似业务，也未直接或以投资控股等形 式经营或为他人经营任何其他与神州信息相同或类似业务。</w:t>
            </w:r>
          </w:p>
          <w:p>
            <w:pPr>
              <w:pStyle w:val="TableParagraph"/>
              <w:spacing w:line="312" w:lineRule="auto" w:before="28"/>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）阎焱先生声明：本人在神州数码担任非执行董事；目前 不存在且不从事与神州信息相同或类似业务，也未直接或以投 资控股等形式经营或为他人经营任何与神州信息相同或类似业 务。</w:t>
            </w: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2"/>
              <w:ind w:left="101" w:right="215"/>
              <w:jc w:val="left"/>
              <w:rPr>
                <w:rFonts w:ascii="宋体" w:hAnsi="宋体" w:cs="宋体" w:eastAsia="宋体" w:hint="default"/>
                <w:sz w:val="18"/>
                <w:szCs w:val="18"/>
              </w:rPr>
            </w:pPr>
            <w:r>
              <w:rPr>
                <w:rFonts w:ascii="宋体" w:hAnsi="宋体" w:cs="宋体" w:eastAsia="宋体" w:hint="default"/>
                <w:sz w:val="18"/>
                <w:szCs w:val="18"/>
              </w:rPr>
              <w:t>冯健刚、贺 胜龙、蒋 云、王建 林、王宇 飞、王正、 张丹丹</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7"/>
              <w:ind w:left="103" w:right="101"/>
              <w:jc w:val="both"/>
              <w:rPr>
                <w:rFonts w:ascii="宋体" w:hAnsi="宋体" w:cs="宋体" w:eastAsia="宋体" w:hint="default"/>
                <w:sz w:val="18"/>
                <w:szCs w:val="18"/>
              </w:rPr>
            </w:pPr>
            <w:r>
              <w:rPr>
                <w:rFonts w:ascii="宋体" w:hAnsi="宋体" w:cs="宋体" w:eastAsia="宋体" w:hint="default"/>
                <w:sz w:val="18"/>
                <w:szCs w:val="18"/>
              </w:rPr>
              <w:t>《交易对方关于资产权属的承诺》：本次资产重组交易对方冯 健刚等七名自然人就持有的神州信息股份承诺如下：本人所持 该等股份，本人确认，本人已依法履行全部出资义务，该等股 份所对应的注册资本均已按时足额出资到位；本人依法拥有该 等股份的全部法律权益，包括但不限于占有、使用、收益及处 分权；本人所持有的该等股份资产权属清晰，不存在任何权属 纠纷，亦不存在其他法律纠纷，不存在质押、抵押、其他担保 或第三方权益或限制情形，也不存在法院或其他有权机关冻</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316" w:lineRule="auto"/>
              <w:ind w:left="100" w:right="192"/>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bl>
    <w:p>
      <w:pPr>
        <w:spacing w:after="0" w:line="316" w:lineRule="auto"/>
        <w:jc w:val="both"/>
        <w:rPr>
          <w:rFonts w:ascii="宋体" w:hAnsi="宋体" w:cs="宋体" w:eastAsia="宋体" w:hint="default"/>
          <w:sz w:val="18"/>
          <w:szCs w:val="18"/>
        </w:rPr>
        <w:sectPr>
          <w:pgSz w:w="16840" w:h="11910" w:orient="landscape"/>
          <w:pgMar w:header="916" w:footer="1260" w:top="1180" w:bottom="1460" w:left="1180" w:right="1160"/>
        </w:sect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5"/>
      </w:tblGrid>
      <w:tr>
        <w:trPr>
          <w:trHeight w:val="674" w:hRule="exact"/>
        </w:trPr>
        <w:tc>
          <w:tcPr>
            <w:tcW w:w="1893" w:type="dxa"/>
            <w:vMerge w:val="restart"/>
            <w:tcBorders>
              <w:top w:val="single" w:sz="4" w:space="0" w:color="000000"/>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结、查封、拍卖本人持有该等股份之情形；本人持有的该等股 份过户或者转移不存在法律障碍。</w:t>
            </w: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8476"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316" w:lineRule="auto"/>
              <w:ind w:left="101" w:right="215"/>
              <w:jc w:val="left"/>
              <w:rPr>
                <w:rFonts w:ascii="宋体" w:hAnsi="宋体" w:cs="宋体" w:eastAsia="宋体" w:hint="default"/>
                <w:sz w:val="18"/>
                <w:szCs w:val="18"/>
              </w:rPr>
            </w:pPr>
            <w:r>
              <w:rPr>
                <w:rFonts w:ascii="宋体" w:hAnsi="宋体" w:cs="宋体" w:eastAsia="宋体" w:hint="default"/>
                <w:sz w:val="18"/>
                <w:szCs w:val="18"/>
              </w:rPr>
              <w:t>冯健刚、贺 胜龙、蒋 云、王建 林、王宇 飞、王正、 张丹丹</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《交易对方关于竞业禁止的承诺》：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、冯健刚等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 承诺：本次交易前，除中农信达及其下属子公司外，本人在本 次交易前未从事其他与中农信达相同、相似或有竞争关系的业 务（包括但不限于以投资、合作、承包、租赁、委托经营等方 式参与上述业务），亦未在相关单位工作或任职。本人承诺： 自本次交易完成后继续在中农信达任职，任职时间不少于三 年；本次交易完成后将持有神州信息股份或继续在中农信达任 职，在前述继续持股或任职期间及不再持股或离职后三年内， 本人及其关系密切的家庭成员不在中国境内直接或间接从事与 中农信达相同、相似或有竞争关系的业务，也不直接或间接在 与中农信达有相同、相似或有竞争关系的业务单位工作、任职 或拥有权益，本人在其他单位兼职的情况，必须经中农信达股 东会或董事会批准同意。同时，本人承诺，本人及本人控制的 其他企业不会直接或间接从事任何与上市公司及其下属公司主 要经营业务构成同业竞争或潜在同业竞争关系的生产与经营， 亦不会投资任何与上市公司及其下属公司主要经营业务构成同 业竞争或潜在同业竞争关系的其他企业；如在上述期间，本人 或本人控制的其他企业获得的商业机会与上市公司及其下属公 司主营业务发生同业竞争或可能发生同业竞争的，本人将立即 通知上市公司，并尽力将该商业机会给予上市公司，以避免与 上市公司及下属公司形成同业竞争或潜在同业竞争，以确保上 市公司及上市公司其他股东利益不受损害。</w:t>
            </w:r>
            <w:r>
              <w:rPr>
                <w:rFonts w:ascii="Times New Roman" w:hAnsi="Times New Roman" w:cs="Times New Roman" w:eastAsia="Times New Roman" w:hint="default"/>
                <w:sz w:val="18"/>
                <w:szCs w:val="18"/>
              </w:rPr>
              <w:t>2</w:t>
            </w:r>
            <w:r>
              <w:rPr>
                <w:rFonts w:ascii="宋体" w:hAnsi="宋体" w:cs="宋体" w:eastAsia="宋体" w:hint="default"/>
                <w:sz w:val="18"/>
                <w:szCs w:val="18"/>
              </w:rPr>
              <w:t>、贺胜龙、王正 承诺：本次交易前，除中农信达及其下属子公司外，本人在本 次交易前未从事其他与中农信达相同、相似或有竞争关系的业 务（包括但不限于以投资、合作、承包、租赁、委托经营等方 式参与上述业务），亦未在相关单位工作或任职。本人承诺， 本人及本人控制的其他企业不会直接或间接从事任何与上市公</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100" w:right="192"/>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bl>
    <w:p>
      <w:pPr>
        <w:spacing w:after="0" w:line="316" w:lineRule="auto"/>
        <w:jc w:val="both"/>
        <w:rPr>
          <w:rFonts w:ascii="宋体" w:hAnsi="宋体" w:cs="宋体" w:eastAsia="宋体" w:hint="default"/>
          <w:sz w:val="18"/>
          <w:szCs w:val="18"/>
        </w:rPr>
        <w:sectPr>
          <w:pgSz w:w="16840" w:h="11910" w:orient="landscape"/>
          <w:pgMar w:header="916" w:footer="1260" w:top="1160" w:bottom="1460" w:left="1180" w:right="1160"/>
        </w:sect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5"/>
      </w:tblGrid>
      <w:tr>
        <w:trPr>
          <w:trHeight w:val="2547" w:hRule="exact"/>
        </w:trPr>
        <w:tc>
          <w:tcPr>
            <w:tcW w:w="1893" w:type="dxa"/>
            <w:vMerge w:val="restart"/>
            <w:tcBorders>
              <w:top w:val="single" w:sz="4" w:space="0" w:color="000000"/>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司及其下属公司主要经营业务构成同业竞争或潜在同业竞争关 系的生产与经营，亦不会投资任何与上市公司及其下属公司主 要经营业务构成同业竞争或潜在同业竞争关系的其他企业；如 在上述期间，本人或本人控制的其他企业获得的商业机会与上 市公司及其下属公司主营业务发生同业竞争或可能发生同业竞 争的，本人将立即通知上市公司，并尽力将该商业机会给予上 市公司，以避免与上市公司及下属公司形成同业竞争或潜在同 业竞争，以确保上市公司及上市公司其他股东利益不受损害。</w:t>
            </w: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1964" w:hRule="exact"/>
        </w:trPr>
        <w:tc>
          <w:tcPr>
            <w:tcW w:w="1893" w:type="dxa"/>
            <w:vMerge/>
            <w:tcBorders>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15"/>
              <w:jc w:val="left"/>
              <w:rPr>
                <w:rFonts w:ascii="宋体" w:hAnsi="宋体" w:cs="宋体" w:eastAsia="宋体" w:hint="default"/>
                <w:sz w:val="18"/>
                <w:szCs w:val="18"/>
              </w:rPr>
            </w:pPr>
            <w:r>
              <w:rPr>
                <w:rFonts w:ascii="宋体" w:hAnsi="宋体" w:cs="宋体" w:eastAsia="宋体" w:hint="default"/>
                <w:sz w:val="18"/>
                <w:szCs w:val="18"/>
              </w:rPr>
              <w:t>冯健刚、贺 胜龙、蒋 云、王建 林、王宇 飞、王正、 张丹丹</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《交易对方关于无违法行为的确认函》：截至《神州数码信息 服务股份有限公司向特定对象发行股份购买资产并募集配套资 金报告书》签署之日，本人在最近五年未受过任何刑事处罚、 证券市场相关的行政处罚，不存在与经济纠纷有关的重大民事 诉讼或仲裁的情况。</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0" w:right="192"/>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r>
        <w:trPr>
          <w:trHeight w:val="4458"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101" w:right="215"/>
              <w:jc w:val="left"/>
              <w:rPr>
                <w:rFonts w:ascii="宋体" w:hAnsi="宋体" w:cs="宋体" w:eastAsia="宋体" w:hint="default"/>
                <w:sz w:val="18"/>
                <w:szCs w:val="18"/>
              </w:rPr>
            </w:pPr>
            <w:r>
              <w:rPr>
                <w:rFonts w:ascii="宋体" w:hAnsi="宋体" w:cs="宋体" w:eastAsia="宋体" w:hint="default"/>
                <w:sz w:val="18"/>
                <w:szCs w:val="18"/>
              </w:rPr>
              <w:t>冯健刚、贺 胜龙、蒋 云、王建 林、王宇 飞、王正、 张丹丹</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《关于土地确权合同相关情况的承诺》：若中农信达就上述确 权合同未按照政府采购法、招标投标法以及相关法律规定履行 相关签约程序而遭受任何行政处罚或承担其他法律责任，导致 中农信达利益因此受到减损，冯健刚、王宇飞、张丹丹、贺胜 龙、王正、蒋云及王建林承诺将对中农信达进行补偿，以保证 中农信达利益不受到任何损失，冯健刚、王宇飞、张丹丹、贺 胜龙、王正、蒋云及王建林将对此承担连带责任。若中农信达 就上述确权合同未按照政府采购法、招标投标法以及相关法律 规定履行相关签约程序而导致该等确权合同的有效性以及其他 任何方面对中农信达产生任何不利影响，冯健刚、王宇飞、张 丹丹、贺胜龙、王正、蒋云及王建林承诺将对中农信达进行补 偿（包括但不限于因此遭受的全部损失、费用支出等），以保 证中农信达利益不受到任何损失，冯健刚、王宇飞、张丹丹、 贺胜龙、王正、蒋云及王建林将对此承担连带责任。</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4" w:lineRule="auto"/>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100" w:right="192"/>
              <w:jc w:val="both"/>
              <w:rPr>
                <w:rFonts w:ascii="宋体" w:hAnsi="宋体" w:cs="宋体" w:eastAsia="宋体" w:hint="default"/>
                <w:sz w:val="18"/>
                <w:szCs w:val="18"/>
              </w:rPr>
            </w:pPr>
            <w:r>
              <w:rPr>
                <w:rFonts w:ascii="宋体" w:hAnsi="宋体" w:cs="宋体" w:eastAsia="宋体" w:hint="default"/>
                <w:sz w:val="18"/>
                <w:szCs w:val="18"/>
              </w:rPr>
              <w:t>本承诺函出具日至本公告披 露之日没有出现相关情况。 截至目前，上述承诺仍在履 行过程中，承诺人无违反上 述承诺的情况。</w:t>
            </w:r>
          </w:p>
        </w:tc>
      </w:tr>
    </w:tbl>
    <w:p>
      <w:pPr>
        <w:spacing w:after="0" w:line="316" w:lineRule="auto"/>
        <w:jc w:val="both"/>
        <w:rPr>
          <w:rFonts w:ascii="宋体" w:hAnsi="宋体" w:cs="宋体" w:eastAsia="宋体" w:hint="default"/>
          <w:sz w:val="18"/>
          <w:szCs w:val="18"/>
        </w:rPr>
        <w:sectPr>
          <w:pgSz w:w="16840" w:h="11910" w:orient="landscape"/>
          <w:pgMar w:header="916" w:footer="1260" w:top="1160" w:bottom="1460" w:left="1180" w:right="1160"/>
        </w:sect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2"/>
      </w:tblGrid>
      <w:tr>
        <w:trPr>
          <w:trHeight w:val="9100"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101" w:right="215"/>
              <w:jc w:val="left"/>
              <w:rPr>
                <w:rFonts w:ascii="宋体" w:hAnsi="宋体" w:cs="宋体" w:eastAsia="宋体" w:hint="default"/>
                <w:sz w:val="18"/>
                <w:szCs w:val="18"/>
              </w:rPr>
            </w:pPr>
            <w:r>
              <w:rPr>
                <w:rFonts w:ascii="宋体" w:hAnsi="宋体" w:cs="宋体" w:eastAsia="宋体" w:hint="default"/>
                <w:sz w:val="18"/>
                <w:szCs w:val="18"/>
              </w:rPr>
              <w:t>神州控股、 神码软件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同业竞争承诺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39"/>
              <w:ind w:left="103" w:right="191"/>
              <w:jc w:val="left"/>
              <w:rPr>
                <w:rFonts w:ascii="宋体" w:hAnsi="宋体" w:cs="宋体" w:eastAsia="宋体" w:hint="default"/>
                <w:sz w:val="18"/>
                <w:szCs w:val="18"/>
              </w:rPr>
            </w:pPr>
            <w:r>
              <w:rPr>
                <w:rFonts w:ascii="宋体" w:hAnsi="宋体" w:cs="宋体" w:eastAsia="宋体" w:hint="default"/>
                <w:sz w:val="18"/>
                <w:szCs w:val="18"/>
              </w:rPr>
              <w:t>《关于同业竞争事项的承诺》：神州控股承诺：</w:t>
            </w:r>
            <w:r>
              <w:rPr>
                <w:rFonts w:ascii="Times New Roman" w:hAnsi="Times New Roman" w:cs="Times New Roman" w:eastAsia="Times New Roman" w:hint="default"/>
                <w:sz w:val="18"/>
                <w:szCs w:val="18"/>
              </w:rPr>
              <w:t>1</w:t>
            </w:r>
            <w:r>
              <w:rPr>
                <w:rFonts w:ascii="宋体" w:hAnsi="宋体" w:cs="宋体" w:eastAsia="宋体" w:hint="default"/>
                <w:sz w:val="18"/>
                <w:szCs w:val="18"/>
              </w:rPr>
              <w:t>、神州数码 控股及其控制的除神州信息外其他企业的主营业务不包括：</w:t>
            </w:r>
          </w:p>
          <w:p>
            <w:pPr>
              <w:pStyle w:val="TableParagraph"/>
              <w:spacing w:line="312" w:lineRule="auto" w:before="33"/>
              <w:ind w:left="103" w:right="10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）神州信息原有主营业务，即系统集成服务、技术服务、 应用软件以及</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等金融自助设备业务；以及（</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 易完成后神州信息新增的农村信息化业务；神州数码控股及其 控制的除神州信息外其他企业的主营业务与神州信息的主营业 务不存在重叠，双方之间不存在潜在的同业竞争关系。</w:t>
            </w:r>
            <w:r>
              <w:rPr>
                <w:rFonts w:ascii="Times New Roman" w:hAnsi="Times New Roman" w:cs="Times New Roman" w:eastAsia="Times New Roman" w:hint="default"/>
                <w:sz w:val="18"/>
                <w:szCs w:val="18"/>
              </w:rPr>
              <w:t>2</w:t>
            </w:r>
            <w:r>
              <w:rPr>
                <w:rFonts w:ascii="宋体" w:hAnsi="宋体" w:cs="宋体" w:eastAsia="宋体" w:hint="default"/>
                <w:sz w:val="18"/>
                <w:szCs w:val="18"/>
              </w:rPr>
              <w:t>、本 次交易完成后，除上市公司外，神码控股不存在、今后亦不会 通过神州数码控股或神州数码控股可控制的其他企业在任何地 方和以任何方式从事对上市公司主营业务（系统集成服务、技 术服务、应用软件、</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等金融自助设备、农村信息化）构 成或可能构成直接或间接竞争关系的业务（不包括神州数码控 股或其附属公司或其联营公司持有从事竞争性业务的其他上市 公司总计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或以下的权益的情形）。如果神州数码控股将来 出现所投资的全资、控股企业从事的业务与上市公司构成竞争 的情况，上市公司有权随时要求神州数码控股以公允的价格出 让其在该等企业中的全部股权，在同等条件下神州数码控股给 予上市公司或其指定的第三方对该等股权的优先购买权，并将 尽最大努力促使有关交易的价格在公平及正常交易原则的基础 上确定；若违反上述承诺，神州数码控股将赔偿上市公司因此 而产生的相关损失。神州数码控股今后作为上市公司直接或间 接股东期间，不会利用对上市公司股东地位损害上市公司及上 市公司其他股东（特别是中小股东）的合法权益。神码软件承 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、本公司及本公司控制的除神州信息外其他企业的主营 业务不包括：（</w:t>
            </w:r>
            <w:r>
              <w:rPr>
                <w:rFonts w:ascii="Times New Roman" w:hAnsi="Times New Roman" w:cs="Times New Roman" w:eastAsia="Times New Roman" w:hint="default"/>
                <w:sz w:val="18"/>
                <w:szCs w:val="18"/>
              </w:rPr>
              <w:t>1</w:t>
            </w:r>
            <w:r>
              <w:rPr>
                <w:rFonts w:ascii="宋体" w:hAnsi="宋体" w:cs="宋体" w:eastAsia="宋体" w:hint="default"/>
                <w:sz w:val="18"/>
                <w:szCs w:val="18"/>
              </w:rPr>
              <w:t>）神州信息原有主营业务，即系统集成服 务、技术服务、应用软件以及</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ATM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等金融自助设备业务；以 及（</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）本次交易完成后神州信息新增的农村信息化业务；神 州数码控股及其控制的除神州信息外其他企业的主营业务与神 州信息的主营业务不存在重叠，双方之间不存在潜在的同业竞</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2"/>
              <w:ind w:left="100" w:right="191"/>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bl>
    <w:p>
      <w:pPr>
        <w:spacing w:after="0" w:line="316" w:lineRule="auto"/>
        <w:jc w:val="both"/>
        <w:rPr>
          <w:rFonts w:ascii="宋体" w:hAnsi="宋体" w:cs="宋体" w:eastAsia="宋体" w:hint="default"/>
          <w:sz w:val="18"/>
          <w:szCs w:val="18"/>
        </w:rPr>
        <w:sectPr>
          <w:pgSz w:w="16840" w:h="11910" w:orient="landscape"/>
          <w:pgMar w:header="916" w:footer="1260" w:top="1180" w:bottom="1460" w:left="1180" w:right="1160"/>
        </w:sectPr>
      </w:pPr>
    </w:p>
    <w:p>
      <w:pPr>
        <w:spacing w:line="240" w:lineRule="auto" w:before="5"/>
        <w:rPr>
          <w:rFonts w:ascii="Times New Roman" w:hAnsi="Times New Roman" w:cs="Times New Roman" w:eastAsia="Times New Roman" w:hint="default"/>
          <w:sz w:val="17"/>
          <w:szCs w:val="17"/>
        </w:rPr>
      </w:pPr>
      <w:r>
        <w:rPr/>
        <w:pict>
          <v:shape style="position:absolute;margin-left:64.320000pt;margin-top:58.700008pt;width:713.9pt;height:460.1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93"/>
                    <w:gridCol w:w="1228"/>
                    <w:gridCol w:w="1361"/>
                    <w:gridCol w:w="5076"/>
                    <w:gridCol w:w="1402"/>
                    <w:gridCol w:w="838"/>
                    <w:gridCol w:w="2465"/>
                  </w:tblGrid>
                  <w:tr>
                    <w:trPr>
                      <w:trHeight w:val="5355" w:hRule="exact"/>
                    </w:trPr>
                    <w:tc>
                      <w:tcPr>
                        <w:tcW w:w="1893" w:type="dxa"/>
                        <w:vMerge w:val="restart"/>
                        <w:tcBorders>
                          <w:top w:val="single" w:sz="4" w:space="0" w:color="000000"/>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争关系。</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、本次交易完成后，本公司及本公司的全资子公 司、控股子公司或本公司拥有实际控制权的其他企业将不会从 事任何与上市公司目前或未来所从事的业务发生或可能发生竞 争的业务。除神州信息外，本公司不存在、今后亦不会通过任 何其他企业在任何地方和以任何方式从事对本次交易完成后上 市公司主营业务（系统集成服务、技术服务、应用软件、 </w:t>
                        </w:r>
                        <w:r>
                          <w:rPr>
                            <w:rFonts w:ascii="Times New Roman" w:hAnsi="Times New Roman" w:cs="Times New Roman" w:eastAsia="Times New Roman" w:hint="default"/>
                            <w:spacing w:val="-8"/>
                            <w:sz w:val="18"/>
                            <w:szCs w:val="18"/>
                          </w:rPr>
                          <w:t>ATM </w:t>
                        </w:r>
                        <w:r>
                          <w:rPr>
                            <w:rFonts w:ascii="宋体" w:hAnsi="宋体" w:cs="宋体" w:eastAsia="宋体" w:hint="default"/>
                            <w:sz w:val="18"/>
                            <w:szCs w:val="18"/>
                          </w:rPr>
                          <w:t>等金融自助设备、农村信息化）</w:t>
                        </w:r>
                        <w:r>
                          <w:rPr>
                            <w:rFonts w:ascii="宋体" w:hAnsi="宋体" w:cs="宋体" w:eastAsia="宋体" w:hint="default"/>
                            <w:spacing w:val="11"/>
                            <w:sz w:val="18"/>
                            <w:szCs w:val="18"/>
                          </w:rPr>
                          <w:t> </w:t>
                        </w:r>
                        <w:r>
                          <w:rPr>
                            <w:rFonts w:ascii="宋体" w:hAnsi="宋体" w:cs="宋体" w:eastAsia="宋体" w:hint="default"/>
                            <w:sz w:val="18"/>
                            <w:szCs w:val="18"/>
                          </w:rPr>
                          <w:t>构成或可能构成直接或</w:t>
                        </w:r>
                        <w:r>
                          <w:rPr>
                            <w:rFonts w:ascii="宋体" w:hAnsi="宋体" w:cs="宋体" w:eastAsia="宋体" w:hint="default"/>
                            <w:sz w:val="18"/>
                            <w:szCs w:val="18"/>
                          </w:rPr>
                          <w:t> 间接竞争关系的业务。如果本公司将来出现所投资的全资、控 股企业从事的业务与本次交易后上市公司构成竞争的情况，本 次交易后上市公司有权随时要求本公司以公允的价格出让其在 该等企业中的全部股权，在同等条件下本公司给予本次交易后 上市公司或其指定的第三方对该等股权的优先购买权，并将尽 最大努力促使有关交易的价格在公平及正常交易原则的基础上 确定；若违反上述承诺，本公司将赔偿本次交易后上市公司因 此而产生的相关损失。本公司今后作为本次交易后上市公司控 股股东期间，不会利用本次交易后上市公司股东地位损害本次 交易后上市公司及其他股东（特别是中小股东）的合法权益。</w:t>
                        </w: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3836"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1" w:right="215"/>
                          <w:jc w:val="left"/>
                          <w:rPr>
                            <w:rFonts w:ascii="宋体" w:hAnsi="宋体" w:cs="宋体" w:eastAsia="宋体" w:hint="default"/>
                            <w:sz w:val="18"/>
                            <w:szCs w:val="18"/>
                          </w:rPr>
                        </w:pPr>
                        <w:r>
                          <w:rPr>
                            <w:rFonts w:ascii="宋体" w:hAnsi="宋体" w:cs="宋体" w:eastAsia="宋体" w:hint="default"/>
                            <w:sz w:val="18"/>
                            <w:szCs w:val="18"/>
                          </w:rPr>
                          <w:t>神州控股、 神码软件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关联交易承诺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《关于规范关联交易的承诺》：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、本公司及本公司控制的企 业与神州信息之间不存在显失公平的关联交易。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 完成后，本公司及本公司控制的企业将尽量避免或减少与神州 信息及其下属子公司之间的关联交易，对于无法避免或有合理 理由存在的关联交易，将与上市公司依法签订规范的关联交易 协议，并按照有关法律、法规、规章、上市规则和其他规范性 文件以及上市公司章程的规定履行批准程序；关联交易价格依 照与无关联关系的独立第三方进行相同或相似交易时的价格确 定，保证关联交易价格具有公允性；保证按照有关法律、法 规、上市公司章程的规定履行关联交易的信息披露义务。本公 司保证不利用关联交易非法转移上市公司的资金、利润，不利 用关联交易损害非关联股东的利益。</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0" w:right="192"/>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916" w:footer="1260" w:top="1180" w:bottom="1520" w:left="1180" w:right="1160"/>
        </w:sect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2"/>
      </w:tblGrid>
      <w:tr>
        <w:trPr>
          <w:trHeight w:val="2588" w:hRule="exact"/>
        </w:trPr>
        <w:tc>
          <w:tcPr>
            <w:tcW w:w="1893" w:type="dxa"/>
            <w:vMerge w:val="restart"/>
            <w:tcBorders>
              <w:top w:val="single" w:sz="4" w:space="0" w:color="000000"/>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101" w:right="215"/>
              <w:jc w:val="left"/>
              <w:rPr>
                <w:rFonts w:ascii="宋体" w:hAnsi="宋体" w:cs="宋体" w:eastAsia="宋体" w:hint="default"/>
                <w:sz w:val="18"/>
                <w:szCs w:val="18"/>
              </w:rPr>
            </w:pPr>
            <w:r>
              <w:rPr>
                <w:rFonts w:ascii="宋体" w:hAnsi="宋体" w:cs="宋体" w:eastAsia="宋体" w:hint="default"/>
                <w:sz w:val="18"/>
                <w:szCs w:val="18"/>
              </w:rPr>
              <w:t>神州控股、 神码软件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《关于保持上市公司独立性的承诺》：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月神州 信息成立以来，神州信息一直在业务、资产、机构、人员、财 务等方面与本公司及本公司控制的其他企业完全分开，双方的 业务、资产、人员、财务和机构独立，不存在混同情况。</w:t>
            </w:r>
            <w:r>
              <w:rPr>
                <w:rFonts w:ascii="Times New Roman" w:hAnsi="Times New Roman" w:cs="Times New Roman" w:eastAsia="Times New Roman" w:hint="default"/>
                <w:sz w:val="18"/>
                <w:szCs w:val="18"/>
              </w:rPr>
              <w:t>2</w:t>
            </w:r>
            <w:r>
              <w:rPr>
                <w:rFonts w:ascii="宋体" w:hAnsi="宋体" w:cs="宋体" w:eastAsia="宋体" w:hint="default"/>
                <w:sz w:val="18"/>
                <w:szCs w:val="18"/>
              </w:rPr>
              <w:t>、 本公司承诺，在本次交易完成后，保证上市公司在人员、资 产、财务、机构及业务方面继续与本公司及本公司控制的其他 企业完全分开，保持上市公司在业务、资产、人员、财务和机 构方面的独立。</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00" w:right="191"/>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r>
        <w:trPr>
          <w:trHeight w:val="4146" w:hRule="exact"/>
        </w:trPr>
        <w:tc>
          <w:tcPr>
            <w:tcW w:w="1893" w:type="dxa"/>
            <w:vMerge/>
            <w:tcBorders>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15"/>
              <w:jc w:val="left"/>
              <w:rPr>
                <w:rFonts w:ascii="宋体" w:hAnsi="宋体" w:cs="宋体" w:eastAsia="宋体" w:hint="default"/>
                <w:sz w:val="18"/>
                <w:szCs w:val="18"/>
              </w:rPr>
            </w:pPr>
            <w:r>
              <w:rPr>
                <w:rFonts w:ascii="宋体" w:hAnsi="宋体" w:cs="宋体" w:eastAsia="宋体" w:hint="default"/>
                <w:sz w:val="18"/>
                <w:szCs w:val="18"/>
              </w:rPr>
              <w:t>程艳云、吴 冬华、南京 博飞信投资 管理有限公 司、南京明 通投资管理 中心（有限 合伙）、陈 大龙、李 晶、吴秀 兰、常杰、 王计斌、施 伟</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股份限售承诺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3" w:right="101"/>
              <w:jc w:val="both"/>
              <w:rPr>
                <w:rFonts w:ascii="宋体" w:hAnsi="宋体" w:cs="宋体" w:eastAsia="宋体" w:hint="default"/>
                <w:sz w:val="18"/>
                <w:szCs w:val="18"/>
              </w:rPr>
            </w:pPr>
            <w:r>
              <w:rPr>
                <w:rFonts w:ascii="宋体" w:hAnsi="宋体" w:cs="宋体" w:eastAsia="宋体" w:hint="default"/>
                <w:sz w:val="18"/>
                <w:szCs w:val="18"/>
              </w:rPr>
              <w:t>《交易对方关于股份锁定期的承诺函》：本次交易中，业绩承 诺方通过本次交易获得的上市公司股份，自该等股份上市之日 起三十六个月内不以任何方式转让。</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0" w:right="191"/>
              <w:jc w:val="left"/>
              <w:rPr>
                <w:rFonts w:ascii="宋体" w:hAnsi="宋体" w:cs="宋体" w:eastAsia="宋体" w:hint="default"/>
                <w:sz w:val="18"/>
                <w:szCs w:val="18"/>
              </w:rPr>
            </w:pPr>
            <w:r>
              <w:rPr>
                <w:rFonts w:ascii="宋体" w:hAnsi="宋体" w:cs="宋体" w:eastAsia="宋体" w:hint="default"/>
                <w:sz w:val="18"/>
                <w:szCs w:val="18"/>
              </w:rPr>
              <w:t>截至目前，上述承诺已完 成，承诺人无违反上述承诺 的情况。</w:t>
            </w:r>
          </w:p>
        </w:tc>
      </w:tr>
      <w:tr>
        <w:trPr>
          <w:trHeight w:val="2235"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15"/>
              <w:jc w:val="both"/>
              <w:rPr>
                <w:rFonts w:ascii="宋体" w:hAnsi="宋体" w:cs="宋体" w:eastAsia="宋体" w:hint="default"/>
                <w:sz w:val="18"/>
                <w:szCs w:val="18"/>
              </w:rPr>
            </w:pPr>
            <w:r>
              <w:rPr>
                <w:rFonts w:ascii="宋体" w:hAnsi="宋体" w:cs="宋体" w:eastAsia="宋体" w:hint="default"/>
                <w:sz w:val="18"/>
                <w:szCs w:val="18"/>
              </w:rPr>
              <w:t>程艳云、吴 冬华、南京 博飞信投资 管理有限公 司、南京明 通投资管理 中心（有限</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100" w:right="170"/>
              <w:jc w:val="left"/>
              <w:rPr>
                <w:rFonts w:ascii="宋体" w:hAnsi="宋体" w:cs="宋体" w:eastAsia="宋体" w:hint="default"/>
                <w:sz w:val="18"/>
                <w:szCs w:val="18"/>
              </w:rPr>
            </w:pPr>
            <w:r>
              <w:rPr>
                <w:rFonts w:ascii="宋体" w:hAnsi="宋体" w:cs="宋体" w:eastAsia="宋体" w:hint="default"/>
                <w:sz w:val="18"/>
                <w:szCs w:val="18"/>
              </w:rPr>
              <w:t>业绩承诺及补 偿安排</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2" w:lineRule="auto"/>
              <w:ind w:left="103" w:right="101"/>
              <w:jc w:val="left"/>
              <w:rPr>
                <w:rFonts w:ascii="宋体" w:hAnsi="宋体" w:cs="宋体" w:eastAsia="宋体" w:hint="default"/>
                <w:sz w:val="18"/>
                <w:szCs w:val="18"/>
              </w:rPr>
            </w:pPr>
            <w:r>
              <w:rPr>
                <w:rFonts w:ascii="宋体" w:hAnsi="宋体" w:cs="宋体" w:eastAsia="宋体" w:hint="default"/>
                <w:sz w:val="18"/>
                <w:szCs w:val="18"/>
              </w:rPr>
              <w:t>承诺华苏科技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年度净利润（具 体以归属于母公司股东的扣除非经常性损益的净利润加上扣除 税收影响后的与华苏科技正常经营业务密切相关的扶持基金、 人才计划奖励、科技奖励款等政府补助之和）分别不低于 </w:t>
            </w:r>
            <w:r>
              <w:rPr>
                <w:rFonts w:ascii="Times New Roman" w:hAnsi="Times New Roman" w:cs="Times New Roman" w:eastAsia="Times New Roman" w:hint="default"/>
                <w:sz w:val="18"/>
                <w:szCs w:val="18"/>
              </w:rPr>
              <w:t>5,760.00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7,100.00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8,840.00 </w:t>
            </w:r>
            <w:r>
              <w:rPr>
                <w:rFonts w:ascii="宋体" w:hAnsi="宋体" w:cs="宋体" w:eastAsia="宋体" w:hint="default"/>
                <w:sz w:val="18"/>
                <w:szCs w:val="18"/>
              </w:rPr>
              <w:t>万元。若未实现上述 业绩承诺，承诺人将以股份或现金补偿上市公司。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0" w:right="18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年度，标的资产利 润实现数合计为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6,158.45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09" w:lineRule="auto" w:before="13"/>
              <w:ind w:left="100" w:right="127"/>
              <w:jc w:val="left"/>
              <w:rPr>
                <w:rFonts w:ascii="宋体" w:hAnsi="宋体" w:cs="宋体" w:eastAsia="宋体" w:hint="default"/>
                <w:sz w:val="18"/>
                <w:szCs w:val="18"/>
              </w:rPr>
            </w:pPr>
            <w:r>
              <w:rPr>
                <w:rFonts w:ascii="宋体" w:hAnsi="宋体" w:cs="宋体" w:eastAsia="宋体" w:hint="default"/>
                <w:sz w:val="18"/>
                <w:szCs w:val="18"/>
              </w:rPr>
              <w:t>元，承诺利润数为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5,760.00 </w:t>
            </w:r>
            <w:r>
              <w:rPr>
                <w:rFonts w:ascii="宋体" w:hAnsi="宋体" w:cs="宋体" w:eastAsia="宋体" w:hint="default"/>
                <w:sz w:val="18"/>
                <w:szCs w:val="18"/>
              </w:rPr>
              <w:t>万元，盈利预测完成率为 </w:t>
            </w:r>
            <w:r>
              <w:rPr>
                <w:rFonts w:ascii="Times New Roman" w:hAnsi="Times New Roman" w:cs="Times New Roman" w:eastAsia="Times New Roman" w:hint="default"/>
                <w:sz w:val="18"/>
                <w:szCs w:val="18"/>
              </w:rPr>
              <w:t>106.92%</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年度，标 的资产利润实现数合计为 </w:t>
            </w:r>
            <w:r>
              <w:rPr>
                <w:rFonts w:ascii="Times New Roman" w:hAnsi="Times New Roman" w:cs="Times New Roman" w:eastAsia="Times New Roman" w:hint="default"/>
                <w:sz w:val="18"/>
                <w:szCs w:val="18"/>
              </w:rPr>
              <w:t>7,457.88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万元，承诺利润数</w:t>
            </w:r>
          </w:p>
        </w:tc>
      </w:tr>
    </w:tbl>
    <w:p>
      <w:pPr>
        <w:spacing w:after="0" w:line="309" w:lineRule="auto"/>
        <w:jc w:val="left"/>
        <w:rPr>
          <w:rFonts w:ascii="宋体" w:hAnsi="宋体" w:cs="宋体" w:eastAsia="宋体" w:hint="default"/>
          <w:sz w:val="18"/>
          <w:szCs w:val="18"/>
        </w:rPr>
        <w:sectPr>
          <w:pgSz w:w="16840" w:h="11910" w:orient="landscape"/>
          <w:pgMar w:header="916" w:footer="1260" w:top="1160" w:bottom="1460" w:left="1180" w:right="1160"/>
        </w:sect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5"/>
      </w:tblGrid>
      <w:tr>
        <w:trPr>
          <w:trHeight w:val="1922" w:hRule="exact"/>
        </w:trPr>
        <w:tc>
          <w:tcPr>
            <w:tcW w:w="1893" w:type="dxa"/>
            <w:vMerge w:val="restart"/>
            <w:tcBorders>
              <w:top w:val="single" w:sz="4" w:space="0" w:color="000000"/>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215"/>
              <w:jc w:val="left"/>
              <w:rPr>
                <w:rFonts w:ascii="宋体" w:hAnsi="宋体" w:cs="宋体" w:eastAsia="宋体" w:hint="default"/>
                <w:sz w:val="18"/>
                <w:szCs w:val="18"/>
              </w:rPr>
            </w:pPr>
            <w:r>
              <w:rPr>
                <w:rFonts w:ascii="宋体" w:hAnsi="宋体" w:cs="宋体" w:eastAsia="宋体" w:hint="default"/>
                <w:sz w:val="18"/>
                <w:szCs w:val="18"/>
              </w:rPr>
              <w:t>合伙）、陈 大龙、李 晶、吴秀 兰、常杰、 王计斌、施 伟</w:t>
            </w: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10"/>
              <w:ind w:left="100" w:right="131"/>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7,100.00 </w:t>
            </w:r>
            <w:r>
              <w:rPr>
                <w:rFonts w:ascii="宋体" w:hAnsi="宋体" w:cs="宋体" w:eastAsia="宋体" w:hint="default"/>
                <w:sz w:val="18"/>
                <w:szCs w:val="18"/>
              </w:rPr>
              <w:t>万元，盈利预测 完成率为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105.04%</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年度，标的资产利润实现数 合计为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8,938.43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万元，承诺</w:t>
            </w:r>
          </w:p>
          <w:p>
            <w:pPr>
              <w:pStyle w:val="TableParagraph"/>
              <w:spacing w:line="300" w:lineRule="auto" w:before="7"/>
              <w:ind w:left="100" w:right="191"/>
              <w:jc w:val="left"/>
              <w:rPr>
                <w:rFonts w:ascii="宋体" w:hAnsi="宋体" w:cs="宋体" w:eastAsia="宋体" w:hint="default"/>
                <w:sz w:val="18"/>
                <w:szCs w:val="18"/>
              </w:rPr>
            </w:pPr>
            <w:r>
              <w:rPr>
                <w:rFonts w:ascii="宋体" w:hAnsi="宋体" w:cs="宋体" w:eastAsia="宋体" w:hint="default"/>
                <w:sz w:val="18"/>
                <w:szCs w:val="18"/>
              </w:rPr>
              <w:t>利润数为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8,840.00 </w:t>
            </w:r>
            <w:r>
              <w:rPr>
                <w:rFonts w:ascii="宋体" w:hAnsi="宋体" w:cs="宋体" w:eastAsia="宋体" w:hint="default"/>
                <w:sz w:val="18"/>
                <w:szCs w:val="18"/>
              </w:rPr>
              <w:t>万元，盈 利预测完成率为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101.11%</w:t>
            </w:r>
            <w:r>
              <w:rPr>
                <w:rFonts w:ascii="宋体" w:hAnsi="宋体" w:cs="宋体" w:eastAsia="宋体" w:hint="default"/>
                <w:sz w:val="18"/>
                <w:szCs w:val="18"/>
              </w:rPr>
              <w:t>。</w:t>
            </w:r>
          </w:p>
        </w:tc>
      </w:tr>
      <w:tr>
        <w:trPr>
          <w:trHeight w:val="3836" w:hRule="exact"/>
        </w:trPr>
        <w:tc>
          <w:tcPr>
            <w:tcW w:w="1893" w:type="dxa"/>
            <w:vMerge/>
            <w:tcBorders>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1" w:right="215"/>
              <w:jc w:val="left"/>
              <w:rPr>
                <w:rFonts w:ascii="宋体" w:hAnsi="宋体" w:cs="宋体" w:eastAsia="宋体" w:hint="default"/>
                <w:sz w:val="18"/>
                <w:szCs w:val="18"/>
              </w:rPr>
            </w:pPr>
            <w:r>
              <w:rPr>
                <w:rFonts w:ascii="宋体" w:hAnsi="宋体" w:cs="宋体" w:eastAsia="宋体" w:hint="default"/>
                <w:sz w:val="18"/>
                <w:szCs w:val="18"/>
              </w:rPr>
              <w:t>神码软件、 神州控股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关联交易承诺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《关于规范关联交易的承诺函》：</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、本公司及本公司控制的 企业与神州信息之间不存在显失公平的关联交易。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 易完成后，本公司及本公司控制的企业将尽量避免或减少与神 州信息及其下属子公司之间的关联交易，对于无法避免或有合 理理由存在的关联交易，将与上市公司依法签订规范的关联交 易协议，并按照有关法律、法规、规章、上市规则和其他规范 性文件以及上市公司章程的规定履行批准程序；关联交易价格 依照与无关联关系的独立第三方进行相同或相似交易时的价格 确定，保证关联交易价格具有公允性；保证按照有关法律、法 规、上市公司章程的规定履行关联交易的信息披露义务。本公 司保证不利用关联交易非法转移上市公司的资金、利润，不利 用关联交易损害非关联股东的利益。</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0" w:right="192"/>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r>
        <w:trPr>
          <w:trHeight w:val="317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101" w:right="215"/>
              <w:jc w:val="left"/>
              <w:rPr>
                <w:rFonts w:ascii="宋体" w:hAnsi="宋体" w:cs="宋体" w:eastAsia="宋体" w:hint="default"/>
                <w:sz w:val="18"/>
                <w:szCs w:val="18"/>
              </w:rPr>
            </w:pPr>
            <w:r>
              <w:rPr>
                <w:rFonts w:ascii="宋体" w:hAnsi="宋体" w:cs="宋体" w:eastAsia="宋体" w:hint="default"/>
                <w:sz w:val="18"/>
                <w:szCs w:val="18"/>
              </w:rPr>
              <w:t>神码软件、 神州控股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同业竞争承诺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《关于避免同业竞争的承诺函》：</w:t>
            </w:r>
            <w:r>
              <w:rPr>
                <w:rFonts w:ascii="Times New Roman" w:hAnsi="Times New Roman" w:cs="Times New Roman" w:eastAsia="Times New Roman" w:hint="default"/>
                <w:sz w:val="18"/>
                <w:szCs w:val="18"/>
              </w:rPr>
              <w:t>1</w:t>
            </w:r>
            <w:r>
              <w:rPr>
                <w:rFonts w:ascii="宋体" w:hAnsi="宋体" w:cs="宋体" w:eastAsia="宋体" w:hint="default"/>
                <w:sz w:val="18"/>
                <w:szCs w:val="18"/>
              </w:rPr>
              <w:t>、本公司及本公司控制的 除神州信息外其他企业的主营业务不包括：（</w:t>
            </w:r>
            <w:r>
              <w:rPr>
                <w:rFonts w:ascii="Times New Roman" w:hAnsi="Times New Roman" w:cs="Times New Roman" w:eastAsia="Times New Roman" w:hint="default"/>
                <w:sz w:val="18"/>
                <w:szCs w:val="18"/>
              </w:rPr>
              <w:t>1</w:t>
            </w:r>
            <w:r>
              <w:rPr>
                <w:rFonts w:ascii="宋体" w:hAnsi="宋体" w:cs="宋体" w:eastAsia="宋体" w:hint="default"/>
                <w:sz w:val="18"/>
                <w:szCs w:val="18"/>
              </w:rPr>
              <w:t>）神州信息原 有主营业务，即系统集成服务、技术服务、农业信息化、应用 软件以及金融专用设备相关业务；以及（</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 神州信息新增的通信网络技术服务业务。</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 后，本公司及本公司的全资子公司、控股子公司或本公司拥有 实际控制权的其他企业将不会从事任何与上市公司目前或未来 所从事的业务发生或可能发生竞争的业务。除神州信息外，本 公司不存在、今后亦不会通过任何其他企业在任何地方和以任 何方式从事对本次交易完成后上市公司主营业务（系统集成服</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6" w:lineRule="auto"/>
              <w:ind w:left="100" w:right="192"/>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bl>
    <w:p>
      <w:pPr>
        <w:spacing w:after="0" w:line="316" w:lineRule="auto"/>
        <w:jc w:val="both"/>
        <w:rPr>
          <w:rFonts w:ascii="宋体" w:hAnsi="宋体" w:cs="宋体" w:eastAsia="宋体" w:hint="default"/>
          <w:sz w:val="18"/>
          <w:szCs w:val="18"/>
        </w:rPr>
        <w:sectPr>
          <w:pgSz w:w="16840" w:h="11910" w:orient="landscape"/>
          <w:pgMar w:header="916" w:footer="1260" w:top="1160" w:bottom="1460" w:left="1180" w:right="1160"/>
        </w:sect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5"/>
      </w:tblGrid>
      <w:tr>
        <w:trPr>
          <w:trHeight w:val="3795" w:hRule="exact"/>
        </w:trPr>
        <w:tc>
          <w:tcPr>
            <w:tcW w:w="1893" w:type="dxa"/>
            <w:vMerge w:val="restart"/>
            <w:tcBorders>
              <w:top w:val="single" w:sz="4" w:space="0" w:color="000000"/>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务、技术服务、应用软件、</w:t>
            </w:r>
            <w:r>
              <w:rPr>
                <w:rFonts w:ascii="Times New Roman" w:hAnsi="Times New Roman" w:cs="Times New Roman" w:eastAsia="Times New Roman" w:hint="default"/>
                <w:sz w:val="18"/>
                <w:szCs w:val="18"/>
              </w:rPr>
              <w:t>ATM</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等金融自助设备、农村信息 化、通信网络技术服务业务）</w:t>
            </w:r>
            <w:r>
              <w:rPr>
                <w:rFonts w:ascii="宋体" w:hAnsi="宋体" w:cs="宋体" w:eastAsia="宋体" w:hint="default"/>
                <w:spacing w:val="1"/>
                <w:sz w:val="18"/>
                <w:szCs w:val="18"/>
              </w:rPr>
              <w:t> </w:t>
            </w:r>
            <w:r>
              <w:rPr>
                <w:rFonts w:ascii="宋体" w:hAnsi="宋体" w:cs="宋体" w:eastAsia="宋体" w:hint="default"/>
                <w:sz w:val="18"/>
                <w:szCs w:val="18"/>
              </w:rPr>
              <w:t>构成或可能构成直接或间接竞</w:t>
            </w:r>
            <w:r>
              <w:rPr>
                <w:rFonts w:ascii="宋体" w:hAnsi="宋体" w:cs="宋体" w:eastAsia="宋体" w:hint="default"/>
                <w:sz w:val="18"/>
                <w:szCs w:val="18"/>
              </w:rPr>
              <w:t> 争关系的业务。如果本公司将来出现所投资的全资、控股企业 从事的业务与本次交易后上市公司构成竞争的情况，本次交易 后上市公司有权随时要求本公司以公允的价格出让其在该等企 业中的全部股权，在同等条件下本公司给予本次交易后上市公 司或其指定的第三方对该等股权的优先购买权，并将尽最大努 力促使有关交易的价格在公平及正常交易原则的基础上确定； 若违反上述承诺，本公司将赔偿本次交易后上市公司因此而产 生的相关损失。本公司今后作为本次交易后上市公司控股股东 期间，不会利用本次交易后上市公司股东地位损害本次交易后 上市公司及其他股东（特别是中小股东）的合法权益。</w:t>
            </w: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893" w:type="dxa"/>
            <w:vMerge/>
            <w:tcBorders>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1" w:right="215"/>
              <w:jc w:val="left"/>
              <w:rPr>
                <w:rFonts w:ascii="宋体" w:hAnsi="宋体" w:cs="宋体" w:eastAsia="宋体" w:hint="default"/>
                <w:sz w:val="18"/>
                <w:szCs w:val="18"/>
              </w:rPr>
            </w:pPr>
            <w:r>
              <w:rPr>
                <w:rFonts w:ascii="宋体" w:hAnsi="宋体" w:cs="宋体" w:eastAsia="宋体" w:hint="default"/>
                <w:sz w:val="18"/>
                <w:szCs w:val="18"/>
              </w:rPr>
              <w:t>神码软件、 神州控股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《关于保证上市公司独立性的承诺函》：在本次交易完成后， 保证上市公司在人员、资产、财务、机构及业务方面继续与本 公司及本公司控制的其他企业完全分开，保持上市公司在业 务、资产、人员、财务和机构方面的独立。</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100" w:right="192"/>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r>
        <w:trPr>
          <w:trHeight w:val="3795"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101" w:right="215"/>
              <w:jc w:val="both"/>
              <w:rPr>
                <w:rFonts w:ascii="宋体" w:hAnsi="宋体" w:cs="宋体" w:eastAsia="宋体" w:hint="default"/>
                <w:sz w:val="18"/>
                <w:szCs w:val="18"/>
              </w:rPr>
            </w:pPr>
            <w:r>
              <w:rPr>
                <w:rFonts w:ascii="宋体" w:hAnsi="宋体" w:cs="宋体" w:eastAsia="宋体" w:hint="default"/>
                <w:sz w:val="18"/>
                <w:szCs w:val="18"/>
              </w:rPr>
              <w:t>神州信息及 其董事、监 事及高级管 理人员</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《上市公司全体董事、监事及高级管理人员关于提供资料真实 性、准确性和完整性的承诺书》：本公司及全体董事、监事、 高级管理人员承诺并保证神州数码信息服务股份有限公司发行 股份及支付现金购买资产并募集配套资金之资产重组申请文件 内容的真实、准确、完整，不存在虚假记载、误导性陈述或重 大遗漏。如本次交易所提供或披露的信息涉嫌虚假记载、误导 性陈述或者重大遗漏，被司法机关立案侦查或者被中国证监会 立案调查的，在形成调查结论以前，不转让在该上市公司拥有 权益的股份，并于收到立案稽查通知的两个交易日内将暂停转 让的书面申请和股票账户提交上市公司董事会，由董事会代其 向证券交易所和登记结算公司申请锁定；未在两个交易日内提 交锁定申请的，授权董事会核实后直接向证券交易所和登记结</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9"/>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6" w:lineRule="auto"/>
              <w:ind w:left="100" w:right="192"/>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bl>
    <w:p>
      <w:pPr>
        <w:spacing w:after="0" w:line="316" w:lineRule="auto"/>
        <w:jc w:val="both"/>
        <w:rPr>
          <w:rFonts w:ascii="宋体" w:hAnsi="宋体" w:cs="宋体" w:eastAsia="宋体" w:hint="default"/>
          <w:sz w:val="18"/>
          <w:szCs w:val="18"/>
        </w:rPr>
        <w:sectPr>
          <w:pgSz w:w="16840" w:h="11910" w:orient="landscape"/>
          <w:pgMar w:header="916" w:footer="1260" w:top="1160" w:bottom="1460" w:left="1180" w:right="1160"/>
        </w:sect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5"/>
      </w:tblGrid>
      <w:tr>
        <w:trPr>
          <w:trHeight w:val="1610" w:hRule="exact"/>
        </w:trPr>
        <w:tc>
          <w:tcPr>
            <w:tcW w:w="1893" w:type="dxa"/>
            <w:vMerge w:val="restart"/>
            <w:tcBorders>
              <w:top w:val="single" w:sz="4" w:space="0" w:color="000000"/>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both"/>
              <w:rPr>
                <w:rFonts w:ascii="宋体" w:hAnsi="宋体" w:cs="宋体" w:eastAsia="宋体" w:hint="default"/>
                <w:sz w:val="18"/>
                <w:szCs w:val="18"/>
              </w:rPr>
            </w:pPr>
            <w:r>
              <w:rPr>
                <w:rFonts w:ascii="宋体" w:hAnsi="宋体" w:cs="宋体" w:eastAsia="宋体" w:hint="default"/>
                <w:sz w:val="18"/>
                <w:szCs w:val="18"/>
              </w:rPr>
              <w:t>算公司报送本人或本单位的身份信息和账户信息并申请锁定； 董事会未向证券交易所和登记结算公司报送本人或本单位的身 份信息和账户信息的，授权证券交易所和登记结算公司直接锁 定相关股份。如调查结论发现存在违法违规情节，本人或本单 位承诺锁定股份自愿用于相关投资者赔偿安排。</w:t>
            </w: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3836" w:hRule="exact"/>
        </w:trPr>
        <w:tc>
          <w:tcPr>
            <w:tcW w:w="1893" w:type="dxa"/>
            <w:vMerge/>
            <w:tcBorders>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1" w:right="215"/>
              <w:jc w:val="both"/>
              <w:rPr>
                <w:rFonts w:ascii="宋体" w:hAnsi="宋体" w:cs="宋体" w:eastAsia="宋体" w:hint="default"/>
                <w:sz w:val="18"/>
                <w:szCs w:val="18"/>
              </w:rPr>
            </w:pPr>
            <w:r>
              <w:rPr>
                <w:rFonts w:ascii="宋体" w:hAnsi="宋体" w:cs="宋体" w:eastAsia="宋体" w:hint="default"/>
                <w:sz w:val="18"/>
                <w:szCs w:val="18"/>
              </w:rPr>
              <w:t>神州信息全 体董事及高 级管理人员</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《上市公司董事、高级管理人员关于公司资产重组摊薄即期回 报采取填补措施的承诺》：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、承诺不得无偿或以不公平条件 向其他单位或者个人输送利益，也不得采用其他方式损害公司 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、承诺对董事和高级管理人员的职务消费行为进行约 束；</w:t>
            </w:r>
            <w:r>
              <w:rPr>
                <w:rFonts w:ascii="Times New Roman" w:hAnsi="Times New Roman" w:cs="Times New Roman" w:eastAsia="Times New Roman" w:hint="default"/>
                <w:sz w:val="18"/>
                <w:szCs w:val="18"/>
              </w:rPr>
              <w:t>3</w:t>
            </w:r>
            <w:r>
              <w:rPr>
                <w:rFonts w:ascii="宋体" w:hAnsi="宋体" w:cs="宋体" w:eastAsia="宋体" w:hint="default"/>
                <w:sz w:val="18"/>
                <w:szCs w:val="18"/>
              </w:rPr>
              <w:t>、承诺不动用公司资产从事与其履行职责无关的投资、 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、承诺由董事会或薪酬委员会制定的薪酬制度与 公司填补回报措施的执行情况相挂钩；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、承诺拟公布的公司 股权激励的行权条件与公司填补回报措施的执行情况相挂钩； 作为填补回报措施相关责任主体之一，若违反上述承诺或拒不 履行上述承诺，本人同意按照中国证监会和深圳证券交易所等 监管制定或发布的相关规定、规则，对本人作出相关处罚或采 取相关管理措施。</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0" w:right="192"/>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r>
        <w:trPr>
          <w:trHeight w:val="3483"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15"/>
              <w:jc w:val="left"/>
              <w:rPr>
                <w:rFonts w:ascii="宋体" w:hAnsi="宋体" w:cs="宋体" w:eastAsia="宋体" w:hint="default"/>
                <w:sz w:val="18"/>
                <w:szCs w:val="18"/>
              </w:rPr>
            </w:pPr>
            <w:r>
              <w:rPr>
                <w:rFonts w:ascii="宋体" w:hAnsi="宋体" w:cs="宋体" w:eastAsia="宋体" w:hint="default"/>
                <w:sz w:val="18"/>
                <w:szCs w:val="18"/>
              </w:rPr>
              <w:t>程艳云、吴 冬华、南京 博飞信投资 管理有限公 司、上海瑞 经达创业投 资有限公 司、南京明 通投资管理 中心（有限 合伙）、南</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《交易对方关于提供资料真实、准确和完整的承诺》：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、保 证为本次交易所提供的有关信息均为真实、准确和完整的，不 存在虚假记载、误导性陈述或者重大遗漏；</w:t>
            </w:r>
            <w:r>
              <w:rPr>
                <w:rFonts w:ascii="Times New Roman" w:hAnsi="Times New Roman" w:cs="Times New Roman" w:eastAsia="Times New Roman" w:hint="default"/>
                <w:sz w:val="18"/>
                <w:szCs w:val="18"/>
              </w:rPr>
              <w:t>2</w:t>
            </w:r>
            <w:r>
              <w:rPr>
                <w:rFonts w:ascii="宋体" w:hAnsi="宋体" w:cs="宋体" w:eastAsia="宋体" w:hint="default"/>
                <w:sz w:val="18"/>
                <w:szCs w:val="18"/>
              </w:rPr>
              <w:t>、保证向参与本 次交易的各中介机构所提供的资料均为真实、准确、完整的原 始书面资料或副本资料，资料副本或复印件与其原始资料或原 件一致；所有文件的签名、印章均是真实的，不存在任何虚假 记载、误导性陈述或者重大遗漏；</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、保证为本次交易所出具 的说明及确认均为真实、准确和完整的，不存在任何虚假记 载、误导性陈述或者重大遗漏；保证已履行了法定的披露和报 告义务，不存在应当披露而未披露的合同、协议、安排或其他 事项；</w:t>
            </w:r>
            <w:r>
              <w:rPr>
                <w:rFonts w:ascii="Times New Roman" w:hAnsi="Times New Roman" w:cs="Times New Roman" w:eastAsia="Times New Roman" w:hint="default"/>
                <w:sz w:val="18"/>
                <w:szCs w:val="18"/>
              </w:rPr>
              <w:t>4</w:t>
            </w:r>
            <w:r>
              <w:rPr>
                <w:rFonts w:ascii="宋体" w:hAnsi="宋体" w:cs="宋体" w:eastAsia="宋体" w:hint="default"/>
                <w:sz w:val="18"/>
                <w:szCs w:val="18"/>
              </w:rPr>
              <w:t>、如本次交易所提供或披露的信息涉嫌虚假记载、误</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6" w:lineRule="auto"/>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6" w:lineRule="auto"/>
              <w:ind w:left="100" w:right="192"/>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bl>
    <w:p>
      <w:pPr>
        <w:spacing w:after="0" w:line="316" w:lineRule="auto"/>
        <w:jc w:val="both"/>
        <w:rPr>
          <w:rFonts w:ascii="宋体" w:hAnsi="宋体" w:cs="宋体" w:eastAsia="宋体" w:hint="default"/>
          <w:sz w:val="18"/>
          <w:szCs w:val="18"/>
        </w:rPr>
        <w:sectPr>
          <w:pgSz w:w="16840" w:h="11910" w:orient="landscape"/>
          <w:pgMar w:header="916" w:footer="1260" w:top="1160" w:bottom="1460" w:left="1180" w:right="1160"/>
        </w:sect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5"/>
      </w:tblGrid>
      <w:tr>
        <w:trPr>
          <w:trHeight w:val="4419" w:hRule="exact"/>
        </w:trPr>
        <w:tc>
          <w:tcPr>
            <w:tcW w:w="1893" w:type="dxa"/>
            <w:vMerge w:val="restart"/>
            <w:tcBorders>
              <w:top w:val="single" w:sz="4" w:space="0" w:color="000000"/>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215"/>
              <w:jc w:val="left"/>
              <w:rPr>
                <w:rFonts w:ascii="宋体" w:hAnsi="宋体" w:cs="宋体" w:eastAsia="宋体" w:hint="default"/>
                <w:sz w:val="18"/>
                <w:szCs w:val="18"/>
              </w:rPr>
            </w:pPr>
            <w:r>
              <w:rPr>
                <w:rFonts w:ascii="宋体" w:hAnsi="宋体" w:cs="宋体" w:eastAsia="宋体" w:hint="default"/>
                <w:sz w:val="18"/>
                <w:szCs w:val="18"/>
              </w:rPr>
              <w:t>京凯腾瑞杰 创业投资企 业（有限合 伙）、陈大 龙、李晶、 吴秀兰、常 杰、王计 斌、施伟</w:t>
            </w: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导性陈述或者重大遗漏，被司法机关立案侦查或者被中国证监 会立案调查的，在形成调查结论以前，不转让在该上市公司拥 有权益的股份，并于收到立案稽查通知的两个交易日内将暂停 转让的书面申请和股票账户提交上市公司董事会，由董事会代 其向证券交易所和登记结算公司申请锁定；未在两个交易日内 提交锁定申请的，授权董事会核实后直接向证券交易所和登记 结算公司报送本人的身份信息和账户信息并申请锁定；董事会 未向证券交易所和登记结算公司报送本人的身份信息和账户信 息的，授权证券交易所和登记结算公司直接锁定相关股份。如 调查结论发现存在违法违规情节，本人承诺锁定股份自愿用于 相关投资者赔偿安排。</w:t>
            </w:r>
            <w:r>
              <w:rPr>
                <w:rFonts w:ascii="Times New Roman" w:hAnsi="Times New Roman" w:cs="Times New Roman" w:eastAsia="Times New Roman" w:hint="default"/>
                <w:sz w:val="18"/>
                <w:szCs w:val="18"/>
              </w:rPr>
              <w:t>5</w:t>
            </w:r>
            <w:r>
              <w:rPr>
                <w:rFonts w:ascii="宋体" w:hAnsi="宋体" w:cs="宋体" w:eastAsia="宋体" w:hint="default"/>
                <w:sz w:val="18"/>
                <w:szCs w:val="18"/>
              </w:rPr>
              <w:t>、如因提供的信息存在虚假记载、误 导性陈述或者重大遗漏，给上市公司或者投资者造成损失的， 将依法承担个别和连带的法律责任。如违反上述声明和承诺， 本人愿意承担相应的法律责任。</w:t>
            </w: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5"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15"/>
              <w:jc w:val="left"/>
              <w:rPr>
                <w:rFonts w:ascii="宋体" w:hAnsi="宋体" w:cs="宋体" w:eastAsia="宋体" w:hint="default"/>
                <w:sz w:val="18"/>
                <w:szCs w:val="18"/>
              </w:rPr>
            </w:pPr>
            <w:r>
              <w:rPr>
                <w:rFonts w:ascii="宋体" w:hAnsi="宋体" w:cs="宋体" w:eastAsia="宋体" w:hint="default"/>
                <w:sz w:val="18"/>
                <w:szCs w:val="18"/>
              </w:rPr>
              <w:t>程艳云、吴 冬华、南京 博飞信投资 管理有限公 司、上海瑞 经达创业投 资有限公 司、南京明 通投资管理 中心（有限 合伙）、南 京凯腾瑞杰 创业投资企 业（有限合 伙）、陈大</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《交易对方关于其他事项的承诺》：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、本人最近五年内未受 过与证券市场相关的行政处罚、刑事处罚，不存在被立案调查 的情况，也不存在与经济纠纷有关的重大民事诉讼或仲裁事 项。</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、本人在最近五年内不存在违反诚信的情况，包括但不 限于未按期偿还大额债务、未履行承诺、被中国证券监督管理 委员会采取行政监管措施或受到证券交易所纪律处分的情况 等。</w:t>
            </w:r>
            <w:r>
              <w:rPr>
                <w:rFonts w:ascii="Times New Roman" w:hAnsi="Times New Roman" w:cs="Times New Roman" w:eastAsia="Times New Roman" w:hint="default"/>
                <w:sz w:val="18"/>
                <w:szCs w:val="18"/>
              </w:rPr>
              <w:t>3</w:t>
            </w:r>
            <w:r>
              <w:rPr>
                <w:rFonts w:ascii="宋体" w:hAnsi="宋体" w:cs="宋体" w:eastAsia="宋体" w:hint="default"/>
                <w:sz w:val="18"/>
                <w:szCs w:val="18"/>
              </w:rPr>
              <w:t>、本人与上市公司不存在关联关系，也不存在向上市公 司推荐董事或者高级管理人员的情况。</w:t>
            </w:r>
            <w:r>
              <w:rPr>
                <w:rFonts w:ascii="Times New Roman" w:hAnsi="Times New Roman" w:cs="Times New Roman" w:eastAsia="Times New Roman" w:hint="default"/>
                <w:sz w:val="18"/>
                <w:szCs w:val="18"/>
              </w:rPr>
              <w:t>4</w:t>
            </w:r>
            <w:r>
              <w:rPr>
                <w:rFonts w:ascii="宋体" w:hAnsi="宋体" w:cs="宋体" w:eastAsia="宋体" w:hint="default"/>
                <w:sz w:val="18"/>
                <w:szCs w:val="18"/>
              </w:rPr>
              <w:t>、本人已经履行了华 苏科技《公司章程》中规定的出资义务，该等股份出资已全部 足额到位，通过受让取得的股权其转让价款均依约付清；该等 股份的资产权属清晰，不存在信托持股、委托持股等任何权属 纠纷，亦不存在其他任何潜在法律权属纠纷；该等股份不存在 质押、抵押、其他担保或第三方权益限制情形，也不存在法院 或其他有权机关冻结、查封、拍卖该等股份之情形；本人依法 拥有该等股份的占有、使用、收益及处分权，该等股份的股权</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316" w:lineRule="auto"/>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100" w:right="192"/>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bl>
    <w:p>
      <w:pPr>
        <w:spacing w:after="0" w:line="316" w:lineRule="auto"/>
        <w:jc w:val="both"/>
        <w:rPr>
          <w:rFonts w:ascii="宋体" w:hAnsi="宋体" w:cs="宋体" w:eastAsia="宋体" w:hint="default"/>
          <w:sz w:val="18"/>
          <w:szCs w:val="18"/>
        </w:rPr>
        <w:sectPr>
          <w:pgSz w:w="16840" w:h="11910" w:orient="landscape"/>
          <w:pgMar w:header="916" w:footer="1260" w:top="1160" w:bottom="1460" w:left="1180" w:right="1160"/>
        </w:sect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2"/>
      </w:tblGrid>
      <w:tr>
        <w:trPr>
          <w:trHeight w:val="1298" w:hRule="exact"/>
        </w:trPr>
        <w:tc>
          <w:tcPr>
            <w:tcW w:w="1893" w:type="dxa"/>
            <w:vMerge w:val="restart"/>
            <w:tcBorders>
              <w:top w:val="single" w:sz="4" w:space="0" w:color="000000"/>
              <w:left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1" w:right="215"/>
              <w:jc w:val="left"/>
              <w:rPr>
                <w:rFonts w:ascii="宋体" w:hAnsi="宋体" w:cs="宋体" w:eastAsia="宋体" w:hint="default"/>
                <w:sz w:val="18"/>
                <w:szCs w:val="18"/>
              </w:rPr>
            </w:pPr>
            <w:r>
              <w:rPr>
                <w:rFonts w:ascii="宋体" w:hAnsi="宋体" w:cs="宋体" w:eastAsia="宋体" w:hint="default"/>
                <w:sz w:val="18"/>
                <w:szCs w:val="18"/>
              </w:rPr>
              <w:t>龙、李晶、 吴秀兰、常 杰、王计 斌、施伟</w:t>
            </w: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过户或者转移不存在法律障碍。</w:t>
            </w: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r>
      <w:tr>
        <w:trPr>
          <w:trHeight w:val="4148"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神码软件</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《关于因信息披露不实被立案调查后股份锁定的承诺函》：如 本次交易所提供或披露的信息涉嫌虚假记载、误导性陈述或者 重大遗漏，被司法机关立案侦查或者被中国证监会立案调查 的，在形成调查结论以前，不转让在该上市公司拥有权益的股 份，并于收到立案稽查通知的两个交易日内将暂停转让的书面 申请和股票账户提交上市公司董事会，由董事会代其向证券交 易所和登记结算公司申请锁定；未在两个交易日内提交锁定申 请的，授权董事会核实后直接向证券交易所和登记结算公司报 送本人或本单位的身份信息和账户信息并申请锁定；董事会未 向证券交易所和登记结算公司报送本人或本单位的身份信息和 账户信息的，授权证券交易所和登记结算公司直接锁定相关股 份。如调查结论发现存在违法违规情节，本人或本单位承诺锁 定股份自愿用于相关投资者赔偿安排。</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0" w:right="191"/>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r>
        <w:trPr>
          <w:trHeight w:val="71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58"/>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22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893" w:type="dxa"/>
            <w:vMerge w:val="restart"/>
            <w:tcBorders>
              <w:top w:val="single" w:sz="4" w:space="0" w:color="000000"/>
              <w:left w:val="single" w:sz="4" w:space="0" w:color="000000"/>
              <w:right w:val="single" w:sz="4" w:space="0" w:color="000000"/>
            </w:tcBorders>
            <w:shd w:val="clear" w:color="auto" w:fill="D7D7D7"/>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103"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神州信息</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不为激励对象依本激励计划获取有关股票期权或限制性股票提 供贷款以及其他任何形式的财务资助，包括为其贷款提供担 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0" w:right="191"/>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r>
        <w:trPr>
          <w:trHeight w:val="1649" w:hRule="exact"/>
        </w:trPr>
        <w:tc>
          <w:tcPr>
            <w:tcW w:w="1893" w:type="dxa"/>
            <w:vMerge/>
            <w:tcBorders>
              <w:left w:val="single" w:sz="4" w:space="0" w:color="000000"/>
              <w:bottom w:val="single" w:sz="4" w:space="0" w:color="000000"/>
              <w:right w:val="single" w:sz="4" w:space="0" w:color="000000"/>
            </w:tcBorders>
            <w:shd w:val="clear" w:color="auto" w:fill="D7D7D7"/>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1" w:right="167"/>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年股票 期权与限制 性股票激励 计划激励对 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若公司因信息披露文件中有虚假记载、误导性陈述或者重大遗 漏，导致不符合授予权益或行使权益安排的，激励对象自相关 信息披露文件被确认存在虚假记载、误导性陈述或者重大遗漏 后，将由股权激励计划所获得的全部利益返还公司。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0" w:right="191"/>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bl>
    <w:p>
      <w:pPr>
        <w:spacing w:after="0" w:line="316" w:lineRule="auto"/>
        <w:jc w:val="both"/>
        <w:rPr>
          <w:rFonts w:ascii="宋体" w:hAnsi="宋体" w:cs="宋体" w:eastAsia="宋体" w:hint="default"/>
          <w:sz w:val="18"/>
          <w:szCs w:val="18"/>
        </w:rPr>
        <w:sectPr>
          <w:pgSz w:w="16840" w:h="11910" w:orient="landscape"/>
          <w:pgMar w:header="916" w:footer="1260" w:top="1160" w:bottom="1460" w:left="1180" w:right="1160"/>
        </w:sectPr>
      </w:pPr>
    </w:p>
    <w:p>
      <w:pPr>
        <w:spacing w:line="240" w:lineRule="auto" w:before="5"/>
        <w:rPr>
          <w:rFonts w:ascii="Times New Roman" w:hAnsi="Times New Roman" w:cs="Times New Roman" w:eastAsia="Times New Roman" w:hint="default"/>
          <w:sz w:val="17"/>
          <w:szCs w:val="17"/>
        </w:rPr>
      </w:pPr>
      <w:r>
        <w:rPr/>
        <w:pict>
          <v:shape style="position:absolute;margin-left:64.320000pt;margin-top:58.700008pt;width:713.75pt;height:460.1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93"/>
                    <w:gridCol w:w="1228"/>
                    <w:gridCol w:w="1361"/>
                    <w:gridCol w:w="5076"/>
                    <w:gridCol w:w="1402"/>
                    <w:gridCol w:w="838"/>
                    <w:gridCol w:w="2462"/>
                  </w:tblGrid>
                  <w:tr>
                    <w:trPr>
                      <w:trHeight w:val="5396"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8"/>
                          <w:ind w:left="103" w:right="158"/>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23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日，公司第七届董事会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年第四次临时董 事会审议通过了《关于制定</w:t>
                        </w:r>
                        <w:r>
                          <w:rPr>
                            <w:rFonts w:ascii="Times New Roman" w:hAnsi="Times New Roman" w:cs="Times New Roman" w:eastAsia="Times New Roman" w:hint="default"/>
                            <w:sz w:val="18"/>
                            <w:szCs w:val="18"/>
                          </w:rPr>
                          <w:t>&lt;</w:t>
                        </w:r>
                        <w:r>
                          <w:rPr>
                            <w:rFonts w:ascii="宋体" w:hAnsi="宋体" w:cs="宋体" w:eastAsia="宋体" w:hint="default"/>
                            <w:sz w:val="18"/>
                            <w:szCs w:val="18"/>
                          </w:rPr>
                          <w:t>证券投资内控制度</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w:t>
                        </w:r>
                      </w:p>
                      <w:p>
                        <w:pPr>
                          <w:pStyle w:val="TableParagraph"/>
                          <w:spacing w:line="314" w:lineRule="auto" w:before="15"/>
                          <w:ind w:left="103" w:right="101"/>
                          <w:jc w:val="left"/>
                          <w:rPr>
                            <w:rFonts w:ascii="宋体" w:hAnsi="宋体" w:cs="宋体" w:eastAsia="宋体" w:hint="default"/>
                            <w:sz w:val="18"/>
                            <w:szCs w:val="18"/>
                          </w:rPr>
                        </w:pPr>
                        <w:r>
                          <w:rPr>
                            <w:rFonts w:ascii="宋体" w:hAnsi="宋体" w:cs="宋体" w:eastAsia="宋体" w:hint="default"/>
                            <w:sz w:val="18"/>
                            <w:szCs w:val="18"/>
                          </w:rPr>
                          <w:t>《关于使用自有资金进行证券投资暨关联交易的议案》，董事 会同意公司使用不超过（含）人民币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亿元的自有资金进行 证券投资，包括投资境内外股票、证券投资基金等有价证券 等，包括但不限于购买关联方如神州数码集团股份有限公司等 公司的股票。本人郭为作为公司董事长以及神州数码集团股份 有限公司（以下简称“神州数码”）的控股股东和实际控制 人，针对本次证券投资事宜郑重承诺如下：一、本人将确保：</w:t>
                        </w:r>
                      </w:p>
                      <w:p>
                        <w:pPr>
                          <w:pStyle w:val="TableParagraph"/>
                          <w:spacing w:line="316" w:lineRule="auto" w:before="20"/>
                          <w:ind w:left="103" w:right="101"/>
                          <w:jc w:val="left"/>
                          <w:rPr>
                            <w:rFonts w:ascii="宋体" w:hAnsi="宋体" w:cs="宋体" w:eastAsia="宋体" w:hint="default"/>
                            <w:sz w:val="18"/>
                            <w:szCs w:val="18"/>
                          </w:rPr>
                        </w:pPr>
                        <w:r>
                          <w:rPr>
                            <w:rFonts w:ascii="宋体" w:hAnsi="宋体" w:cs="宋体" w:eastAsia="宋体" w:hint="default"/>
                            <w:sz w:val="18"/>
                            <w:szCs w:val="18"/>
                          </w:rPr>
                          <w:t>（一）公司在业务、资产、机构、人员、财务等方面与神州数 码完全分开，双方的业务、资产、人员、财务和机构完全独 立，不存在混同情况；（二）公司的董事会和其他内部机构严 格按照法定程序独立运作，本人不会以任何方式影响公司在本 次证券投资中的决策或具体操作。二、本人将严格遵守避免内 幕交易的各项规定，本人不存在也不会向公司管理层或具体操 作人员透露任何关于神州数码的相关信息，或者利用神州数码 的内幕信息在价格敏感期内建议公司进行证券交易活动。</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5"/>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0" w:right="191"/>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r>
                    <w:trPr>
                      <w:trHeight w:val="3795"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神州信息</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针对本次融信软件将其持有的融信云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的股权转让给君信 宜知事项，公司就下述事项向君信宜知作如下承诺：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、君信 宜知完成本次投资后，公司将不会与融信云的任何直接</w:t>
                        </w:r>
                        <w:r>
                          <w:rPr>
                            <w:rFonts w:ascii="Times New Roman" w:hAnsi="Times New Roman" w:cs="Times New Roman" w:eastAsia="Times New Roman" w:hint="default"/>
                            <w:sz w:val="18"/>
                            <w:szCs w:val="18"/>
                          </w:rPr>
                          <w:t>/</w:t>
                        </w:r>
                        <w:r>
                          <w:rPr>
                            <w:rFonts w:ascii="宋体" w:hAnsi="宋体" w:cs="宋体" w:eastAsia="宋体" w:hint="default"/>
                            <w:sz w:val="18"/>
                            <w:szCs w:val="18"/>
                          </w:rPr>
                          <w:t>间接 股东以任何形式就融信云的经营管理谋求一致行动关系。</w:t>
                        </w:r>
                        <w:r>
                          <w:rPr>
                            <w:rFonts w:ascii="Times New Roman" w:hAnsi="Times New Roman" w:cs="Times New Roman" w:eastAsia="Times New Roman" w:hint="default"/>
                            <w:sz w:val="18"/>
                            <w:szCs w:val="18"/>
                          </w:rPr>
                          <w:t>2</w:t>
                        </w:r>
                        <w:r>
                          <w:rPr>
                            <w:rFonts w:ascii="宋体" w:hAnsi="宋体" w:cs="宋体" w:eastAsia="宋体" w:hint="default"/>
                            <w:sz w:val="18"/>
                            <w:szCs w:val="18"/>
                          </w:rPr>
                          <w:t>、 在君信宜知完成本次投资后的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年内，公司同意融信云在不损 害相关品牌价值的基础上继续无偿使用神码融信</w:t>
                        </w:r>
                        <w:r>
                          <w:rPr>
                            <w:rFonts w:ascii="Times New Roman" w:hAnsi="Times New Roman" w:cs="Times New Roman" w:eastAsia="Times New Roman" w:hint="default"/>
                            <w:sz w:val="18"/>
                            <w:szCs w:val="18"/>
                          </w:rPr>
                          <w:t>/</w:t>
                        </w:r>
                        <w:r>
                          <w:rPr>
                            <w:rFonts w:ascii="宋体" w:hAnsi="宋体" w:cs="宋体" w:eastAsia="宋体" w:hint="default"/>
                            <w:sz w:val="18"/>
                            <w:szCs w:val="18"/>
                          </w:rPr>
                          <w:t>神州信息品 牌。</w:t>
                        </w:r>
                        <w:r>
                          <w:rPr>
                            <w:rFonts w:ascii="Times New Roman" w:hAnsi="Times New Roman" w:cs="Times New Roman" w:eastAsia="Times New Roman" w:hint="default"/>
                            <w:sz w:val="18"/>
                            <w:szCs w:val="18"/>
                          </w:rPr>
                          <w:t>3</w:t>
                        </w:r>
                        <w:r>
                          <w:rPr>
                            <w:rFonts w:ascii="宋体" w:hAnsi="宋体" w:cs="宋体" w:eastAsia="宋体" w:hint="default"/>
                            <w:sz w:val="18"/>
                            <w:szCs w:val="18"/>
                          </w:rPr>
                          <w:t>、君信宜知完成本次投资后，公司将责成融信软件积极 与融信云共同维护银监会关于非驻场集中式外包服务监管评估 体系的资格，积极配合银监会组织的监管核查，并保证在融信 云存续期间内，不会因融信软件的故意或过失而丧失上述资 格。</w:t>
                        </w:r>
                        <w:r>
                          <w:rPr>
                            <w:rFonts w:ascii="Times New Roman" w:hAnsi="Times New Roman" w:cs="Times New Roman" w:eastAsia="Times New Roman" w:hint="default"/>
                            <w:sz w:val="18"/>
                            <w:szCs w:val="18"/>
                          </w:rPr>
                          <w:t>4</w:t>
                        </w:r>
                        <w:r>
                          <w:rPr>
                            <w:rFonts w:ascii="宋体" w:hAnsi="宋体" w:cs="宋体" w:eastAsia="宋体" w:hint="default"/>
                            <w:sz w:val="18"/>
                            <w:szCs w:val="18"/>
                          </w:rPr>
                          <w:t>、君信宜知完成本次投资后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年内，或者在融信软件、 公司直接或间接持有融信云股权不低于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期间（以其中期</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101" w:right="185"/>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6" w:lineRule="auto"/>
                          <w:ind w:left="100" w:right="191"/>
                          <w:jc w:val="both"/>
                          <w:rPr>
                            <w:rFonts w:ascii="宋体" w:hAnsi="宋体" w:cs="宋体" w:eastAsia="宋体" w:hint="default"/>
                            <w:sz w:val="18"/>
                            <w:szCs w:val="18"/>
                          </w:rPr>
                        </w:pPr>
                        <w:r>
                          <w:rPr>
                            <w:rFonts w:ascii="宋体" w:hAnsi="宋体" w:cs="宋体" w:eastAsia="宋体" w:hint="default"/>
                            <w:sz w:val="18"/>
                            <w:szCs w:val="18"/>
                          </w:rPr>
                          <w:t>截至目前，上述承诺仍在履 行过程中，承诺人无违反上 述承诺的情况。</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40" w:h="11910" w:orient="landscape"/>
          <w:pgMar w:header="916" w:footer="1260" w:top="1180" w:bottom="1520" w:left="1180" w:right="1160"/>
        </w:sectPr>
      </w:pPr>
    </w:p>
    <w:p>
      <w:pPr>
        <w:spacing w:line="240" w:lineRule="auto" w:before="6"/>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893"/>
        <w:gridCol w:w="1228"/>
        <w:gridCol w:w="1361"/>
        <w:gridCol w:w="5076"/>
        <w:gridCol w:w="1402"/>
        <w:gridCol w:w="838"/>
        <w:gridCol w:w="2462"/>
      </w:tblGrid>
      <w:tr>
        <w:trPr>
          <w:trHeight w:val="4107"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507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103" w:right="101"/>
              <w:jc w:val="left"/>
              <w:rPr>
                <w:rFonts w:ascii="宋体" w:hAnsi="宋体" w:cs="宋体" w:eastAsia="宋体" w:hint="default"/>
                <w:sz w:val="18"/>
                <w:szCs w:val="18"/>
              </w:rPr>
            </w:pPr>
            <w:r>
              <w:rPr>
                <w:rFonts w:ascii="宋体" w:hAnsi="宋体" w:cs="宋体" w:eastAsia="宋体" w:hint="default"/>
                <w:sz w:val="18"/>
                <w:szCs w:val="18"/>
              </w:rPr>
              <w:t>限较长者为准），公司承诺不直接或间接从事与融信云业务相 竞争的活动，以及不会与君信宜知控股股东的竞争对手合资或 合作运营与融信云进行竞争的业务。（</w:t>
            </w:r>
            <w:r>
              <w:rPr>
                <w:rFonts w:ascii="Times New Roman" w:hAnsi="Times New Roman" w:cs="Times New Roman" w:eastAsia="Times New Roman" w:hint="default"/>
                <w:sz w:val="18"/>
                <w:szCs w:val="18"/>
              </w:rPr>
              <w:t>1</w:t>
            </w:r>
            <w:r>
              <w:rPr>
                <w:rFonts w:ascii="宋体" w:hAnsi="宋体" w:cs="宋体" w:eastAsia="宋体" w:hint="default"/>
                <w:sz w:val="18"/>
                <w:szCs w:val="18"/>
              </w:rPr>
              <w:t>）与融信云竞争的业 务包括：中小银行云托管服务、互联网金融运营服务、互联网 开放平台（即互联网核心）运营。（</w:t>
            </w:r>
            <w:r>
              <w:rPr>
                <w:rFonts w:ascii="Times New Roman" w:hAnsi="Times New Roman" w:cs="Times New Roman" w:eastAsia="Times New Roman" w:hint="default"/>
                <w:sz w:val="18"/>
                <w:szCs w:val="18"/>
              </w:rPr>
              <w:t>2</w:t>
            </w:r>
            <w:r>
              <w:rPr>
                <w:rFonts w:ascii="宋体" w:hAnsi="宋体" w:cs="宋体" w:eastAsia="宋体" w:hint="default"/>
                <w:sz w:val="18"/>
                <w:szCs w:val="18"/>
              </w:rPr>
              <w:t>）君信宜知控股股东的 竞争对手包括：阿里巴巴、蚂蚁金服、网商银行及其关联方； 百度、百信银行及其关联方；中国平安及其关联方；苏宁云商 及其关联方；美团及其关联方。</w:t>
            </w:r>
            <w:r>
              <w:rPr>
                <w:rFonts w:ascii="Times New Roman" w:hAnsi="Times New Roman" w:cs="Times New Roman" w:eastAsia="Times New Roman" w:hint="default"/>
                <w:sz w:val="18"/>
                <w:szCs w:val="18"/>
              </w:rPr>
              <w:t>5</w:t>
            </w:r>
            <w:r>
              <w:rPr>
                <w:rFonts w:ascii="宋体" w:hAnsi="宋体" w:cs="宋体" w:eastAsia="宋体" w:hint="default"/>
                <w:sz w:val="18"/>
                <w:szCs w:val="18"/>
              </w:rPr>
              <w:t>、公司承诺，将在最短时间 内责成</w:t>
            </w:r>
            <w:r>
              <w:rPr>
                <w:rFonts w:ascii="Times New Roman" w:hAnsi="Times New Roman" w:cs="Times New Roman" w:eastAsia="Times New Roman" w:hint="default"/>
                <w:sz w:val="18"/>
                <w:szCs w:val="18"/>
              </w:rPr>
              <w:t>/</w:t>
            </w:r>
            <w:r>
              <w:rPr>
                <w:rFonts w:ascii="宋体" w:hAnsi="宋体" w:cs="宋体" w:eastAsia="宋体" w:hint="default"/>
                <w:sz w:val="18"/>
                <w:szCs w:val="18"/>
              </w:rPr>
              <w:t>配合融信云、融信软件完成本次投资中交易文件中所 载的任何先决条件，以尽快促成君信宜知完成本次投资。</w:t>
            </w:r>
            <w:r>
              <w:rPr>
                <w:rFonts w:ascii="Times New Roman" w:hAnsi="Times New Roman" w:cs="Times New Roman" w:eastAsia="Times New Roman" w:hint="default"/>
                <w:sz w:val="18"/>
                <w:szCs w:val="18"/>
              </w:rPr>
              <w:t>6</w:t>
            </w:r>
            <w:r>
              <w:rPr>
                <w:rFonts w:ascii="宋体" w:hAnsi="宋体" w:cs="宋体" w:eastAsia="宋体" w:hint="default"/>
                <w:sz w:val="18"/>
                <w:szCs w:val="18"/>
              </w:rPr>
              <w:t>、 公司承诺，因违反上述承诺及</w:t>
            </w:r>
            <w:r>
              <w:rPr>
                <w:rFonts w:ascii="Times New Roman" w:hAnsi="Times New Roman" w:cs="Times New Roman" w:eastAsia="Times New Roman" w:hint="default"/>
                <w:sz w:val="18"/>
                <w:szCs w:val="18"/>
              </w:rPr>
              <w:t>/</w:t>
            </w:r>
            <w:r>
              <w:rPr>
                <w:rFonts w:ascii="宋体" w:hAnsi="宋体" w:cs="宋体" w:eastAsia="宋体" w:hint="default"/>
                <w:sz w:val="18"/>
                <w:szCs w:val="18"/>
              </w:rPr>
              <w:t>或违反上市公司信息披露义务 而致使融信云或君信宜知受到的任何损害，公司将根据法律的 规定承担全部责任。</w:t>
            </w:r>
          </w:p>
        </w:tc>
        <w:tc>
          <w:tcPr>
            <w:tcW w:w="1402"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24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31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25"/>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如承诺超期未履行完毕的，应当详细 说明未完成履行的具体原因及下一步 的工作计划</w:t>
            </w:r>
          </w:p>
        </w:tc>
        <w:tc>
          <w:tcPr>
            <w:tcW w:w="11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260"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、公司资产或项目存在盈利预测，且报告期仍处在盈利预测期间，公司就资产或项目达到原盈利预测及其原因做出说明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60" w:right="0"/>
        <w:jc w:val="left"/>
      </w:pPr>
      <w:r>
        <w:rPr/>
        <w:t>□ 适用 √</w:t>
      </w:r>
      <w:r>
        <w:rPr>
          <w:spacing w:val="3"/>
        </w:rPr>
        <w:t> </w:t>
      </w:r>
      <w:r>
        <w:rPr/>
        <w:t>不适用</w:t>
      </w:r>
    </w:p>
    <w:p>
      <w:pPr>
        <w:spacing w:after="0" w:line="240" w:lineRule="auto"/>
        <w:jc w:val="left"/>
        <w:sectPr>
          <w:pgSz w:w="16840" w:h="11910" w:orient="landscape"/>
          <w:pgMar w:header="916" w:footer="1260" w:top="1120" w:bottom="1460" w:left="1180" w:right="1160"/>
        </w:sectPr>
      </w:pPr>
    </w:p>
    <w:p>
      <w:pPr>
        <w:spacing w:line="240" w:lineRule="auto" w:before="8"/>
        <w:rPr>
          <w:rFonts w:ascii="宋体" w:hAnsi="宋体" w:cs="宋体" w:eastAsia="宋体" w:hint="default"/>
          <w:sz w:val="18"/>
          <w:szCs w:val="18"/>
        </w:rPr>
      </w:pPr>
    </w:p>
    <w:p>
      <w:pPr>
        <w:pStyle w:val="Heading2"/>
        <w:spacing w:line="240" w:lineRule="auto" w:before="26"/>
        <w:ind w:right="0"/>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4993"/>
        <w:jc w:val="left"/>
      </w:pPr>
      <w:r>
        <w:rPr/>
        <w:t>□ 适用 √</w:t>
      </w:r>
      <w:r>
        <w:rPr>
          <w:spacing w:val="3"/>
        </w:rPr>
        <w:t> </w:t>
      </w:r>
      <w:r>
        <w:rPr/>
        <w:t>不适用</w:t>
      </w:r>
      <w:r>
        <w:rPr/>
        <w:t> 公司报告期不存在控股股东及其关联方对上市公司的非经营性占用资金。</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五、董事会、监事会、独立董事对会计师事务所本报告期“非标准审计报告”的说明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513" w:right="4633" w:hanging="360"/>
        <w:jc w:val="left"/>
        <w:rPr>
          <w:rFonts w:ascii="宋体" w:hAnsi="宋体" w:cs="宋体" w:eastAsia="宋体" w:hint="default"/>
        </w:rPr>
      </w:pPr>
      <w:r>
        <w:rPr/>
        <w:t>√ 适用 □</w:t>
      </w:r>
      <w:r>
        <w:rPr>
          <w:spacing w:val="3"/>
        </w:rPr>
        <w:t> </w:t>
      </w:r>
      <w:r>
        <w:rPr/>
        <w:t>不适用</w:t>
      </w:r>
      <w:r>
        <w:rPr/>
        <w:t> </w:t>
      </w:r>
      <w:r>
        <w:rPr>
          <w:rFonts w:ascii="宋体" w:hAnsi="宋体" w:cs="宋体" w:eastAsia="宋体" w:hint="default"/>
        </w:rPr>
        <w:t>1</w:t>
      </w:r>
      <w:r>
        <w:rPr/>
        <w:t>、本报告期，因财务报表格式变更导致列报披露变化，具体情况如下：</w:t>
      </w:r>
      <w:r>
        <w:rPr>
          <w:rFonts w:ascii="宋体" w:hAnsi="宋体" w:cs="宋体" w:eastAsia="宋体" w:hint="default"/>
        </w:rPr>
        <w:t> </w:t>
      </w:r>
    </w:p>
    <w:p>
      <w:pPr>
        <w:pStyle w:val="BodyText"/>
        <w:spacing w:line="316" w:lineRule="auto" w:before="27"/>
        <w:ind w:right="1213" w:firstLine="360"/>
        <w:jc w:val="left"/>
        <w:rPr>
          <w:rFonts w:ascii="宋体" w:hAnsi="宋体" w:cs="宋体" w:eastAsia="宋体" w:hint="default"/>
        </w:rPr>
      </w:pPr>
      <w:r>
        <w:rPr/>
        <w:t>本集团按财政部于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日颁布的《关于修订印发</w:t>
      </w:r>
      <w:r>
        <w:rPr>
          <w:rFonts w:ascii="宋体" w:hAnsi="宋体" w:cs="宋体" w:eastAsia="宋体" w:hint="default"/>
        </w:rPr>
        <w:t>2019</w:t>
      </w:r>
      <w:r>
        <w:rPr/>
        <w:t>年度一般企业财务报表格式的通知》（财会【</w:t>
      </w:r>
      <w:r>
        <w:rPr>
          <w:rFonts w:ascii="宋体" w:hAnsi="宋体" w:cs="宋体" w:eastAsia="宋体" w:hint="default"/>
        </w:rPr>
        <w:t>2019</w:t>
      </w:r>
      <w:r>
        <w:rPr/>
        <w:t>】</w:t>
      </w:r>
      <w:r>
        <w:rPr>
          <w:rFonts w:ascii="宋体" w:hAnsi="宋体" w:cs="宋体" w:eastAsia="宋体" w:hint="default"/>
        </w:rPr>
        <w:t>6 </w:t>
      </w:r>
      <w:r>
        <w:rPr/>
        <w:t>号，以下简称“财会</w:t>
      </w:r>
      <w:r>
        <w:rPr>
          <w:rFonts w:ascii="宋体" w:hAnsi="宋体" w:cs="宋体" w:eastAsia="宋体" w:hint="default"/>
        </w:rPr>
        <w:t>6</w:t>
      </w:r>
      <w:r>
        <w:rPr/>
        <w:t>号文件”）编制</w:t>
      </w:r>
      <w:r>
        <w:rPr>
          <w:rFonts w:ascii="宋体" w:hAnsi="宋体" w:cs="宋体" w:eastAsia="宋体" w:hint="default"/>
        </w:rPr>
        <w:t>2019</w:t>
      </w:r>
      <w:r>
        <w:rPr/>
        <w:t>年度财务报表。财会</w:t>
      </w:r>
      <w:r>
        <w:rPr>
          <w:rFonts w:ascii="宋体" w:hAnsi="宋体" w:cs="宋体" w:eastAsia="宋体" w:hint="default"/>
        </w:rPr>
        <w:t>6</w:t>
      </w:r>
      <w:r>
        <w:rPr/>
        <w:t>号文件对资产负债表和利润表的列报项目进行了修订，将 “应收票据及应收账款”项目分拆为“应收票据”和“应收账款”两个项目，将“应付票据及应付账款”项目分拆为“应 付票据”和“应付账款”两个项目，同时明确或修订了“应收利息”、“应付利息”、“一年内到期的非流动资产”、 “递延收益”、“其他权益工具”、“研发费用”、“财务费用”项目下的“利息收入”、“其他收益”、“资产处置收 益”、“营业外收入”和“营业外支出”项目的列报内容。对于上述列报项目的变更，本集团对上年比较数据进行了追溯 调整。</w:t>
      </w:r>
      <w:r>
        <w:rPr>
          <w:rFonts w:ascii="宋体" w:hAnsi="宋体" w:cs="宋体" w:eastAsia="宋体" w:hint="default"/>
        </w:rPr>
        <w:t> </w:t>
      </w:r>
    </w:p>
    <w:p>
      <w:pPr>
        <w:pStyle w:val="BodyText"/>
        <w:spacing w:line="360" w:lineRule="auto" w:before="57"/>
        <w:ind w:left="513" w:right="1213"/>
        <w:jc w:val="left"/>
      </w:pPr>
      <w:r>
        <w:rPr>
          <w:rFonts w:ascii="宋体" w:hAnsi="宋体" w:cs="宋体" w:eastAsia="宋体" w:hint="default"/>
        </w:rPr>
        <w:t>2</w:t>
      </w:r>
      <w:r>
        <w:rPr/>
        <w:t>、本报告期，因施行新金融工具准则导致金融工具确认、计量和报告较上年度发生变化，具体情况如下：</w:t>
      </w:r>
      <w:r>
        <w:rPr>
          <w:rFonts w:ascii="宋体" w:hAnsi="宋体" w:cs="宋体" w:eastAsia="宋体" w:hint="default"/>
        </w:rPr>
        <w:t> </w:t>
      </w:r>
      <w:r>
        <w:rPr/>
        <w:t>本集团于</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日起执行财政部于</w:t>
      </w:r>
      <w:r>
        <w:rPr>
          <w:rFonts w:ascii="宋体" w:hAnsi="宋体" w:cs="宋体" w:eastAsia="宋体" w:hint="default"/>
        </w:rPr>
        <w:t>2017</w:t>
      </w:r>
      <w:r>
        <w:rPr/>
        <w:t>年修订的《企业会计准则第</w:t>
      </w:r>
      <w:r>
        <w:rPr>
          <w:rFonts w:ascii="宋体" w:hAnsi="宋体" w:cs="宋体" w:eastAsia="宋体" w:hint="default"/>
        </w:rPr>
        <w:t>22</w:t>
      </w:r>
      <w:r>
        <w:rPr/>
        <w:t>号——金融工具确认和计量》、《企业会计</w:t>
      </w:r>
    </w:p>
    <w:p>
      <w:pPr>
        <w:pStyle w:val="BodyText"/>
        <w:spacing w:line="222" w:lineRule="exact"/>
        <w:ind w:right="0"/>
        <w:jc w:val="left"/>
      </w:pPr>
      <w:r>
        <w:rPr/>
        <w:t>准则第</w:t>
      </w:r>
      <w:r>
        <w:rPr>
          <w:rFonts w:ascii="宋体" w:hAnsi="宋体" w:cs="宋体" w:eastAsia="宋体" w:hint="default"/>
        </w:rPr>
        <w:t>23</w:t>
      </w:r>
      <w:r>
        <w:rPr/>
        <w:t>号——金融资产转移》、《企业会计准则第</w:t>
      </w:r>
      <w:r>
        <w:rPr>
          <w:rFonts w:ascii="宋体" w:hAnsi="宋体" w:cs="宋体" w:eastAsia="宋体" w:hint="default"/>
        </w:rPr>
        <w:t>24</w:t>
      </w:r>
      <w:r>
        <w:rPr/>
        <w:t>号——套期会计》和《企业会计准则第</w:t>
      </w:r>
      <w:r>
        <w:rPr>
          <w:rFonts w:ascii="宋体" w:hAnsi="宋体" w:cs="宋体" w:eastAsia="宋体" w:hint="default"/>
        </w:rPr>
        <w:t>37</w:t>
      </w:r>
      <w:r>
        <w:rPr/>
        <w:t>号——金融工具列报》</w:t>
      </w:r>
    </w:p>
    <w:p>
      <w:pPr>
        <w:pStyle w:val="BodyText"/>
        <w:spacing w:line="360" w:lineRule="auto" w:before="77"/>
        <w:ind w:left="513" w:right="1213" w:hanging="360"/>
        <w:jc w:val="left"/>
      </w:pPr>
      <w:r>
        <w:rPr/>
        <w:t>（以下简称“新金融工具准则”，修订前的金融工具准则简称“原金融工具准则”）。</w:t>
      </w:r>
      <w:r>
        <w:rPr>
          <w:rFonts w:ascii="宋体" w:hAnsi="宋体" w:cs="宋体" w:eastAsia="宋体" w:hint="default"/>
        </w:rPr>
        <w:t> </w:t>
      </w:r>
      <w:r>
        <w:rPr/>
        <w:t>金融资产分类与计量方面，新金融工具准则要求金融资产基于其合同现金流量特征及企业管理该等资产的业务模式分</w:t>
      </w:r>
    </w:p>
    <w:p>
      <w:pPr>
        <w:pStyle w:val="BodyText"/>
        <w:spacing w:line="222" w:lineRule="exact"/>
        <w:ind w:right="0"/>
        <w:jc w:val="left"/>
      </w:pPr>
      <w:r>
        <w:rPr/>
        <w:t>类为“以摊余成本计量的金融资产”、“以公允价值计量且其变动计入其他综合收益的金融资产”和“以公允价值计量且</w:t>
      </w:r>
    </w:p>
    <w:p>
      <w:pPr>
        <w:pStyle w:val="BodyText"/>
        <w:spacing w:line="316" w:lineRule="auto" w:before="76"/>
        <w:ind w:right="1229"/>
        <w:jc w:val="both"/>
        <w:rPr>
          <w:rFonts w:ascii="宋体" w:hAnsi="宋体" w:cs="宋体" w:eastAsia="宋体" w:hint="default"/>
        </w:rPr>
      </w:pPr>
      <w:r>
        <w:rPr/>
        <w:t>其变动计入当期损益的金融资产”三大类别。取消了贷款和应收款项、持有至到期投资和可供出售金融资产等原分类。权 益工具投资一般分类为以公允价值计量且其变动计入当期损益的金融资产，也允许企业将非交易性权益工具投资指定为以 公允价值计量且其变动计入其他综合收益的金融资产，但该指定不可撤销，且在处置时不得将原计入其他综合收益的累计 公允价值变动额结转计入当期损益。</w:t>
      </w:r>
      <w:r>
        <w:rPr>
          <w:rFonts w:ascii="宋体" w:hAnsi="宋体" w:cs="宋体" w:eastAsia="宋体" w:hint="default"/>
        </w:rPr>
        <w:t> </w:t>
      </w:r>
    </w:p>
    <w:p>
      <w:pPr>
        <w:pStyle w:val="BodyText"/>
        <w:spacing w:line="319" w:lineRule="auto" w:before="57"/>
        <w:ind w:right="1231" w:firstLine="360"/>
        <w:jc w:val="both"/>
        <w:rPr>
          <w:rFonts w:ascii="宋体" w:hAnsi="宋体" w:cs="宋体" w:eastAsia="宋体" w:hint="default"/>
        </w:rPr>
      </w:pPr>
      <w:r>
        <w:rPr/>
        <w:t>金融资产减值方面，新金融工具准则有关减值的要求适用于本集团以摊余成本计量以及分类为以公允价值计量且其变 动计入其他综合收益的金融资产（债务工具）。新金融工具准则要求采用预期信用损失模型以替代原先的已发生信用损失 模型。新减值模型要求采用三阶段模型，依据相关项目自初始确认后信用风险是否发生显著增加，信用损失准备按</w:t>
      </w:r>
      <w:r>
        <w:rPr>
          <w:rFonts w:ascii="宋体" w:hAnsi="宋体" w:cs="宋体" w:eastAsia="宋体" w:hint="default"/>
        </w:rPr>
        <w:t>12</w:t>
      </w:r>
      <w:r>
        <w:rPr/>
        <w:t>个月</w:t>
      </w:r>
      <w:r>
        <w:rPr>
          <w:spacing w:val="-3"/>
        </w:rPr>
        <w:t> </w:t>
      </w:r>
      <w:r>
        <w:rPr/>
        <w:t>内预期信用损失或者整个存续期的预期信用损失进行计提。对于由收入准则规范的交易形成的应收账款存在简化方法，允</w:t>
      </w:r>
      <w:r>
        <w:rPr/>
        <w:t> 许始终按照整个存续期预期信用损失确认减值准备。</w:t>
      </w:r>
      <w:r>
        <w:rPr>
          <w:rFonts w:ascii="宋体" w:hAnsi="宋体" w:cs="宋体" w:eastAsia="宋体" w:hint="default"/>
        </w:rPr>
        <w:t> </w:t>
      </w:r>
    </w:p>
    <w:p>
      <w:pPr>
        <w:pStyle w:val="BodyText"/>
        <w:spacing w:line="300" w:lineRule="auto" w:before="58"/>
        <w:ind w:right="1119" w:firstLine="360"/>
        <w:jc w:val="left"/>
      </w:pPr>
      <w:r>
        <w:rPr/>
        <w:t>本集团自</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日起施行上述新金融工具准则，并自该日起按照新金融工具准则的规定确认、计量和报告本集 团的金融工具。</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613"/>
        <w:jc w:val="left"/>
      </w:pPr>
      <w:r>
        <w:rPr/>
        <w:t>□ 适用 √</w:t>
      </w:r>
      <w:r>
        <w:rPr>
          <w:spacing w:val="3"/>
        </w:rPr>
        <w:t> </w:t>
      </w:r>
      <w:r>
        <w:rPr/>
        <w:t>不适用</w:t>
      </w:r>
      <w:r>
        <w:rPr/>
        <w:t> 公司报告期无重大会计差错更正需追溯重述的情况。</w:t>
      </w:r>
    </w:p>
    <w:p>
      <w:pPr>
        <w:spacing w:after="0" w:line="360" w:lineRule="auto"/>
        <w:jc w:val="left"/>
        <w:sectPr>
          <w:headerReference w:type="default" r:id="rId30"/>
          <w:footerReference w:type="default" r:id="rId31"/>
          <w:pgSz w:w="11910" w:h="16840"/>
          <w:pgMar w:header="916" w:footer="1261" w:top="1120" w:bottom="1460" w:left="980" w:right="0"/>
          <w:pgNumType w:start="56"/>
        </w:sectPr>
      </w:pPr>
    </w:p>
    <w:p>
      <w:pPr>
        <w:spacing w:line="240" w:lineRule="auto" w:before="8"/>
        <w:rPr>
          <w:rFonts w:ascii="宋体" w:hAnsi="宋体" w:cs="宋体" w:eastAsia="宋体" w:hint="default"/>
          <w:sz w:val="18"/>
          <w:szCs w:val="18"/>
        </w:rPr>
      </w:pPr>
    </w:p>
    <w:p>
      <w:pPr>
        <w:pStyle w:val="Heading2"/>
        <w:spacing w:line="240" w:lineRule="auto" w:before="26"/>
        <w:ind w:right="0"/>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1125" w:hanging="360"/>
        <w:jc w:val="left"/>
      </w:pPr>
      <w:r>
        <w:rPr/>
        <w:t>√ 适用 □</w:t>
      </w:r>
      <w:r>
        <w:rPr>
          <w:spacing w:val="3"/>
        </w:rPr>
        <w:t> </w:t>
      </w:r>
      <w:r>
        <w:rPr/>
        <w:t>不适用</w:t>
      </w:r>
      <w:r>
        <w:rPr/>
        <w:t> </w:t>
      </w:r>
      <w:r>
        <w:rPr>
          <w:spacing w:val="-2"/>
        </w:rPr>
        <w:t>与上年相比，本年因非同一控制下企业合并增加神州土地（北京）信息技术有限公司及其子公司枣强县农村产权交易服</w:t>
      </w:r>
    </w:p>
    <w:p>
      <w:pPr>
        <w:pStyle w:val="BodyText"/>
        <w:spacing w:line="224" w:lineRule="exact"/>
        <w:ind w:right="0"/>
        <w:jc w:val="left"/>
      </w:pPr>
      <w:r>
        <w:rPr/>
        <w:t>务有限公司，因新设增加智慧神州天融（北京）监测技术有限公司、新疆神州三宝信息技术有限公司、北京神州通慧科技有</w:t>
      </w:r>
    </w:p>
    <w:p>
      <w:pPr>
        <w:pStyle w:val="BodyText"/>
        <w:spacing w:line="300" w:lineRule="auto" w:before="76"/>
        <w:ind w:right="1128"/>
        <w:jc w:val="left"/>
        <w:rPr>
          <w:rFonts w:ascii="宋体" w:hAnsi="宋体" w:cs="宋体" w:eastAsia="宋体" w:hint="default"/>
          <w:sz w:val="22"/>
          <w:szCs w:val="22"/>
        </w:rPr>
      </w:pPr>
      <w:r>
        <w:rPr/>
        <w:t>限公司、神州龙安</w:t>
      </w:r>
      <w:r>
        <w:rPr>
          <w:rFonts w:ascii="Times New Roman" w:hAnsi="Times New Roman" w:cs="Times New Roman" w:eastAsia="Times New Roman" w:hint="default"/>
        </w:rPr>
        <w:t>(</w:t>
      </w:r>
      <w:r>
        <w:rPr/>
        <w:t>金华</w:t>
      </w:r>
      <w:r>
        <w:rPr>
          <w:rFonts w:ascii="Times New Roman" w:hAnsi="Times New Roman" w:cs="Times New Roman" w:eastAsia="Times New Roman" w:hint="default"/>
        </w:rPr>
        <w:t>)</w:t>
      </w:r>
      <w:r>
        <w:rPr/>
        <w:t>信息技术服务有限公司及</w:t>
      </w:r>
      <w:r>
        <w:rPr>
          <w:rFonts w:ascii="Times New Roman" w:hAnsi="Times New Roman" w:cs="Times New Roman" w:eastAsia="Times New Roman" w:hint="default"/>
        </w:rPr>
        <w:t>Digital</w:t>
      </w:r>
      <w:r>
        <w:rPr>
          <w:rFonts w:ascii="Times New Roman" w:hAnsi="Times New Roman" w:cs="Times New Roman" w:eastAsia="Times New Roman" w:hint="default"/>
          <w:spacing w:val="-8"/>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9"/>
        </w:rPr>
        <w:t> </w:t>
      </w:r>
      <w:r>
        <w:rPr>
          <w:rFonts w:ascii="Times New Roman" w:hAnsi="Times New Roman" w:cs="Times New Roman" w:eastAsia="Times New Roman" w:hint="default"/>
        </w:rPr>
        <w:t>Information</w:t>
      </w:r>
      <w:r>
        <w:rPr>
          <w:rFonts w:ascii="Times New Roman" w:hAnsi="Times New Roman" w:cs="Times New Roman" w:eastAsia="Times New Roman" w:hint="default"/>
          <w:spacing w:val="-10"/>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12"/>
        </w:rPr>
        <w:t> </w:t>
      </w:r>
      <w:r>
        <w:rPr>
          <w:rFonts w:ascii="Times New Roman" w:hAnsi="Times New Roman" w:cs="Times New Roman" w:eastAsia="Times New Roman" w:hint="default"/>
        </w:rPr>
        <w:t>Indonesia,PT</w:t>
      </w:r>
      <w:r>
        <w:rPr/>
        <w:t>，因注销减少昆明中农信 息技术有限公司。</w:t>
      </w:r>
      <w:r>
        <w:rPr>
          <w:rFonts w:ascii="宋体" w:hAnsi="宋体" w:cs="宋体" w:eastAsia="宋体" w:hint="default"/>
          <w:w w:val="100"/>
          <w:sz w:val="22"/>
          <w:szCs w:val="22"/>
        </w:rPr>
        <w:t> </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2"/>
        <w:rPr>
          <w:rFonts w:ascii="宋体" w:hAnsi="宋体" w:cs="宋体" w:eastAsia="宋体" w:hint="default"/>
          <w:sz w:val="8"/>
          <w:szCs w:val="8"/>
        </w:rPr>
      </w:pPr>
    </w:p>
    <w:tbl>
      <w:tblPr>
        <w:tblW w:w="0" w:type="auto"/>
        <w:jc w:val="left"/>
        <w:tblInd w:w="262" w:type="dxa"/>
        <w:tblLayout w:type="fixed"/>
        <w:tblCellMar>
          <w:top w:w="0" w:type="dxa"/>
          <w:left w:w="0" w:type="dxa"/>
          <w:bottom w:w="0" w:type="dxa"/>
          <w:right w:w="0" w:type="dxa"/>
        </w:tblCellMar>
        <w:tblLook w:val="01E0"/>
      </w:tblPr>
      <w:tblGrid>
        <w:gridCol w:w="4790"/>
        <w:gridCol w:w="4779"/>
      </w:tblGrid>
      <w:tr>
        <w:trPr>
          <w:trHeight w:val="466"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2"/>
              <w:jc w:val="righ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6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215</w:t>
            </w:r>
          </w:p>
        </w:tc>
      </w:tr>
      <w:tr>
        <w:trPr>
          <w:trHeight w:val="46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7</w:t>
            </w:r>
          </w:p>
        </w:tc>
      </w:tr>
      <w:tr>
        <w:trPr>
          <w:trHeight w:val="46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10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hAnsi="宋体" w:cs="宋体" w:eastAsia="宋体" w:hint="default"/>
                <w:sz w:val="18"/>
                <w:szCs w:val="18"/>
              </w:rPr>
              <w:t>唐炫、唐静</w:t>
            </w:r>
          </w:p>
        </w:tc>
      </w:tr>
      <w:tr>
        <w:trPr>
          <w:trHeight w:val="46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8"/>
              <w:jc w:val="right"/>
              <w:rPr>
                <w:rFonts w:ascii="宋体" w:hAnsi="宋体" w:cs="宋体" w:eastAsia="宋体" w:hint="default"/>
                <w:sz w:val="18"/>
                <w:szCs w:val="18"/>
              </w:rPr>
            </w:pPr>
            <w:r>
              <w:rPr>
                <w:rFonts w:ascii="宋体" w:hAnsi="宋体" w:cs="宋体" w:eastAsia="宋体" w:hint="default"/>
                <w:sz w:val="18"/>
                <w:szCs w:val="18"/>
              </w:rPr>
              <w:t>唐炫</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年、唐静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6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34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6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104"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65"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4"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6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104"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当期是否改聘会计师事务所</w:t>
      </w:r>
    </w:p>
    <w:p>
      <w:pPr>
        <w:pStyle w:val="BodyText"/>
        <w:spacing w:line="360" w:lineRule="auto" w:before="115"/>
        <w:ind w:right="6253"/>
        <w:jc w:val="left"/>
      </w:pPr>
      <w:r>
        <w:rPr/>
        <w:t>□ 是 √</w:t>
      </w:r>
      <w:r>
        <w:rPr>
          <w:spacing w:val="3"/>
        </w:rPr>
        <w:t> </w:t>
      </w:r>
      <w:r>
        <w:rPr/>
        <w:t>否</w:t>
      </w:r>
      <w:r>
        <w:rPr/>
        <w:t> 聘请内部控制审计会计师事务所、财务顾问或保荐人情况</w:t>
      </w:r>
    </w:p>
    <w:p>
      <w:pPr>
        <w:pStyle w:val="BodyText"/>
        <w:spacing w:line="357" w:lineRule="auto" w:before="27"/>
        <w:ind w:left="513" w:right="1213" w:hanging="360"/>
        <w:jc w:val="left"/>
      </w:pPr>
      <w:r>
        <w:rPr/>
        <w:t>√ 适用 □</w:t>
      </w:r>
      <w:r>
        <w:rPr>
          <w:spacing w:val="3"/>
        </w:rPr>
        <w:t> </w:t>
      </w:r>
      <w:r>
        <w:rPr/>
        <w:t>不适用</w:t>
      </w:r>
      <w:r>
        <w:rPr/>
        <w:t> 报告期内，公司聘请信永中和会计师事务所（特殊普通合伙）为</w:t>
      </w:r>
      <w:r>
        <w:rPr>
          <w:rFonts w:ascii="Times New Roman" w:hAnsi="Times New Roman" w:cs="Times New Roman" w:eastAsia="Times New Roman" w:hint="default"/>
        </w:rPr>
        <w:t>2019</w:t>
      </w:r>
      <w:r>
        <w:rPr/>
        <w:t>年度内部控制审计机构，审计费用为人民币</w:t>
      </w:r>
      <w:r>
        <w:rPr>
          <w:rFonts w:ascii="宋体" w:hAnsi="宋体" w:cs="宋体" w:eastAsia="宋体" w:hint="default"/>
        </w:rPr>
        <w:t>35</w:t>
      </w:r>
      <w:r>
        <w:rPr/>
        <w:t>万</w:t>
      </w:r>
    </w:p>
    <w:p>
      <w:pPr>
        <w:pStyle w:val="BodyText"/>
        <w:spacing w:line="214" w:lineRule="exact"/>
        <w:ind w:right="0"/>
        <w:jc w:val="left"/>
      </w:pPr>
      <w:r>
        <w:rPr/>
        <w:t>元（不包括在上述</w:t>
      </w:r>
      <w:r>
        <w:rPr>
          <w:rFonts w:ascii="宋体" w:hAnsi="宋体" w:cs="宋体" w:eastAsia="宋体" w:hint="default"/>
        </w:rPr>
        <w:t>215</w:t>
      </w:r>
      <w:r>
        <w:rPr/>
        <w:t>万元内），公司尚未支付</w:t>
      </w:r>
      <w:r>
        <w:rPr>
          <w:rFonts w:ascii="Times New Roman" w:hAnsi="Times New Roman" w:cs="Times New Roman" w:eastAsia="Times New Roman" w:hint="default"/>
        </w:rPr>
        <w:t>2019</w:t>
      </w:r>
      <w:r>
        <w:rPr/>
        <w:t>年度内部控制审计费。</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7693"/>
        <w:jc w:val="left"/>
      </w:pPr>
      <w:r>
        <w:rPr/>
        <w:t>□ 适用 √</w:t>
      </w:r>
      <w:r>
        <w:rPr>
          <w:spacing w:val="3"/>
        </w:rPr>
        <w:t> </w:t>
      </w:r>
      <w:r>
        <w:rPr/>
        <w:t>不适用</w:t>
      </w:r>
      <w:r>
        <w:rPr/>
        <w:t> 公司报告期未发生破产重整相关事项。</w:t>
      </w:r>
    </w:p>
    <w:p>
      <w:pPr>
        <w:spacing w:after="0" w:line="360" w:lineRule="auto"/>
        <w:jc w:val="left"/>
        <w:sectPr>
          <w:pgSz w:w="11910" w:h="16840"/>
          <w:pgMar w:header="916" w:footer="1261" w:top="1120" w:bottom="1460" w:left="980" w:right="0"/>
        </w:sectPr>
      </w:pPr>
    </w:p>
    <w:p>
      <w:pPr>
        <w:pStyle w:val="BodyText"/>
        <w:spacing w:line="240" w:lineRule="auto" w:before="34"/>
        <w:ind w:left="0" w:right="173"/>
        <w:jc w:val="right"/>
      </w:pP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8"/>
          <w:szCs w:val="18"/>
        </w:rPr>
      </w:pPr>
    </w:p>
    <w:p>
      <w:pPr>
        <w:pStyle w:val="Heading2"/>
        <w:spacing w:line="240" w:lineRule="auto" w:before="26"/>
        <w:ind w:left="140" w:right="0"/>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40"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1589"/>
        <w:gridCol w:w="850"/>
        <w:gridCol w:w="852"/>
        <w:gridCol w:w="3826"/>
        <w:gridCol w:w="2552"/>
        <w:gridCol w:w="1135"/>
        <w:gridCol w:w="567"/>
        <w:gridCol w:w="2645"/>
      </w:tblGrid>
      <w:tr>
        <w:trPr>
          <w:trHeight w:val="1025"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430" w:right="247" w:hanging="180"/>
              <w:jc w:val="left"/>
              <w:rPr>
                <w:rFonts w:ascii="宋体" w:hAnsi="宋体" w:cs="宋体" w:eastAsia="宋体" w:hint="default"/>
                <w:sz w:val="18"/>
                <w:szCs w:val="18"/>
              </w:rPr>
            </w:pPr>
            <w:r>
              <w:rPr>
                <w:rFonts w:ascii="宋体" w:hAnsi="宋体" w:cs="宋体" w:eastAsia="宋体" w:hint="default"/>
                <w:sz w:val="18"/>
                <w:szCs w:val="18"/>
              </w:rPr>
              <w:t>诉讼（仲裁） 基本情况</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57"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60"/>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3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86" w:right="0"/>
              <w:jc w:val="left"/>
              <w:rPr>
                <w:rFonts w:ascii="宋体" w:hAnsi="宋体" w:cs="宋体" w:eastAsia="宋体" w:hint="default"/>
                <w:sz w:val="18"/>
                <w:szCs w:val="18"/>
              </w:rPr>
            </w:pPr>
            <w:r>
              <w:rPr>
                <w:rFonts w:ascii="宋体" w:hAnsi="宋体" w:cs="宋体" w:eastAsia="宋体" w:hint="default"/>
                <w:sz w:val="18"/>
                <w:szCs w:val="18"/>
              </w:rPr>
              <w:t>诉讼（仲裁）进展</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诉讼（仲裁）审理结果及影响</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2" w:right="110" w:hanging="3"/>
              <w:jc w:val="center"/>
              <w:rPr>
                <w:rFonts w:ascii="宋体" w:hAnsi="宋体" w:cs="宋体" w:eastAsia="宋体" w:hint="default"/>
                <w:sz w:val="18"/>
                <w:szCs w:val="18"/>
              </w:rPr>
            </w:pPr>
            <w:r>
              <w:rPr>
                <w:rFonts w:ascii="宋体" w:hAnsi="宋体" w:cs="宋体" w:eastAsia="宋体" w:hint="default"/>
                <w:sz w:val="18"/>
                <w:szCs w:val="18"/>
              </w:rPr>
              <w:t>诉讼（仲 裁）判决执 行情况</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6" w:right="99"/>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00"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8"/>
              <w:ind w:left="23" w:right="41"/>
              <w:jc w:val="left"/>
              <w:rPr>
                <w:rFonts w:ascii="宋体" w:hAnsi="宋体" w:cs="宋体" w:eastAsia="宋体" w:hint="default"/>
                <w:sz w:val="18"/>
                <w:szCs w:val="18"/>
              </w:rPr>
            </w:pPr>
            <w:r>
              <w:rPr>
                <w:rFonts w:ascii="宋体" w:hAnsi="宋体" w:cs="宋体" w:eastAsia="宋体" w:hint="default"/>
                <w:sz w:val="18"/>
                <w:szCs w:val="18"/>
              </w:rPr>
              <w:t>因供应商安力博发 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安 力博发</w:t>
            </w:r>
            <w:r>
              <w:rPr>
                <w:rFonts w:ascii="Times New Roman" w:hAnsi="Times New Roman" w:cs="Times New Roman" w:eastAsia="Times New Roman" w:hint="default"/>
                <w:sz w:val="18"/>
                <w:szCs w:val="18"/>
              </w:rPr>
              <w:t>"</w:t>
            </w:r>
            <w:r>
              <w:rPr>
                <w:rFonts w:ascii="宋体" w:hAnsi="宋体" w:cs="宋体" w:eastAsia="宋体" w:hint="default"/>
                <w:sz w:val="18"/>
                <w:szCs w:val="18"/>
              </w:rPr>
              <w:t>）未按要求 交付货物，信息系 统向北京市海淀区 人民法院提起诉 讼。</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日，北京市海淀区人民法院</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作出《案件受理通知书》。</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日，北京市海淀区人民法院作出（</w:t>
            </w:r>
            <w:r>
              <w:rPr>
                <w:rFonts w:ascii="Times New Roman" w:hAnsi="Times New Roman" w:cs="Times New Roman" w:eastAsia="Times New Roman" w:hint="default"/>
                <w:sz w:val="18"/>
                <w:szCs w:val="18"/>
              </w:rPr>
              <w:t>2014</w:t>
            </w:r>
            <w:r>
              <w:rPr>
                <w:rFonts w:ascii="宋体" w:hAnsi="宋体" w:cs="宋体" w:eastAsia="宋体" w:hint="default"/>
                <w:sz w:val="18"/>
                <w:szCs w:val="18"/>
              </w:rPr>
              <w:t>）海民</w:t>
            </w:r>
          </w:p>
          <w:p>
            <w:pPr>
              <w:pStyle w:val="TableParagraph"/>
              <w:spacing w:line="309" w:lineRule="auto" w:before="63"/>
              <w:ind w:left="21" w:right="192"/>
              <w:jc w:val="both"/>
              <w:rPr>
                <w:rFonts w:ascii="宋体" w:hAnsi="宋体" w:cs="宋体" w:eastAsia="宋体" w:hint="default"/>
                <w:sz w:val="18"/>
                <w:szCs w:val="18"/>
              </w:rPr>
            </w:pPr>
            <w:r>
              <w:rPr>
                <w:rFonts w:ascii="宋体" w:hAnsi="宋体" w:cs="宋体" w:eastAsia="宋体" w:hint="default"/>
                <w:sz w:val="18"/>
                <w:szCs w:val="18"/>
              </w:rPr>
              <w:t>（商）初字第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17530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号《民事判决书》，判决 如下：安力博发于本判决生效后十日内偿付信 息系统价款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38,876,998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元及利息损失</w:t>
            </w:r>
          </w:p>
          <w:p>
            <w:pPr>
              <w:pStyle w:val="TableParagraph"/>
              <w:spacing w:line="309" w:lineRule="auto" w:before="5"/>
              <w:ind w:left="2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7,849,265.9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元。案件受理费</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137,716 </w:t>
            </w:r>
            <w:r>
              <w:rPr>
                <w:rFonts w:ascii="宋体" w:hAnsi="宋体" w:cs="宋体" w:eastAsia="宋体" w:hint="default"/>
                <w:sz w:val="18"/>
                <w:szCs w:val="18"/>
              </w:rPr>
              <w:t>元（信息系 统公司已预交），由安力博发负担，于本判决 生效后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日内交纳。</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77"/>
              <w:jc w:val="left"/>
              <w:rPr>
                <w:rFonts w:ascii="宋体" w:hAnsi="宋体" w:cs="宋体" w:eastAsia="宋体" w:hint="default"/>
                <w:sz w:val="18"/>
                <w:szCs w:val="18"/>
              </w:rPr>
            </w:pPr>
            <w:r>
              <w:rPr>
                <w:rFonts w:ascii="宋体" w:hAnsi="宋体" w:cs="宋体" w:eastAsia="宋体" w:hint="default"/>
                <w:sz w:val="18"/>
                <w:szCs w:val="18"/>
              </w:rPr>
              <w:t>有关该案的基本情况详见公司 在巨潮资讯网</w:t>
            </w:r>
          </w:p>
          <w:p>
            <w:pPr>
              <w:pStyle w:val="TableParagraph"/>
              <w:spacing w:line="240" w:lineRule="auto" w:before="20"/>
              <w:ind w:left="23" w:right="0"/>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）于</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日披露的《诉讼</w:t>
            </w:r>
          </w:p>
          <w:p>
            <w:pPr>
              <w:pStyle w:val="TableParagraph"/>
              <w:spacing w:line="300" w:lineRule="auto" w:before="63"/>
              <w:ind w:left="23"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日披露 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年半年度报告》</w:t>
            </w:r>
            <w:r>
              <w:rPr>
                <w:rFonts w:ascii="Times New Roman" w:hAnsi="Times New Roman" w:cs="Times New Roman" w:eastAsia="Times New Roman" w:hint="default"/>
                <w:sz w:val="18"/>
                <w:szCs w:val="18"/>
              </w:rPr>
              <w:t>"</w:t>
            </w:r>
            <w:r>
              <w:rPr>
                <w:rFonts w:ascii="宋体" w:hAnsi="宋体" w:cs="宋体" w:eastAsia="宋体" w:hint="default"/>
                <w:sz w:val="18"/>
                <w:szCs w:val="18"/>
              </w:rPr>
              <w:t>重大</w:t>
            </w:r>
            <w:r>
              <w:rPr>
                <w:rFonts w:ascii="宋体" w:hAnsi="宋体" w:cs="宋体" w:eastAsia="宋体" w:hint="default"/>
                <w:spacing w:val="-3"/>
                <w:sz w:val="18"/>
                <w:szCs w:val="18"/>
              </w:rPr>
              <w:t> </w:t>
            </w:r>
            <w:r>
              <w:rPr>
                <w:rFonts w:ascii="宋体" w:hAnsi="宋体" w:cs="宋体" w:eastAsia="宋体" w:hint="default"/>
                <w:sz w:val="18"/>
                <w:szCs w:val="18"/>
              </w:rPr>
              <w:t>诉讼仲裁事项</w:t>
            </w:r>
            <w:r>
              <w:rPr>
                <w:rFonts w:ascii="Times New Roman" w:hAnsi="Times New Roman" w:cs="Times New Roman" w:eastAsia="Times New Roman" w:hint="default"/>
                <w:sz w:val="18"/>
                <w:szCs w:val="18"/>
              </w:rPr>
              <w:t>"</w:t>
            </w:r>
            <w:r>
              <w:rPr>
                <w:rFonts w:ascii="宋体" w:hAnsi="宋体" w:cs="宋体" w:eastAsia="宋体" w:hint="default"/>
                <w:sz w:val="18"/>
                <w:szCs w:val="18"/>
              </w:rPr>
              <w:t>部分及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p>
          <w:p>
            <w:pPr>
              <w:pStyle w:val="TableParagraph"/>
              <w:spacing w:line="300" w:lineRule="auto" w:before="13"/>
              <w:ind w:left="23" w:right="2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日披露的《诉讼进展公 告》内容。</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4" w:right="199"/>
              <w:jc w:val="left"/>
              <w:rPr>
                <w:rFonts w:ascii="宋体" w:hAnsi="宋体" w:cs="宋体" w:eastAsia="宋体" w:hint="default"/>
                <w:sz w:val="18"/>
                <w:szCs w:val="18"/>
              </w:rPr>
            </w:pPr>
            <w:r>
              <w:rPr>
                <w:rFonts w:ascii="宋体" w:hAnsi="宋体" w:cs="宋体" w:eastAsia="宋体" w:hint="default"/>
                <w:sz w:val="18"/>
                <w:szCs w:val="18"/>
              </w:rPr>
              <w:t>本案一审判 决已经生 效，目前在 执行程序 中。</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0"/>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1" w:right="91"/>
              <w:jc w:val="both"/>
              <w:rPr>
                <w:rFonts w:ascii="宋体" w:hAnsi="宋体" w:cs="宋体" w:eastAsia="宋体" w:hint="default"/>
                <w:sz w:val="18"/>
                <w:szCs w:val="18"/>
              </w:rPr>
            </w:pPr>
            <w:r>
              <w:rPr>
                <w:rFonts w:ascii="宋体" w:hAnsi="宋体" w:cs="宋体" w:eastAsia="宋体" w:hint="default"/>
                <w:sz w:val="18"/>
                <w:szCs w:val="18"/>
              </w:rPr>
              <w:t>有关该案的基本情况详见公司在 巨潮资讯网</w:t>
            </w:r>
          </w:p>
          <w:p>
            <w:pPr>
              <w:pStyle w:val="TableParagraph"/>
              <w:spacing w:line="240" w:lineRule="auto" w:before="20"/>
              <w:ind w:left="21" w:right="0"/>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）于</w:t>
            </w:r>
          </w:p>
          <w:p>
            <w:pPr>
              <w:pStyle w:val="TableParagraph"/>
              <w:spacing w:line="240" w:lineRule="auto" w:before="63"/>
              <w:ind w:left="21"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日披露的《诉讼</w:t>
            </w:r>
          </w:p>
          <w:p>
            <w:pPr>
              <w:pStyle w:val="TableParagraph"/>
              <w:spacing w:line="300" w:lineRule="auto" w:before="63"/>
              <w:ind w:left="21" w:right="137"/>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日披露 的《</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年半年度报告》</w:t>
            </w:r>
            <w:r>
              <w:rPr>
                <w:rFonts w:ascii="Times New Roman" w:hAnsi="Times New Roman" w:cs="Times New Roman" w:eastAsia="Times New Roman" w:hint="default"/>
                <w:sz w:val="18"/>
                <w:szCs w:val="18"/>
              </w:rPr>
              <w:t>"</w:t>
            </w:r>
            <w:r>
              <w:rPr>
                <w:rFonts w:ascii="宋体" w:hAnsi="宋体" w:cs="宋体" w:eastAsia="宋体" w:hint="default"/>
                <w:sz w:val="18"/>
                <w:szCs w:val="18"/>
              </w:rPr>
              <w:t>重大</w:t>
            </w:r>
            <w:r>
              <w:rPr>
                <w:rFonts w:ascii="宋体" w:hAnsi="宋体" w:cs="宋体" w:eastAsia="宋体" w:hint="default"/>
                <w:spacing w:val="-3"/>
                <w:sz w:val="18"/>
                <w:szCs w:val="18"/>
              </w:rPr>
              <w:t> </w:t>
            </w:r>
            <w:r>
              <w:rPr>
                <w:rFonts w:ascii="宋体" w:hAnsi="宋体" w:cs="宋体" w:eastAsia="宋体" w:hint="default"/>
                <w:sz w:val="18"/>
                <w:szCs w:val="18"/>
              </w:rPr>
              <w:t>诉讼仲裁事项</w:t>
            </w:r>
            <w:r>
              <w:rPr>
                <w:rFonts w:ascii="Times New Roman" w:hAnsi="Times New Roman" w:cs="Times New Roman" w:eastAsia="Times New Roman" w:hint="default"/>
                <w:sz w:val="18"/>
                <w:szCs w:val="18"/>
              </w:rPr>
              <w:t>"</w:t>
            </w:r>
            <w:r>
              <w:rPr>
                <w:rFonts w:ascii="宋体" w:hAnsi="宋体" w:cs="宋体" w:eastAsia="宋体" w:hint="default"/>
                <w:sz w:val="18"/>
                <w:szCs w:val="18"/>
              </w:rPr>
              <w:t>部分及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p>
          <w:p>
            <w:pPr>
              <w:pStyle w:val="TableParagraph"/>
              <w:spacing w:line="300" w:lineRule="auto" w:before="13"/>
              <w:ind w:left="21" w:right="35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日披露的《诉讼进展公 告》内容。</w:t>
            </w:r>
          </w:p>
        </w:tc>
      </w:tr>
      <w:tr>
        <w:trPr>
          <w:trHeight w:val="1339"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both"/>
              <w:rPr>
                <w:rFonts w:ascii="宋体" w:hAnsi="宋体" w:cs="宋体" w:eastAsia="宋体" w:hint="default"/>
                <w:sz w:val="18"/>
                <w:szCs w:val="18"/>
              </w:rPr>
            </w:pPr>
            <w:r>
              <w:rPr>
                <w:rFonts w:ascii="宋体" w:hAnsi="宋体" w:cs="宋体" w:eastAsia="宋体" w:hint="default"/>
                <w:sz w:val="18"/>
                <w:szCs w:val="18"/>
              </w:rPr>
              <w:t>未达到重大诉讼披 露标准的其他纠纷 等案件</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8,918.84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是，形成 预计负债 </w:t>
            </w:r>
            <w:r>
              <w:rPr>
                <w:rFonts w:ascii="Times New Roman" w:hAnsi="Times New Roman" w:cs="Times New Roman" w:eastAsia="Times New Roman" w:hint="default"/>
                <w:sz w:val="18"/>
                <w:szCs w:val="18"/>
              </w:rPr>
              <w:t>2,577.53</w:t>
            </w:r>
          </w:p>
          <w:p>
            <w:pPr>
              <w:pStyle w:val="TableParagraph"/>
              <w:spacing w:line="217" w:lineRule="exact"/>
              <w:ind w:left="23"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3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7" w:type="dxa"/>
            <w:tcBorders>
              <w:top w:val="single" w:sz="4" w:space="0" w:color="000000"/>
              <w:left w:val="single" w:sz="4" w:space="0" w:color="000000"/>
              <w:bottom w:val="single" w:sz="4" w:space="0" w:color="000000"/>
              <w:right w:val="single" w:sz="4" w:space="0" w:color="000000"/>
            </w:tcBorders>
          </w:tcPr>
          <w:p>
            <w:pP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left="140" w:right="0"/>
        <w:jc w:val="left"/>
        <w:rPr>
          <w:b w:val="0"/>
          <w:bCs w:val="0"/>
        </w:rPr>
      </w:pPr>
      <w:r>
        <w:rPr/>
        <w:t>十三、处罚及整改情况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140" w:right="11238"/>
        <w:jc w:val="left"/>
      </w:pPr>
      <w:r>
        <w:rPr/>
        <w:t>□ 适用 √</w:t>
      </w:r>
      <w:r>
        <w:rPr>
          <w:spacing w:val="3"/>
        </w:rPr>
        <w:t> </w:t>
      </w:r>
      <w:r>
        <w:rPr/>
        <w:t>不适用</w:t>
      </w:r>
      <w:r>
        <w:rPr/>
        <w:t> 公司报告期不存在处罚及整改情况。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BodyText"/>
        <w:spacing w:line="240" w:lineRule="auto" w:before="76"/>
        <w:ind w:left="0" w:right="180"/>
        <w:jc w:val="right"/>
        <w:rPr>
          <w:rFonts w:ascii="Times New Roman" w:hAnsi="Times New Roman" w:cs="Times New Roman" w:eastAsia="Times New Roman" w:hint="default"/>
        </w:rPr>
      </w:pPr>
      <w:r>
        <w:rPr>
          <w:rFonts w:ascii="Times New Roman"/>
        </w:rPr>
        <w:t>58</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8"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headerReference w:type="default" r:id="rId32"/>
          <w:footerReference w:type="default" r:id="rId33"/>
          <w:pgSz w:w="16840" w:h="11910" w:orient="landscape"/>
          <w:pgMar w:header="0" w:footer="0" w:top="820" w:bottom="0" w:left="1300" w:right="1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55"/>
        <w:ind w:right="0"/>
        <w:jc w:val="both"/>
        <w:rPr>
          <w:b w:val="0"/>
          <w:bCs w:val="0"/>
        </w:rPr>
      </w:pP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十五、公司股权激励计划、员工持股计划或其他员工激励措施的实施情况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429" w:lineRule="auto"/>
        <w:ind w:left="513" w:right="1123" w:hanging="360"/>
        <w:jc w:val="left"/>
      </w:pPr>
      <w:r>
        <w:rPr/>
        <w:t>√ 适用 □</w:t>
      </w:r>
      <w:r>
        <w:rPr>
          <w:spacing w:val="3"/>
        </w:rPr>
        <w:t> </w:t>
      </w:r>
      <w:r>
        <w:rPr/>
        <w:t>不适用</w:t>
      </w:r>
      <w:r>
        <w:rPr/>
        <w:t> </w:t>
      </w:r>
      <w:r>
        <w:rPr>
          <w:spacing w:val="-3"/>
        </w:rPr>
        <w:t>公司于</w:t>
      </w:r>
      <w:r>
        <w:rPr>
          <w:rFonts w:ascii="宋体" w:hAnsi="宋体" w:cs="宋体" w:eastAsia="宋体" w:hint="default"/>
          <w:spacing w:val="-3"/>
        </w:rPr>
        <w:t>2019</w:t>
      </w:r>
      <w:r>
        <w:rPr>
          <w:spacing w:val="-3"/>
        </w:rPr>
        <w:t>年</w:t>
      </w:r>
      <w:r>
        <w:rPr>
          <w:rFonts w:ascii="宋体" w:hAnsi="宋体" w:cs="宋体" w:eastAsia="宋体" w:hint="default"/>
          <w:spacing w:val="-3"/>
        </w:rPr>
        <w:t>4</w:t>
      </w:r>
      <w:r>
        <w:rPr>
          <w:spacing w:val="-3"/>
        </w:rPr>
        <w:t>月</w:t>
      </w:r>
      <w:r>
        <w:rPr>
          <w:rFonts w:ascii="宋体" w:hAnsi="宋体" w:cs="宋体" w:eastAsia="宋体" w:hint="default"/>
          <w:spacing w:val="-3"/>
        </w:rPr>
        <w:t>23</w:t>
      </w:r>
      <w:r>
        <w:rPr>
          <w:spacing w:val="-3"/>
        </w:rPr>
        <w:t>日召开第八届董事会</w:t>
      </w:r>
      <w:r>
        <w:rPr>
          <w:rFonts w:ascii="宋体" w:hAnsi="宋体" w:cs="宋体" w:eastAsia="宋体" w:hint="default"/>
          <w:spacing w:val="-3"/>
        </w:rPr>
        <w:t>2019</w:t>
      </w:r>
      <w:r>
        <w:rPr>
          <w:spacing w:val="-3"/>
        </w:rPr>
        <w:t>年第三次临时会议审议通过了《</w:t>
      </w:r>
      <w:r>
        <w:rPr>
          <w:rFonts w:ascii="宋体" w:hAnsi="宋体" w:cs="宋体" w:eastAsia="宋体" w:hint="default"/>
          <w:spacing w:val="-3"/>
        </w:rPr>
        <w:t>2019</w:t>
      </w:r>
      <w:r>
        <w:rPr>
          <w:spacing w:val="-3"/>
        </w:rPr>
        <w:t>年股票期权与限制性股票激励计划（草</w:t>
      </w:r>
    </w:p>
    <w:p>
      <w:pPr>
        <w:pStyle w:val="BodyText"/>
        <w:spacing w:line="218" w:lineRule="exact"/>
        <w:ind w:right="0"/>
        <w:jc w:val="both"/>
      </w:pPr>
      <w:r>
        <w:rPr/>
        <w:t>案）》及其摘要等议案。鉴于公司间接控股股东神州数码控股有限公司系香港联交所上市公司，根据《香港联合交易所有限</w:t>
      </w:r>
    </w:p>
    <w:p>
      <w:pPr>
        <w:pStyle w:val="BodyText"/>
        <w:spacing w:line="367" w:lineRule="auto" w:before="124"/>
        <w:ind w:right="1130"/>
        <w:jc w:val="both"/>
        <w:rPr>
          <w:rFonts w:ascii="宋体" w:hAnsi="宋体" w:cs="宋体" w:eastAsia="宋体" w:hint="default"/>
        </w:rPr>
      </w:pPr>
      <w:r>
        <w:rPr>
          <w:spacing w:val="-2"/>
        </w:rPr>
        <w:t>公司证券上市规则》相关规定，公司本次股权激励计划需提交香港联合交易所审核。根据香港联合交易所反馈意见，公司于</w:t>
      </w:r>
      <w:r>
        <w:rPr>
          <w:spacing w:val="-65"/>
        </w:rPr>
        <w:t> </w:t>
      </w:r>
      <w:r>
        <w:rPr>
          <w:spacing w:val="-65"/>
        </w:rPr>
      </w:r>
      <w:r>
        <w:rPr>
          <w:rFonts w:ascii="宋体" w:hAnsi="宋体" w:cs="宋体" w:eastAsia="宋体" w:hint="default"/>
          <w:spacing w:val="-5"/>
        </w:rPr>
        <w:t>2019</w:t>
      </w:r>
      <w:r>
        <w:rPr>
          <w:spacing w:val="-5"/>
        </w:rPr>
        <w:t>年</w:t>
      </w:r>
      <w:r>
        <w:rPr>
          <w:rFonts w:ascii="宋体" w:hAnsi="宋体" w:cs="宋体" w:eastAsia="宋体" w:hint="default"/>
          <w:spacing w:val="-5"/>
        </w:rPr>
        <w:t>5</w:t>
      </w:r>
      <w:r>
        <w:rPr>
          <w:spacing w:val="-5"/>
        </w:rPr>
        <w:t>月</w:t>
      </w:r>
      <w:r>
        <w:rPr>
          <w:rFonts w:ascii="宋体" w:hAnsi="宋体" w:cs="宋体" w:eastAsia="宋体" w:hint="default"/>
          <w:spacing w:val="-5"/>
        </w:rPr>
        <w:t>8</w:t>
      </w:r>
      <w:r>
        <w:rPr>
          <w:spacing w:val="-5"/>
        </w:rPr>
        <w:t>日召开第八届董事会</w:t>
      </w:r>
      <w:r>
        <w:rPr>
          <w:rFonts w:ascii="宋体" w:hAnsi="宋体" w:cs="宋体" w:eastAsia="宋体" w:hint="default"/>
          <w:spacing w:val="-5"/>
        </w:rPr>
        <w:t>2019</w:t>
      </w:r>
      <w:r>
        <w:rPr>
          <w:spacing w:val="-5"/>
        </w:rPr>
        <w:t>年第四次临时会议审议通过了《</w:t>
      </w:r>
      <w:r>
        <w:rPr>
          <w:rFonts w:ascii="宋体" w:hAnsi="宋体" w:cs="宋体" w:eastAsia="宋体" w:hint="default"/>
          <w:spacing w:val="-5"/>
        </w:rPr>
        <w:t>2019</w:t>
      </w:r>
      <w:r>
        <w:rPr>
          <w:spacing w:val="-5"/>
        </w:rPr>
        <w:t>年股票期权与限制性股票激励计划（草案）修订稿》</w:t>
      </w:r>
      <w:r>
        <w:rPr>
          <w:spacing w:val="-51"/>
        </w:rPr>
        <w:t> </w:t>
      </w:r>
      <w:r>
        <w:rPr>
          <w:spacing w:val="-51"/>
        </w:rPr>
      </w:r>
      <w:r>
        <w:rPr>
          <w:spacing w:val="-2"/>
        </w:rPr>
        <w:t>及其摘要的议案。本次激励计划向激励对象授予权益合计</w:t>
      </w:r>
      <w:r>
        <w:rPr>
          <w:rFonts w:ascii="宋体" w:hAnsi="宋体" w:cs="宋体" w:eastAsia="宋体" w:hint="default"/>
          <w:spacing w:val="-2"/>
        </w:rPr>
        <w:t>3,000.00</w:t>
      </w:r>
      <w:r>
        <w:rPr>
          <w:spacing w:val="-2"/>
        </w:rPr>
        <w:t>万份，其中：股票期权</w:t>
      </w:r>
      <w:r>
        <w:rPr>
          <w:rFonts w:ascii="宋体" w:hAnsi="宋体" w:cs="宋体" w:eastAsia="宋体" w:hint="default"/>
          <w:spacing w:val="-2"/>
        </w:rPr>
        <w:t>2,260.00</w:t>
      </w:r>
      <w:r>
        <w:rPr>
          <w:spacing w:val="-2"/>
        </w:rPr>
        <w:t>万份，限制性股票</w:t>
      </w:r>
      <w:r>
        <w:rPr>
          <w:rFonts w:ascii="宋体" w:hAnsi="宋体" w:cs="宋体" w:eastAsia="宋体" w:hint="default"/>
          <w:spacing w:val="-2"/>
        </w:rPr>
        <w:t>740.00</w:t>
      </w:r>
      <w:r>
        <w:rPr>
          <w:rFonts w:ascii="宋体" w:hAnsi="宋体" w:cs="宋体" w:eastAsia="宋体" w:hint="default"/>
          <w:spacing w:val="-51"/>
        </w:rPr>
        <w:t> </w:t>
      </w:r>
      <w:r>
        <w:rPr>
          <w:rFonts w:ascii="宋体" w:hAnsi="宋体" w:cs="宋体" w:eastAsia="宋体" w:hint="default"/>
          <w:spacing w:val="-51"/>
        </w:rPr>
      </w:r>
      <w:r>
        <w:rPr/>
        <w:t>万股。</w:t>
      </w:r>
      <w:r>
        <w:rPr>
          <w:rFonts w:ascii="宋体" w:hAnsi="宋体" w:cs="宋体" w:eastAsia="宋体" w:hint="default"/>
        </w:rPr>
        <w:t> </w:t>
      </w:r>
    </w:p>
    <w:p>
      <w:pPr>
        <w:pStyle w:val="BodyText"/>
        <w:spacing w:line="364" w:lineRule="auto" w:before="72"/>
        <w:ind w:right="1130" w:firstLine="360"/>
        <w:jc w:val="both"/>
        <w:rPr>
          <w:rFonts w:ascii="宋体" w:hAnsi="宋体" w:cs="宋体" w:eastAsia="宋体" w:hint="default"/>
        </w:rPr>
      </w:pPr>
      <w:r>
        <w:rPr>
          <w:spacing w:val="-2"/>
        </w:rPr>
        <w:t>根据《上市公司股权激励管理办法》（以下简称“《管理办法》”）的相关规定，公司对激励对象的姓名和职务在公司</w:t>
      </w:r>
      <w:r>
        <w:rPr/>
        <w:t> 内部进行了公示，公司监事会结合公示情况对激励对象进行了核查，公司于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22</w:t>
      </w:r>
      <w:r>
        <w:rPr/>
        <w:t>日披露了《监事会关于</w:t>
      </w:r>
      <w:r>
        <w:rPr>
          <w:rFonts w:ascii="宋体" w:hAnsi="宋体" w:cs="宋体" w:eastAsia="宋体" w:hint="default"/>
        </w:rPr>
        <w:t>2019</w:t>
      </w:r>
      <w:r>
        <w:rPr/>
        <w:t>年股票</w:t>
      </w:r>
      <w:r>
        <w:rPr>
          <w:spacing w:val="-87"/>
        </w:rPr>
        <w:t> </w:t>
      </w:r>
      <w:r>
        <w:rPr>
          <w:spacing w:val="-87"/>
        </w:rPr>
      </w:r>
      <w:r>
        <w:rPr/>
        <w:t>期权与限制性股票激励计划激励对象名单的公示情况说明及核查意见》。</w:t>
      </w:r>
      <w:r>
        <w:rPr>
          <w:rFonts w:ascii="宋体" w:hAnsi="宋体" w:cs="宋体" w:eastAsia="宋体" w:hint="default"/>
        </w:rPr>
        <w:t> </w:t>
      </w:r>
    </w:p>
    <w:p>
      <w:pPr>
        <w:pStyle w:val="BodyText"/>
        <w:spacing w:line="364" w:lineRule="auto" w:before="71"/>
        <w:ind w:right="1134" w:firstLine="360"/>
        <w:jc w:val="both"/>
        <w:rPr>
          <w:rFonts w:ascii="宋体" w:hAnsi="宋体" w:cs="宋体" w:eastAsia="宋体" w:hint="default"/>
        </w:rPr>
      </w:pP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31</w:t>
      </w:r>
      <w:r>
        <w:rPr/>
        <w:t>日，公司披露了《关于召开</w:t>
      </w:r>
      <w:r>
        <w:rPr>
          <w:rFonts w:ascii="宋体" w:hAnsi="宋体" w:cs="宋体" w:eastAsia="宋体" w:hint="default"/>
        </w:rPr>
        <w:t>2019</w:t>
      </w:r>
      <w:r>
        <w:rPr/>
        <w:t>年度第三次临时股东大会的通知》、《独立董事公开征集委托投票权报告 书》，计划于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日召开股东大会审议股权激励相关事项。</w:t>
      </w:r>
      <w:r>
        <w:rPr>
          <w:rFonts w:ascii="宋体" w:hAnsi="宋体" w:cs="宋体" w:eastAsia="宋体" w:hint="default"/>
        </w:rPr>
        <w:t> </w:t>
      </w:r>
    </w:p>
    <w:p>
      <w:pPr>
        <w:pStyle w:val="BodyText"/>
        <w:spacing w:line="367" w:lineRule="auto" w:before="74"/>
        <w:ind w:right="1128" w:firstLine="360"/>
        <w:jc w:val="both"/>
        <w:rPr>
          <w:rFonts w:ascii="宋体" w:hAnsi="宋体" w:cs="宋体" w:eastAsia="宋体" w:hint="default"/>
        </w:rPr>
      </w:pP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6</w:t>
      </w:r>
      <w:r>
        <w:rPr>
          <w:spacing w:val="-2"/>
        </w:rPr>
        <w:t>日，神州控股披露了相关公告，其原定于当日召开的审议公司股权激励计划等议案的股东周年大会将延期召</w:t>
      </w:r>
      <w:r>
        <w:rPr/>
        <w:t> 开。公司于当日披露了《关于召开</w:t>
      </w:r>
      <w:r>
        <w:rPr>
          <w:rFonts w:ascii="宋体" w:hAnsi="宋体" w:cs="宋体" w:eastAsia="宋体" w:hint="default"/>
        </w:rPr>
        <w:t>2019</w:t>
      </w:r>
      <w:r>
        <w:rPr/>
        <w:t>年度第三次临时股东大会的提示性公告》，进行了特别风险提示。截至</w:t>
      </w:r>
      <w:r>
        <w:rPr>
          <w:rFonts w:ascii="宋体" w:hAnsi="宋体" w:cs="宋体" w:eastAsia="宋体" w:hint="default"/>
        </w:rPr>
        <w:t>6</w:t>
      </w:r>
      <w:r>
        <w:rPr/>
        <w:t>月</w:t>
      </w:r>
      <w:r>
        <w:rPr>
          <w:rFonts w:ascii="宋体" w:hAnsi="宋体" w:cs="宋体" w:eastAsia="宋体" w:hint="default"/>
        </w:rPr>
        <w:t>12</w:t>
      </w:r>
      <w:r>
        <w:rPr/>
        <w:t>日，神</w:t>
      </w:r>
      <w:r>
        <w:rPr>
          <w:spacing w:val="-85"/>
        </w:rPr>
        <w:t> </w:t>
      </w:r>
      <w:r>
        <w:rPr>
          <w:spacing w:val="-85"/>
        </w:rPr>
      </w:r>
      <w:r>
        <w:rPr/>
        <w:t>州控股没有发出续会通知。鉴于上述情况，经公司于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12</w:t>
      </w:r>
      <w:r>
        <w:rPr/>
        <w:t>日召开的第八届董事会第五次临时会议审议通过，取消原</w:t>
      </w:r>
      <w:r>
        <w:rPr>
          <w:spacing w:val="-85"/>
        </w:rPr>
        <w:t> </w:t>
      </w:r>
      <w:r>
        <w:rPr>
          <w:spacing w:val="-85"/>
        </w:rPr>
      </w:r>
      <w:r>
        <w:rPr/>
        <w:t>定于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日召开的</w:t>
      </w:r>
      <w:r>
        <w:rPr>
          <w:rFonts w:ascii="宋体" w:hAnsi="宋体" w:cs="宋体" w:eastAsia="宋体" w:hint="default"/>
        </w:rPr>
        <w:t>2019</w:t>
      </w:r>
      <w:r>
        <w:rPr/>
        <w:t>年度第三次临时股东大会，并推迟审议原定于本次股东大会审议的相关议案。后续根据神州 </w:t>
      </w:r>
      <w:r>
        <w:rPr>
          <w:spacing w:val="-2"/>
        </w:rPr>
        <w:t>控股股东周年大会的实际召开及审议情况，择机安排</w:t>
      </w:r>
      <w:r>
        <w:rPr>
          <w:rFonts w:ascii="宋体" w:hAnsi="宋体" w:cs="宋体" w:eastAsia="宋体" w:hint="default"/>
          <w:spacing w:val="-2"/>
        </w:rPr>
        <w:t>2019</w:t>
      </w:r>
      <w:r>
        <w:rPr>
          <w:spacing w:val="-2"/>
        </w:rPr>
        <w:t>年度第三次临时股东大会，召开日期、股权登记日及召开地点等具</w:t>
      </w:r>
      <w:r>
        <w:rPr>
          <w:spacing w:val="-61"/>
        </w:rPr>
        <w:t> </w:t>
      </w:r>
      <w:r>
        <w:rPr>
          <w:spacing w:val="-61"/>
        </w:rPr>
      </w:r>
      <w:r>
        <w:rPr/>
        <w:t>体事项待确定后将另行发出股东大会通知。</w:t>
      </w:r>
      <w:r>
        <w:rPr>
          <w:rFonts w:ascii="宋体" w:hAnsi="宋体" w:cs="宋体" w:eastAsia="宋体" w:hint="default"/>
        </w:rPr>
        <w:t> </w:t>
      </w:r>
    </w:p>
    <w:p>
      <w:pPr>
        <w:pStyle w:val="BodyText"/>
        <w:spacing w:line="364" w:lineRule="auto" w:before="72"/>
        <w:ind w:right="1131" w:firstLine="360"/>
        <w:jc w:val="both"/>
        <w:rPr>
          <w:rFonts w:ascii="宋体" w:hAnsi="宋体" w:cs="宋体" w:eastAsia="宋体" w:hint="default"/>
        </w:rPr>
      </w:pP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22</w:t>
      </w:r>
      <w:r>
        <w:rPr>
          <w:spacing w:val="-2"/>
        </w:rPr>
        <w:t>日，神州控股发出周年股东大会续会通知。</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29</w:t>
      </w:r>
      <w:r>
        <w:rPr>
          <w:spacing w:val="-2"/>
        </w:rPr>
        <w:t>日，公司第八届董事会第三次会议审议通过了《关</w:t>
      </w:r>
      <w:r>
        <w:rPr/>
        <w:t> 于召开</w:t>
      </w:r>
      <w:r>
        <w:rPr>
          <w:rFonts w:ascii="宋体" w:hAnsi="宋体" w:cs="宋体" w:eastAsia="宋体" w:hint="default"/>
        </w:rPr>
        <w:t>2019</w:t>
      </w:r>
      <w:r>
        <w:rPr/>
        <w:t>年度第三次临时股东大会的通知》。</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10</w:t>
      </w:r>
      <w:r>
        <w:rPr/>
        <w:t>日，神州控股股东周年大会续会审议批准了公司股权激励计划</w:t>
      </w:r>
      <w:r>
        <w:rPr>
          <w:spacing w:val="-87"/>
        </w:rPr>
        <w:t> </w:t>
      </w:r>
      <w:r>
        <w:rPr>
          <w:spacing w:val="-87"/>
        </w:rPr>
      </w:r>
      <w:r>
        <w:rPr/>
        <w:t>中的股票期权激励计划等议案。</w:t>
      </w:r>
      <w:r>
        <w:rPr>
          <w:rFonts w:ascii="宋体" w:hAnsi="宋体" w:cs="宋体" w:eastAsia="宋体" w:hint="default"/>
        </w:rPr>
        <w:t> </w:t>
      </w:r>
    </w:p>
    <w:p>
      <w:pPr>
        <w:pStyle w:val="BodyText"/>
        <w:spacing w:line="364" w:lineRule="auto" w:before="71"/>
        <w:ind w:right="1129" w:firstLine="360"/>
        <w:jc w:val="both"/>
        <w:rPr>
          <w:rFonts w:ascii="宋体" w:hAnsi="宋体" w:cs="宋体" w:eastAsia="宋体" w:hint="default"/>
        </w:rPr>
      </w:pPr>
      <w:r>
        <w:rPr>
          <w:rFonts w:ascii="宋体" w:hAnsi="宋体" w:cs="宋体" w:eastAsia="宋体" w:hint="default"/>
          <w:spacing w:val="-3"/>
        </w:rPr>
        <w:t>2019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16</w:t>
      </w:r>
      <w:r>
        <w:rPr>
          <w:spacing w:val="-3"/>
        </w:rPr>
        <w:t>日，公司召开</w:t>
      </w:r>
      <w:r>
        <w:rPr>
          <w:rFonts w:ascii="宋体" w:hAnsi="宋体" w:cs="宋体" w:eastAsia="宋体" w:hint="default"/>
          <w:spacing w:val="-3"/>
        </w:rPr>
        <w:t>2019</w:t>
      </w:r>
      <w:r>
        <w:rPr>
          <w:spacing w:val="-3"/>
        </w:rPr>
        <w:t>年度第三次临时股东大会，审议通过了《</w:t>
      </w:r>
      <w:r>
        <w:rPr>
          <w:rFonts w:ascii="宋体" w:hAnsi="宋体" w:cs="宋体" w:eastAsia="宋体" w:hint="default"/>
          <w:spacing w:val="-3"/>
        </w:rPr>
        <w:t>2019</w:t>
      </w:r>
      <w:r>
        <w:rPr>
          <w:spacing w:val="-3"/>
        </w:rPr>
        <w:t>年股票期权与限制性股票激励计划（草案）</w:t>
      </w:r>
      <w:r>
        <w:rPr/>
        <w:t> </w:t>
      </w:r>
      <w:r>
        <w:rPr>
          <w:spacing w:val="-2"/>
        </w:rPr>
        <w:t>修订稿》及其摘要等议案。公司实施</w:t>
      </w:r>
      <w:r>
        <w:rPr>
          <w:rFonts w:ascii="宋体" w:hAnsi="宋体" w:cs="宋体" w:eastAsia="宋体" w:hint="default"/>
          <w:spacing w:val="-2"/>
        </w:rPr>
        <w:t>2019</w:t>
      </w:r>
      <w:r>
        <w:rPr>
          <w:spacing w:val="-2"/>
        </w:rPr>
        <w:t>年股票期权与限制性股票激励计划获得批准，董事会被授权确定授予日、在激励对</w:t>
      </w:r>
      <w:r>
        <w:rPr>
          <w:spacing w:val="-62"/>
        </w:rPr>
        <w:t> </w:t>
      </w:r>
      <w:r>
        <w:rPr>
          <w:spacing w:val="-62"/>
        </w:rPr>
      </w:r>
      <w:r>
        <w:rPr/>
        <w:t>象符合条件时向激励对象授予股票期权与限制性股票，并办理授予所必需的全部事宜。</w:t>
      </w:r>
      <w:r>
        <w:rPr>
          <w:rFonts w:ascii="宋体" w:hAnsi="宋体" w:cs="宋体" w:eastAsia="宋体" w:hint="default"/>
        </w:rPr>
        <w:t> </w:t>
      </w:r>
    </w:p>
    <w:p>
      <w:pPr>
        <w:pStyle w:val="BodyText"/>
        <w:spacing w:line="364" w:lineRule="auto" w:before="74"/>
        <w:ind w:right="1130" w:firstLine="360"/>
        <w:jc w:val="both"/>
        <w:rPr>
          <w:rFonts w:ascii="宋体" w:hAnsi="宋体" w:cs="宋体" w:eastAsia="宋体" w:hint="default"/>
        </w:rPr>
      </w:pP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17</w:t>
      </w:r>
      <w:r>
        <w:rPr/>
        <w:t>日，公司第八届董事会</w:t>
      </w:r>
      <w:r>
        <w:rPr>
          <w:rFonts w:ascii="宋体" w:hAnsi="宋体" w:cs="宋体" w:eastAsia="宋体" w:hint="default"/>
        </w:rPr>
        <w:t>2019</w:t>
      </w:r>
      <w:r>
        <w:rPr/>
        <w:t>年第七次临时会议和第八届监事会</w:t>
      </w:r>
      <w:r>
        <w:rPr>
          <w:rFonts w:ascii="宋体" w:hAnsi="宋体" w:cs="宋体" w:eastAsia="宋体" w:hint="default"/>
        </w:rPr>
        <w:t>2019</w:t>
      </w:r>
      <w:r>
        <w:rPr/>
        <w:t>年第五次临时会议审议通过了《关于调 </w:t>
      </w:r>
      <w:r>
        <w:rPr>
          <w:spacing w:val="-2"/>
        </w:rPr>
        <w:t>整</w:t>
      </w:r>
      <w:r>
        <w:rPr>
          <w:rFonts w:ascii="宋体" w:hAnsi="宋体" w:cs="宋体" w:eastAsia="宋体" w:hint="default"/>
          <w:spacing w:val="-2"/>
        </w:rPr>
        <w:t>2019</w:t>
      </w:r>
      <w:r>
        <w:rPr>
          <w:spacing w:val="-2"/>
        </w:rPr>
        <w:t>年股票期权与限制性股票激励计划激励对象名单、授予权益数量及价格的议案》、《关于向激励对象授予股票期权与</w:t>
      </w:r>
      <w:r>
        <w:rPr>
          <w:spacing w:val="-61"/>
        </w:rPr>
        <w:t> </w:t>
      </w:r>
      <w:r>
        <w:rPr>
          <w:spacing w:val="-61"/>
        </w:rPr>
      </w:r>
      <w:r>
        <w:rPr/>
        <w:t>限制性股票的议案》。公司监事会对调整后的激励对象名单再次进行了核实。</w:t>
      </w:r>
      <w:r>
        <w:rPr>
          <w:rFonts w:ascii="宋体" w:hAnsi="宋体" w:cs="宋体" w:eastAsia="宋体" w:hint="default"/>
        </w:rPr>
        <w:t> </w:t>
      </w:r>
    </w:p>
    <w:p>
      <w:pPr>
        <w:pStyle w:val="BodyText"/>
        <w:spacing w:line="364" w:lineRule="auto" w:before="74"/>
        <w:ind w:right="1128" w:firstLine="360"/>
        <w:jc w:val="both"/>
        <w:rPr>
          <w:rFonts w:ascii="宋体" w:hAnsi="宋体" w:cs="宋体" w:eastAsia="宋体" w:hint="default"/>
        </w:rPr>
      </w:pP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30</w:t>
      </w:r>
      <w:r>
        <w:rPr>
          <w:spacing w:val="-2"/>
        </w:rPr>
        <w:t>日，经中国证券登记结算有限责任公司深圳分公司审核确认，公司本次股权激励计划授予登记完成，实际</w:t>
      </w:r>
      <w:r>
        <w:rPr/>
        <w:t> 授予并登记的限制性股票激励对象人数为</w:t>
      </w:r>
      <w:r>
        <w:rPr>
          <w:rFonts w:ascii="宋体" w:hAnsi="宋体" w:cs="宋体" w:eastAsia="宋体" w:hint="default"/>
        </w:rPr>
        <w:t>16</w:t>
      </w:r>
      <w:r>
        <w:rPr/>
        <w:t>人，实际授予数量为</w:t>
      </w:r>
      <w:r>
        <w:rPr>
          <w:rFonts w:ascii="宋体" w:hAnsi="宋体" w:cs="宋体" w:eastAsia="宋体" w:hint="default"/>
        </w:rPr>
        <w:t>695.00</w:t>
      </w:r>
      <w:r>
        <w:rPr/>
        <w:t>万股；授予股票期权激励对象人数为</w:t>
      </w:r>
      <w:r>
        <w:rPr>
          <w:rFonts w:ascii="宋体" w:hAnsi="宋体" w:cs="宋体" w:eastAsia="宋体" w:hint="default"/>
        </w:rPr>
        <w:t>104</w:t>
      </w:r>
      <w:r>
        <w:rPr/>
        <w:t>人，实际授</w:t>
      </w:r>
      <w:r>
        <w:rPr>
          <w:spacing w:val="-86"/>
        </w:rPr>
        <w:t> </w:t>
      </w:r>
      <w:r>
        <w:rPr>
          <w:spacing w:val="-86"/>
        </w:rPr>
      </w:r>
      <w:r>
        <w:rPr>
          <w:spacing w:val="-2"/>
        </w:rPr>
        <w:t>予登记的股份数量为</w:t>
      </w:r>
      <w:r>
        <w:rPr>
          <w:rFonts w:ascii="宋体" w:hAnsi="宋体" w:cs="宋体" w:eastAsia="宋体" w:hint="default"/>
          <w:spacing w:val="-2"/>
        </w:rPr>
        <w:t>2,247.00</w:t>
      </w:r>
      <w:r>
        <w:rPr>
          <w:spacing w:val="-2"/>
        </w:rPr>
        <w:t>万份。本次限制性股票授予完成后，公司股份总数由原来的</w:t>
      </w:r>
      <w:r>
        <w:rPr>
          <w:rFonts w:ascii="宋体" w:hAnsi="宋体" w:cs="宋体" w:eastAsia="宋体" w:hint="default"/>
          <w:spacing w:val="-2"/>
        </w:rPr>
        <w:t>963,431,273</w:t>
      </w:r>
      <w:r>
        <w:rPr>
          <w:spacing w:val="-2"/>
        </w:rPr>
        <w:t>股增加至</w:t>
      </w:r>
      <w:r>
        <w:rPr>
          <w:rFonts w:ascii="宋体" w:hAnsi="宋体" w:cs="宋体" w:eastAsia="宋体" w:hint="default"/>
          <w:spacing w:val="-2"/>
        </w:rPr>
        <w:t>970,381,273</w:t>
      </w:r>
      <w:r>
        <w:rPr>
          <w:rFonts w:ascii="宋体" w:hAnsi="宋体" w:cs="宋体" w:eastAsia="宋体" w:hint="default"/>
          <w:spacing w:val="-44"/>
        </w:rPr>
        <w:t> </w:t>
      </w:r>
      <w:r>
        <w:rPr>
          <w:rFonts w:ascii="宋体" w:hAnsi="宋体" w:cs="宋体" w:eastAsia="宋体" w:hint="default"/>
          <w:spacing w:val="-44"/>
        </w:rPr>
      </w:r>
      <w:r>
        <w:rPr/>
        <w:t>股。</w:t>
      </w:r>
      <w:r>
        <w:rPr>
          <w:rFonts w:ascii="宋体" w:hAnsi="宋体" w:cs="宋体" w:eastAsia="宋体" w:hint="default"/>
        </w:rPr>
        <w:t> </w:t>
      </w:r>
    </w:p>
    <w:p>
      <w:pPr>
        <w:spacing w:after="0" w:line="364" w:lineRule="auto"/>
        <w:jc w:val="both"/>
        <w:rPr>
          <w:rFonts w:ascii="宋体" w:hAnsi="宋体" w:cs="宋体" w:eastAsia="宋体" w:hint="default"/>
        </w:rPr>
        <w:sectPr>
          <w:footerReference w:type="default" r:id="rId34"/>
          <w:pgSz w:w="11910" w:h="16840"/>
          <w:pgMar w:footer="1261" w:header="0" w:top="1120" w:bottom="1460" w:left="980" w:right="0"/>
          <w:pgNumType w:start="59"/>
        </w:sectPr>
      </w:pPr>
    </w:p>
    <w:p>
      <w:pPr>
        <w:pStyle w:val="BodyText"/>
        <w:spacing w:line="408" w:lineRule="auto" w:before="116"/>
        <w:ind w:right="1843" w:firstLine="360"/>
        <w:jc w:val="left"/>
      </w:pPr>
      <w:r>
        <w:rPr/>
        <w:t>上述具体内容可详见《证券时报》和巨潮资讯网</w:t>
      </w:r>
      <w:r>
        <w:rPr>
          <w:rFonts w:ascii="宋体" w:hAnsi="宋体" w:cs="宋体" w:eastAsia="宋体" w:hint="default"/>
        </w:rPr>
        <w:t>(http://www.cninfo.com.cn)</w:t>
      </w:r>
      <w:r>
        <w:rPr/>
        <w:t>上的相关公告。</w:t>
      </w:r>
      <w:r>
        <w:rPr>
          <w:rFonts w:ascii="宋体" w:hAnsi="宋体" w:cs="宋体" w:eastAsia="宋体" w:hint="default"/>
          <w:w w:val="100"/>
          <w:sz w:val="21"/>
          <w:szCs w:val="21"/>
        </w:rPr>
        <w:t> </w:t>
      </w: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45" w:lineRule="auto" w:before="14"/>
        <w:ind w:right="1261" w:firstLine="360"/>
        <w:jc w:val="left"/>
      </w:pPr>
      <w:r>
        <w:rPr/>
        <w:t>本报告期计提股权激励费用</w:t>
      </w:r>
      <w:r>
        <w:rPr>
          <w:spacing w:val="-47"/>
        </w:rPr>
        <w:t> </w:t>
      </w:r>
      <w:r>
        <w:rPr>
          <w:rFonts w:ascii="Times New Roman" w:hAnsi="Times New Roman" w:cs="Times New Roman" w:eastAsia="Times New Roman" w:hint="default"/>
        </w:rPr>
        <w:t>896.68 </w:t>
      </w:r>
      <w:r>
        <w:rPr/>
        <w:t>万元，剔除股权激励费用后归属于上市公司股东的净利润</w:t>
      </w:r>
      <w:r>
        <w:rPr>
          <w:spacing w:val="-46"/>
        </w:rPr>
        <w:t> </w:t>
      </w:r>
      <w:r>
        <w:rPr>
          <w:rFonts w:ascii="Times New Roman" w:hAnsi="Times New Roman" w:cs="Times New Roman" w:eastAsia="Times New Roman" w:hint="default"/>
        </w:rPr>
        <w:t>38,457.46 </w:t>
      </w:r>
      <w:r>
        <w:rPr/>
        <w:t>万元，股权激 励费用占剔除股权激励费用后归属于上市公司股东的净利润的</w:t>
      </w:r>
      <w:r>
        <w:rPr>
          <w:spacing w:val="-45"/>
        </w:rPr>
        <w:t> </w:t>
      </w:r>
      <w:r>
        <w:rPr>
          <w:rFonts w:ascii="Times New Roman" w:hAnsi="Times New Roman" w:cs="Times New Roman" w:eastAsia="Times New Roman" w:hint="default"/>
        </w:rPr>
        <w:t>2.33%</w:t>
      </w:r>
      <w:r>
        <w:rPr/>
        <w:t>。</w:t>
      </w:r>
    </w:p>
    <w:p>
      <w:pPr>
        <w:spacing w:line="240" w:lineRule="auto" w:before="11"/>
        <w:rPr>
          <w:rFonts w:ascii="宋体" w:hAnsi="宋体" w:cs="宋体" w:eastAsia="宋体" w:hint="default"/>
          <w:sz w:val="15"/>
          <w:szCs w:val="15"/>
        </w:rPr>
      </w:pPr>
    </w:p>
    <w:p>
      <w:pPr>
        <w:pStyle w:val="Heading2"/>
        <w:spacing w:line="240" w:lineRule="auto"/>
        <w:ind w:right="0"/>
        <w:jc w:val="left"/>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after="0" w:line="240" w:lineRule="auto"/>
        <w:jc w:val="left"/>
        <w:sectPr>
          <w:pgSz w:w="11910" w:h="16840"/>
          <w:pgMar w:header="0" w:footer="1261" w:top="1120" w:bottom="1460" w:left="980" w:right="0"/>
        </w:sectPr>
      </w:pPr>
    </w:p>
    <w:tbl>
      <w:tblPr>
        <w:tblW w:w="0" w:type="auto"/>
        <w:jc w:val="left"/>
        <w:tblInd w:w="247" w:type="dxa"/>
        <w:tblLayout w:type="fixed"/>
        <w:tblCellMar>
          <w:top w:w="0" w:type="dxa"/>
          <w:left w:w="0" w:type="dxa"/>
          <w:bottom w:w="0" w:type="dxa"/>
          <w:right w:w="0" w:type="dxa"/>
        </w:tblCellMar>
        <w:tblLook w:val="01E0"/>
      </w:tblPr>
      <w:tblGrid>
        <w:gridCol w:w="999"/>
        <w:gridCol w:w="1133"/>
        <w:gridCol w:w="946"/>
        <w:gridCol w:w="913"/>
        <w:gridCol w:w="994"/>
        <w:gridCol w:w="960"/>
        <w:gridCol w:w="886"/>
        <w:gridCol w:w="1004"/>
        <w:gridCol w:w="960"/>
        <w:gridCol w:w="917"/>
        <w:gridCol w:w="1080"/>
        <w:gridCol w:w="989"/>
        <w:gridCol w:w="1051"/>
        <w:gridCol w:w="1142"/>
      </w:tblGrid>
      <w:tr>
        <w:trPr>
          <w:trHeight w:val="1338" w:hRule="exact"/>
        </w:trPr>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6"/>
                <w:szCs w:val="26"/>
              </w:rPr>
            </w:pPr>
          </w:p>
          <w:p>
            <w:pPr>
              <w:pStyle w:val="TableParagraph"/>
              <w:spacing w:line="314" w:lineRule="auto"/>
              <w:ind w:left="403" w:right="134"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6"/>
                <w:szCs w:val="26"/>
              </w:rPr>
            </w:pPr>
          </w:p>
          <w:p>
            <w:pPr>
              <w:pStyle w:val="TableParagraph"/>
              <w:spacing w:line="314" w:lineRule="auto"/>
              <w:ind w:left="288" w:right="107"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6"/>
                <w:szCs w:val="26"/>
              </w:rPr>
            </w:pPr>
          </w:p>
          <w:p>
            <w:pPr>
              <w:pStyle w:val="TableParagraph"/>
              <w:spacing w:line="314" w:lineRule="auto"/>
              <w:ind w:left="180" w:right="182"/>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6"/>
                <w:szCs w:val="26"/>
              </w:rPr>
            </w:pPr>
          </w:p>
          <w:p>
            <w:pPr>
              <w:pStyle w:val="TableParagraph"/>
              <w:spacing w:line="314" w:lineRule="auto"/>
              <w:ind w:left="131" w:right="1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6"/>
                <w:szCs w:val="26"/>
              </w:rPr>
            </w:pPr>
          </w:p>
          <w:p>
            <w:pPr>
              <w:pStyle w:val="TableParagraph"/>
              <w:spacing w:line="314" w:lineRule="auto"/>
              <w:ind w:left="295" w:right="113"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39"/>
              <w:ind w:left="167" w:right="167"/>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20"/>
              <w:ind w:left="256" w:right="257"/>
              <w:jc w:val="left"/>
              <w:rPr>
                <w:rFonts w:ascii="宋体" w:hAnsi="宋体" w:cs="宋体" w:eastAsia="宋体" w:hint="default"/>
                <w:sz w:val="18"/>
                <w:szCs w:val="18"/>
              </w:rPr>
            </w:pPr>
            <w:r>
              <w:rPr>
                <w:rFonts w:ascii="宋体" w:hAnsi="宋体" w:cs="宋体" w:eastAsia="宋体" w:hint="default"/>
                <w:sz w:val="18"/>
                <w:szCs w:val="18"/>
              </w:rPr>
              <w:t>（万 元）</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36" w:right="135"/>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204" w:right="113" w:hanging="89"/>
              <w:jc w:val="left"/>
              <w:rPr>
                <w:rFonts w:ascii="宋体" w:hAnsi="宋体" w:cs="宋体" w:eastAsia="宋体" w:hint="default"/>
                <w:sz w:val="18"/>
                <w:szCs w:val="18"/>
              </w:rPr>
            </w:pPr>
            <w:r>
              <w:rPr>
                <w:rFonts w:ascii="宋体" w:hAnsi="宋体" w:cs="宋体" w:eastAsia="宋体" w:hint="default"/>
                <w:sz w:val="18"/>
                <w:szCs w:val="18"/>
              </w:rPr>
              <w:t>获批的交 易额度</w:t>
            </w:r>
          </w:p>
          <w:p>
            <w:pPr>
              <w:pStyle w:val="TableParagraph"/>
              <w:spacing w:line="240" w:lineRule="auto" w:before="20"/>
              <w:ind w:left="11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6"/>
                <w:szCs w:val="26"/>
              </w:rPr>
            </w:pPr>
          </w:p>
          <w:p>
            <w:pPr>
              <w:pStyle w:val="TableParagraph"/>
              <w:spacing w:line="314" w:lineRule="auto"/>
              <w:ind w:left="175" w:right="17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30" w:right="127"/>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19" w:lineRule="auto"/>
              <w:ind w:left="103" w:right="165"/>
              <w:jc w:val="both"/>
              <w:rPr>
                <w:rFonts w:ascii="宋体" w:hAnsi="宋体" w:cs="宋体" w:eastAsia="宋体" w:hint="default"/>
                <w:sz w:val="18"/>
                <w:szCs w:val="18"/>
              </w:rPr>
            </w:pPr>
            <w:r>
              <w:rPr>
                <w:rFonts w:ascii="宋体" w:hAnsi="宋体" w:cs="宋体" w:eastAsia="宋体" w:hint="default"/>
                <w:sz w:val="18"/>
                <w:szCs w:val="18"/>
              </w:rPr>
              <w:t>神州数码 控股有限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8"/>
              <w:ind w:left="100" w:right="120"/>
              <w:jc w:val="both"/>
              <w:rPr>
                <w:rFonts w:ascii="宋体" w:hAnsi="宋体" w:cs="宋体" w:eastAsia="宋体" w:hint="default"/>
                <w:sz w:val="18"/>
                <w:szCs w:val="18"/>
              </w:rPr>
            </w:pPr>
            <w:r>
              <w:rPr>
                <w:rFonts w:ascii="宋体" w:hAnsi="宋体" w:cs="宋体" w:eastAsia="宋体" w:hint="default"/>
                <w:sz w:val="18"/>
                <w:szCs w:val="18"/>
              </w:rPr>
              <w:t>受同一控股 股东及最终 控制方控制 的其他企业</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8"/>
              <w:ind w:left="103" w:right="257"/>
              <w:jc w:val="both"/>
              <w:rPr>
                <w:rFonts w:ascii="宋体" w:hAnsi="宋体" w:cs="宋体" w:eastAsia="宋体" w:hint="default"/>
                <w:sz w:val="18"/>
                <w:szCs w:val="18"/>
              </w:rPr>
            </w:pPr>
            <w:r>
              <w:rPr>
                <w:rFonts w:ascii="宋体" w:hAnsi="宋体" w:cs="宋体" w:eastAsia="宋体" w:hint="default"/>
                <w:sz w:val="18"/>
                <w:szCs w:val="18"/>
              </w:rPr>
              <w:t>销售商 品、技 术服务 或劳务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156.24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3,900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319" w:lineRule="auto"/>
              <w:ind w:left="103" w:right="245"/>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26" w:lineRule="auto" w:before="76"/>
              <w:ind w:left="103" w:right="156"/>
              <w:jc w:val="both"/>
              <w:rPr>
                <w:rFonts w:ascii="宋体" w:hAnsi="宋体" w:cs="宋体" w:eastAsia="宋体" w:hint="default"/>
                <w:sz w:val="18"/>
                <w:szCs w:val="18"/>
              </w:rPr>
            </w:pPr>
            <w:r>
              <w:rPr>
                <w:rFonts w:ascii="宋体" w:hAnsi="宋体" w:cs="宋体" w:eastAsia="宋体" w:hint="default"/>
                <w:sz w:val="18"/>
                <w:szCs w:val="18"/>
              </w:rPr>
              <w:t>（</w:t>
            </w:r>
            <w:hyperlink r:id="rId37">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m.cn</w:t>
            </w:r>
            <w:r>
              <w:rPr>
                <w:rFonts w:ascii="宋体" w:hAnsi="宋体" w:cs="宋体" w:eastAsia="宋体" w:hint="default"/>
                <w:sz w:val="18"/>
                <w:szCs w:val="18"/>
              </w:rPr>
              <w:t>）</w:t>
            </w:r>
          </w:p>
        </w:tc>
      </w:tr>
      <w:tr>
        <w:trPr>
          <w:trHeight w:val="1339"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316" w:lineRule="auto"/>
              <w:ind w:left="103" w:right="165"/>
              <w:jc w:val="both"/>
              <w:rPr>
                <w:rFonts w:ascii="宋体" w:hAnsi="宋体" w:cs="宋体" w:eastAsia="宋体" w:hint="default"/>
                <w:sz w:val="18"/>
                <w:szCs w:val="18"/>
              </w:rPr>
            </w:pPr>
            <w:r>
              <w:rPr>
                <w:rFonts w:ascii="宋体" w:hAnsi="宋体" w:cs="宋体" w:eastAsia="宋体" w:hint="default"/>
                <w:sz w:val="18"/>
                <w:szCs w:val="18"/>
              </w:rPr>
              <w:t>神州数码 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314" w:lineRule="auto"/>
              <w:ind w:left="103" w:right="257"/>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10.44</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314" w:lineRule="auto"/>
              <w:ind w:left="103" w:right="245"/>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50" w:lineRule="auto" w:before="74"/>
              <w:ind w:left="103" w:right="156"/>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37">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m.cn</w:t>
            </w:r>
          </w:p>
        </w:tc>
      </w:tr>
      <w:tr>
        <w:trPr>
          <w:trHeight w:val="1337"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103" w:right="165"/>
              <w:jc w:val="both"/>
              <w:rPr>
                <w:rFonts w:ascii="宋体" w:hAnsi="宋体" w:cs="宋体" w:eastAsia="宋体" w:hint="default"/>
                <w:sz w:val="18"/>
                <w:szCs w:val="18"/>
              </w:rPr>
            </w:pPr>
            <w:r>
              <w:rPr>
                <w:rFonts w:ascii="宋体" w:hAnsi="宋体" w:cs="宋体" w:eastAsia="宋体" w:hint="default"/>
                <w:sz w:val="18"/>
                <w:szCs w:val="18"/>
              </w:rPr>
              <w:t>神州数码 集团股份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103" w:right="257"/>
              <w:jc w:val="both"/>
              <w:rPr>
                <w:rFonts w:ascii="宋体" w:hAnsi="宋体" w:cs="宋体" w:eastAsia="宋体" w:hint="default"/>
                <w:sz w:val="18"/>
                <w:szCs w:val="18"/>
              </w:rPr>
            </w:pPr>
            <w:r>
              <w:rPr>
                <w:rFonts w:ascii="宋体" w:hAnsi="宋体" w:cs="宋体" w:eastAsia="宋体" w:hint="default"/>
                <w:sz w:val="18"/>
                <w:szCs w:val="18"/>
              </w:rPr>
              <w:t>技术服 务或劳 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68.06</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0.01%</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316" w:lineRule="auto"/>
              <w:ind w:left="103" w:right="245"/>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50" w:lineRule="auto" w:before="77"/>
              <w:ind w:left="103" w:right="156"/>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37">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m.cn</w:t>
            </w:r>
          </w:p>
        </w:tc>
      </w:tr>
      <w:tr>
        <w:trPr>
          <w:trHeight w:val="1340"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8"/>
              <w:ind w:left="103" w:right="165"/>
              <w:jc w:val="both"/>
              <w:rPr>
                <w:rFonts w:ascii="宋体" w:hAnsi="宋体" w:cs="宋体" w:eastAsia="宋体" w:hint="default"/>
                <w:sz w:val="18"/>
                <w:szCs w:val="18"/>
              </w:rPr>
            </w:pPr>
            <w:r>
              <w:rPr>
                <w:rFonts w:ascii="宋体" w:hAnsi="宋体" w:cs="宋体" w:eastAsia="宋体" w:hint="default"/>
                <w:sz w:val="18"/>
                <w:szCs w:val="18"/>
              </w:rPr>
              <w:t>神州数码 融信云技 术服务有 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关联销售</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8"/>
              <w:ind w:left="103" w:right="257"/>
              <w:jc w:val="both"/>
              <w:rPr>
                <w:rFonts w:ascii="宋体" w:hAnsi="宋体" w:cs="宋体" w:eastAsia="宋体" w:hint="default"/>
                <w:sz w:val="18"/>
                <w:szCs w:val="18"/>
              </w:rPr>
            </w:pPr>
            <w:r>
              <w:rPr>
                <w:rFonts w:ascii="宋体" w:hAnsi="宋体" w:cs="宋体" w:eastAsia="宋体" w:hint="default"/>
                <w:sz w:val="18"/>
                <w:szCs w:val="18"/>
              </w:rPr>
              <w:t>销售商 品、技 术服务 或劳务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1,890.48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0.19%</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4,900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316" w:lineRule="auto"/>
              <w:ind w:left="103" w:right="245"/>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52" w:lineRule="auto" w:before="76"/>
              <w:ind w:left="103" w:right="156"/>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37">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m.cn</w:t>
            </w:r>
          </w:p>
        </w:tc>
      </w:tr>
      <w:tr>
        <w:trPr>
          <w:trHeight w:val="1337"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16" w:lineRule="auto"/>
              <w:ind w:left="103" w:right="165"/>
              <w:jc w:val="both"/>
              <w:rPr>
                <w:rFonts w:ascii="宋体" w:hAnsi="宋体" w:cs="宋体" w:eastAsia="宋体" w:hint="default"/>
                <w:sz w:val="18"/>
                <w:szCs w:val="18"/>
              </w:rPr>
            </w:pPr>
            <w:r>
              <w:rPr>
                <w:rFonts w:ascii="宋体" w:hAnsi="宋体" w:cs="宋体" w:eastAsia="宋体" w:hint="default"/>
                <w:sz w:val="18"/>
                <w:szCs w:val="18"/>
              </w:rPr>
              <w:t>神州数码 控股有限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8"/>
              <w:ind w:left="100" w:right="120"/>
              <w:jc w:val="both"/>
              <w:rPr>
                <w:rFonts w:ascii="宋体" w:hAnsi="宋体" w:cs="宋体" w:eastAsia="宋体" w:hint="default"/>
                <w:sz w:val="18"/>
                <w:szCs w:val="18"/>
              </w:rPr>
            </w:pPr>
            <w:r>
              <w:rPr>
                <w:rFonts w:ascii="宋体" w:hAnsi="宋体" w:cs="宋体" w:eastAsia="宋体" w:hint="default"/>
                <w:sz w:val="18"/>
                <w:szCs w:val="18"/>
              </w:rPr>
              <w:t>受同一控股 股东及最终 控制方控制 的其他企业</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316" w:lineRule="auto"/>
              <w:ind w:left="103" w:right="257"/>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6,781.09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0.95%</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316" w:lineRule="auto"/>
              <w:ind w:left="103" w:right="245"/>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50" w:lineRule="auto" w:before="76"/>
              <w:ind w:left="103" w:right="156"/>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37">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m.cn</w:t>
            </w:r>
          </w:p>
        </w:tc>
      </w:tr>
      <w:tr>
        <w:trPr>
          <w:trHeight w:val="1028"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38"/>
              <w:ind w:left="103" w:right="165"/>
              <w:jc w:val="both"/>
              <w:rPr>
                <w:rFonts w:ascii="宋体" w:hAnsi="宋体" w:cs="宋体" w:eastAsia="宋体" w:hint="default"/>
                <w:sz w:val="18"/>
                <w:szCs w:val="18"/>
              </w:rPr>
            </w:pPr>
            <w:r>
              <w:rPr>
                <w:rFonts w:ascii="宋体" w:hAnsi="宋体" w:cs="宋体" w:eastAsia="宋体" w:hint="default"/>
                <w:sz w:val="18"/>
                <w:szCs w:val="18"/>
              </w:rPr>
              <w:t>神州数码 控股有限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0" w:right="120"/>
              <w:jc w:val="both"/>
              <w:rPr>
                <w:rFonts w:ascii="宋体" w:hAnsi="宋体" w:cs="宋体" w:eastAsia="宋体" w:hint="default"/>
                <w:sz w:val="18"/>
                <w:szCs w:val="18"/>
              </w:rPr>
            </w:pPr>
            <w:r>
              <w:rPr>
                <w:rFonts w:ascii="宋体" w:hAnsi="宋体" w:cs="宋体" w:eastAsia="宋体" w:hint="default"/>
                <w:sz w:val="18"/>
                <w:szCs w:val="18"/>
              </w:rPr>
              <w:t>受同一控股 股东及最终 控制方控制</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3" w:right="257"/>
              <w:jc w:val="both"/>
              <w:rPr>
                <w:rFonts w:ascii="宋体" w:hAnsi="宋体" w:cs="宋体" w:eastAsia="宋体" w:hint="default"/>
                <w:sz w:val="18"/>
                <w:szCs w:val="18"/>
              </w:rPr>
            </w:pPr>
            <w:r>
              <w:rPr>
                <w:rFonts w:ascii="宋体" w:hAnsi="宋体" w:cs="宋体" w:eastAsia="宋体" w:hint="default"/>
                <w:sz w:val="18"/>
                <w:szCs w:val="18"/>
              </w:rPr>
              <w:t>采购行 政办公 服务、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w w:val="95"/>
                <w:sz w:val="18"/>
              </w:rPr>
              <w:t>1,550.33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z w:val="18"/>
              </w:rPr>
              <w:t>0.22%</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right="100"/>
              <w:jc w:val="right"/>
              <w:rPr>
                <w:rFonts w:ascii="Times New Roman" w:hAnsi="Times New Roman" w:cs="Times New Roman" w:eastAsia="Times New Roman" w:hint="default"/>
                <w:sz w:val="18"/>
                <w:szCs w:val="18"/>
              </w:rPr>
            </w:pPr>
            <w:r>
              <w:rPr>
                <w:rFonts w:ascii="Times New Roman"/>
                <w:sz w:val="18"/>
              </w:rPr>
              <w:t>3,000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319" w:lineRule="auto"/>
              <w:ind w:left="103" w:right="245"/>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40" w:lineRule="auto" w:before="74"/>
              <w:ind w:left="103"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37">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p>
        </w:tc>
      </w:tr>
    </w:tbl>
    <w:p>
      <w:pPr>
        <w:spacing w:after="0" w:line="340" w:lineRule="auto"/>
        <w:jc w:val="left"/>
        <w:rPr>
          <w:rFonts w:ascii="Times New Roman" w:hAnsi="Times New Roman" w:cs="Times New Roman" w:eastAsia="Times New Roman" w:hint="default"/>
          <w:sz w:val="18"/>
          <w:szCs w:val="18"/>
        </w:rPr>
        <w:sectPr>
          <w:headerReference w:type="default" r:id="rId35"/>
          <w:footerReference w:type="default" r:id="rId36"/>
          <w:pgSz w:w="16840" w:h="11910" w:orient="landscape"/>
          <w:pgMar w:header="916" w:footer="1260" w:top="1180" w:bottom="1460" w:left="1300" w:right="1200"/>
          <w:pgNumType w:start="61"/>
        </w:sectPr>
      </w:pPr>
    </w:p>
    <w:tbl>
      <w:tblPr>
        <w:tblW w:w="0" w:type="auto"/>
        <w:jc w:val="left"/>
        <w:tblInd w:w="247" w:type="dxa"/>
        <w:tblLayout w:type="fixed"/>
        <w:tblCellMar>
          <w:top w:w="0" w:type="dxa"/>
          <w:left w:w="0" w:type="dxa"/>
          <w:bottom w:w="0" w:type="dxa"/>
          <w:right w:w="0" w:type="dxa"/>
        </w:tblCellMar>
        <w:tblLook w:val="01E0"/>
      </w:tblPr>
      <w:tblGrid>
        <w:gridCol w:w="999"/>
        <w:gridCol w:w="271"/>
        <w:gridCol w:w="862"/>
        <w:gridCol w:w="408"/>
        <w:gridCol w:w="538"/>
        <w:gridCol w:w="639"/>
        <w:gridCol w:w="274"/>
        <w:gridCol w:w="994"/>
        <w:gridCol w:w="960"/>
        <w:gridCol w:w="403"/>
        <w:gridCol w:w="482"/>
        <w:gridCol w:w="788"/>
        <w:gridCol w:w="216"/>
        <w:gridCol w:w="960"/>
        <w:gridCol w:w="917"/>
        <w:gridCol w:w="444"/>
        <w:gridCol w:w="636"/>
        <w:gridCol w:w="634"/>
        <w:gridCol w:w="355"/>
        <w:gridCol w:w="914"/>
        <w:gridCol w:w="137"/>
        <w:gridCol w:w="1142"/>
      </w:tblGrid>
      <w:tr>
        <w:trPr>
          <w:trHeight w:val="986" w:hRule="exact"/>
        </w:trPr>
        <w:tc>
          <w:tcPr>
            <w:tcW w:w="999"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的其他企业</w:t>
            </w:r>
          </w:p>
        </w:tc>
        <w:tc>
          <w:tcPr>
            <w:tcW w:w="946" w:type="dxa"/>
            <w:gridSpan w:val="2"/>
            <w:tcBorders>
              <w:top w:val="single" w:sz="4" w:space="0" w:color="000000"/>
              <w:left w:val="single" w:sz="4" w:space="0" w:color="000000"/>
              <w:bottom w:val="single" w:sz="4" w:space="0" w:color="000000"/>
              <w:right w:val="single" w:sz="4" w:space="0" w:color="000000"/>
            </w:tcBorders>
          </w:tcPr>
          <w:p>
            <w:pPr/>
          </w:p>
        </w:tc>
        <w:tc>
          <w:tcPr>
            <w:tcW w:w="91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257"/>
              <w:jc w:val="both"/>
              <w:rPr>
                <w:rFonts w:ascii="宋体" w:hAnsi="宋体" w:cs="宋体" w:eastAsia="宋体" w:hint="default"/>
                <w:sz w:val="18"/>
                <w:szCs w:val="18"/>
              </w:rPr>
            </w:pPr>
            <w:r>
              <w:rPr>
                <w:rFonts w:ascii="宋体" w:hAnsi="宋体" w:cs="宋体" w:eastAsia="宋体" w:hint="default"/>
                <w:sz w:val="18"/>
                <w:szCs w:val="18"/>
              </w:rPr>
              <w:t>货运服 务及其 它</w:t>
            </w:r>
          </w:p>
        </w:tc>
        <w:tc>
          <w:tcPr>
            <w:tcW w:w="994"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886" w:type="dxa"/>
            <w:gridSpan w:val="2"/>
            <w:tcBorders>
              <w:top w:val="single" w:sz="4" w:space="0" w:color="000000"/>
              <w:left w:val="single" w:sz="4" w:space="0" w:color="000000"/>
              <w:bottom w:val="single" w:sz="4" w:space="0" w:color="000000"/>
              <w:right w:val="single" w:sz="4" w:space="0" w:color="000000"/>
            </w:tcBorders>
          </w:tcPr>
          <w:p>
            <w:pPr/>
          </w:p>
        </w:tc>
        <w:tc>
          <w:tcPr>
            <w:tcW w:w="1004" w:type="dxa"/>
            <w:gridSpan w:val="2"/>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989" w:type="dxa"/>
            <w:gridSpan w:val="2"/>
            <w:tcBorders>
              <w:top w:val="single" w:sz="4" w:space="0" w:color="000000"/>
              <w:left w:val="single" w:sz="4" w:space="0" w:color="000000"/>
              <w:bottom w:val="single" w:sz="4" w:space="0" w:color="000000"/>
              <w:right w:val="single" w:sz="4" w:space="0" w:color="000000"/>
            </w:tcBorders>
          </w:tcPr>
          <w:p>
            <w:pPr/>
          </w:p>
        </w:tc>
        <w:tc>
          <w:tcPr>
            <w:tcW w:w="1051" w:type="dxa"/>
            <w:gridSpan w:val="2"/>
            <w:tcBorders>
              <w:top w:val="single" w:sz="4" w:space="0" w:color="000000"/>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sz w:val="18"/>
              </w:rPr>
              <w:t>m.cn</w:t>
            </w:r>
          </w:p>
        </w:tc>
      </w:tr>
      <w:tr>
        <w:trPr>
          <w:trHeight w:val="1340"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65"/>
              <w:jc w:val="both"/>
              <w:rPr>
                <w:rFonts w:ascii="宋体" w:hAnsi="宋体" w:cs="宋体" w:eastAsia="宋体" w:hint="default"/>
                <w:sz w:val="18"/>
                <w:szCs w:val="18"/>
              </w:rPr>
            </w:pPr>
            <w:r>
              <w:rPr>
                <w:rFonts w:ascii="宋体" w:hAnsi="宋体" w:cs="宋体" w:eastAsia="宋体" w:hint="default"/>
                <w:sz w:val="18"/>
                <w:szCs w:val="18"/>
              </w:rPr>
              <w:t>神州数码 集团股份 有限公司</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9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57"/>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18,181.3</w:t>
            </w:r>
          </w:p>
        </w:tc>
        <w:tc>
          <w:tcPr>
            <w:tcW w:w="1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2.54%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45"/>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52" w:lineRule="auto" w:before="76"/>
              <w:ind w:left="103" w:right="156"/>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37">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m.cn</w:t>
            </w:r>
          </w:p>
        </w:tc>
      </w:tr>
      <w:tr>
        <w:trPr>
          <w:trHeight w:val="1961"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65"/>
              <w:jc w:val="both"/>
              <w:rPr>
                <w:rFonts w:ascii="宋体" w:hAnsi="宋体" w:cs="宋体" w:eastAsia="宋体" w:hint="default"/>
                <w:sz w:val="18"/>
                <w:szCs w:val="18"/>
              </w:rPr>
            </w:pPr>
            <w:r>
              <w:rPr>
                <w:rFonts w:ascii="宋体" w:hAnsi="宋体" w:cs="宋体" w:eastAsia="宋体" w:hint="default"/>
                <w:sz w:val="18"/>
                <w:szCs w:val="18"/>
              </w:rPr>
              <w:t>神州数码 集团股份 有限公司</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913"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57"/>
              <w:jc w:val="both"/>
              <w:rPr>
                <w:rFonts w:ascii="宋体" w:hAnsi="宋体" w:cs="宋体" w:eastAsia="宋体" w:hint="default"/>
                <w:sz w:val="18"/>
                <w:szCs w:val="18"/>
              </w:rPr>
            </w:pPr>
            <w:r>
              <w:rPr>
                <w:rFonts w:ascii="宋体" w:hAnsi="宋体" w:cs="宋体" w:eastAsia="宋体" w:hint="default"/>
                <w:sz w:val="18"/>
                <w:szCs w:val="18"/>
              </w:rPr>
              <w:t>采购行 政办公 服务、 货运服 务及其 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55"/>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1,942.63</w:t>
            </w:r>
          </w:p>
        </w:tc>
        <w:tc>
          <w:tcPr>
            <w:tcW w:w="1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0.27%</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3,500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3" w:right="245"/>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50" w:lineRule="auto" w:before="76"/>
              <w:ind w:left="103" w:right="156"/>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37">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m.cn</w:t>
            </w:r>
          </w:p>
        </w:tc>
      </w:tr>
      <w:tr>
        <w:trPr>
          <w:trHeight w:val="1339" w:hRule="exact"/>
        </w:trPr>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5"/>
              <w:jc w:val="both"/>
              <w:rPr>
                <w:rFonts w:ascii="宋体" w:hAnsi="宋体" w:cs="宋体" w:eastAsia="宋体" w:hint="default"/>
                <w:sz w:val="18"/>
                <w:szCs w:val="18"/>
              </w:rPr>
            </w:pPr>
            <w:r>
              <w:rPr>
                <w:rFonts w:ascii="宋体" w:hAnsi="宋体" w:cs="宋体" w:eastAsia="宋体" w:hint="default"/>
                <w:sz w:val="18"/>
                <w:szCs w:val="18"/>
              </w:rPr>
              <w:t>神州数码 融信云技 术服务有 限公司</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关联采购</w:t>
            </w:r>
          </w:p>
        </w:tc>
        <w:tc>
          <w:tcPr>
            <w:tcW w:w="9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57"/>
              <w:jc w:val="left"/>
              <w:rPr>
                <w:rFonts w:ascii="宋体" w:hAnsi="宋体" w:cs="宋体" w:eastAsia="宋体" w:hint="default"/>
                <w:sz w:val="18"/>
                <w:szCs w:val="18"/>
              </w:rPr>
            </w:pPr>
            <w:r>
              <w:rPr>
                <w:rFonts w:ascii="宋体" w:hAnsi="宋体" w:cs="宋体" w:eastAsia="宋体" w:hint="default"/>
                <w:sz w:val="18"/>
                <w:szCs w:val="18"/>
              </w:rPr>
              <w:t>采购商 品</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5"/>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8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0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0.00%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45"/>
              <w:jc w:val="left"/>
              <w:rPr>
                <w:rFonts w:ascii="宋体" w:hAnsi="宋体" w:cs="宋体" w:eastAsia="宋体" w:hint="default"/>
                <w:sz w:val="18"/>
                <w:szCs w:val="18"/>
              </w:rPr>
            </w:pPr>
            <w:r>
              <w:rPr>
                <w:rFonts w:ascii="宋体" w:hAnsi="宋体" w:cs="宋体" w:eastAsia="宋体" w:hint="default"/>
                <w:sz w:val="18"/>
                <w:szCs w:val="18"/>
              </w:rPr>
              <w:t>按照合同 进行结算</w:t>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50" w:lineRule="auto" w:before="76"/>
              <w:ind w:left="103" w:right="156"/>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37">
              <w:r>
                <w:rPr>
                  <w:rFonts w:ascii="Times New Roman" w:hAnsi="Times New Roman" w:cs="Times New Roman" w:eastAsia="Times New Roman" w:hint="default"/>
                  <w:sz w:val="18"/>
                  <w:szCs w:val="18"/>
                </w:rPr>
                <w:t>http://ww</w:t>
              </w:r>
            </w:hyperlink>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w.cninfo.co</w:t>
            </w:r>
            <w:r>
              <w:rPr>
                <w:rFonts w:ascii="Times New Roman" w:hAnsi="Times New Roman" w:cs="Times New Roman" w:eastAsia="Times New Roman" w:hint="default"/>
                <w:sz w:val="18"/>
                <w:szCs w:val="18"/>
              </w:rPr>
              <w:t> m.cn</w:t>
            </w:r>
          </w:p>
        </w:tc>
      </w:tr>
      <w:tr>
        <w:trPr>
          <w:trHeight w:val="463" w:hRule="exact"/>
        </w:trPr>
        <w:tc>
          <w:tcPr>
            <w:tcW w:w="12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1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14" w:right="0"/>
              <w:jc w:val="left"/>
              <w:rPr>
                <w:rFonts w:ascii="Times New Roman" w:hAnsi="Times New Roman" w:cs="Times New Roman" w:eastAsia="Times New Roman" w:hint="default"/>
                <w:sz w:val="18"/>
                <w:szCs w:val="18"/>
              </w:rPr>
            </w:pPr>
            <w:r>
              <w:rPr>
                <w:rFonts w:ascii="Times New Roman"/>
                <w:sz w:val="18"/>
              </w:rPr>
              <w:t>30,580.57</w:t>
            </w:r>
          </w:p>
        </w:tc>
        <w:tc>
          <w:tcPr>
            <w:tcW w:w="13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2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62" w:right="0"/>
              <w:jc w:val="left"/>
              <w:rPr>
                <w:rFonts w:ascii="Times New Roman" w:hAnsi="Times New Roman" w:cs="Times New Roman" w:eastAsia="Times New Roman" w:hint="default"/>
                <w:sz w:val="18"/>
                <w:szCs w:val="18"/>
              </w:rPr>
            </w:pPr>
            <w:r>
              <w:rPr>
                <w:rFonts w:ascii="Times New Roman"/>
                <w:sz w:val="18"/>
              </w:rPr>
              <w:t>70,300</w:t>
            </w:r>
          </w:p>
        </w:tc>
        <w:tc>
          <w:tcPr>
            <w:tcW w:w="11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3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2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2"/>
              <w:jc w:val="center"/>
              <w:rPr>
                <w:rFonts w:ascii="Times New Roman" w:hAnsi="Times New Roman" w:cs="Times New Roman" w:eastAsia="Times New Roman" w:hint="default"/>
                <w:sz w:val="18"/>
                <w:szCs w:val="18"/>
              </w:rPr>
            </w:pPr>
            <w:r>
              <w:rPr>
                <w:rFonts w:ascii="Times New Roman"/>
                <w:sz w:val="18"/>
              </w:rPr>
              <w:t>--</w:t>
            </w:r>
          </w:p>
        </w:tc>
        <w:tc>
          <w:tcPr>
            <w:tcW w:w="12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2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64" w:hRule="exact"/>
        </w:trPr>
        <w:tc>
          <w:tcPr>
            <w:tcW w:w="371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10256" w:type="dxa"/>
            <w:gridSpan w:val="16"/>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963" w:hRule="exact"/>
        </w:trPr>
        <w:tc>
          <w:tcPr>
            <w:tcW w:w="371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3" w:right="18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按类别对本期将发生的日常关联交易进行总 金额预计的，在报告期内的实际履行情况</w:t>
            </w:r>
          </w:p>
        </w:tc>
        <w:tc>
          <w:tcPr>
            <w:tcW w:w="10256" w:type="dxa"/>
            <w:gridSpan w:val="1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年关联方交易情况：对神州控股关联销售预计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万元，实际履行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156.24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万元；对神州控股关联采购商品预计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元，实际履行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6,781.09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万元；对神州控股关联采购行政办公服务、货运服务及其它预计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万元，实际履行</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1,550.33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神州数码关联销售商品预计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万元，实际履行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万元；对神州数码关联销售技术服务或劳务预计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万元，实际履行</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68.06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万元；对神州数码关联采购商品预计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万元，实际履行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18,181.30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万元；对神州数码关联采购行政办公服务、货运服</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务及其它预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万元，实际履行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1,942.63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万元；对融信云关联销售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万元，实际履行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1,890.48</w:t>
            </w:r>
            <w:r>
              <w:rPr>
                <w:rFonts w:ascii="宋体" w:hAnsi="宋体" w:cs="宋体" w:eastAsia="宋体" w:hint="default"/>
                <w:sz w:val="18"/>
                <w:szCs w:val="18"/>
              </w:rPr>
              <w:t>；对融信云关联采购预计</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 </w:t>
            </w:r>
            <w:r>
              <w:rPr>
                <w:rFonts w:ascii="宋体" w:hAnsi="宋体" w:cs="宋体" w:eastAsia="宋体" w:hint="default"/>
                <w:sz w:val="18"/>
                <w:szCs w:val="18"/>
              </w:rPr>
              <w:t>万元，实际履行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w:t>
            </w:r>
          </w:p>
        </w:tc>
      </w:tr>
      <w:tr>
        <w:trPr>
          <w:trHeight w:val="464" w:hRule="exact"/>
        </w:trPr>
        <w:tc>
          <w:tcPr>
            <w:tcW w:w="371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交易价格与市场参考价格差异较大的原因</w:t>
            </w:r>
          </w:p>
        </w:tc>
        <w:tc>
          <w:tcPr>
            <w:tcW w:w="10256" w:type="dxa"/>
            <w:gridSpan w:val="16"/>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916" w:footer="1260" w:top="1160" w:bottom="1460" w:left="1300" w:right="1200"/>
        </w:sectPr>
      </w:pPr>
    </w:p>
    <w:p>
      <w:pPr>
        <w:pStyle w:val="BodyText"/>
        <w:spacing w:line="240" w:lineRule="auto" w:before="21"/>
        <w:ind w:left="5561" w:right="0"/>
        <w:jc w:val="left"/>
      </w:pP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p>
      <w:pPr>
        <w:spacing w:line="20" w:lineRule="exact"/>
        <w:ind w:left="119" w:right="0" w:firstLine="0"/>
        <w:rPr>
          <w:rFonts w:ascii="宋体" w:hAnsi="宋体" w:cs="宋体" w:eastAsia="宋体" w:hint="default"/>
          <w:sz w:val="2"/>
          <w:szCs w:val="2"/>
        </w:rPr>
      </w:pPr>
      <w:r>
        <w:rPr>
          <w:rFonts w:ascii="宋体" w:hAnsi="宋体" w:cs="宋体" w:eastAsia="宋体" w:hint="default"/>
          <w:sz w:val="2"/>
          <w:szCs w:val="2"/>
        </w:rPr>
        <w:pict>
          <v:group style="width:485.4pt;height:.5pt;mso-position-horizontal-relative:char;mso-position-vertical-relative:line" coordorigin="0,0" coordsize="9708,10">
            <v:group style="position:absolute;left:5;top:5;width:9698;height:2" coordorigin="5,5" coordsize="9698,2">
              <v:shape style="position:absolute;left:5;top:5;width:9698;height:2" coordorigin="5,5" coordsize="9698,0" path="m5,5l9703,5e" filled="false" stroked="true" strokeweight=".48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20"/>
          <w:szCs w:val="20"/>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6433"/>
        <w:jc w:val="left"/>
      </w:pPr>
      <w:r>
        <w:rPr/>
        <w:t>□ 适用 √</w:t>
      </w:r>
      <w:r>
        <w:rPr>
          <w:spacing w:val="3"/>
        </w:rPr>
        <w:t> </w:t>
      </w:r>
      <w:r>
        <w:rPr/>
        <w:t>不适用</w:t>
      </w:r>
      <w:r>
        <w:rPr/>
        <w:t> 公司报告期未发生资产或股权收购、出售的关联交易。</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153"/>
        <w:jc w:val="left"/>
      </w:pPr>
      <w:r>
        <w:rPr/>
        <w:t>□ 适用 √</w:t>
      </w:r>
      <w:r>
        <w:rPr>
          <w:spacing w:val="3"/>
        </w:rPr>
        <w:t> </w:t>
      </w:r>
      <w:r>
        <w:rPr/>
        <w:t>不适用</w:t>
      </w:r>
      <w:r>
        <w:rPr/>
        <w:t> 公司报告期未发生共同对外投资的关联交易。</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7873"/>
        <w:jc w:val="left"/>
      </w:pPr>
      <w:r>
        <w:rPr/>
        <w:t>√ 适用 □</w:t>
      </w:r>
      <w:r>
        <w:rPr>
          <w:spacing w:val="3"/>
        </w:rPr>
        <w:t> </w:t>
      </w:r>
      <w:r>
        <w:rPr/>
        <w:t>不适用</w:t>
      </w:r>
      <w:r>
        <w:rPr/>
        <w:t> 是否存在非经营性关联债权债务往来</w:t>
      </w:r>
    </w:p>
    <w:p>
      <w:pPr>
        <w:pStyle w:val="BodyText"/>
        <w:spacing w:line="360" w:lineRule="auto" w:before="25"/>
        <w:ind w:right="6973"/>
        <w:jc w:val="left"/>
      </w:pPr>
      <w:r>
        <w:rPr/>
        <w:t>□ 是 √</w:t>
      </w:r>
      <w:r>
        <w:rPr>
          <w:spacing w:val="3"/>
        </w:rPr>
        <w:t> </w:t>
      </w:r>
      <w:r>
        <w:rPr/>
        <w:t>否</w:t>
      </w:r>
      <w:r>
        <w:rPr/>
        <w:t> 公司报告期不存在非经营性关联债权债务往来。</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053"/>
        <w:jc w:val="left"/>
      </w:pPr>
      <w:r>
        <w:rPr/>
        <w:t>□ 适用 √</w:t>
      </w:r>
      <w:r>
        <w:rPr>
          <w:spacing w:val="3"/>
        </w:rPr>
        <w:t> </w:t>
      </w:r>
      <w:r>
        <w:rPr/>
        <w:t>不适用</w:t>
      </w:r>
      <w:r>
        <w:rPr/>
        <w:t> 公司报告期无其他重大关联交易。</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3"/>
        <w:jc w:val="left"/>
      </w:pPr>
      <w:r>
        <w:rPr/>
        <w:t>□ 适用 √</w:t>
      </w:r>
      <w:r>
        <w:rPr>
          <w:spacing w:val="3"/>
        </w:rPr>
        <w:t> </w:t>
      </w:r>
      <w:r>
        <w:rPr/>
        <w:t>不适用</w:t>
      </w:r>
      <w:r>
        <w:rPr/>
        <w:t> 公司报告期不存在托管情况。</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3"/>
        <w:jc w:val="left"/>
      </w:pPr>
      <w:r>
        <w:rPr/>
        <w:t>□ 适用 √</w:t>
      </w:r>
      <w:r>
        <w:rPr>
          <w:spacing w:val="3"/>
        </w:rPr>
        <w:t> </w:t>
      </w:r>
      <w:r>
        <w:rPr/>
        <w:t>不适用</w:t>
      </w:r>
      <w:r>
        <w:rPr/>
        <w:t> 公司报告期不存在承包情况。</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413"/>
        <w:jc w:val="left"/>
      </w:pPr>
      <w:r>
        <w:rPr/>
        <w:t>□ 适用 √</w:t>
      </w:r>
      <w:r>
        <w:rPr>
          <w:spacing w:val="3"/>
        </w:rPr>
        <w:t> </w:t>
      </w:r>
      <w:r>
        <w:rPr/>
        <w:t>不适用</w:t>
      </w:r>
      <w:r>
        <w:rPr/>
        <w:t> 公司报告期不存在租赁情况。</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 适用 □</w:t>
      </w:r>
      <w:r>
        <w:rPr>
          <w:spacing w:val="3"/>
        </w:rPr>
        <w:t> </w:t>
      </w:r>
      <w:r>
        <w:rPr/>
        <w:t>不适用</w:t>
      </w:r>
    </w:p>
    <w:p>
      <w:pPr>
        <w:pStyle w:val="BodyText"/>
        <w:spacing w:line="240" w:lineRule="auto" w:before="85"/>
        <w:ind w:left="0" w:right="1133"/>
        <w:jc w:val="right"/>
        <w:rPr>
          <w:rFonts w:ascii="Times New Roman" w:hAnsi="Times New Roman" w:cs="Times New Roman" w:eastAsia="Times New Roman" w:hint="default"/>
        </w:rPr>
      </w:pPr>
      <w:r>
        <w:rPr/>
        <w:pict>
          <v:shape style="position:absolute;margin-left:535.634705pt;margin-top:43.236866pt;width:59.493346pt;height:26.794713pt;mso-position-horizontal-relative:page;mso-position-vertical-relative:paragraph;z-index:1288" type="#_x0000_t75" stroked="false">
            <v:imagedata r:id="rId18" o:title=""/>
          </v:shape>
        </w:pict>
      </w:r>
      <w:r>
        <w:rPr>
          <w:rFonts w:ascii="Times New Roman"/>
        </w:rPr>
        <w:t>63</w:t>
      </w:r>
    </w:p>
    <w:p>
      <w:pPr>
        <w:spacing w:after="0" w:line="240" w:lineRule="auto"/>
        <w:jc w:val="right"/>
        <w:rPr>
          <w:rFonts w:ascii="Times New Roman" w:hAnsi="Times New Roman" w:cs="Times New Roman" w:eastAsia="Times New Roman" w:hint="default"/>
        </w:rPr>
        <w:sectPr>
          <w:headerReference w:type="default" r:id="rId38"/>
          <w:footerReference w:type="default" r:id="rId39"/>
          <w:pgSz w:w="11910" w:h="16840"/>
          <w:pgMar w:header="0" w:footer="0" w:top="820" w:bottom="0" w:left="980" w:right="0"/>
        </w:sectPr>
      </w:pPr>
    </w:p>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140"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37"/>
        <w:jc w:val="right"/>
      </w:pPr>
      <w:r>
        <w:rPr/>
        <w:t>单位：万元</w:t>
      </w:r>
    </w:p>
    <w:p>
      <w:pPr>
        <w:spacing w:line="240" w:lineRule="auto" w:before="4"/>
        <w:rPr>
          <w:rFonts w:ascii="宋体" w:hAnsi="宋体" w:cs="宋体" w:eastAsia="宋体" w:hint="default"/>
          <w:sz w:val="8"/>
          <w:szCs w:val="8"/>
        </w:rPr>
      </w:pPr>
    </w:p>
    <w:tbl>
      <w:tblPr>
        <w:tblW w:w="0" w:type="auto"/>
        <w:jc w:val="left"/>
        <w:tblInd w:w="247" w:type="dxa"/>
        <w:tblLayout w:type="fixed"/>
        <w:tblCellMar>
          <w:top w:w="0" w:type="dxa"/>
          <w:left w:w="0" w:type="dxa"/>
          <w:bottom w:w="0" w:type="dxa"/>
          <w:right w:w="0" w:type="dxa"/>
        </w:tblCellMar>
        <w:tblLook w:val="01E0"/>
      </w:tblPr>
      <w:tblGrid>
        <w:gridCol w:w="1788"/>
        <w:gridCol w:w="1704"/>
        <w:gridCol w:w="1162"/>
        <w:gridCol w:w="1769"/>
        <w:gridCol w:w="1332"/>
        <w:gridCol w:w="1553"/>
        <w:gridCol w:w="1551"/>
        <w:gridCol w:w="1430"/>
        <w:gridCol w:w="1680"/>
      </w:tblGrid>
      <w:tr>
        <w:trPr>
          <w:trHeight w:val="463" w:hRule="exact"/>
        </w:trPr>
        <w:tc>
          <w:tcPr>
            <w:tcW w:w="139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6" w:hRule="exact"/>
        </w:trPr>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87" w:right="125"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0"/>
              <w:jc w:val="right"/>
              <w:rPr>
                <w:rFonts w:ascii="宋体" w:hAnsi="宋体" w:cs="宋体" w:eastAsia="宋体" w:hint="default"/>
                <w:sz w:val="18"/>
                <w:szCs w:val="18"/>
              </w:rPr>
            </w:pPr>
            <w:r>
              <w:rPr>
                <w:rFonts w:ascii="宋体" w:hAnsi="宋体" w:cs="宋体" w:eastAsia="宋体" w:hint="default"/>
                <w:sz w:val="18"/>
                <w:szCs w:val="18"/>
              </w:rPr>
              <w:t>担保期</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是否履行完毕</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是否为关联方担保</w:t>
            </w:r>
          </w:p>
        </w:tc>
      </w:tr>
      <w:tr>
        <w:trPr>
          <w:trHeight w:val="463" w:hRule="exact"/>
        </w:trPr>
        <w:tc>
          <w:tcPr>
            <w:tcW w:w="139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5" w:hRule="exact"/>
        </w:trPr>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7" w:right="125"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00"/>
              <w:jc w:val="right"/>
              <w:rPr>
                <w:rFonts w:ascii="宋体" w:hAnsi="宋体" w:cs="宋体" w:eastAsia="宋体" w:hint="default"/>
                <w:sz w:val="18"/>
                <w:szCs w:val="18"/>
              </w:rPr>
            </w:pPr>
            <w:r>
              <w:rPr>
                <w:rFonts w:ascii="宋体" w:hAnsi="宋体" w:cs="宋体" w:eastAsia="宋体" w:hint="default"/>
                <w:sz w:val="18"/>
                <w:szCs w:val="18"/>
              </w:rPr>
              <w:t>担保期</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是否履行完毕</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是否为关联方担保</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5,723.47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13.78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16,372.06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757.13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神州数码金信科技 股份有限公司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北京中农信达信息 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16,970.36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headerReference w:type="default" r:id="rId40"/>
          <w:footerReference w:type="default" r:id="rId41"/>
          <w:pgSz w:w="16840" w:h="11910" w:orient="landscape"/>
          <w:pgMar w:header="916" w:footer="1260" w:top="1120" w:bottom="1460" w:left="1300" w:right="1200"/>
          <w:pgNumType w:start="64"/>
        </w:sectPr>
      </w:pPr>
    </w:p>
    <w:tbl>
      <w:tblPr>
        <w:tblW w:w="0" w:type="auto"/>
        <w:jc w:val="left"/>
        <w:tblInd w:w="247" w:type="dxa"/>
        <w:tblLayout w:type="fixed"/>
        <w:tblCellMar>
          <w:top w:w="0" w:type="dxa"/>
          <w:left w:w="0" w:type="dxa"/>
          <w:bottom w:w="0" w:type="dxa"/>
          <w:right w:w="0" w:type="dxa"/>
        </w:tblCellMar>
        <w:tblLook w:val="01E0"/>
      </w:tblPr>
      <w:tblGrid>
        <w:gridCol w:w="1788"/>
        <w:gridCol w:w="1704"/>
        <w:gridCol w:w="1162"/>
        <w:gridCol w:w="1769"/>
        <w:gridCol w:w="1332"/>
        <w:gridCol w:w="1553"/>
        <w:gridCol w:w="1551"/>
        <w:gridCol w:w="1430"/>
        <w:gridCol w:w="1680"/>
      </w:tblGrid>
      <w:tr>
        <w:trPr>
          <w:trHeight w:val="71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33"/>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4,453.89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北京中农信达信息 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33"/>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19,349.29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33"/>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5,129.89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南京华苏科技有限 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半年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33"/>
              <w:jc w:val="left"/>
              <w:rPr>
                <w:rFonts w:ascii="宋体" w:hAnsi="宋体" w:cs="宋体" w:eastAsia="宋体" w:hint="default"/>
                <w:sz w:val="18"/>
                <w:szCs w:val="18"/>
              </w:rPr>
            </w:pPr>
            <w:r>
              <w:rPr>
                <w:rFonts w:ascii="宋体" w:hAnsi="宋体" w:cs="宋体" w:eastAsia="宋体" w:hint="default"/>
                <w:sz w:val="18"/>
                <w:szCs w:val="18"/>
              </w:rPr>
              <w:t>南京华苏科技有限 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南京华苏科技有限 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2,800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南京华苏科技有限 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南京华苏科技有限 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301"/>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sz w:val="18"/>
              </w:rPr>
              <w:t> Advanced</w:t>
            </w:r>
            <w:r>
              <w:rPr>
                <w:rFonts w:ascii="Times New Roman"/>
                <w:spacing w:val="-5"/>
                <w:sz w:val="18"/>
              </w:rPr>
              <w:t> </w:t>
            </w:r>
            <w:r>
              <w:rPr>
                <w:rFonts w:ascii="Times New Roman"/>
                <w:sz w:val="18"/>
              </w:rPr>
              <w:t>Systems</w:t>
            </w:r>
            <w:r>
              <w:rPr>
                <w:rFonts w:ascii="Times New Roman"/>
                <w:w w:val="99"/>
                <w:sz w:val="18"/>
              </w:rPr>
              <w:t> </w:t>
            </w:r>
            <w:r>
              <w:rPr>
                <w:rFonts w:ascii="Times New Roman"/>
                <w:sz w:val="18"/>
              </w:rPr>
              <w:t>Limited</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26,785.8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13,392.9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1,252.26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916" w:footer="1260" w:top="1160" w:bottom="1460" w:left="1300" w:right="1200"/>
        </w:sectPr>
      </w:pPr>
    </w:p>
    <w:tbl>
      <w:tblPr>
        <w:tblW w:w="0" w:type="auto"/>
        <w:jc w:val="left"/>
        <w:tblInd w:w="247" w:type="dxa"/>
        <w:tblLayout w:type="fixed"/>
        <w:tblCellMar>
          <w:top w:w="0" w:type="dxa"/>
          <w:left w:w="0" w:type="dxa"/>
          <w:bottom w:w="0" w:type="dxa"/>
          <w:right w:w="0" w:type="dxa"/>
        </w:tblCellMar>
        <w:tblLook w:val="01E0"/>
      </w:tblPr>
      <w:tblGrid>
        <w:gridCol w:w="1788"/>
        <w:gridCol w:w="1704"/>
        <w:gridCol w:w="1162"/>
        <w:gridCol w:w="1769"/>
        <w:gridCol w:w="562"/>
        <w:gridCol w:w="771"/>
        <w:gridCol w:w="1553"/>
        <w:gridCol w:w="1166"/>
        <w:gridCol w:w="385"/>
        <w:gridCol w:w="1430"/>
        <w:gridCol w:w="1680"/>
      </w:tblGrid>
      <w:tr>
        <w:trPr>
          <w:trHeight w:val="71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33"/>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4" w:right="0"/>
              <w:jc w:val="left"/>
              <w:rPr>
                <w:rFonts w:ascii="Times New Roman" w:hAnsi="Times New Roman" w:cs="Times New Roman" w:eastAsia="Times New Roman" w:hint="default"/>
                <w:sz w:val="18"/>
                <w:szCs w:val="18"/>
              </w:rPr>
            </w:pPr>
            <w:r>
              <w:rPr>
                <w:rFonts w:ascii="Times New Roman"/>
                <w:sz w:val="18"/>
              </w:rPr>
              <w:t>474.56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神州数码融信软件 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7" w:right="0"/>
              <w:jc w:val="left"/>
              <w:rPr>
                <w:rFonts w:ascii="Times New Roman" w:hAnsi="Times New Roman" w:cs="Times New Roman" w:eastAsia="Times New Roman" w:hint="default"/>
                <w:sz w:val="18"/>
                <w:szCs w:val="18"/>
              </w:rPr>
            </w:pPr>
            <w:r>
              <w:rPr>
                <w:rFonts w:ascii="Times New Roman"/>
                <w:sz w:val="18"/>
              </w:rPr>
              <w:t>5,055.03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33"/>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32" w:type="dxa"/>
            <w:gridSpan w:val="2"/>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32" w:type="dxa"/>
            <w:gridSpan w:val="2"/>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33"/>
              <w:jc w:val="left"/>
              <w:rPr>
                <w:rFonts w:ascii="宋体" w:hAnsi="宋体" w:cs="宋体" w:eastAsia="宋体" w:hint="default"/>
                <w:sz w:val="18"/>
                <w:szCs w:val="18"/>
              </w:rPr>
            </w:pPr>
            <w:r>
              <w:rPr>
                <w:rFonts w:ascii="宋体" w:hAnsi="宋体" w:cs="宋体" w:eastAsia="宋体" w:hint="default"/>
                <w:sz w:val="18"/>
                <w:szCs w:val="18"/>
              </w:rPr>
              <w:t>神州数码融信软件 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332" w:type="dxa"/>
            <w:gridSpan w:val="2"/>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神州数码信息服务 股份有限公司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332" w:type="dxa"/>
            <w:gridSpan w:val="2"/>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33"/>
              <w:jc w:val="left"/>
              <w:rPr>
                <w:rFonts w:ascii="宋体" w:hAnsi="宋体" w:cs="宋体" w:eastAsia="宋体" w:hint="default"/>
                <w:sz w:val="18"/>
                <w:szCs w:val="18"/>
              </w:rPr>
            </w:pPr>
            <w:r>
              <w:rPr>
                <w:rFonts w:ascii="宋体" w:hAnsi="宋体" w:cs="宋体" w:eastAsia="宋体" w:hint="default"/>
                <w:sz w:val="18"/>
                <w:szCs w:val="18"/>
              </w:rPr>
              <w:t>神州数码信息服务 股份有限公司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32" w:type="dxa"/>
            <w:gridSpan w:val="2"/>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1,114.86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神州数码系统集成 服务有限公司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32" w:type="dxa"/>
            <w:gridSpan w:val="2"/>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3" w:right="301"/>
              <w:jc w:val="left"/>
              <w:rPr>
                <w:rFonts w:ascii="Times New Roman" w:hAnsi="Times New Roman" w:cs="Times New Roman" w:eastAsia="Times New Roman" w:hint="default"/>
                <w:sz w:val="18"/>
                <w:szCs w:val="18"/>
              </w:rPr>
            </w:pPr>
            <w:r>
              <w:rPr>
                <w:rFonts w:ascii="Times New Roman"/>
                <w:sz w:val="18"/>
              </w:rPr>
              <w:t>Digital</w:t>
            </w:r>
            <w:r>
              <w:rPr>
                <w:rFonts w:ascii="Times New Roman"/>
                <w:spacing w:val="-1"/>
                <w:sz w:val="18"/>
              </w:rPr>
              <w:t> </w:t>
            </w:r>
            <w:r>
              <w:rPr>
                <w:rFonts w:ascii="Times New Roman"/>
                <w:sz w:val="18"/>
              </w:rPr>
              <w:t>China</w:t>
            </w:r>
            <w:r>
              <w:rPr>
                <w:rFonts w:ascii="Times New Roman"/>
                <w:sz w:val="18"/>
              </w:rPr>
              <w:t> Advanced</w:t>
            </w:r>
            <w:r>
              <w:rPr>
                <w:rFonts w:ascii="Times New Roman"/>
                <w:spacing w:val="-5"/>
                <w:sz w:val="18"/>
              </w:rPr>
              <w:t> </w:t>
            </w:r>
            <w:r>
              <w:rPr>
                <w:rFonts w:ascii="Times New Roman"/>
                <w:sz w:val="18"/>
              </w:rPr>
              <w:t>Systems</w:t>
            </w:r>
            <w:r>
              <w:rPr>
                <w:rFonts w:ascii="Times New Roman"/>
                <w:w w:val="99"/>
                <w:sz w:val="18"/>
              </w:rPr>
              <w:t> </w:t>
            </w:r>
            <w:r>
              <w:rPr>
                <w:rFonts w:ascii="Times New Roman"/>
                <w:sz w:val="18"/>
              </w:rPr>
              <w:t>Limited</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332" w:type="dxa"/>
            <w:gridSpan w:val="2"/>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34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3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442,285.8</w:t>
            </w:r>
          </w:p>
        </w:tc>
        <w:tc>
          <w:tcPr>
            <w:tcW w:w="34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3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176,280.89</w:t>
            </w:r>
          </w:p>
        </w:tc>
      </w:tr>
      <w:tr>
        <w:trPr>
          <w:trHeight w:val="713" w:hRule="exact"/>
        </w:trPr>
        <w:tc>
          <w:tcPr>
            <w:tcW w:w="34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3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566,285.8</w:t>
            </w:r>
          </w:p>
        </w:tc>
        <w:tc>
          <w:tcPr>
            <w:tcW w:w="34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p>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3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100,059.46</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16" w:footer="1260" w:top="1160" w:bottom="1460" w:left="1300" w:right="1200"/>
        </w:sectPr>
      </w:pPr>
    </w:p>
    <w:tbl>
      <w:tblPr>
        <w:tblW w:w="0" w:type="auto"/>
        <w:jc w:val="left"/>
        <w:tblInd w:w="247" w:type="dxa"/>
        <w:tblLayout w:type="fixed"/>
        <w:tblCellMar>
          <w:top w:w="0" w:type="dxa"/>
          <w:left w:w="0" w:type="dxa"/>
          <w:bottom w:w="0" w:type="dxa"/>
          <w:right w:w="0" w:type="dxa"/>
        </w:tblCellMar>
        <w:tblLook w:val="01E0"/>
      </w:tblPr>
      <w:tblGrid>
        <w:gridCol w:w="1788"/>
        <w:gridCol w:w="1704"/>
        <w:gridCol w:w="1162"/>
        <w:gridCol w:w="1769"/>
        <w:gridCol w:w="1332"/>
        <w:gridCol w:w="1553"/>
        <w:gridCol w:w="1551"/>
        <w:gridCol w:w="1430"/>
        <w:gridCol w:w="1680"/>
      </w:tblGrid>
      <w:tr>
        <w:trPr>
          <w:trHeight w:val="464" w:hRule="exact"/>
        </w:trPr>
        <w:tc>
          <w:tcPr>
            <w:tcW w:w="139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7" w:right="125" w:hanging="360"/>
              <w:jc w:val="left"/>
              <w:rPr>
                <w:rFonts w:ascii="宋体" w:hAnsi="宋体" w:cs="宋体" w:eastAsia="宋体" w:hint="default"/>
                <w:sz w:val="18"/>
                <w:szCs w:val="18"/>
              </w:rPr>
            </w:pPr>
            <w:r>
              <w:rPr>
                <w:rFonts w:ascii="宋体" w:hAnsi="宋体" w:cs="宋体" w:eastAsia="宋体" w:hint="default"/>
                <w:sz w:val="18"/>
                <w:szCs w:val="18"/>
              </w:rPr>
              <w:t>担保额度相关公告 披露日期</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0"/>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是否履行完毕</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是否为关联方担保</w:t>
            </w:r>
          </w:p>
        </w:tc>
      </w:tr>
      <w:tr>
        <w:trPr>
          <w:trHeight w:val="71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神州数码融信软件 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北京中农信达信息 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both"/>
              <w:rPr>
                <w:rFonts w:ascii="宋体" w:hAnsi="宋体" w:cs="宋体" w:eastAsia="宋体" w:hint="default"/>
                <w:sz w:val="18"/>
                <w:szCs w:val="18"/>
              </w:rPr>
            </w:pPr>
            <w:r>
              <w:rPr>
                <w:rFonts w:ascii="宋体" w:hAnsi="宋体" w:cs="宋体" w:eastAsia="宋体" w:hint="default"/>
                <w:sz w:val="18"/>
                <w:szCs w:val="18"/>
              </w:rPr>
              <w:t>神州数码信息服务 股份有限公司北京 分公司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both"/>
              <w:rPr>
                <w:rFonts w:ascii="宋体" w:hAnsi="宋体" w:cs="宋体" w:eastAsia="宋体" w:hint="default"/>
                <w:sz w:val="18"/>
                <w:szCs w:val="18"/>
              </w:rPr>
            </w:pPr>
            <w:r>
              <w:rPr>
                <w:rFonts w:ascii="宋体" w:hAnsi="宋体" w:cs="宋体" w:eastAsia="宋体" w:hint="default"/>
                <w:sz w:val="18"/>
                <w:szCs w:val="18"/>
              </w:rPr>
              <w:t>神州数码信息服务 股份有限公司北京 分公司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神州数码金信科技 股份有限公司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神州数码信息系统 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上海神州数码信息 技术服务有限公司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北京中农信达信息 技术有限公司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33"/>
              <w:jc w:val="left"/>
              <w:rPr>
                <w:rFonts w:ascii="宋体" w:hAnsi="宋体" w:cs="宋体" w:eastAsia="宋体" w:hint="default"/>
                <w:sz w:val="18"/>
                <w:szCs w:val="18"/>
              </w:rPr>
            </w:pPr>
            <w:r>
              <w:rPr>
                <w:rFonts w:ascii="宋体" w:hAnsi="宋体" w:cs="宋体" w:eastAsia="宋体" w:hint="default"/>
                <w:sz w:val="18"/>
                <w:szCs w:val="18"/>
              </w:rPr>
              <w:t>神州数码融信软件 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3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59"/>
              <w:jc w:val="righ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6840" w:h="11910" w:orient="landscape"/>
          <w:pgMar w:header="916" w:footer="1260" w:top="1160" w:bottom="1460" w:left="1300" w:right="1200"/>
        </w:sectPr>
      </w:pPr>
    </w:p>
    <w:p>
      <w:pPr>
        <w:spacing w:line="240" w:lineRule="auto" w:before="6"/>
        <w:rPr>
          <w:rFonts w:ascii="Times New Roman" w:hAnsi="Times New Roman" w:cs="Times New Roman" w:eastAsia="Times New Roman" w:hint="default"/>
          <w:sz w:val="3"/>
          <w:szCs w:val="3"/>
        </w:rPr>
      </w:pPr>
    </w:p>
    <w:tbl>
      <w:tblPr>
        <w:tblW w:w="0" w:type="auto"/>
        <w:jc w:val="left"/>
        <w:tblInd w:w="247" w:type="dxa"/>
        <w:tblLayout w:type="fixed"/>
        <w:tblCellMar>
          <w:top w:w="0" w:type="dxa"/>
          <w:left w:w="0" w:type="dxa"/>
          <w:bottom w:w="0" w:type="dxa"/>
          <w:right w:w="0" w:type="dxa"/>
        </w:tblCellMar>
        <w:tblLook w:val="01E0"/>
      </w:tblPr>
      <w:tblGrid>
        <w:gridCol w:w="1788"/>
        <w:gridCol w:w="1704"/>
        <w:gridCol w:w="1162"/>
        <w:gridCol w:w="1769"/>
        <w:gridCol w:w="562"/>
        <w:gridCol w:w="771"/>
        <w:gridCol w:w="1553"/>
        <w:gridCol w:w="1166"/>
        <w:gridCol w:w="385"/>
        <w:gridCol w:w="1430"/>
        <w:gridCol w:w="1680"/>
      </w:tblGrid>
      <w:tr>
        <w:trPr>
          <w:trHeight w:val="715"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33"/>
              <w:jc w:val="left"/>
              <w:rPr>
                <w:rFonts w:ascii="宋体" w:hAnsi="宋体" w:cs="宋体" w:eastAsia="宋体" w:hint="default"/>
                <w:sz w:val="18"/>
                <w:szCs w:val="18"/>
              </w:rPr>
            </w:pPr>
            <w:r>
              <w:rPr>
                <w:rFonts w:ascii="宋体" w:hAnsi="宋体" w:cs="宋体" w:eastAsia="宋体" w:hint="default"/>
                <w:sz w:val="18"/>
                <w:szCs w:val="18"/>
              </w:rPr>
              <w:t>深圳神州数码信息 技术服务有限公司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332" w:type="dxa"/>
            <w:gridSpan w:val="2"/>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34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3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62,500</w:t>
            </w:r>
          </w:p>
        </w:tc>
        <w:tc>
          <w:tcPr>
            <w:tcW w:w="34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报告期内对子公司担保实际发生额合计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3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420</w:t>
            </w:r>
          </w:p>
        </w:tc>
      </w:tr>
      <w:tr>
        <w:trPr>
          <w:trHeight w:val="721" w:hRule="exact"/>
        </w:trPr>
        <w:tc>
          <w:tcPr>
            <w:tcW w:w="34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报告期末已审批的对子公司担保额度合计</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3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62,500</w:t>
            </w:r>
          </w:p>
        </w:tc>
        <w:tc>
          <w:tcPr>
            <w:tcW w:w="34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报告期末对子公司实际担保余额合计</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3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420</w:t>
            </w:r>
          </w:p>
        </w:tc>
      </w:tr>
      <w:tr>
        <w:trPr>
          <w:trHeight w:val="454" w:hRule="exact"/>
        </w:trPr>
        <w:tc>
          <w:tcPr>
            <w:tcW w:w="139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34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3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504,785.8</w:t>
            </w:r>
          </w:p>
        </w:tc>
        <w:tc>
          <w:tcPr>
            <w:tcW w:w="34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报告期内担保实际发生额合计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3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176,700.89</w:t>
            </w:r>
          </w:p>
        </w:tc>
      </w:tr>
      <w:tr>
        <w:trPr>
          <w:trHeight w:val="713" w:hRule="exact"/>
        </w:trPr>
        <w:tc>
          <w:tcPr>
            <w:tcW w:w="34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34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628,785.8</w:t>
            </w:r>
          </w:p>
        </w:tc>
        <w:tc>
          <w:tcPr>
            <w:tcW w:w="34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349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100,479.46</w:t>
            </w:r>
          </w:p>
        </w:tc>
      </w:tr>
      <w:tr>
        <w:trPr>
          <w:trHeight w:val="471" w:hRule="exact"/>
        </w:trPr>
        <w:tc>
          <w:tcPr>
            <w:tcW w:w="698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698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19.25%</w:t>
            </w:r>
          </w:p>
        </w:tc>
      </w:tr>
      <w:tr>
        <w:trPr>
          <w:trHeight w:val="454" w:hRule="exact"/>
        </w:trPr>
        <w:tc>
          <w:tcPr>
            <w:tcW w:w="139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68" w:hRule="exact"/>
        </w:trPr>
        <w:tc>
          <w:tcPr>
            <w:tcW w:w="698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103"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698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72,031.53</w:t>
            </w:r>
          </w:p>
        </w:tc>
      </w:tr>
      <w:tr>
        <w:trPr>
          <w:trHeight w:val="466" w:hRule="exact"/>
        </w:trPr>
        <w:tc>
          <w:tcPr>
            <w:tcW w:w="698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698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72,031.53</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916" w:footer="1260" w:top="1120" w:bottom="1460" w:left="1300" w:right="1200"/>
        </w:sectPr>
      </w:pPr>
    </w:p>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140" w:right="17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140" w:right="9885"/>
        <w:jc w:val="left"/>
      </w:pPr>
      <w:r>
        <w:rPr/>
        <w:t>□ 适用 √</w:t>
      </w:r>
      <w:r>
        <w:rPr>
          <w:spacing w:val="3"/>
        </w:rPr>
        <w:t> </w:t>
      </w:r>
      <w:r>
        <w:rPr/>
        <w:t>不适用</w:t>
      </w:r>
      <w:r>
        <w:rPr/>
        <w:t> 公司报告期无违规对外担保情况。</w:t>
      </w:r>
    </w:p>
    <w:p>
      <w:pPr>
        <w:spacing w:line="240" w:lineRule="auto" w:before="4"/>
        <w:rPr>
          <w:rFonts w:ascii="宋体" w:hAnsi="宋体" w:cs="宋体" w:eastAsia="宋体" w:hint="default"/>
          <w:sz w:val="20"/>
          <w:szCs w:val="20"/>
        </w:rPr>
      </w:pPr>
    </w:p>
    <w:p>
      <w:pPr>
        <w:pStyle w:val="Heading4"/>
        <w:spacing w:line="240" w:lineRule="auto"/>
        <w:ind w:left="140" w:right="17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40" w:right="17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6840" w:h="11910" w:orient="landscape"/>
          <w:pgMar w:header="916" w:footer="1260" w:top="1120" w:bottom="1460" w:left="1300" w:right="1300"/>
        </w:sectPr>
      </w:pPr>
    </w:p>
    <w:p>
      <w:pPr>
        <w:pStyle w:val="BodyText"/>
        <w:spacing w:line="360" w:lineRule="auto" w:before="44"/>
        <w:ind w:left="140" w:right="-20"/>
        <w:jc w:val="left"/>
      </w:pPr>
      <w:r>
        <w:rPr/>
        <w:t>√ 适用 □</w:t>
      </w:r>
      <w:r>
        <w:rPr>
          <w:spacing w:val="3"/>
        </w:rPr>
        <w:t> </w:t>
      </w:r>
      <w:r>
        <w:rPr/>
        <w:t>不适用</w:t>
      </w:r>
      <w:r>
        <w:rPr/>
        <w:t>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40" w:right="0"/>
        <w:jc w:val="left"/>
      </w:pPr>
      <w:r>
        <w:rPr/>
        <w:t>单位：万元</w:t>
      </w:r>
    </w:p>
    <w:p>
      <w:pPr>
        <w:spacing w:after="0" w:line="240" w:lineRule="auto"/>
        <w:jc w:val="left"/>
        <w:sectPr>
          <w:type w:val="continuous"/>
          <w:pgSz w:w="16840" w:h="11910" w:orient="landscape"/>
          <w:pgMar w:top="1100" w:bottom="1460" w:left="1300" w:right="1300"/>
          <w:cols w:num="2" w:equalWidth="0">
            <w:col w:w="1941" w:space="11120"/>
            <w:col w:w="1179"/>
          </w:cols>
        </w:sectPr>
      </w:pP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2722"/>
        <w:gridCol w:w="2859"/>
        <w:gridCol w:w="2888"/>
        <w:gridCol w:w="2785"/>
        <w:gridCol w:w="2698"/>
      </w:tblGrid>
      <w:tr>
        <w:trPr>
          <w:trHeight w:val="464" w:hRule="exact"/>
        </w:trPr>
        <w:tc>
          <w:tcPr>
            <w:tcW w:w="2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612"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2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808"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2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未到期余额</w:t>
            </w:r>
          </w:p>
        </w:tc>
        <w:tc>
          <w:tcPr>
            <w:tcW w:w="2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624"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66"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120,900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55,080</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券商理财产品</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30,000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2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其他类</w:t>
            </w:r>
          </w:p>
        </w:tc>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41,000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25,000</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r>
      <w:tr>
        <w:trPr>
          <w:trHeight w:val="466" w:hRule="exact"/>
        </w:trPr>
        <w:tc>
          <w:tcPr>
            <w:tcW w:w="55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191,900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80,080</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6840" w:h="11910" w:orient="landscape"/>
          <w:pgMar w:top="1100" w:bottom="1460" w:left="1300" w:right="1300"/>
        </w:sectPr>
      </w:pPr>
    </w:p>
    <w:p>
      <w:pPr>
        <w:pStyle w:val="BodyText"/>
        <w:spacing w:line="240" w:lineRule="auto" w:before="49"/>
        <w:ind w:left="140" w:right="-20"/>
        <w:jc w:val="left"/>
      </w:pPr>
      <w:r>
        <w:rPr/>
        <w:t>单项金额重大或安全性较低、流动性较差、不保本的高风险委托理财具体情况</w:t>
      </w:r>
    </w:p>
    <w:p>
      <w:pPr>
        <w:pStyle w:val="BodyText"/>
        <w:spacing w:line="240" w:lineRule="auto" w:before="115"/>
        <w:ind w:left="140"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40" w:right="0"/>
        <w:jc w:val="left"/>
      </w:pPr>
      <w:r>
        <w:rPr/>
        <w:t>单位：万元</w:t>
      </w:r>
    </w:p>
    <w:p>
      <w:pPr>
        <w:spacing w:after="0" w:line="240" w:lineRule="auto"/>
        <w:jc w:val="left"/>
        <w:sectPr>
          <w:type w:val="continuous"/>
          <w:pgSz w:w="16840" w:h="11910" w:orient="landscape"/>
          <w:pgMar w:top="1100" w:bottom="1460" w:left="1300" w:right="1300"/>
          <w:cols w:num="2" w:equalWidth="0">
            <w:col w:w="6261" w:space="6800"/>
            <w:col w:w="1179"/>
          </w:cols>
        </w:sectPr>
      </w:pPr>
    </w:p>
    <w:p>
      <w:pPr>
        <w:spacing w:line="240" w:lineRule="auto" w:before="3"/>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975"/>
        <w:gridCol w:w="852"/>
        <w:gridCol w:w="612"/>
        <w:gridCol w:w="722"/>
        <w:gridCol w:w="590"/>
        <w:gridCol w:w="764"/>
        <w:gridCol w:w="766"/>
        <w:gridCol w:w="1356"/>
        <w:gridCol w:w="723"/>
        <w:gridCol w:w="742"/>
        <w:gridCol w:w="722"/>
        <w:gridCol w:w="833"/>
        <w:gridCol w:w="871"/>
        <w:gridCol w:w="855"/>
        <w:gridCol w:w="787"/>
        <w:gridCol w:w="874"/>
        <w:gridCol w:w="907"/>
      </w:tblGrid>
      <w:tr>
        <w:trPr>
          <w:trHeight w:val="1650" w:hRule="exact"/>
        </w:trPr>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19" w:right="123"/>
              <w:jc w:val="center"/>
              <w:rPr>
                <w:rFonts w:ascii="宋体" w:hAnsi="宋体" w:cs="宋体" w:eastAsia="宋体" w:hint="default"/>
                <w:sz w:val="18"/>
                <w:szCs w:val="18"/>
              </w:rPr>
            </w:pPr>
            <w:r>
              <w:rPr>
                <w:rFonts w:ascii="宋体" w:hAnsi="宋体" w:cs="宋体" w:eastAsia="宋体" w:hint="default"/>
                <w:sz w:val="18"/>
                <w:szCs w:val="18"/>
              </w:rPr>
              <w:t>受托机构 名称（或 受托人姓 名）</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8" w:right="151"/>
              <w:jc w:val="center"/>
              <w:rPr>
                <w:rFonts w:ascii="宋体" w:hAnsi="宋体" w:cs="宋体" w:eastAsia="宋体" w:hint="default"/>
                <w:sz w:val="18"/>
                <w:szCs w:val="18"/>
              </w:rPr>
            </w:pPr>
            <w:r>
              <w:rPr>
                <w:rFonts w:ascii="宋体" w:hAnsi="宋体" w:cs="宋体" w:eastAsia="宋体" w:hint="default"/>
                <w:sz w:val="18"/>
                <w:szCs w:val="18"/>
              </w:rPr>
              <w:t>受托机 构（或 受托 人）类 型</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119" w:right="120"/>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110" w:right="108"/>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86" w:right="107" w:hanging="180"/>
              <w:jc w:val="left"/>
              <w:rPr>
                <w:rFonts w:ascii="宋体" w:hAnsi="宋体" w:cs="宋体" w:eastAsia="宋体" w:hint="default"/>
                <w:sz w:val="18"/>
                <w:szCs w:val="18"/>
              </w:rPr>
            </w:pPr>
            <w:r>
              <w:rPr>
                <w:rFonts w:ascii="宋体" w:hAnsi="宋体" w:cs="宋体" w:eastAsia="宋体" w:hint="default"/>
                <w:sz w:val="18"/>
                <w:szCs w:val="18"/>
              </w:rPr>
              <w:t>起始日 期</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285" w:right="108" w:hanging="180"/>
              <w:jc w:val="left"/>
              <w:rPr>
                <w:rFonts w:ascii="宋体" w:hAnsi="宋体" w:cs="宋体" w:eastAsia="宋体" w:hint="default"/>
                <w:sz w:val="18"/>
                <w:szCs w:val="18"/>
              </w:rPr>
            </w:pPr>
            <w:r>
              <w:rPr>
                <w:rFonts w:ascii="宋体" w:hAnsi="宋体" w:cs="宋体" w:eastAsia="宋体" w:hint="default"/>
                <w:sz w:val="18"/>
                <w:szCs w:val="18"/>
              </w:rPr>
              <w:t>终止日 期</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资金投向</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75" w:right="177"/>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84" w:right="18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75" w:right="17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20"/>
              <w:ind w:left="266" w:right="175" w:hanging="92"/>
              <w:jc w:val="left"/>
              <w:rPr>
                <w:rFonts w:ascii="宋体" w:hAnsi="宋体" w:cs="宋体" w:eastAsia="宋体" w:hint="default"/>
                <w:sz w:val="18"/>
                <w:szCs w:val="18"/>
              </w:rPr>
            </w:pPr>
            <w:r>
              <w:rPr>
                <w:rFonts w:ascii="宋体" w:hAnsi="宋体" w:cs="宋体" w:eastAsia="宋体" w:hint="default"/>
                <w:sz w:val="18"/>
                <w:szCs w:val="18"/>
              </w:rPr>
              <w:t>（如 有</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39" w:right="143"/>
              <w:jc w:val="both"/>
              <w:rPr>
                <w:rFonts w:ascii="宋体" w:hAnsi="宋体" w:cs="宋体" w:eastAsia="宋体" w:hint="default"/>
                <w:sz w:val="18"/>
                <w:szCs w:val="18"/>
              </w:rPr>
            </w:pPr>
            <w:r>
              <w:rPr>
                <w:rFonts w:ascii="宋体" w:hAnsi="宋体" w:cs="宋体" w:eastAsia="宋体" w:hint="default"/>
                <w:sz w:val="18"/>
                <w:szCs w:val="18"/>
              </w:rPr>
              <w:t>报告期 实际损 益金额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0" w:right="158"/>
              <w:jc w:val="both"/>
              <w:rPr>
                <w:rFonts w:ascii="宋体" w:hAnsi="宋体" w:cs="宋体" w:eastAsia="宋体" w:hint="default"/>
                <w:sz w:val="18"/>
                <w:szCs w:val="18"/>
              </w:rPr>
            </w:pPr>
            <w:r>
              <w:rPr>
                <w:rFonts w:ascii="宋体" w:hAnsi="宋体" w:cs="宋体" w:eastAsia="宋体" w:hint="default"/>
                <w:sz w:val="18"/>
                <w:szCs w:val="18"/>
              </w:rPr>
              <w:t>报告期 损益实 际收回 情况</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51" w:right="152"/>
              <w:jc w:val="both"/>
              <w:rPr>
                <w:rFonts w:ascii="宋体" w:hAnsi="宋体" w:cs="宋体" w:eastAsia="宋体" w:hint="default"/>
                <w:sz w:val="18"/>
                <w:szCs w:val="18"/>
              </w:rPr>
            </w:pPr>
            <w:r>
              <w:rPr>
                <w:rFonts w:ascii="宋体" w:hAnsi="宋体" w:cs="宋体" w:eastAsia="宋体" w:hint="default"/>
                <w:sz w:val="18"/>
                <w:szCs w:val="18"/>
              </w:rPr>
              <w:t>计提减 值准备 金额</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17" w:right="119"/>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0" w:right="161"/>
              <w:jc w:val="both"/>
              <w:rPr>
                <w:rFonts w:ascii="宋体" w:hAnsi="宋体" w:cs="宋体" w:eastAsia="宋体" w:hint="default"/>
                <w:sz w:val="18"/>
                <w:szCs w:val="18"/>
              </w:rPr>
            </w:pPr>
            <w:r>
              <w:rPr>
                <w:rFonts w:ascii="宋体" w:hAnsi="宋体" w:cs="宋体" w:eastAsia="宋体" w:hint="default"/>
                <w:sz w:val="18"/>
                <w:szCs w:val="18"/>
              </w:rPr>
              <w:t>未来是 否还有 委托理 财计划</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77" w:right="179"/>
              <w:jc w:val="both"/>
              <w:rPr>
                <w:rFonts w:ascii="宋体" w:hAnsi="宋体" w:cs="宋体" w:eastAsia="宋体" w:hint="default"/>
                <w:sz w:val="18"/>
                <w:szCs w:val="18"/>
              </w:rPr>
            </w:pPr>
            <w:r>
              <w:rPr>
                <w:rFonts w:ascii="宋体" w:hAnsi="宋体" w:cs="宋体" w:eastAsia="宋体" w:hint="default"/>
                <w:sz w:val="18"/>
                <w:szCs w:val="18"/>
              </w:rPr>
              <w:t>事项概 述及相 关查询 索引</w:t>
            </w:r>
          </w:p>
        </w:tc>
      </w:tr>
    </w:tbl>
    <w:p>
      <w:pPr>
        <w:spacing w:after="0" w:line="316" w:lineRule="auto"/>
        <w:jc w:val="both"/>
        <w:rPr>
          <w:rFonts w:ascii="宋体" w:hAnsi="宋体" w:cs="宋体" w:eastAsia="宋体" w:hint="default"/>
          <w:sz w:val="18"/>
          <w:szCs w:val="18"/>
        </w:rPr>
        <w:sectPr>
          <w:type w:val="continuous"/>
          <w:pgSz w:w="16840" w:h="11910" w:orient="landscape"/>
          <w:pgMar w:top="1100" w:bottom="1460" w:left="1300" w:right="1300"/>
        </w:sectPr>
      </w:pPr>
    </w:p>
    <w:p>
      <w:pPr>
        <w:spacing w:line="240" w:lineRule="auto" w:before="2"/>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975"/>
        <w:gridCol w:w="852"/>
        <w:gridCol w:w="612"/>
        <w:gridCol w:w="722"/>
        <w:gridCol w:w="590"/>
        <w:gridCol w:w="764"/>
        <w:gridCol w:w="766"/>
        <w:gridCol w:w="1356"/>
        <w:gridCol w:w="723"/>
        <w:gridCol w:w="742"/>
        <w:gridCol w:w="722"/>
        <w:gridCol w:w="833"/>
        <w:gridCol w:w="871"/>
        <w:gridCol w:w="855"/>
        <w:gridCol w:w="787"/>
        <w:gridCol w:w="874"/>
        <w:gridCol w:w="907"/>
      </w:tblGrid>
      <w:tr>
        <w:trPr>
          <w:trHeight w:val="1339"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41"/>
              <w:jc w:val="both"/>
              <w:rPr>
                <w:rFonts w:ascii="宋体" w:hAnsi="宋体" w:cs="宋体" w:eastAsia="宋体" w:hint="default"/>
                <w:sz w:val="18"/>
                <w:szCs w:val="18"/>
              </w:rPr>
            </w:pPr>
            <w:r>
              <w:rPr>
                <w:rFonts w:ascii="宋体" w:hAnsi="宋体" w:cs="宋体" w:eastAsia="宋体" w:hint="default"/>
                <w:sz w:val="18"/>
                <w:szCs w:val="18"/>
              </w:rPr>
              <w:t>中信银行 北京知春 路支行</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137"/>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03" w:right="115"/>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61"/>
              <w:jc w:val="both"/>
              <w:rPr>
                <w:rFonts w:ascii="宋体" w:hAnsi="宋体" w:cs="宋体" w:eastAsia="宋体" w:hint="default"/>
                <w:sz w:val="18"/>
                <w:szCs w:val="18"/>
              </w:rPr>
            </w:pPr>
            <w:r>
              <w:rPr>
                <w:rFonts w:ascii="宋体" w:hAnsi="宋体" w:cs="宋体" w:eastAsia="宋体" w:hint="default"/>
                <w:sz w:val="18"/>
                <w:szCs w:val="18"/>
              </w:rPr>
              <w:t>固定收益类产 品（债券、票 据等）、债权 类资产</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49"/>
              <w:jc w:val="both"/>
              <w:rPr>
                <w:rFonts w:ascii="宋体" w:hAnsi="宋体" w:cs="宋体" w:eastAsia="宋体" w:hint="default"/>
                <w:sz w:val="18"/>
                <w:szCs w:val="18"/>
              </w:rPr>
            </w:pPr>
            <w:r>
              <w:rPr>
                <w:rFonts w:ascii="宋体" w:hAnsi="宋体" w:cs="宋体" w:eastAsia="宋体" w:hint="default"/>
                <w:sz w:val="18"/>
                <w:szCs w:val="18"/>
              </w:rPr>
              <w:t>到期 后还 本付 息</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4.30%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107.21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107.21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已收回</w:t>
            </w:r>
          </w:p>
        </w:tc>
        <w:tc>
          <w:tcPr>
            <w:tcW w:w="855"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07"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4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15" w:right="0"/>
              <w:jc w:val="left"/>
              <w:rPr>
                <w:rFonts w:ascii="Times New Roman" w:hAnsi="Times New Roman" w:cs="Times New Roman" w:eastAsia="Times New Roman" w:hint="default"/>
                <w:sz w:val="18"/>
                <w:szCs w:val="18"/>
              </w:rPr>
            </w:pPr>
            <w:r>
              <w:rPr>
                <w:rFonts w:ascii="Times New Roman"/>
                <w:sz w:val="18"/>
              </w:rPr>
              <w:t>10,000</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107.21</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4"/>
              <w:jc w:val="right"/>
              <w:rPr>
                <w:rFonts w:ascii="Times New Roman" w:hAnsi="Times New Roman" w:cs="Times New Roman" w:eastAsia="Times New Roman" w:hint="default"/>
                <w:sz w:val="18"/>
                <w:szCs w:val="18"/>
              </w:rPr>
            </w:pPr>
            <w:r>
              <w:rPr>
                <w:rFonts w:ascii="Times New Roman"/>
                <w:spacing w:val="-1"/>
                <w:sz w:val="18"/>
              </w:rPr>
              <w:t>107.21</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c>
          <w:tcPr>
            <w:tcW w:w="855"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140" w:right="0"/>
        <w:jc w:val="left"/>
      </w:pPr>
      <w:r>
        <w:rPr/>
        <w:t>委托理财出现预期无法收回本金或存在其他可能导致减值的情形</w:t>
      </w:r>
    </w:p>
    <w:p>
      <w:pPr>
        <w:pStyle w:val="BodyText"/>
        <w:spacing w:line="240" w:lineRule="auto" w:before="118"/>
        <w:ind w:left="140"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left="140"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140" w:right="11778"/>
        <w:jc w:val="left"/>
      </w:pPr>
      <w:r>
        <w:rPr/>
        <w:t>□ 适用 √</w:t>
      </w:r>
      <w:r>
        <w:rPr>
          <w:spacing w:val="3"/>
        </w:rPr>
        <w:t> </w:t>
      </w:r>
      <w:r>
        <w:rPr/>
        <w:t>不适用</w:t>
      </w:r>
      <w:r>
        <w:rPr/>
        <w:t> 公司报告期不存在委托贷款。</w:t>
      </w:r>
    </w:p>
    <w:p>
      <w:pPr>
        <w:spacing w:line="240" w:lineRule="auto" w:before="4"/>
        <w:rPr>
          <w:rFonts w:ascii="宋体" w:hAnsi="宋体" w:cs="宋体" w:eastAsia="宋体" w:hint="default"/>
          <w:sz w:val="20"/>
          <w:szCs w:val="20"/>
        </w:rPr>
      </w:pPr>
    </w:p>
    <w:p>
      <w:pPr>
        <w:pStyle w:val="Heading4"/>
        <w:spacing w:line="240" w:lineRule="auto"/>
        <w:ind w:left="140"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40"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1011"/>
        <w:gridCol w:w="1514"/>
        <w:gridCol w:w="1801"/>
        <w:gridCol w:w="931"/>
        <w:gridCol w:w="974"/>
        <w:gridCol w:w="1034"/>
        <w:gridCol w:w="752"/>
        <w:gridCol w:w="763"/>
        <w:gridCol w:w="646"/>
        <w:gridCol w:w="691"/>
        <w:gridCol w:w="583"/>
        <w:gridCol w:w="586"/>
        <w:gridCol w:w="794"/>
        <w:gridCol w:w="859"/>
        <w:gridCol w:w="1075"/>
      </w:tblGrid>
      <w:tr>
        <w:trPr>
          <w:trHeight w:val="1027" w:hRule="exact"/>
        </w:trPr>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9" w:right="48" w:hanging="89"/>
              <w:jc w:val="left"/>
              <w:rPr>
                <w:rFonts w:ascii="宋体" w:hAnsi="宋体" w:cs="宋体" w:eastAsia="宋体" w:hint="default"/>
                <w:sz w:val="18"/>
                <w:szCs w:val="18"/>
              </w:rPr>
            </w:pPr>
            <w:r>
              <w:rPr>
                <w:rFonts w:ascii="宋体" w:hAnsi="宋体" w:cs="宋体" w:eastAsia="宋体" w:hint="default"/>
                <w:sz w:val="18"/>
                <w:szCs w:val="18"/>
              </w:rPr>
              <w:t>合同订立公 司方名称</w:t>
            </w:r>
          </w:p>
        </w:tc>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合同订立对方名称</w:t>
            </w:r>
          </w:p>
        </w:tc>
        <w:tc>
          <w:tcPr>
            <w:tcW w:w="1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35" w:right="0"/>
              <w:jc w:val="left"/>
              <w:rPr>
                <w:rFonts w:ascii="宋体" w:hAnsi="宋体" w:cs="宋体" w:eastAsia="宋体" w:hint="default"/>
                <w:sz w:val="18"/>
                <w:szCs w:val="18"/>
              </w:rPr>
            </w:pPr>
            <w:r>
              <w:rPr>
                <w:rFonts w:ascii="宋体" w:hAnsi="宋体" w:cs="宋体" w:eastAsia="宋体" w:hint="default"/>
                <w:sz w:val="18"/>
                <w:szCs w:val="18"/>
              </w:rPr>
              <w:t>合同标的</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0" w:right="98"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31"/>
              <w:jc w:val="both"/>
              <w:rPr>
                <w:rFonts w:ascii="宋体" w:hAnsi="宋体" w:cs="宋体" w:eastAsia="宋体" w:hint="default"/>
                <w:sz w:val="18"/>
                <w:szCs w:val="18"/>
              </w:rPr>
            </w:pPr>
            <w:r>
              <w:rPr>
                <w:rFonts w:ascii="宋体" w:hAnsi="宋体" w:cs="宋体" w:eastAsia="宋体" w:hint="default"/>
                <w:sz w:val="18"/>
                <w:szCs w:val="18"/>
              </w:rPr>
              <w:t>合同涉及资 产的账面价 值（万元）</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合同涉及资 产的评估价 值（万元）</w:t>
            </w:r>
          </w:p>
        </w:tc>
        <w:tc>
          <w:tcPr>
            <w:tcW w:w="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1" w:right="98"/>
              <w:jc w:val="left"/>
              <w:rPr>
                <w:rFonts w:ascii="宋体" w:hAnsi="宋体" w:cs="宋体" w:eastAsia="宋体" w:hint="default"/>
                <w:sz w:val="18"/>
                <w:szCs w:val="18"/>
              </w:rPr>
            </w:pPr>
            <w:r>
              <w:rPr>
                <w:rFonts w:ascii="宋体" w:hAnsi="宋体" w:cs="宋体" w:eastAsia="宋体" w:hint="default"/>
                <w:sz w:val="18"/>
                <w:szCs w:val="18"/>
              </w:rPr>
              <w:t>评估机 构名称</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94" w:right="107" w:hanging="89"/>
              <w:jc w:val="left"/>
              <w:rPr>
                <w:rFonts w:ascii="宋体" w:hAnsi="宋体" w:cs="宋体" w:eastAsia="宋体" w:hint="default"/>
                <w:sz w:val="18"/>
                <w:szCs w:val="18"/>
              </w:rPr>
            </w:pPr>
            <w:r>
              <w:rPr>
                <w:rFonts w:ascii="宋体" w:hAnsi="宋体" w:cs="宋体" w:eastAsia="宋体" w:hint="default"/>
                <w:sz w:val="18"/>
                <w:szCs w:val="18"/>
              </w:rPr>
              <w:t>评估基 准日</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357" w:lineRule="auto"/>
              <w:ind w:left="136" w:right="137"/>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7"/>
              <w:jc w:val="both"/>
              <w:rPr>
                <w:rFonts w:ascii="宋体" w:hAnsi="宋体" w:cs="宋体" w:eastAsia="宋体" w:hint="default"/>
                <w:sz w:val="18"/>
                <w:szCs w:val="18"/>
              </w:rPr>
            </w:pPr>
            <w:r>
              <w:rPr>
                <w:rFonts w:ascii="宋体" w:hAnsi="宋体" w:cs="宋体" w:eastAsia="宋体" w:hint="default"/>
                <w:sz w:val="18"/>
                <w:szCs w:val="18"/>
              </w:rPr>
              <w:t>是否 关联 交易</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106"/>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29"/>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5"/>
              <w:jc w:val="both"/>
              <w:rPr>
                <w:rFonts w:ascii="宋体" w:hAnsi="宋体" w:cs="宋体" w:eastAsia="宋体" w:hint="default"/>
                <w:sz w:val="18"/>
                <w:szCs w:val="18"/>
              </w:rPr>
            </w:pPr>
            <w:r>
              <w:rPr>
                <w:rFonts w:ascii="宋体" w:hAnsi="宋体" w:cs="宋体" w:eastAsia="宋体" w:hint="default"/>
                <w:sz w:val="18"/>
                <w:szCs w:val="18"/>
              </w:rPr>
              <w:t>北京旗硕基 业科技股份 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8"/>
              <w:jc w:val="both"/>
              <w:rPr>
                <w:rFonts w:ascii="宋体" w:hAnsi="宋体" w:cs="宋体" w:eastAsia="宋体" w:hint="default"/>
                <w:sz w:val="18"/>
                <w:szCs w:val="18"/>
              </w:rPr>
            </w:pPr>
            <w:r>
              <w:rPr>
                <w:rFonts w:ascii="宋体" w:hAnsi="宋体" w:cs="宋体" w:eastAsia="宋体" w:hint="default"/>
                <w:sz w:val="18"/>
                <w:szCs w:val="18"/>
              </w:rPr>
              <w:t>农业部规划设计院 设施农业研究所、 北京华农农业工程 技术有限公司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《战略合作协议》</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4" w:right="38"/>
              <w:jc w:val="left"/>
              <w:rPr>
                <w:rFonts w:ascii="宋体" w:hAnsi="宋体" w:cs="宋体" w:eastAsia="宋体" w:hint="default"/>
                <w:sz w:val="18"/>
                <w:szCs w:val="18"/>
              </w:rPr>
            </w:pPr>
            <w:r>
              <w:rPr>
                <w:rFonts w:ascii="宋体" w:hAnsi="宋体" w:cs="宋体" w:eastAsia="宋体" w:hint="default"/>
                <w:sz w:val="18"/>
                <w:szCs w:val="18"/>
              </w:rPr>
              <w:t>正在履行 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//www.cninfo</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w:t>
            </w:r>
            <w:r>
              <w:rPr>
                <w:rFonts w:ascii="宋体" w:hAnsi="宋体" w:cs="宋体" w:eastAsia="宋体" w:hint="default"/>
                <w:sz w:val="18"/>
                <w:szCs w:val="18"/>
              </w:rPr>
              <w:t>）</w:t>
            </w:r>
          </w:p>
        </w:tc>
      </w:tr>
      <w:tr>
        <w:trPr>
          <w:trHeight w:val="1340"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75"/>
              <w:jc w:val="both"/>
              <w:rPr>
                <w:rFonts w:ascii="宋体" w:hAnsi="宋体" w:cs="宋体" w:eastAsia="宋体" w:hint="default"/>
                <w:sz w:val="18"/>
                <w:szCs w:val="18"/>
              </w:rPr>
            </w:pPr>
            <w:r>
              <w:rPr>
                <w:rFonts w:ascii="宋体" w:hAnsi="宋体" w:cs="宋体" w:eastAsia="宋体" w:hint="default"/>
                <w:sz w:val="18"/>
                <w:szCs w:val="18"/>
              </w:rPr>
              <w:t>神州数码融 信软件有限 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中国进出口银行</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《中标通知书》</w:t>
            </w:r>
          </w:p>
          <w:p>
            <w:pPr>
              <w:pStyle w:val="TableParagraph"/>
              <w:spacing w:line="319" w:lineRule="auto" w:before="117"/>
              <w:ind w:left="23" w:right="146"/>
              <w:jc w:val="both"/>
              <w:rPr>
                <w:rFonts w:ascii="宋体" w:hAnsi="宋体" w:cs="宋体" w:eastAsia="宋体" w:hint="default"/>
                <w:sz w:val="18"/>
                <w:szCs w:val="18"/>
              </w:rPr>
            </w:pPr>
            <w:r>
              <w:rPr>
                <w:rFonts w:ascii="宋体" w:hAnsi="宋体" w:cs="宋体" w:eastAsia="宋体" w:hint="default"/>
                <w:sz w:val="18"/>
                <w:szCs w:val="18"/>
              </w:rPr>
              <w:t>《中国进出口银行新 核心系统项目软件许 可及开发实施服务合</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3,800</w:t>
            </w:r>
          </w:p>
        </w:tc>
        <w:tc>
          <w:tcPr>
            <w:tcW w:w="103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已终止</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//www.cninfo</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6840" w:h="11910" w:orient="landscape"/>
          <w:pgMar w:header="916" w:footer="1260" w:top="1120" w:bottom="1460" w:left="1300" w:right="1260"/>
        </w:sectPr>
      </w:pPr>
    </w:p>
    <w:tbl>
      <w:tblPr>
        <w:tblW w:w="0" w:type="auto"/>
        <w:jc w:val="left"/>
        <w:tblInd w:w="140" w:type="dxa"/>
        <w:tblLayout w:type="fixed"/>
        <w:tblCellMar>
          <w:top w:w="0" w:type="dxa"/>
          <w:left w:w="0" w:type="dxa"/>
          <w:bottom w:w="0" w:type="dxa"/>
          <w:right w:w="0" w:type="dxa"/>
        </w:tblCellMar>
        <w:tblLook w:val="01E0"/>
      </w:tblPr>
      <w:tblGrid>
        <w:gridCol w:w="1011"/>
        <w:gridCol w:w="1514"/>
        <w:gridCol w:w="1801"/>
        <w:gridCol w:w="931"/>
        <w:gridCol w:w="974"/>
        <w:gridCol w:w="1034"/>
        <w:gridCol w:w="752"/>
        <w:gridCol w:w="763"/>
        <w:gridCol w:w="646"/>
        <w:gridCol w:w="691"/>
        <w:gridCol w:w="583"/>
        <w:gridCol w:w="586"/>
        <w:gridCol w:w="794"/>
        <w:gridCol w:w="859"/>
        <w:gridCol w:w="1075"/>
      </w:tblGrid>
      <w:tr>
        <w:trPr>
          <w:trHeight w:val="362" w:hRule="exact"/>
        </w:trPr>
        <w:tc>
          <w:tcPr>
            <w:tcW w:w="1011"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同终止协议》</w:t>
            </w:r>
          </w:p>
        </w:tc>
        <w:tc>
          <w:tcPr>
            <w:tcW w:w="931"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5"/>
              <w:jc w:val="both"/>
              <w:rPr>
                <w:rFonts w:ascii="宋体" w:hAnsi="宋体" w:cs="宋体" w:eastAsia="宋体" w:hint="default"/>
                <w:sz w:val="18"/>
                <w:szCs w:val="18"/>
              </w:rPr>
            </w:pPr>
            <w:r>
              <w:rPr>
                <w:rFonts w:ascii="宋体" w:hAnsi="宋体" w:cs="宋体" w:eastAsia="宋体" w:hint="default"/>
                <w:sz w:val="18"/>
                <w:szCs w:val="18"/>
              </w:rPr>
              <w:t>神州数码系 统集成服务 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38"/>
              <w:jc w:val="left"/>
              <w:rPr>
                <w:rFonts w:ascii="宋体" w:hAnsi="宋体" w:cs="宋体" w:eastAsia="宋体" w:hint="default"/>
                <w:sz w:val="18"/>
                <w:szCs w:val="18"/>
              </w:rPr>
            </w:pPr>
            <w:r>
              <w:rPr>
                <w:rFonts w:ascii="宋体" w:hAnsi="宋体" w:cs="宋体" w:eastAsia="宋体" w:hint="default"/>
                <w:sz w:val="18"/>
                <w:szCs w:val="18"/>
              </w:rPr>
              <w:t>广东美的制冷设备 有限公司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《广东美的制冷设备 有限公司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终端桌面 服务外包及服务项目 框架合同》</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4,409.62</w:t>
            </w:r>
          </w:p>
        </w:tc>
        <w:tc>
          <w:tcPr>
            <w:tcW w:w="103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38"/>
              <w:jc w:val="left"/>
              <w:rPr>
                <w:rFonts w:ascii="宋体" w:hAnsi="宋体" w:cs="宋体" w:eastAsia="宋体" w:hint="default"/>
                <w:sz w:val="18"/>
                <w:szCs w:val="18"/>
              </w:rPr>
            </w:pPr>
            <w:r>
              <w:rPr>
                <w:rFonts w:ascii="宋体" w:hAnsi="宋体" w:cs="宋体" w:eastAsia="宋体" w:hint="default"/>
                <w:sz w:val="18"/>
                <w:szCs w:val="18"/>
              </w:rPr>
              <w:t>正在履行 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//www.cninfo</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w:t>
            </w:r>
            <w:r>
              <w:rPr>
                <w:rFonts w:ascii="宋体" w:hAnsi="宋体" w:cs="宋体" w:eastAsia="宋体" w:hint="default"/>
                <w:sz w:val="18"/>
                <w:szCs w:val="18"/>
              </w:rPr>
              <w:t>）</w:t>
            </w:r>
          </w:p>
        </w:tc>
      </w:tr>
      <w:tr>
        <w:trPr>
          <w:trHeight w:val="1961"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75"/>
              <w:jc w:val="both"/>
              <w:rPr>
                <w:rFonts w:ascii="宋体" w:hAnsi="宋体" w:cs="宋体" w:eastAsia="宋体" w:hint="default"/>
                <w:sz w:val="18"/>
                <w:szCs w:val="18"/>
              </w:rPr>
            </w:pPr>
            <w:r>
              <w:rPr>
                <w:rFonts w:ascii="宋体" w:hAnsi="宋体" w:cs="宋体" w:eastAsia="宋体" w:hint="default"/>
                <w:sz w:val="18"/>
                <w:szCs w:val="18"/>
              </w:rPr>
              <w:t>神州数码信 息系统有限 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97"/>
              <w:jc w:val="both"/>
              <w:rPr>
                <w:rFonts w:ascii="宋体" w:hAnsi="宋体" w:cs="宋体" w:eastAsia="宋体" w:hint="default"/>
                <w:sz w:val="18"/>
                <w:szCs w:val="18"/>
              </w:rPr>
            </w:pPr>
            <w:r>
              <w:rPr>
                <w:rFonts w:ascii="宋体" w:hAnsi="宋体" w:cs="宋体" w:eastAsia="宋体" w:hint="default"/>
                <w:sz w:val="18"/>
                <w:szCs w:val="18"/>
              </w:rPr>
              <w:t>《国家税务总局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年财税库银税收收入 电子缴库横向联网系 统升级完善及国税地 税机构改革软件服务 项目中标公告》</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3,438.21</w:t>
            </w:r>
          </w:p>
        </w:tc>
        <w:tc>
          <w:tcPr>
            <w:tcW w:w="103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正在履行 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//www.cninfo</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w:t>
            </w:r>
            <w:r>
              <w:rPr>
                <w:rFonts w:ascii="宋体" w:hAnsi="宋体" w:cs="宋体" w:eastAsia="宋体" w:hint="default"/>
                <w:sz w:val="18"/>
                <w:szCs w:val="18"/>
              </w:rPr>
              <w:t>）</w:t>
            </w:r>
          </w:p>
        </w:tc>
      </w:tr>
      <w:tr>
        <w:trPr>
          <w:trHeight w:val="1652"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75"/>
              <w:jc w:val="both"/>
              <w:rPr>
                <w:rFonts w:ascii="宋体" w:hAnsi="宋体" w:cs="宋体" w:eastAsia="宋体" w:hint="default"/>
                <w:sz w:val="18"/>
                <w:szCs w:val="18"/>
              </w:rPr>
            </w:pPr>
            <w:r>
              <w:rPr>
                <w:rFonts w:ascii="宋体" w:hAnsi="宋体" w:cs="宋体" w:eastAsia="宋体" w:hint="default"/>
                <w:sz w:val="18"/>
                <w:szCs w:val="18"/>
              </w:rPr>
              <w:t>神州数码信 息系统有限 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年金税三期管 理决策支持系统升级 完善及运维和机构改 革软件服务项目（</w:t>
            </w:r>
            <w:r>
              <w:rPr>
                <w:rFonts w:ascii="Times New Roman" w:hAnsi="Times New Roman" w:cs="Times New Roman" w:eastAsia="Times New Roman" w:hint="default"/>
                <w:sz w:val="18"/>
                <w:szCs w:val="18"/>
              </w:rPr>
              <w:t>1 </w:t>
            </w:r>
            <w:r>
              <w:rPr>
                <w:rFonts w:ascii="宋体" w:hAnsi="宋体" w:cs="宋体" w:eastAsia="宋体" w:hint="default"/>
                <w:sz w:val="18"/>
                <w:szCs w:val="18"/>
              </w:rPr>
              <w:t>包）》</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6,988.35</w:t>
            </w:r>
          </w:p>
        </w:tc>
        <w:tc>
          <w:tcPr>
            <w:tcW w:w="103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正在履行 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//www.cninfo</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w:t>
            </w:r>
            <w:r>
              <w:rPr>
                <w:rFonts w:ascii="宋体" w:hAnsi="宋体" w:cs="宋体" w:eastAsia="宋体" w:hint="default"/>
                <w:sz w:val="18"/>
                <w:szCs w:val="18"/>
              </w:rPr>
              <w:t>）</w:t>
            </w:r>
          </w:p>
        </w:tc>
      </w:tr>
      <w:tr>
        <w:trPr>
          <w:trHeight w:val="1337"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5"/>
              <w:jc w:val="both"/>
              <w:rPr>
                <w:rFonts w:ascii="宋体" w:hAnsi="宋体" w:cs="宋体" w:eastAsia="宋体" w:hint="default"/>
                <w:sz w:val="18"/>
                <w:szCs w:val="18"/>
              </w:rPr>
            </w:pPr>
            <w:r>
              <w:rPr>
                <w:rFonts w:ascii="宋体" w:hAnsi="宋体" w:cs="宋体" w:eastAsia="宋体" w:hint="default"/>
                <w:sz w:val="18"/>
                <w:szCs w:val="18"/>
              </w:rPr>
              <w:t>神州数码系 统集成服务 有限公司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23" w:right="65"/>
              <w:jc w:val="left"/>
              <w:rPr>
                <w:rFonts w:ascii="宋体" w:hAnsi="宋体" w:cs="宋体" w:eastAsia="宋体" w:hint="default"/>
                <w:sz w:val="18"/>
                <w:szCs w:val="18"/>
              </w:rPr>
            </w:pPr>
            <w:r>
              <w:rPr>
                <w:rFonts w:ascii="宋体" w:hAnsi="宋体" w:cs="宋体" w:eastAsia="宋体" w:hint="default"/>
                <w:sz w:val="18"/>
                <w:szCs w:val="18"/>
              </w:rPr>
              <w:t>《网络与机房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 业务外包合同采购说 明书（</w:t>
            </w:r>
            <w:r>
              <w:rPr>
                <w:rFonts w:ascii="Times New Roman" w:hAnsi="Times New Roman" w:cs="Times New Roman" w:eastAsia="Times New Roman" w:hint="default"/>
                <w:sz w:val="18"/>
                <w:szCs w:val="18"/>
              </w:rPr>
              <w:t>SOW</w:t>
            </w:r>
            <w:r>
              <w:rPr>
                <w:rFonts w:ascii="宋体" w:hAnsi="宋体" w:cs="宋体" w:eastAsia="宋体" w:hint="default"/>
                <w:sz w:val="18"/>
                <w:szCs w:val="18"/>
              </w:rPr>
              <w:t>）》</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38"/>
              <w:jc w:val="left"/>
              <w:rPr>
                <w:rFonts w:ascii="宋体" w:hAnsi="宋体" w:cs="宋体" w:eastAsia="宋体" w:hint="default"/>
                <w:sz w:val="18"/>
                <w:szCs w:val="18"/>
              </w:rPr>
            </w:pPr>
            <w:r>
              <w:rPr>
                <w:rFonts w:ascii="宋体" w:hAnsi="宋体" w:cs="宋体" w:eastAsia="宋体" w:hint="default"/>
                <w:sz w:val="18"/>
                <w:szCs w:val="18"/>
              </w:rPr>
              <w:t>正在履行 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//www.cninfo</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w:t>
            </w:r>
            <w:r>
              <w:rPr>
                <w:rFonts w:ascii="宋体" w:hAnsi="宋体" w:cs="宋体" w:eastAsia="宋体" w:hint="default"/>
                <w:sz w:val="18"/>
                <w:szCs w:val="18"/>
              </w:rPr>
              <w:t>）</w:t>
            </w:r>
          </w:p>
        </w:tc>
      </w:tr>
      <w:tr>
        <w:trPr>
          <w:trHeight w:val="1339" w:hRule="exact"/>
        </w:trPr>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75"/>
              <w:jc w:val="both"/>
              <w:rPr>
                <w:rFonts w:ascii="宋体" w:hAnsi="宋体" w:cs="宋体" w:eastAsia="宋体" w:hint="default"/>
                <w:sz w:val="18"/>
                <w:szCs w:val="18"/>
              </w:rPr>
            </w:pPr>
            <w:r>
              <w:rPr>
                <w:rFonts w:ascii="宋体" w:hAnsi="宋体" w:cs="宋体" w:eastAsia="宋体" w:hint="default"/>
                <w:sz w:val="18"/>
                <w:szCs w:val="18"/>
              </w:rPr>
              <w:t>神州数码信 息系统有限 公司</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年金税三期管 理决策系统升级完善 及运维项目（第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包）合同书》</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5,239.08</w:t>
            </w:r>
          </w:p>
        </w:tc>
        <w:tc>
          <w:tcPr>
            <w:tcW w:w="1034" w:type="dxa"/>
            <w:tcBorders>
              <w:top w:val="single" w:sz="4" w:space="0" w:color="000000"/>
              <w:left w:val="single" w:sz="4" w:space="0" w:color="000000"/>
              <w:bottom w:val="single" w:sz="4" w:space="0" w:color="000000"/>
              <w:right w:val="single" w:sz="4" w:space="0" w:color="000000"/>
            </w:tcBorders>
          </w:tcPr>
          <w:p>
            <w:pP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38"/>
              <w:jc w:val="left"/>
              <w:rPr>
                <w:rFonts w:ascii="宋体" w:hAnsi="宋体" w:cs="宋体" w:eastAsia="宋体" w:hint="default"/>
                <w:sz w:val="18"/>
                <w:szCs w:val="18"/>
              </w:rPr>
            </w:pPr>
            <w:r>
              <w:rPr>
                <w:rFonts w:ascii="宋体" w:hAnsi="宋体" w:cs="宋体" w:eastAsia="宋体" w:hint="default"/>
                <w:sz w:val="18"/>
                <w:szCs w:val="18"/>
              </w:rPr>
              <w:t>正在履行 中</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r>
              <w:rPr>
                <w:rFonts w:ascii="宋体" w:hAnsi="宋体" w:cs="宋体" w:eastAsia="宋体" w:hint="default"/>
                <w:sz w:val="18"/>
                <w:szCs w:val="18"/>
              </w:rPr>
              <w:t>：</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//www.cninfo</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6840" w:h="11910" w:orient="landscape"/>
          <w:pgMar w:header="916" w:footer="1260" w:top="1160" w:bottom="1460" w:left="1300" w:right="1260"/>
        </w:sectPr>
      </w:pPr>
    </w:p>
    <w:p>
      <w:pPr>
        <w:spacing w:line="240" w:lineRule="auto" w:before="8"/>
        <w:rPr>
          <w:rFonts w:ascii="宋体" w:hAnsi="宋体" w:cs="宋体" w:eastAsia="宋体" w:hint="default"/>
          <w:sz w:val="18"/>
          <w:szCs w:val="18"/>
        </w:rPr>
      </w:pPr>
    </w:p>
    <w:p>
      <w:pPr>
        <w:pStyle w:val="Heading2"/>
        <w:spacing w:line="240" w:lineRule="auto" w:before="26"/>
        <w:ind w:right="0"/>
        <w:jc w:val="both"/>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w:t>
      </w:r>
      <w:r>
        <w:rPr>
          <w:spacing w:val="-59"/>
        </w:rPr>
        <w:t> </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0" w:firstLine="360"/>
        <w:jc w:val="both"/>
      </w:pPr>
      <w:r>
        <w:rPr>
          <w:spacing w:val="-2"/>
        </w:rPr>
        <w:t>报告期内，公司遵纪守法，合规经营，在追求经济效益的同时，注重认真履行对股东、员工、债权人、客户等应尽的责</w:t>
      </w:r>
      <w:r>
        <w:rPr/>
        <w:t> </w:t>
      </w:r>
      <w:r>
        <w:rPr>
          <w:spacing w:val="-5"/>
        </w:rPr>
        <w:t>任和义务，努力做到经济效益与社会效益、短期利益与长远收益、自身发展与社会发展相互兼顾与协调，实现公司与全社会、</w:t>
      </w:r>
      <w:r>
        <w:rPr>
          <w:spacing w:val="-75"/>
        </w:rPr>
        <w:t> </w:t>
      </w:r>
      <w:r>
        <w:rPr>
          <w:spacing w:val="-75"/>
        </w:rPr>
      </w:r>
      <w:r>
        <w:rPr/>
        <w:t>公司与员工的健康和谐及可持续发展。</w:t>
      </w:r>
    </w:p>
    <w:p>
      <w:pPr>
        <w:pStyle w:val="BodyText"/>
        <w:spacing w:line="338" w:lineRule="auto" w:before="59"/>
        <w:ind w:left="578" w:right="1124"/>
        <w:jc w:val="left"/>
      </w:pPr>
      <w:r>
        <w:rPr/>
        <w:t>（</w:t>
      </w:r>
      <w:r>
        <w:rPr>
          <w:rFonts w:ascii="Times New Roman" w:hAnsi="Times New Roman" w:cs="Times New Roman" w:eastAsia="Times New Roman" w:hint="default"/>
        </w:rPr>
        <w:t>1</w:t>
      </w:r>
      <w:r>
        <w:rPr/>
        <w:t>）积极履行企业公民的社会责任 </w:t>
      </w:r>
      <w:r>
        <w:rPr>
          <w:spacing w:val="-3"/>
        </w:rPr>
        <w:t>公司始终坚持将依法经营作为推动公司持续、健康、稳定发展的重要保障，注重企业经济效益与社会效益的同步共赢。</w:t>
      </w:r>
    </w:p>
    <w:p>
      <w:pPr>
        <w:pStyle w:val="BodyText"/>
        <w:spacing w:line="240" w:lineRule="auto" w:before="2"/>
        <w:ind w:right="0"/>
        <w:jc w:val="both"/>
      </w:pPr>
      <w:r>
        <w:rPr/>
        <w:t>公司严格遵守国家法律、法规、政策的规定，始终依法经营，积极纳税，发展就业岗位，支持地方经济的发展。</w:t>
      </w:r>
    </w:p>
    <w:p>
      <w:pPr>
        <w:pStyle w:val="BodyText"/>
        <w:spacing w:line="340" w:lineRule="auto" w:before="117"/>
        <w:ind w:left="578" w:right="0"/>
        <w:jc w:val="left"/>
      </w:pPr>
      <w:r>
        <w:rPr/>
        <w:t>（</w:t>
      </w:r>
      <w:r>
        <w:rPr>
          <w:rFonts w:ascii="Times New Roman" w:hAnsi="Times New Roman" w:cs="Times New Roman" w:eastAsia="Times New Roman" w:hint="default"/>
        </w:rPr>
        <w:t>2</w:t>
      </w:r>
      <w:r>
        <w:rPr/>
        <w:t>）股东和债权人权益保护 公司按照有关法律法规的要求，不断完善公司治理，优化公司治理结构，形成了股东大会、董事会、监事会、经理层</w:t>
      </w:r>
    </w:p>
    <w:p>
      <w:pPr>
        <w:pStyle w:val="BodyText"/>
        <w:spacing w:line="316" w:lineRule="auto" w:before="1"/>
        <w:ind w:right="1129"/>
        <w:jc w:val="both"/>
      </w:pPr>
      <w:r>
        <w:rPr>
          <w:spacing w:val="-2"/>
        </w:rPr>
        <w:t>相互分离、相互制衡的公司治理结构和运作机制，并建立了较为完备的内部控制体系。公司认真履行信息披露义务，不断改</w:t>
      </w:r>
      <w:r>
        <w:rPr>
          <w:spacing w:val="-65"/>
        </w:rPr>
        <w:t> </w:t>
      </w:r>
      <w:r>
        <w:rPr>
          <w:spacing w:val="-65"/>
        </w:rPr>
      </w:r>
      <w:r>
        <w:rPr>
          <w:spacing w:val="-2"/>
        </w:rPr>
        <w:t>进信息披露工作，确保真实、准确、完整、及时、公平地披露信息，并致力于加强主动性自愿披露，增强透明度，确保股东</w:t>
      </w:r>
      <w:r>
        <w:rPr>
          <w:spacing w:val="-65"/>
        </w:rPr>
        <w:t> </w:t>
      </w:r>
      <w:r>
        <w:rPr>
          <w:spacing w:val="-65"/>
        </w:rPr>
      </w:r>
      <w:r>
        <w:rPr/>
        <w:t>对公司重大事项和经营业绩的知情权。</w:t>
      </w:r>
    </w:p>
    <w:p>
      <w:pPr>
        <w:pStyle w:val="BodyText"/>
        <w:spacing w:line="316" w:lineRule="auto" w:before="57"/>
        <w:ind w:right="1130" w:firstLine="424"/>
        <w:jc w:val="both"/>
      </w:pPr>
      <w:r>
        <w:rPr>
          <w:spacing w:val="-3"/>
        </w:rPr>
        <w:t>公司秉承公开、公平的原则，以积极、主动的态度，开展投资者关系管理工作，通过公司网站、微信公众号、投资者咨</w:t>
      </w:r>
      <w:r>
        <w:rPr/>
        <w:t> </w:t>
      </w:r>
      <w:r>
        <w:rPr>
          <w:spacing w:val="-2"/>
        </w:rPr>
        <w:t>询电话、投资者邮箱、公司现场接待、业绩发布会、深交所互动易、各地路演等多种渠道与投资者保持良好的互动交流，为</w:t>
      </w:r>
      <w:r>
        <w:rPr>
          <w:spacing w:val="-67"/>
        </w:rPr>
        <w:t> </w:t>
      </w:r>
      <w:r>
        <w:rPr>
          <w:spacing w:val="-67"/>
        </w:rPr>
      </w:r>
      <w:r>
        <w:rPr>
          <w:spacing w:val="-2"/>
        </w:rPr>
        <w:t>投资者充分便利地了解公司提供条件。公司重视投资者的合理投资回报，保持投资者合法权益，制定了持续、稳定、科学的</w:t>
      </w:r>
      <w:r>
        <w:rPr>
          <w:spacing w:val="-65"/>
        </w:rPr>
        <w:t> </w:t>
      </w:r>
      <w:r>
        <w:rPr>
          <w:spacing w:val="-65"/>
        </w:rPr>
      </w:r>
      <w:r>
        <w:rPr>
          <w:spacing w:val="-2"/>
        </w:rPr>
        <w:t>利润分配政策和分红方案。同时，公司持续提升业务价值，并根据自身情况和未来发展战略，尽可能将公司发展的成果回馈</w:t>
      </w:r>
      <w:r>
        <w:rPr>
          <w:spacing w:val="-64"/>
        </w:rPr>
        <w:t> </w:t>
      </w:r>
      <w:r>
        <w:rPr>
          <w:spacing w:val="-64"/>
        </w:rPr>
      </w:r>
      <w:r>
        <w:rPr/>
        <w:t>给股东。</w:t>
      </w:r>
    </w:p>
    <w:p>
      <w:pPr>
        <w:pStyle w:val="BodyText"/>
        <w:spacing w:line="319" w:lineRule="auto" w:before="59"/>
        <w:ind w:right="1130" w:firstLine="424"/>
        <w:jc w:val="both"/>
      </w:pPr>
      <w:r>
        <w:rPr/>
        <w:t>在经营活动中，公司一直秉承稳健、诚信经营的原则，重合同守信用，严格执行国家相关的法律法规，建立健全资产 </w:t>
      </w:r>
      <w:r>
        <w:rPr>
          <w:spacing w:val="-2"/>
        </w:rPr>
        <w:t>管理和资金使用制度，确保公司资金、资产安全，最大限度地降低公司经营风险和财务风险；公司严格按照与债权人签订的</w:t>
      </w:r>
      <w:r>
        <w:rPr>
          <w:spacing w:val="-64"/>
        </w:rPr>
        <w:t> </w:t>
      </w:r>
      <w:r>
        <w:rPr>
          <w:spacing w:val="-64"/>
        </w:rPr>
      </w:r>
      <w:r>
        <w:rPr>
          <w:spacing w:val="-2"/>
        </w:rPr>
        <w:t>合同履行债务，及时通报与其相关的重大信息，在追求股东利益最大化的同时兼顾债权人的利益，切实保障债权人的合法权</w:t>
      </w:r>
      <w:r>
        <w:rPr>
          <w:spacing w:val="-64"/>
        </w:rPr>
        <w:t> </w:t>
      </w:r>
      <w:r>
        <w:rPr>
          <w:spacing w:val="-64"/>
        </w:rPr>
      </w:r>
      <w:r>
        <w:rPr/>
        <w:t>益。</w:t>
      </w:r>
    </w:p>
    <w:p>
      <w:pPr>
        <w:pStyle w:val="BodyText"/>
        <w:spacing w:line="338" w:lineRule="auto" w:before="58"/>
        <w:ind w:left="578" w:right="1124"/>
        <w:jc w:val="left"/>
      </w:pPr>
      <w:r>
        <w:rPr/>
        <w:t>（</w:t>
      </w:r>
      <w:r>
        <w:rPr>
          <w:rFonts w:ascii="Times New Roman" w:hAnsi="Times New Roman" w:cs="Times New Roman" w:eastAsia="Times New Roman" w:hint="default"/>
        </w:rPr>
        <w:t>3</w:t>
      </w:r>
      <w:r>
        <w:rPr/>
        <w:t>）员工权益保护 </w:t>
      </w:r>
      <w:r>
        <w:rPr>
          <w:spacing w:val="-3"/>
        </w:rPr>
        <w:t>报告期内，公司严格遵照国家相关法律法规和规章制度的要求，依法与员工签订劳动合同，按时足额缴纳医疗、养老、</w:t>
      </w:r>
    </w:p>
    <w:p>
      <w:pPr>
        <w:pStyle w:val="BodyText"/>
        <w:spacing w:line="316" w:lineRule="auto" w:before="2"/>
        <w:ind w:right="1033"/>
        <w:jc w:val="left"/>
      </w:pPr>
      <w:r>
        <w:rPr>
          <w:spacing w:val="-2"/>
        </w:rPr>
        <w:t>失业、工伤、生育等社会保险和住房公积金；公司建立并不断完善包括薪酬体系、激励机制等在内的用人制度，在聘用、报</w:t>
      </w:r>
      <w:r>
        <w:rPr>
          <w:spacing w:val="-70"/>
        </w:rPr>
        <w:t> </w:t>
      </w:r>
      <w:r>
        <w:rPr>
          <w:spacing w:val="-70"/>
        </w:rPr>
      </w:r>
      <w:r>
        <w:rPr/>
        <w:t>酬、培训、晋升或离职等方面公平对待全体员工，认真执行员工法定假期、带薪年假、病假、婚假、产假、工伤假等制度；</w:t>
      </w:r>
      <w:r>
        <w:rPr>
          <w:spacing w:val="-83"/>
        </w:rPr>
        <w:t> </w:t>
      </w:r>
      <w:r>
        <w:rPr>
          <w:spacing w:val="-83"/>
        </w:rPr>
      </w:r>
      <w:r>
        <w:rPr>
          <w:spacing w:val="-2"/>
        </w:rPr>
        <w:t>不断提高员工综合素质，积极开展知识技能理论培训、销售管理培训、新员工入职培训等各类培训活动，同时启动关键人才</w:t>
      </w:r>
      <w:r>
        <w:rPr>
          <w:spacing w:val="-63"/>
        </w:rPr>
        <w:t> </w:t>
      </w:r>
      <w:r>
        <w:rPr>
          <w:spacing w:val="-63"/>
        </w:rPr>
      </w:r>
      <w:r>
        <w:rPr>
          <w:spacing w:val="-2"/>
        </w:rPr>
        <w:t>培养计划，实施人才战略，为持续健康发展储备后续力量；定期组织员工健康体检，切实关注员工健康、安全和满意度；公</w:t>
      </w:r>
      <w:r>
        <w:rPr>
          <w:spacing w:val="-70"/>
        </w:rPr>
        <w:t> </w:t>
      </w:r>
      <w:r>
        <w:rPr>
          <w:spacing w:val="-70"/>
        </w:rPr>
      </w:r>
      <w:r>
        <w:rPr/>
        <w:t>司重视企业文化建设，定期开展各项文体娱乐活动，增进员工的感情与公司团队的凝聚力，丰富员工的业余生活。</w:t>
      </w:r>
    </w:p>
    <w:p>
      <w:pPr>
        <w:pStyle w:val="BodyText"/>
        <w:spacing w:line="340" w:lineRule="auto" w:before="59"/>
        <w:ind w:left="578" w:right="0"/>
        <w:jc w:val="left"/>
      </w:pPr>
      <w:r>
        <w:rPr/>
        <w:t>（</w:t>
      </w:r>
      <w:r>
        <w:rPr>
          <w:rFonts w:ascii="Times New Roman" w:hAnsi="Times New Roman" w:cs="Times New Roman" w:eastAsia="Times New Roman" w:hint="default"/>
        </w:rPr>
        <w:t>4</w:t>
      </w:r>
      <w:r>
        <w:rPr/>
        <w:t>）供应商、客户和消费者权益保护 公司始终坚持以客户需求为中心，以顾客满意为基本原则，依法经营、诚实守信，不断提升管理和服务水平，积极保</w:t>
      </w:r>
    </w:p>
    <w:p>
      <w:pPr>
        <w:pStyle w:val="BodyText"/>
        <w:spacing w:line="319" w:lineRule="auto" w:before="1"/>
        <w:ind w:right="1033"/>
        <w:jc w:val="left"/>
      </w:pPr>
      <w:r>
        <w:rPr>
          <w:spacing w:val="-2"/>
        </w:rPr>
        <w:t>护供应商、客户和消费者的合法权益，致力为客户提供更为优质的产品和服务，营造诚信、和谐、公平的合作氛围。公司秉</w:t>
      </w:r>
      <w:r>
        <w:rPr>
          <w:spacing w:val="-70"/>
        </w:rPr>
        <w:t> </w:t>
      </w:r>
      <w:r>
        <w:rPr>
          <w:spacing w:val="-70"/>
        </w:rPr>
      </w:r>
      <w:r>
        <w:rPr/>
        <w:t>承诚实守信的经营理念，积极构建和发展与供应商、客户建立的战略合作伙伴关系，努力实现与供应商、客户的良好共存，</w:t>
      </w:r>
      <w:r>
        <w:rPr>
          <w:spacing w:val="-83"/>
        </w:rPr>
        <w:t> </w:t>
      </w:r>
      <w:r>
        <w:rPr>
          <w:spacing w:val="-83"/>
        </w:rPr>
      </w:r>
      <w:r>
        <w:rPr/>
        <w:t>共创财富、共享成果。公司严格按照国家法律规定，严格监控和防范商业贿赂，各项商业活动完全遵循公开、公平、公正、</w:t>
      </w:r>
      <w:r>
        <w:rPr>
          <w:spacing w:val="-83"/>
        </w:rPr>
        <w:t> </w:t>
      </w:r>
      <w:r>
        <w:rPr>
          <w:spacing w:val="-83"/>
        </w:rPr>
      </w:r>
      <w:r>
        <w:rPr>
          <w:spacing w:val="-2"/>
        </w:rPr>
        <w:t>有偿、自愿的商业原则。公司充分尊重并保护供应商、客户的合法权益，为客户提供良好的售后服务，及时处理供应商、客</w:t>
      </w:r>
      <w:r>
        <w:rPr>
          <w:spacing w:val="-70"/>
        </w:rPr>
        <w:t> </w:t>
      </w:r>
      <w:r>
        <w:rPr>
          <w:spacing w:val="-70"/>
        </w:rPr>
      </w:r>
      <w:r>
        <w:rPr/>
        <w:t>户的投诉和建议。</w:t>
      </w:r>
    </w:p>
    <w:p>
      <w:pPr>
        <w:pStyle w:val="BodyText"/>
        <w:spacing w:line="340" w:lineRule="auto" w:before="55"/>
        <w:ind w:left="578" w:right="0"/>
        <w:jc w:val="left"/>
      </w:pPr>
      <w:r>
        <w:rPr/>
        <w:t>（</w:t>
      </w:r>
      <w:r>
        <w:rPr>
          <w:rFonts w:ascii="Times New Roman" w:hAnsi="Times New Roman" w:cs="Times New Roman" w:eastAsia="Times New Roman" w:hint="default"/>
        </w:rPr>
        <w:t>5</w:t>
      </w:r>
      <w:r>
        <w:rPr/>
        <w:t>）保障金融系统稳定运行，推进普惠金融 金融基础设施是金融市场稳健高效运行的基础性保障，公司通过开发自主知识产权的软件产品及解决方案，用技术手</w:t>
      </w:r>
    </w:p>
    <w:p>
      <w:pPr>
        <w:pStyle w:val="BodyText"/>
        <w:spacing w:line="316" w:lineRule="auto" w:before="1"/>
        <w:ind w:right="1033"/>
        <w:jc w:val="left"/>
      </w:pPr>
      <w:r>
        <w:rPr/>
        <w:t>段助力提升金融市场效率，积极助力金融业务的合规与风控，保障金融系统的实时性和有效性，为行业客户长期提供成熟、</w:t>
      </w:r>
      <w:r>
        <w:rPr>
          <w:spacing w:val="-82"/>
        </w:rPr>
        <w:t> </w:t>
      </w:r>
      <w:r>
        <w:rPr>
          <w:spacing w:val="-82"/>
        </w:rPr>
      </w:r>
      <w:r>
        <w:rPr>
          <w:spacing w:val="-2"/>
        </w:rPr>
        <w:t>可靠、安全的行业解决方案。在普惠金融难以落地的农村地区，公司也发挥了举足轻重的作用，结合在税务、农业等领域的</w:t>
      </w:r>
      <w:r>
        <w:rPr>
          <w:spacing w:val="-67"/>
        </w:rPr>
        <w:t> </w:t>
      </w:r>
      <w:r>
        <w:rPr>
          <w:spacing w:val="-67"/>
        </w:rPr>
      </w:r>
      <w:r>
        <w:rPr/>
        <w:t>长期积累，打造平台化场景模式，实际解决各行业的金融供需问题。</w:t>
      </w:r>
    </w:p>
    <w:p>
      <w:pPr>
        <w:spacing w:after="0" w:line="316" w:lineRule="auto"/>
        <w:jc w:val="left"/>
        <w:sectPr>
          <w:headerReference w:type="default" r:id="rId42"/>
          <w:footerReference w:type="default" r:id="rId43"/>
          <w:pgSz w:w="11910" w:h="16840"/>
          <w:pgMar w:header="916" w:footer="1261" w:top="1120" w:bottom="1460" w:left="980" w:right="0"/>
          <w:pgNumType w:start="72"/>
        </w:sectPr>
      </w:pPr>
    </w:p>
    <w:p>
      <w:pPr>
        <w:spacing w:line="240" w:lineRule="auto" w:before="9"/>
        <w:rPr>
          <w:rFonts w:ascii="宋体" w:hAnsi="宋体" w:cs="宋体" w:eastAsia="宋体" w:hint="default"/>
          <w:sz w:val="20"/>
          <w:szCs w:val="20"/>
        </w:rPr>
      </w:pPr>
    </w:p>
    <w:p>
      <w:pPr>
        <w:pStyle w:val="BodyText"/>
        <w:spacing w:line="340" w:lineRule="auto" w:before="44"/>
        <w:ind w:left="578" w:right="0"/>
        <w:jc w:val="left"/>
      </w:pPr>
      <w:r>
        <w:rPr/>
        <w:t>（</w:t>
      </w:r>
      <w:r>
        <w:rPr>
          <w:rFonts w:ascii="Times New Roman" w:hAnsi="Times New Roman" w:cs="Times New Roman" w:eastAsia="Times New Roman" w:hint="default"/>
        </w:rPr>
        <w:t>6</w:t>
      </w:r>
      <w:r>
        <w:rPr/>
        <w:t>）支持量子通信技术的产业化，保障国家网络信息安全 随着中国在全球的快速崛起及互联网等开放技术的快速发展，国家的网络信息安全形势日益严峻。公司参与量子保密</w:t>
      </w:r>
    </w:p>
    <w:p>
      <w:pPr>
        <w:pStyle w:val="BodyText"/>
        <w:spacing w:line="316" w:lineRule="auto" w:before="1"/>
        <w:ind w:right="1129"/>
        <w:jc w:val="both"/>
      </w:pPr>
      <w:r>
        <w:rPr>
          <w:spacing w:val="-2"/>
        </w:rPr>
        <w:t>通信“京汉干线”、“汉广干线”、“粤港澳大湾区干线”等骨干网项目及多个重点城市量子保密通信城域网项目，发挥公</w:t>
      </w:r>
      <w:r>
        <w:rPr>
          <w:spacing w:val="-64"/>
        </w:rPr>
        <w:t> </w:t>
      </w:r>
      <w:r>
        <w:rPr>
          <w:spacing w:val="-64"/>
        </w:rPr>
      </w:r>
      <w:r>
        <w:rPr>
          <w:spacing w:val="-2"/>
        </w:rPr>
        <w:t>司的技术与资源整合能力、大型项目交付管理能力等优势，推进量子网络的发展与建设、技术服务及行业应用，保障国家信</w:t>
      </w:r>
      <w:r>
        <w:rPr>
          <w:spacing w:val="-66"/>
        </w:rPr>
        <w:t> </w:t>
      </w:r>
      <w:r>
        <w:rPr>
          <w:spacing w:val="-66"/>
        </w:rPr>
      </w:r>
      <w:r>
        <w:rPr/>
        <w:t>息安全。</w:t>
      </w:r>
    </w:p>
    <w:p>
      <w:pPr>
        <w:pStyle w:val="BodyText"/>
        <w:spacing w:line="340" w:lineRule="auto" w:before="57"/>
        <w:ind w:left="578" w:right="1124"/>
        <w:jc w:val="left"/>
      </w:pPr>
      <w:r>
        <w:rPr/>
        <w:t>（</w:t>
      </w:r>
      <w:r>
        <w:rPr>
          <w:rFonts w:ascii="Times New Roman" w:hAnsi="Times New Roman" w:cs="Times New Roman" w:eastAsia="Times New Roman" w:hint="default"/>
        </w:rPr>
        <w:t>7</w:t>
      </w:r>
      <w:r>
        <w:rPr/>
        <w:t>）推动农业现代化发展，支持农业供给侧改革 </w:t>
      </w:r>
      <w:r>
        <w:rPr>
          <w:spacing w:val="-3"/>
        </w:rPr>
        <w:t>公司以自主开发的技术力量积极推进农业信息化、数字化。从电子政务系统的建设，到“土地确权”“两区划定”“国</w:t>
      </w:r>
    </w:p>
    <w:p>
      <w:pPr>
        <w:pStyle w:val="BodyText"/>
        <w:spacing w:line="309" w:lineRule="auto" w:before="1"/>
        <w:ind w:right="1131"/>
        <w:jc w:val="both"/>
      </w:pPr>
      <w:r>
        <w:rPr>
          <w:spacing w:val="-4"/>
        </w:rPr>
        <w:t>土三调”为核心的地信业务，再到构建以三农大数据为支撑的数据业务、软件云化为支撑的平台业务、</w:t>
      </w:r>
      <w:r>
        <w:rPr>
          <w:rFonts w:ascii="Times New Roman" w:hAnsi="Times New Roman" w:cs="Times New Roman" w:eastAsia="Times New Roman" w:hint="default"/>
          <w:spacing w:val="-4"/>
        </w:rPr>
        <w:t>GIS</w:t>
      </w:r>
      <w:r>
        <w:rPr>
          <w:spacing w:val="-4"/>
        </w:rPr>
        <w:t>（地理信息技术）</w:t>
      </w:r>
      <w:r>
        <w:rPr>
          <w:spacing w:val="-60"/>
        </w:rPr>
        <w:t> </w:t>
      </w:r>
      <w:r>
        <w:rPr>
          <w:spacing w:val="-60"/>
        </w:rPr>
      </w:r>
      <w:r>
        <w:rPr>
          <w:spacing w:val="-5"/>
        </w:rPr>
        <w:t>业务为支撑的三农地理信息业务等，全面布局智慧农业，助力农业管理、农业发展、农民增收。“为耕者谋利，为食者造福”</w:t>
      </w:r>
      <w:r>
        <w:rPr>
          <w:spacing w:val="-83"/>
        </w:rPr>
        <w:t> </w:t>
      </w:r>
      <w:r>
        <w:rPr>
          <w:spacing w:val="-83"/>
        </w:rPr>
      </w:r>
      <w:r>
        <w:rPr/>
        <w:t>是公司发展农业信息化业务的无悔追求。</w:t>
      </w:r>
    </w:p>
    <w:p>
      <w:pPr>
        <w:spacing w:line="240" w:lineRule="auto" w:before="3"/>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420"/>
        <w:jc w:val="both"/>
        <w:rPr>
          <w:rFonts w:ascii="宋体" w:hAnsi="宋体" w:cs="宋体" w:eastAsia="宋体" w:hint="default"/>
        </w:rPr>
      </w:pPr>
      <w:r>
        <w:rPr>
          <w:spacing w:val="-3"/>
        </w:rPr>
        <w:t>公司主要通过为脱贫攻坚各项工作提供信息化的数据平台、以大数据能力推动农产品产业升级优化等方式响应落实“精</w:t>
      </w:r>
      <w:r>
        <w:rPr/>
        <w:t> </w:t>
      </w:r>
      <w:r>
        <w:rPr>
          <w:spacing w:val="-2"/>
        </w:rPr>
        <w:t>准扶贫”、“乡村振兴”战略的社会责任。利用信息技术打造创新扶贫方式，帮助农村实现村务阳光管理，助力政府更好地</w:t>
      </w:r>
      <w:r>
        <w:rPr>
          <w:spacing w:val="-69"/>
        </w:rPr>
        <w:t> </w:t>
      </w:r>
      <w:r>
        <w:rPr>
          <w:spacing w:val="-69"/>
        </w:rPr>
      </w:r>
      <w:r>
        <w:rPr/>
        <w:t>开展扶贫工作。通过精确的数据支持和高效的管理平台确保扶贫资金安全，支撑三农信贷的开展。</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4"/>
        <w:rPr>
          <w:rFonts w:ascii="宋体" w:hAnsi="宋体" w:cs="宋体" w:eastAsia="宋体" w:hint="default"/>
          <w:b/>
          <w:bCs/>
          <w:sz w:val="26"/>
          <w:szCs w:val="26"/>
        </w:rPr>
      </w:pPr>
    </w:p>
    <w:p>
      <w:pPr>
        <w:pStyle w:val="BodyText"/>
        <w:spacing w:line="312" w:lineRule="auto"/>
        <w:ind w:right="1033" w:firstLine="420"/>
        <w:jc w:val="left"/>
      </w:pPr>
      <w:r>
        <w:rPr/>
        <w:t>报告期内，公司加快推进农村集体资产监督管理平台建设，开发的“阳光扶贫</w:t>
      </w:r>
      <w:r>
        <w:rPr>
          <w:rFonts w:ascii="Times New Roman" w:hAnsi="Times New Roman" w:cs="Times New Roman" w:eastAsia="Times New Roman" w:hint="default"/>
        </w:rPr>
        <w:t>+</w:t>
      </w:r>
      <w:r>
        <w:rPr/>
        <w:t>”等平台，为脱贫攻坚所涉及的各项工 </w:t>
      </w:r>
      <w:r>
        <w:rPr>
          <w:spacing w:val="-2"/>
        </w:rPr>
        <w:t>作提供了强大的数据支撑，健全农村三资管理体系，助力阳光村务建设。公司的“银农直连”项目已广泛应用于农村集体三</w:t>
      </w:r>
      <w:r>
        <w:rPr>
          <w:spacing w:val="-67"/>
        </w:rPr>
        <w:t> </w:t>
      </w:r>
      <w:r>
        <w:rPr>
          <w:spacing w:val="-67"/>
        </w:rPr>
      </w:r>
      <w:r>
        <w:rPr/>
        <w:t>资监管、产权交易、涉农资金监管、产业扶贫等多种场景，通过与“网上银行”系统的在线直连，推动金融服务下沉基层。</w:t>
      </w:r>
      <w:r>
        <w:rPr>
          <w:spacing w:val="-83"/>
        </w:rPr>
        <w:t> </w:t>
      </w:r>
      <w:r>
        <w:rPr>
          <w:spacing w:val="-83"/>
        </w:rPr>
      </w:r>
      <w:r>
        <w:rPr/>
        <w:t>在江苏宜兴、江阴、昆山、山东临淄、莱西等地均已实现交付，后续将在全国大力推广应用，同时向贫困地区重点倾斜。</w:t>
      </w:r>
    </w:p>
    <w:p>
      <w:pPr>
        <w:pStyle w:val="BodyText"/>
        <w:spacing w:line="314" w:lineRule="auto" w:before="61"/>
        <w:ind w:right="1130" w:firstLine="420"/>
        <w:jc w:val="both"/>
      </w:pPr>
      <w:r>
        <w:rPr>
          <w:spacing w:val="-3"/>
        </w:rPr>
        <w:t>报告期内，公司依托“国家级苹果产业大数据中心”为洛川果农提供种植户风险评估报告信贷机构根据风险报告放贷，</w:t>
      </w:r>
      <w:r>
        <w:rPr/>
        <w:t> </w:t>
      </w:r>
      <w:r>
        <w:rPr>
          <w:spacing w:val="-2"/>
        </w:rPr>
        <w:t>减少了贷款环节和抵押担保负担，做到了简化借贷业务，为农民群体提供免担保、无抵押的信用贷款，支持农户农业生产经</w:t>
      </w:r>
      <w:r>
        <w:rPr>
          <w:spacing w:val="-64"/>
        </w:rPr>
        <w:t> </w:t>
      </w:r>
      <w:r>
        <w:rPr>
          <w:spacing w:val="-64"/>
        </w:rPr>
      </w:r>
      <w:r>
        <w:rPr>
          <w:spacing w:val="-2"/>
        </w:rPr>
        <w:t>营，切实破解农村金融供给侧改革“最后一公里”的难题，让农户足不出户就可以享受到便捷金融服务，已通过信贷机构为</w:t>
      </w:r>
      <w:r>
        <w:rPr>
          <w:spacing w:val="-66"/>
        </w:rPr>
        <w:t> </w:t>
      </w:r>
      <w:r>
        <w:rPr>
          <w:spacing w:val="-66"/>
        </w:rPr>
      </w:r>
      <w:r>
        <w:rPr>
          <w:rFonts w:ascii="Times New Roman" w:hAnsi="Times New Roman" w:cs="Times New Roman" w:eastAsia="Times New Roman" w:hint="default"/>
        </w:rPr>
        <w:t>5600</w:t>
      </w:r>
      <w:r>
        <w:rPr>
          <w:rFonts w:ascii="Times New Roman" w:hAnsi="Times New Roman" w:cs="Times New Roman" w:eastAsia="Times New Roman" w:hint="default"/>
          <w:spacing w:val="-26"/>
        </w:rPr>
        <w:t> </w:t>
      </w:r>
      <w:r>
        <w:rPr/>
        <w:t>户果农贷款</w:t>
      </w:r>
      <w:r>
        <w:rPr>
          <w:spacing w:val="-72"/>
        </w:rPr>
        <w:t> </w:t>
      </w:r>
      <w:r>
        <w:rPr>
          <w:rFonts w:ascii="Times New Roman" w:hAnsi="Times New Roman" w:cs="Times New Roman" w:eastAsia="Times New Roman" w:hint="default"/>
        </w:rPr>
        <w:t>3.9</w:t>
      </w:r>
      <w:r>
        <w:rPr>
          <w:rFonts w:ascii="Times New Roman" w:hAnsi="Times New Roman" w:cs="Times New Roman" w:eastAsia="Times New Roman" w:hint="default"/>
          <w:spacing w:val="-26"/>
        </w:rPr>
        <w:t> </w:t>
      </w:r>
      <w:r>
        <w:rPr/>
        <w:t>亿元。助力金融服务下沉到乡村基层，解决农村征信系统缺失、金融基础设施匮乏、融资难融资贵等问 题。</w:t>
      </w:r>
    </w:p>
    <w:p>
      <w:pPr>
        <w:spacing w:line="240" w:lineRule="auto" w:before="12"/>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）后续精准扶贫计划</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0" w:firstLine="420"/>
        <w:jc w:val="both"/>
      </w:pPr>
      <w:r>
        <w:rPr/>
        <w:t>公司将继续帮助各地政府利用信息技术创新扶贫，为政府更好的开展扶贫工作，提供精确的数据支撑和高效的管理平 </w:t>
      </w:r>
      <w:r>
        <w:rPr>
          <w:spacing w:val="-5"/>
        </w:rPr>
        <w:t>台。同时公司将不断深耕农村的普惠金融，致力于减少三农贷款环节和抵押担保负担，降低借贷业务的壁垒，简化相关流程，</w:t>
      </w:r>
      <w:r>
        <w:rPr>
          <w:spacing w:val="-75"/>
        </w:rPr>
        <w:t> </w:t>
      </w:r>
      <w:r>
        <w:rPr>
          <w:spacing w:val="-75"/>
        </w:rPr>
      </w:r>
      <w:r>
        <w:rPr>
          <w:spacing w:val="-2"/>
        </w:rPr>
        <w:t>为农民群体提供免担保、无抵押的信用贷款，支持农户农业生产经营，支撑实体经济发展；为全面建成小康社会补上农村基</w:t>
      </w:r>
      <w:r>
        <w:rPr>
          <w:spacing w:val="-65"/>
        </w:rPr>
        <w:t> </w:t>
      </w:r>
      <w:r>
        <w:rPr>
          <w:spacing w:val="-65"/>
        </w:rPr>
      </w:r>
      <w:r>
        <w:rPr>
          <w:spacing w:val="-2"/>
        </w:rPr>
        <w:t>础设施和公共服务短板，协助打赢脱贫攻坚战，推动农村产业融合发展提供助力；强化产业扶贫和扶贫资金监管，动用广泛</w:t>
      </w:r>
      <w:r>
        <w:rPr>
          <w:spacing w:val="-65"/>
        </w:rPr>
        <w:t> </w:t>
      </w:r>
      <w:r>
        <w:rPr>
          <w:spacing w:val="-65"/>
        </w:rPr>
      </w:r>
      <w:r>
        <w:rPr/>
        <w:t>社会力量参与扶贫，建立后期帮扶跟进机制。</w:t>
      </w:r>
    </w:p>
    <w:p>
      <w:pPr>
        <w:spacing w:after="0" w:line="319" w:lineRule="auto"/>
        <w:jc w:val="both"/>
        <w:sectPr>
          <w:pgSz w:w="11910" w:h="16840"/>
          <w:pgMar w:header="916" w:footer="1261" w:top="112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left="193" w:right="571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193" w:right="5713"/>
        <w:jc w:val="left"/>
      </w:pPr>
      <w:r>
        <w:rPr/>
        <w:t>上市公司及其子公司是否属于环境保护部门公布的重点排污单位 否</w:t>
      </w:r>
    </w:p>
    <w:p>
      <w:pPr>
        <w:pStyle w:val="BodyText"/>
        <w:spacing w:line="240" w:lineRule="auto" w:before="29"/>
        <w:ind w:left="193" w:right="5713"/>
        <w:jc w:val="left"/>
      </w:pPr>
      <w:r>
        <w:rPr/>
        <w:t>公司及下属公司不属于排污企业。</w:t>
      </w:r>
    </w:p>
    <w:p>
      <w:pPr>
        <w:spacing w:line="240" w:lineRule="auto" w:before="3"/>
        <w:rPr>
          <w:rFonts w:ascii="宋体" w:hAnsi="宋体" w:cs="宋体" w:eastAsia="宋体" w:hint="default"/>
          <w:sz w:val="25"/>
          <w:szCs w:val="25"/>
        </w:rPr>
      </w:pPr>
    </w:p>
    <w:p>
      <w:pPr>
        <w:pStyle w:val="Heading2"/>
        <w:spacing w:line="240" w:lineRule="auto"/>
        <w:ind w:left="193" w:right="5713"/>
        <w:jc w:val="left"/>
        <w:rPr>
          <w:b w:val="0"/>
          <w:bCs w:val="0"/>
        </w:rPr>
      </w:pPr>
      <w:r>
        <w:rPr/>
        <w:t>十九、其他重大事项的说明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93" w:right="5713"/>
        <w:jc w:val="left"/>
      </w:pPr>
      <w:r>
        <w:rPr/>
        <w:t>√ 适用 □</w:t>
      </w:r>
      <w:r>
        <w:rPr>
          <w:spacing w:val="3"/>
        </w:rPr>
        <w:t> </w:t>
      </w:r>
      <w:r>
        <w:rPr/>
        <w:t>不适用</w:t>
      </w:r>
    </w:p>
    <w:p>
      <w:pPr>
        <w:spacing w:line="240" w:lineRule="auto" w:before="9"/>
        <w:rPr>
          <w:rFonts w:ascii="宋体" w:hAnsi="宋体" w:cs="宋体" w:eastAsia="宋体" w:hint="default"/>
          <w:sz w:val="16"/>
          <w:szCs w:val="16"/>
        </w:rPr>
      </w:pPr>
    </w:p>
    <w:p>
      <w:pPr>
        <w:pStyle w:val="BodyText"/>
        <w:spacing w:line="408" w:lineRule="auto"/>
        <w:ind w:left="553" w:right="1213" w:hanging="92"/>
        <w:jc w:val="left"/>
      </w:pPr>
      <w:r>
        <w:rPr/>
        <w:t>（一）萍乡信锐及中新创投权益变动情况</w:t>
      </w:r>
      <w:r>
        <w:rPr>
          <w:rFonts w:ascii="宋体" w:hAnsi="宋体" w:cs="宋体" w:eastAsia="宋体" w:hint="default"/>
        </w:rPr>
        <w:t> 1</w:t>
      </w:r>
      <w:r>
        <w:rPr/>
        <w:t>、自</w:t>
      </w:r>
      <w:r>
        <w:rPr>
          <w:rFonts w:ascii="宋体" w:hAnsi="宋体" w:cs="宋体" w:eastAsia="宋体" w:hint="default"/>
        </w:rPr>
        <w:t>2017</w:t>
      </w:r>
      <w:r>
        <w:rPr/>
        <w:t>年</w:t>
      </w:r>
      <w:r>
        <w:rPr>
          <w:rFonts w:ascii="宋体" w:hAnsi="宋体" w:cs="宋体" w:eastAsia="宋体" w:hint="default"/>
        </w:rPr>
        <w:t>12</w:t>
      </w:r>
      <w:r>
        <w:rPr/>
        <w:t>月至</w:t>
      </w:r>
      <w:r>
        <w:rPr>
          <w:rFonts w:ascii="宋体" w:hAnsi="宋体" w:cs="宋体" w:eastAsia="宋体" w:hint="default"/>
        </w:rPr>
        <w:t>2019</w:t>
      </w:r>
      <w:r>
        <w:rPr/>
        <w:t>年</w:t>
      </w:r>
      <w:r>
        <w:rPr>
          <w:rFonts w:ascii="宋体" w:hAnsi="宋体" w:cs="宋体" w:eastAsia="宋体" w:hint="default"/>
        </w:rPr>
        <w:t>5</w:t>
      </w:r>
      <w:r>
        <w:rPr/>
        <w:t>月，萍乡信锐因经营计划需要而减持神州信息股份。在减持过程中，萍乡信锐严格遵守了</w:t>
      </w:r>
    </w:p>
    <w:p>
      <w:pPr>
        <w:pStyle w:val="BodyText"/>
        <w:spacing w:line="408" w:lineRule="auto" w:before="37"/>
        <w:ind w:left="193" w:right="1138"/>
        <w:jc w:val="left"/>
      </w:pPr>
      <w:r>
        <w:rPr/>
        <w:t>减持新规的相关规定，历次减持计划均按照减持新规的要求进行了预披露，并按照规定披露了进展公告以及实施情况公 告。公司分别于</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29</w:t>
      </w:r>
      <w:r>
        <w:rPr/>
        <w:t>日、</w:t>
      </w:r>
      <w:r>
        <w:rPr>
          <w:rFonts w:ascii="宋体" w:hAnsi="宋体" w:cs="宋体" w:eastAsia="宋体" w:hint="default"/>
        </w:rPr>
        <w:t>7</w:t>
      </w:r>
      <w:r>
        <w:rPr/>
        <w:t>月</w:t>
      </w:r>
      <w:r>
        <w:rPr>
          <w:rFonts w:ascii="宋体" w:hAnsi="宋体" w:cs="宋体" w:eastAsia="宋体" w:hint="default"/>
        </w:rPr>
        <w:t>9</w:t>
      </w:r>
      <w:r>
        <w:rPr/>
        <w:t>日披露了萍乡信锐出具的《简式权益变动报告书》以及《关于持股</w:t>
      </w:r>
      <w:r>
        <w:rPr>
          <w:rFonts w:ascii="宋体" w:hAnsi="宋体" w:cs="宋体" w:eastAsia="宋体" w:hint="default"/>
        </w:rPr>
        <w:t>5%</w:t>
      </w:r>
      <w:r>
        <w:rPr/>
        <w:t>以上股东权益变 动的提示性公告》（公告编号：</w:t>
      </w:r>
      <w:r>
        <w:rPr>
          <w:rFonts w:ascii="宋体" w:hAnsi="宋体" w:cs="宋体" w:eastAsia="宋体" w:hint="default"/>
        </w:rPr>
        <w:t>2019-056</w:t>
      </w:r>
      <w:r>
        <w:rPr/>
        <w:t>），以及《简式权益变动报告书》（修订稿）及《关于持股</w:t>
      </w:r>
      <w:r>
        <w:rPr>
          <w:rFonts w:ascii="宋体" w:hAnsi="宋体" w:cs="宋体" w:eastAsia="宋体" w:hint="default"/>
        </w:rPr>
        <w:t>5%</w:t>
      </w:r>
      <w:r>
        <w:rPr/>
        <w:t>以上股东权益变动 的补充公告》（公告编号：</w:t>
      </w:r>
      <w:r>
        <w:rPr>
          <w:rFonts w:ascii="宋体" w:hAnsi="宋体" w:cs="宋体" w:eastAsia="宋体" w:hint="default"/>
        </w:rPr>
        <w:t>2019-060</w:t>
      </w:r>
      <w:r>
        <w:rPr/>
        <w:t>），萍乡信锐所持股份因公司多次发行股价购买资产暨募集配套资事项被动稀释以及 主动减持，权益变动比例合计超过</w:t>
      </w:r>
      <w:r>
        <w:rPr>
          <w:rFonts w:ascii="宋体" w:hAnsi="宋体" w:cs="宋体" w:eastAsia="宋体" w:hint="default"/>
        </w:rPr>
        <w:t>5%</w:t>
      </w:r>
      <w:r>
        <w:rPr/>
        <w:t>。</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1</w:t>
      </w:r>
      <w:r>
        <w:rPr/>
        <w:t>日，萍乡信锐因权益变动事项未及时披露收到深圳证券交易所下发的</w:t>
      </w:r>
    </w:p>
    <w:p>
      <w:pPr>
        <w:pStyle w:val="BodyText"/>
        <w:spacing w:line="240" w:lineRule="auto" w:before="39"/>
        <w:ind w:left="102" w:right="5713"/>
        <w:jc w:val="left"/>
        <w:rPr>
          <w:rFonts w:ascii="宋体" w:hAnsi="宋体" w:cs="宋体" w:eastAsia="宋体" w:hint="default"/>
        </w:rPr>
      </w:pPr>
      <w:r>
        <w:rPr/>
        <w:t>《监管函》。</w:t>
      </w:r>
      <w:r>
        <w:rPr>
          <w:rFonts w:ascii="宋体" w:hAnsi="宋体" w:cs="宋体" w:eastAsia="宋体" w:hint="default"/>
        </w:rPr>
        <w:t> </w:t>
      </w:r>
    </w:p>
    <w:p>
      <w:pPr>
        <w:spacing w:line="240" w:lineRule="auto" w:before="6"/>
        <w:rPr>
          <w:rFonts w:ascii="宋体" w:hAnsi="宋体" w:cs="宋体" w:eastAsia="宋体" w:hint="default"/>
          <w:sz w:val="12"/>
          <w:szCs w:val="12"/>
        </w:rPr>
      </w:pPr>
    </w:p>
    <w:p>
      <w:pPr>
        <w:pStyle w:val="BodyText"/>
        <w:spacing w:line="408" w:lineRule="auto"/>
        <w:ind w:left="193" w:right="1135" w:firstLine="360"/>
        <w:jc w:val="both"/>
        <w:rPr>
          <w:rFonts w:ascii="宋体" w:hAnsi="宋体" w:cs="宋体" w:eastAsia="宋体" w:hint="default"/>
        </w:rPr>
      </w:pPr>
      <w:r>
        <w:rPr/>
        <w:t>自</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31</w:t>
      </w:r>
      <w:r>
        <w:rPr/>
        <w:t>日至</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19</w:t>
      </w:r>
      <w:r>
        <w:rPr/>
        <w:t>日，萍乡信锐因经营需要通过大宗交易方式减持公司股份，同时因公司</w:t>
      </w:r>
      <w:r>
        <w:rPr>
          <w:rFonts w:ascii="宋体" w:hAnsi="宋体" w:cs="宋体" w:eastAsia="宋体" w:hint="default"/>
        </w:rPr>
        <w:t>2019</w:t>
      </w:r>
      <w:r>
        <w:rPr/>
        <w:t>年股权激 励计划之限制性股票上市导致萍乡信锐所持公司股份被动稀释，上述事项合计导致萍乡信锐持有公司股份比例由</w:t>
      </w:r>
      <w:r>
        <w:rPr>
          <w:rFonts w:ascii="宋体" w:hAnsi="宋体" w:cs="宋体" w:eastAsia="宋体" w:hint="default"/>
        </w:rPr>
        <w:t>5.4079%</w:t>
      </w:r>
      <w:r>
        <w:rPr/>
        <w:t>变 更为</w:t>
      </w:r>
      <w:r>
        <w:rPr>
          <w:rFonts w:ascii="宋体" w:hAnsi="宋体" w:cs="宋体" w:eastAsia="宋体" w:hint="default"/>
        </w:rPr>
        <w:t>4.99999%</w:t>
      </w:r>
      <w:r>
        <w:rPr/>
        <w:t>。公司于</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20</w:t>
      </w:r>
      <w:r>
        <w:rPr/>
        <w:t>日披露了萍乡信锐出具的《简式权益变动报告书》以及《关于股东权益变动的提示性公 告》（公告编号：</w:t>
      </w:r>
      <w:r>
        <w:rPr>
          <w:rFonts w:ascii="宋体" w:hAnsi="宋体" w:cs="宋体" w:eastAsia="宋体" w:hint="default"/>
        </w:rPr>
        <w:t>2020-009</w:t>
      </w:r>
      <w:r>
        <w:rPr/>
        <w:t>）。</w:t>
      </w:r>
      <w:r>
        <w:rPr>
          <w:rFonts w:ascii="宋体" w:hAnsi="宋体" w:cs="宋体" w:eastAsia="宋体" w:hint="default"/>
        </w:rPr>
        <w:t> </w:t>
      </w:r>
    </w:p>
    <w:p>
      <w:pPr>
        <w:pStyle w:val="BodyText"/>
        <w:spacing w:line="408" w:lineRule="auto" w:before="39"/>
        <w:ind w:left="193" w:right="1123" w:firstLine="360"/>
        <w:jc w:val="left"/>
      </w:pPr>
      <w:r>
        <w:rPr>
          <w:rFonts w:ascii="宋体" w:hAnsi="宋体" w:cs="宋体" w:eastAsia="宋体" w:hint="default"/>
        </w:rPr>
        <w:t>2</w:t>
      </w:r>
      <w:r>
        <w:rPr/>
        <w:t>、自</w:t>
      </w:r>
      <w:r>
        <w:rPr>
          <w:rFonts w:ascii="宋体" w:hAnsi="宋体" w:cs="宋体" w:eastAsia="宋体" w:hint="default"/>
        </w:rPr>
        <w:t>2015</w:t>
      </w:r>
      <w:r>
        <w:rPr/>
        <w:t>年</w:t>
      </w:r>
      <w:r>
        <w:rPr>
          <w:rFonts w:ascii="宋体" w:hAnsi="宋体" w:cs="宋体" w:eastAsia="宋体" w:hint="default"/>
        </w:rPr>
        <w:t>3</w:t>
      </w:r>
      <w:r>
        <w:rPr/>
        <w:t>月至</w:t>
      </w:r>
      <w:r>
        <w:rPr>
          <w:rFonts w:ascii="宋体" w:hAnsi="宋体" w:cs="宋体" w:eastAsia="宋体" w:hint="default"/>
        </w:rPr>
        <w:t>2019</w:t>
      </w:r>
      <w:r>
        <w:rPr/>
        <w:t>年</w:t>
      </w:r>
      <w:r>
        <w:rPr>
          <w:rFonts w:ascii="宋体" w:hAnsi="宋体" w:cs="宋体" w:eastAsia="宋体" w:hint="default"/>
        </w:rPr>
        <w:t>7</w:t>
      </w:r>
      <w:r>
        <w:rPr/>
        <w:t>月，中新创投因经营计划需要而减持神州信息股份。在减持过程中，中新创投严格遵守了减 持新规的相关规定，历次减持计划均按照减持新规的要求进行了预披露，并按照规定披露了进展公告以及实施情况公告。 公司于</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9</w:t>
      </w:r>
      <w:r>
        <w:rPr/>
        <w:t>日披露了中新创投出具的《简式权益变动报告书》及《关于持股</w:t>
      </w:r>
      <w:r>
        <w:rPr>
          <w:rFonts w:ascii="宋体" w:hAnsi="宋体" w:cs="宋体" w:eastAsia="宋体" w:hint="default"/>
        </w:rPr>
        <w:t>5%</w:t>
      </w:r>
      <w:r>
        <w:rPr/>
        <w:t>以上股东权益变动的提示性公告》</w:t>
      </w:r>
    </w:p>
    <w:p>
      <w:pPr>
        <w:pStyle w:val="BodyText"/>
        <w:spacing w:line="408" w:lineRule="auto" w:before="39"/>
        <w:ind w:left="193" w:right="0" w:hanging="92"/>
        <w:jc w:val="left"/>
        <w:rPr>
          <w:rFonts w:ascii="宋体" w:hAnsi="宋体" w:cs="宋体" w:eastAsia="宋体" w:hint="default"/>
        </w:rPr>
      </w:pPr>
      <w:r>
        <w:rPr/>
        <w:t>（公告编号：</w:t>
      </w:r>
      <w:r>
        <w:rPr>
          <w:rFonts w:ascii="宋体" w:hAnsi="宋体" w:cs="宋体" w:eastAsia="宋体" w:hint="default"/>
        </w:rPr>
        <w:t>2019-059</w:t>
      </w:r>
      <w:r>
        <w:rPr/>
        <w:t>），中新创投所持股份因公司多次发行股价购买资产暨募集配套资事项被动稀释以及主动减持，权益 变动比例合计超过</w:t>
      </w:r>
      <w:r>
        <w:rPr>
          <w:rFonts w:ascii="宋体" w:hAnsi="宋体" w:cs="宋体" w:eastAsia="宋体" w:hint="default"/>
        </w:rPr>
        <w:t>5%</w:t>
      </w:r>
      <w:r>
        <w:rPr/>
        <w:t>。</w:t>
      </w: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25</w:t>
      </w:r>
      <w:r>
        <w:rPr/>
        <w:t>日，中新创投因本次权益变动事项未及时披露收到深圳证券交易所下发的《监管函》。</w:t>
      </w:r>
      <w:r>
        <w:rPr>
          <w:rFonts w:ascii="宋体" w:hAnsi="宋体" w:cs="宋体" w:eastAsia="宋体" w:hint="default"/>
        </w:rPr>
        <w:t> </w:t>
      </w:r>
    </w:p>
    <w:p>
      <w:pPr>
        <w:pStyle w:val="BodyText"/>
        <w:spacing w:line="240" w:lineRule="auto" w:before="37"/>
        <w:ind w:left="553" w:right="1213"/>
        <w:jc w:val="left"/>
        <w:rPr>
          <w:rFonts w:ascii="宋体" w:hAnsi="宋体" w:cs="宋体" w:eastAsia="宋体" w:hint="default"/>
        </w:rPr>
      </w:pPr>
      <w:r>
        <w:rPr/>
        <w:t>上述事项的具体内容详见公司在《证券时报》和巨潮资讯网（</w:t>
      </w:r>
      <w:hyperlink r:id="rId12">
        <w:r>
          <w:rPr>
            <w:rFonts w:ascii="宋体" w:hAnsi="宋体" w:cs="宋体" w:eastAsia="宋体" w:hint="default"/>
          </w:rPr>
          <w:t>http://www.cninfo.com.cn</w:t>
        </w:r>
      </w:hyperlink>
      <w:r>
        <w:rPr/>
        <w:t>）披露的相关公告。</w:t>
      </w:r>
      <w:r>
        <w:rPr>
          <w:rFonts w:ascii="宋体" w:hAnsi="宋体" w:cs="宋体" w:eastAsia="宋体" w:hint="default"/>
        </w:rPr>
        <w:t> </w:t>
      </w:r>
    </w:p>
    <w:p>
      <w:pPr>
        <w:spacing w:line="240" w:lineRule="auto" w:before="8"/>
        <w:rPr>
          <w:rFonts w:ascii="宋体" w:hAnsi="宋体" w:cs="宋体" w:eastAsia="宋体" w:hint="default"/>
          <w:sz w:val="12"/>
          <w:szCs w:val="12"/>
        </w:rPr>
      </w:pPr>
    </w:p>
    <w:p>
      <w:pPr>
        <w:pStyle w:val="BodyText"/>
        <w:spacing w:line="408" w:lineRule="auto"/>
        <w:ind w:left="553" w:right="1123" w:hanging="92"/>
        <w:jc w:val="left"/>
      </w:pPr>
      <w:r>
        <w:rPr/>
        <w:t>（二）关于捐赠资金参与设立北京金融科技研究院的进展情况</w:t>
      </w:r>
      <w:r>
        <w:rPr>
          <w:spacing w:val="-87"/>
        </w:rPr>
        <w:t> </w:t>
      </w:r>
      <w:r>
        <w:rPr>
          <w:rFonts w:ascii="宋体" w:hAnsi="宋体" w:cs="宋体" w:eastAsia="宋体" w:hint="default"/>
          <w:spacing w:val="-87"/>
        </w:rPr>
      </w:r>
      <w:r>
        <w:rPr/>
        <w:t>为促进金融科技行业共同发展，公司于</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10</w:t>
      </w:r>
      <w:r>
        <w:rPr/>
        <w:t>日召开的第八届董事会</w:t>
      </w:r>
      <w:r>
        <w:rPr>
          <w:rFonts w:ascii="宋体" w:hAnsi="宋体" w:cs="宋体" w:eastAsia="宋体" w:hint="default"/>
        </w:rPr>
        <w:t>2019</w:t>
      </w:r>
      <w:r>
        <w:rPr/>
        <w:t>年第六次临时会议审议通过了《关于捐</w:t>
      </w:r>
    </w:p>
    <w:p>
      <w:pPr>
        <w:pStyle w:val="BodyText"/>
        <w:spacing w:line="408" w:lineRule="auto" w:before="37"/>
        <w:ind w:left="193" w:right="1123"/>
        <w:jc w:val="left"/>
        <w:rPr>
          <w:rFonts w:ascii="宋体" w:hAnsi="宋体" w:cs="宋体" w:eastAsia="宋体" w:hint="default"/>
        </w:rPr>
      </w:pPr>
      <w:r>
        <w:rPr/>
        <w:t>赠资金参与设立北京金融科技研究院的议案》，同意公司全资子公司神州数码融信软件有限公司作为发起人参与设立北京 金融科技研究院（以下简称“研究院”），并以自有资金捐赠人民币</w:t>
      </w:r>
      <w:r>
        <w:rPr>
          <w:rFonts w:ascii="宋体" w:hAnsi="宋体" w:cs="宋体" w:eastAsia="宋体" w:hint="default"/>
        </w:rPr>
        <w:t>200</w:t>
      </w:r>
      <w:r>
        <w:rPr/>
        <w:t>万元作为研究院开办资金。具体内容详见公司于 </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11</w:t>
      </w:r>
      <w:r>
        <w:rPr/>
        <w:t>日在《证券时报》及巨潮资讯网上披露的《关于捐赠资金参与设立北京金融科技研究院的公告》。截止本公告 披露日，公司实际出资已完成。</w:t>
      </w:r>
      <w:r>
        <w:rPr>
          <w:rFonts w:ascii="宋体" w:hAnsi="宋体" w:cs="宋体" w:eastAsia="宋体" w:hint="default"/>
        </w:rPr>
        <w:t> </w:t>
      </w:r>
    </w:p>
    <w:p>
      <w:pPr>
        <w:pStyle w:val="BodyText"/>
        <w:spacing w:line="240" w:lineRule="auto" w:before="39"/>
        <w:ind w:left="553" w:right="5713"/>
        <w:jc w:val="left"/>
      </w:pPr>
      <w:r>
        <w:rPr/>
        <w:t>（三）关于下属子公司对外出售股票资产的进展情况</w:t>
      </w:r>
    </w:p>
    <w:p>
      <w:pPr>
        <w:spacing w:line="240" w:lineRule="auto" w:before="8"/>
        <w:rPr>
          <w:rFonts w:ascii="宋体" w:hAnsi="宋体" w:cs="宋体" w:eastAsia="宋体" w:hint="default"/>
          <w:sz w:val="12"/>
          <w:szCs w:val="12"/>
        </w:rPr>
      </w:pPr>
    </w:p>
    <w:p>
      <w:pPr>
        <w:pStyle w:val="BodyText"/>
        <w:spacing w:line="384" w:lineRule="auto"/>
        <w:ind w:left="193" w:right="1170" w:firstLine="360"/>
        <w:jc w:val="left"/>
      </w:pPr>
      <w:r>
        <w:rPr/>
        <w:t>公司下属子公司</w:t>
      </w:r>
      <w:r>
        <w:rPr>
          <w:rFonts w:ascii="Times New Roman" w:hAnsi="Times New Roman" w:cs="Times New Roman" w:eastAsia="Times New Roman" w:hint="default"/>
        </w:rPr>
        <w:t>Digital China Software</w:t>
      </w:r>
      <w:r>
        <w:rPr/>
        <w:t>（</w:t>
      </w:r>
      <w:r>
        <w:rPr>
          <w:rFonts w:ascii="Times New Roman" w:hAnsi="Times New Roman" w:cs="Times New Roman" w:eastAsia="Times New Roman" w:hint="default"/>
        </w:rPr>
        <w:t>BVI</w:t>
      </w:r>
      <w:r>
        <w:rPr/>
        <w:t>）</w:t>
      </w:r>
      <w:r>
        <w:rPr>
          <w:rFonts w:ascii="Times New Roman" w:hAnsi="Times New Roman" w:cs="Times New Roman" w:eastAsia="Times New Roman" w:hint="default"/>
        </w:rPr>
        <w:t>Limited</w:t>
      </w:r>
      <w:r>
        <w:rPr/>
        <w:t>（以下简称</w:t>
      </w:r>
      <w:r>
        <w:rPr>
          <w:rFonts w:ascii="Times New Roman" w:hAnsi="Times New Roman" w:cs="Times New Roman" w:eastAsia="Times New Roman" w:hint="default"/>
        </w:rPr>
        <w:t>“DC</w:t>
      </w:r>
      <w:r>
        <w:rPr>
          <w:rFonts w:ascii="Times New Roman" w:hAnsi="Times New Roman" w:cs="Times New Roman" w:eastAsia="Times New Roman" w:hint="default"/>
          <w:spacing w:val="-11"/>
        </w:rPr>
        <w:t> </w:t>
      </w:r>
      <w:r>
        <w:rPr>
          <w:rFonts w:ascii="Times New Roman" w:hAnsi="Times New Roman" w:cs="Times New Roman" w:eastAsia="Times New Roman" w:hint="default"/>
        </w:rPr>
        <w:t>Software”</w:t>
      </w:r>
      <w:r>
        <w:rPr/>
        <w:t>）通过鼎捷软件股份有限公司（股票代 码：</w:t>
      </w:r>
      <w:r>
        <w:rPr>
          <w:rFonts w:ascii="Times New Roman" w:hAnsi="Times New Roman" w:cs="Times New Roman" w:eastAsia="Times New Roman" w:hint="default"/>
        </w:rPr>
        <w:t>300378</w:t>
      </w:r>
      <w:r>
        <w:rPr/>
        <w:t>，股票简称：鼎捷软件）分别于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30</w:t>
      </w:r>
      <w:r>
        <w:rPr/>
        <w:t>日、</w:t>
      </w:r>
      <w:r>
        <w:rPr>
          <w:rFonts w:ascii="宋体" w:hAnsi="宋体" w:cs="宋体" w:eastAsia="宋体" w:hint="default"/>
        </w:rPr>
        <w:t>11</w:t>
      </w:r>
      <w:r>
        <w:rPr/>
        <w:t>月</w:t>
      </w:r>
      <w:r>
        <w:rPr>
          <w:rFonts w:ascii="宋体" w:hAnsi="宋体" w:cs="宋体" w:eastAsia="宋体" w:hint="default"/>
        </w:rPr>
        <w:t>27</w:t>
      </w:r>
      <w:r>
        <w:rPr/>
        <w:t>日披露了《关于公司持股</w:t>
      </w:r>
      <w:r>
        <w:rPr>
          <w:rFonts w:ascii="Times New Roman" w:hAnsi="Times New Roman" w:cs="Times New Roman" w:eastAsia="Times New Roman" w:hint="default"/>
        </w:rPr>
        <w:t>5%</w:t>
      </w:r>
      <w:r>
        <w:rPr/>
        <w:t>以上的股东减持股份计划</w:t>
      </w:r>
    </w:p>
    <w:p>
      <w:pPr>
        <w:spacing w:after="0" w:line="384" w:lineRule="auto"/>
        <w:jc w:val="left"/>
        <w:sectPr>
          <w:pgSz w:w="11910" w:h="16840"/>
          <w:pgMar w:header="916" w:footer="1261" w:top="1120" w:bottom="1460" w:left="940" w:right="0"/>
        </w:sectPr>
      </w:pPr>
    </w:p>
    <w:p>
      <w:pPr>
        <w:spacing w:line="240" w:lineRule="auto" w:before="6"/>
        <w:rPr>
          <w:rFonts w:ascii="宋体" w:hAnsi="宋体" w:cs="宋体" w:eastAsia="宋体" w:hint="default"/>
          <w:sz w:val="28"/>
          <w:szCs w:val="28"/>
        </w:rPr>
      </w:pPr>
    </w:p>
    <w:p>
      <w:pPr>
        <w:pStyle w:val="BodyText"/>
        <w:spacing w:line="386" w:lineRule="auto" w:before="44"/>
        <w:ind w:right="1169"/>
        <w:jc w:val="left"/>
      </w:pPr>
      <w:r>
        <w:rPr/>
        <w:t>的公告》，具体内容详见鼎捷软件在巨潮资讯网及《证券时报》、《中国证券报》上刊登的《关于公司持股</w:t>
      </w:r>
      <w:r>
        <w:rPr>
          <w:rFonts w:ascii="Times New Roman" w:hAnsi="Times New Roman" w:cs="Times New Roman" w:eastAsia="Times New Roman" w:hint="default"/>
        </w:rPr>
        <w:t>5%</w:t>
      </w:r>
      <w:r>
        <w:rPr/>
        <w:t>以上的股东 减持股份计划的公告》（公告编号：</w:t>
      </w:r>
      <w:r>
        <w:rPr>
          <w:rFonts w:ascii="Times New Roman" w:hAnsi="Times New Roman" w:cs="Times New Roman" w:eastAsia="Times New Roman" w:hint="default"/>
        </w:rPr>
        <w:t>2019-04057</w:t>
      </w:r>
      <w:r>
        <w:rPr/>
        <w:t>、</w:t>
      </w:r>
      <w:r>
        <w:rPr>
          <w:rFonts w:ascii="宋体" w:hAnsi="宋体" w:cs="宋体" w:eastAsia="宋体" w:hint="default"/>
        </w:rPr>
        <w:t>2019-11132</w:t>
      </w:r>
      <w:r>
        <w:rPr/>
        <w:t>）（以下简称</w:t>
      </w:r>
      <w:r>
        <w:rPr>
          <w:rFonts w:ascii="Times New Roman" w:hAnsi="Times New Roman" w:cs="Times New Roman" w:eastAsia="Times New Roman" w:hint="default"/>
        </w:rPr>
        <w:t>“</w:t>
      </w:r>
      <w:r>
        <w:rPr/>
        <w:t>减持计划</w:t>
      </w:r>
      <w:r>
        <w:rPr>
          <w:rFonts w:ascii="Times New Roman" w:hAnsi="Times New Roman" w:cs="Times New Roman" w:eastAsia="Times New Roman" w:hint="default"/>
        </w:rPr>
        <w:t>”</w:t>
      </w:r>
      <w:r>
        <w:rPr/>
        <w:t>）。</w:t>
      </w:r>
    </w:p>
    <w:p>
      <w:pPr>
        <w:pStyle w:val="BodyText"/>
        <w:spacing w:line="388" w:lineRule="auto" w:before="27"/>
        <w:ind w:right="1167" w:firstLine="360"/>
        <w:jc w:val="left"/>
        <w:rPr>
          <w:rFonts w:ascii="宋体" w:hAnsi="宋体" w:cs="宋体" w:eastAsia="宋体" w:hint="default"/>
        </w:rPr>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w:t>
      </w:r>
      <w:r>
        <w:rPr>
          <w:rFonts w:ascii="宋体" w:hAnsi="宋体" w:cs="宋体" w:eastAsia="宋体" w:hint="default"/>
        </w:rPr>
        <w:t>12</w:t>
      </w:r>
      <w:r>
        <w:rPr/>
        <w:t>月</w:t>
      </w:r>
      <w:r>
        <w:rPr>
          <w:rFonts w:ascii="宋体" w:hAnsi="宋体" w:cs="宋体" w:eastAsia="宋体" w:hint="default"/>
        </w:rPr>
        <w:t>3</w:t>
      </w:r>
      <w:r>
        <w:rPr/>
        <w:t>日召开第八届董事会第三次会议、第八届董事会</w:t>
      </w:r>
      <w:r>
        <w:rPr>
          <w:rFonts w:ascii="宋体" w:hAnsi="宋体" w:cs="宋体" w:eastAsia="宋体" w:hint="default"/>
        </w:rPr>
        <w:t>2019</w:t>
      </w:r>
      <w:r>
        <w:rPr/>
        <w:t>年第八次临时会议，同意授权管理 层继续择机出售减持计划中剩余尚未出售的股票，上述事项已经公司</w:t>
      </w:r>
      <w:r>
        <w:rPr>
          <w:rFonts w:ascii="Times New Roman" w:hAnsi="Times New Roman" w:cs="Times New Roman" w:eastAsia="Times New Roman" w:hint="default"/>
        </w:rPr>
        <w:t>2019</w:t>
      </w:r>
      <w:r>
        <w:rPr/>
        <w:t>年第三次临时股东大会、第四次临时股东大会审 议通过，具体内容详见公司于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w:t>
      </w:r>
      <w:r>
        <w:rPr>
          <w:rFonts w:ascii="宋体" w:hAnsi="宋体" w:cs="宋体" w:eastAsia="宋体" w:hint="default"/>
        </w:rPr>
        <w:t>12</w:t>
      </w:r>
      <w:r>
        <w:rPr/>
        <w:t>月</w:t>
      </w:r>
      <w:r>
        <w:rPr>
          <w:rFonts w:ascii="宋体" w:hAnsi="宋体" w:cs="宋体" w:eastAsia="宋体" w:hint="default"/>
        </w:rPr>
        <w:t>4</w:t>
      </w:r>
      <w:r>
        <w:rPr/>
        <w:t>日在《证券时报》及巨潮资讯网上披露的《关于授权管理层处置股票 资产的公告》（公告编号：</w:t>
      </w:r>
      <w:r>
        <w:rPr>
          <w:rFonts w:ascii="宋体" w:hAnsi="宋体" w:cs="宋体" w:eastAsia="宋体" w:hint="default"/>
        </w:rPr>
        <w:t>2019-071</w:t>
      </w:r>
      <w:r>
        <w:rPr/>
        <w:t>、</w:t>
      </w:r>
      <w:r>
        <w:rPr>
          <w:rFonts w:ascii="宋体" w:hAnsi="宋体" w:cs="宋体" w:eastAsia="宋体" w:hint="default"/>
        </w:rPr>
        <w:t>2019-109</w:t>
      </w:r>
      <w:r>
        <w:rPr/>
        <w:t>）。截止本公告披露日，</w:t>
      </w:r>
      <w:r>
        <w:rPr>
          <w:rFonts w:ascii="Times New Roman" w:hAnsi="Times New Roman" w:cs="Times New Roman" w:eastAsia="Times New Roman" w:hint="default"/>
        </w:rPr>
        <w:t>DC</w:t>
      </w:r>
      <w:r>
        <w:rPr>
          <w:rFonts w:ascii="Times New Roman" w:hAnsi="Times New Roman" w:cs="Times New Roman" w:eastAsia="Times New Roman" w:hint="default"/>
          <w:spacing w:val="-2"/>
        </w:rPr>
        <w:t> </w:t>
      </w:r>
      <w:r>
        <w:rPr>
          <w:rFonts w:ascii="Times New Roman" w:hAnsi="Times New Roman" w:cs="Times New Roman" w:eastAsia="Times New Roman" w:hint="default"/>
        </w:rPr>
        <w:t>Software</w:t>
      </w:r>
      <w:r>
        <w:rPr/>
        <w:t>已累计出售鼎捷软件股票</w:t>
      </w:r>
      <w:r>
        <w:rPr>
          <w:rFonts w:ascii="宋体" w:hAnsi="宋体" w:cs="宋体" w:eastAsia="宋体" w:hint="default"/>
        </w:rPr>
        <w:t>5,656,374 </w:t>
      </w:r>
      <w:r>
        <w:rPr/>
        <w:t>股，尚持有鼎捷软件股票</w:t>
      </w:r>
      <w:r>
        <w:rPr>
          <w:rFonts w:ascii="宋体" w:hAnsi="宋体" w:cs="宋体" w:eastAsia="宋体" w:hint="default"/>
        </w:rPr>
        <w:t>41,071,265</w:t>
      </w:r>
      <w:r>
        <w:rPr/>
        <w:t>股，约占其总股本的</w:t>
      </w:r>
      <w:r>
        <w:rPr>
          <w:rFonts w:ascii="宋体" w:hAnsi="宋体" w:cs="宋体" w:eastAsia="宋体" w:hint="default"/>
        </w:rPr>
        <w:t>15.43</w:t>
      </w:r>
      <w:r>
        <w:rPr>
          <w:rFonts w:ascii="Times New Roman" w:hAnsi="Times New Roman" w:cs="Times New Roman" w:eastAsia="Times New Roman" w:hint="default"/>
        </w:rPr>
        <w:t>%</w:t>
      </w:r>
      <w:r>
        <w:rPr/>
        <w:t>，减持具体情况请参见公司在《证券时报》及巨潮资讯网 上披露的《关于下属子公司出售鼎捷软件股份的公告》、《关于下属子公司对外出售股票资产的公告》、《关于下属子公 司对外出售股票资产的进展公告》（公告编号：</w:t>
      </w:r>
      <w:r>
        <w:rPr>
          <w:rFonts w:ascii="Times New Roman" w:hAnsi="Times New Roman" w:cs="Times New Roman" w:eastAsia="Times New Roman" w:hint="default"/>
        </w:rPr>
        <w:t>2019-063</w:t>
      </w:r>
      <w:r>
        <w:rPr/>
        <w:t>、</w:t>
      </w:r>
      <w:r>
        <w:rPr>
          <w:rFonts w:ascii="Times New Roman" w:hAnsi="Times New Roman" w:cs="Times New Roman" w:eastAsia="Times New Roman" w:hint="default"/>
        </w:rPr>
        <w:t>2019-065</w:t>
      </w:r>
      <w:r>
        <w:rPr/>
        <w:t>、</w:t>
      </w:r>
      <w:r>
        <w:rPr>
          <w:rFonts w:ascii="Times New Roman" w:hAnsi="Times New Roman" w:cs="Times New Roman" w:eastAsia="Times New Roman" w:hint="default"/>
        </w:rPr>
        <w:t>2019-066</w:t>
      </w:r>
      <w:r>
        <w:rPr/>
        <w:t>、</w:t>
      </w:r>
      <w:r>
        <w:rPr>
          <w:rFonts w:ascii="Times New Roman" w:hAnsi="Times New Roman" w:cs="Times New Roman" w:eastAsia="Times New Roman" w:hint="default"/>
        </w:rPr>
        <w:t>2019-090</w:t>
      </w:r>
      <w:r>
        <w:rPr/>
        <w:t>、</w:t>
      </w:r>
      <w:r>
        <w:rPr>
          <w:rFonts w:ascii="宋体" w:hAnsi="宋体" w:cs="宋体" w:eastAsia="宋体" w:hint="default"/>
        </w:rPr>
        <w:t>2019-099</w:t>
      </w:r>
      <w:r>
        <w:rPr/>
        <w:t>、</w:t>
      </w:r>
      <w:r>
        <w:rPr>
          <w:rFonts w:ascii="宋体" w:hAnsi="宋体" w:cs="宋体" w:eastAsia="宋体" w:hint="default"/>
        </w:rPr>
        <w:t>2019-118</w:t>
      </w:r>
      <w:r>
        <w:rPr/>
        <w:t>、</w:t>
      </w:r>
      <w:r>
        <w:rPr>
          <w:rFonts w:ascii="宋体" w:hAnsi="宋体" w:cs="宋体" w:eastAsia="宋体" w:hint="default"/>
        </w:rPr>
        <w:t>2019- 122 </w:t>
      </w:r>
      <w:r>
        <w:rPr/>
        <w:t>）。公司将持续关注</w:t>
      </w:r>
      <w:r>
        <w:rPr>
          <w:rFonts w:ascii="Times New Roman" w:hAnsi="Times New Roman" w:cs="Times New Roman" w:eastAsia="Times New Roman" w:hint="default"/>
        </w:rPr>
        <w:t>DC</w:t>
      </w:r>
      <w:r>
        <w:rPr>
          <w:rFonts w:ascii="Times New Roman" w:hAnsi="Times New Roman" w:cs="Times New Roman" w:eastAsia="Times New Roman" w:hint="default"/>
          <w:spacing w:val="-3"/>
        </w:rPr>
        <w:t> </w:t>
      </w:r>
      <w:r>
        <w:rPr>
          <w:rFonts w:ascii="Times New Roman" w:hAnsi="Times New Roman" w:cs="Times New Roman" w:eastAsia="Times New Roman" w:hint="default"/>
        </w:rPr>
        <w:t>Software</w:t>
      </w:r>
      <w:r>
        <w:rPr/>
        <w:t>出售鼎捷软件股票事宜，并及时履行信息披露及审批义务。</w:t>
      </w:r>
      <w:r>
        <w:rPr>
          <w:rFonts w:ascii="宋体" w:hAnsi="宋体" w:cs="宋体" w:eastAsia="宋体" w:hint="default"/>
        </w:rPr>
        <w:t> </w:t>
      </w:r>
    </w:p>
    <w:p>
      <w:pPr>
        <w:pStyle w:val="BodyText"/>
        <w:spacing w:line="204" w:lineRule="exact"/>
        <w:ind w:left="513" w:right="0"/>
        <w:jc w:val="left"/>
      </w:pPr>
      <w:r>
        <w:rPr/>
        <w:t>（四）其他重要事项</w:t>
      </w:r>
    </w:p>
    <w:p>
      <w:pPr>
        <w:pStyle w:val="BodyText"/>
        <w:spacing w:line="240" w:lineRule="auto" w:before="115"/>
        <w:ind w:left="513" w:right="0"/>
        <w:jc w:val="left"/>
        <w:rPr>
          <w:rFonts w:ascii="宋体" w:hAnsi="宋体" w:cs="宋体" w:eastAsia="宋体" w:hint="default"/>
        </w:rPr>
      </w:pPr>
      <w:r>
        <w:rPr/>
        <w:t>报告期内，公司信息披露索引如下：</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153" w:type="dxa"/>
        <w:tblLayout w:type="fixed"/>
        <w:tblCellMar>
          <w:top w:w="0" w:type="dxa"/>
          <w:left w:w="0" w:type="dxa"/>
          <w:bottom w:w="0" w:type="dxa"/>
          <w:right w:w="0" w:type="dxa"/>
        </w:tblCellMar>
        <w:tblLook w:val="01E0"/>
      </w:tblPr>
      <w:tblGrid>
        <w:gridCol w:w="919"/>
        <w:gridCol w:w="4177"/>
        <w:gridCol w:w="1277"/>
        <w:gridCol w:w="1133"/>
        <w:gridCol w:w="2352"/>
      </w:tblGrid>
      <w:tr>
        <w:trPr>
          <w:trHeight w:val="660"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z w:val="18"/>
                <w:szCs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5" w:right="0"/>
              <w:jc w:val="center"/>
              <w:rPr>
                <w:rFonts w:ascii="宋体" w:hAnsi="宋体" w:cs="宋体" w:eastAsia="宋体" w:hint="default"/>
                <w:sz w:val="18"/>
                <w:szCs w:val="18"/>
              </w:rPr>
            </w:pPr>
            <w:r>
              <w:rPr>
                <w:rFonts w:ascii="宋体" w:hAnsi="宋体" w:cs="宋体" w:eastAsia="宋体" w:hint="default"/>
                <w:sz w:val="18"/>
                <w:szCs w:val="18"/>
              </w:rPr>
              <w:t>事项</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71" w:right="89" w:hanging="180"/>
              <w:jc w:val="left"/>
              <w:rPr>
                <w:rFonts w:ascii="宋体" w:hAnsi="宋体" w:cs="宋体" w:eastAsia="宋体" w:hint="default"/>
                <w:sz w:val="18"/>
                <w:szCs w:val="18"/>
              </w:rPr>
            </w:pPr>
            <w:r>
              <w:rPr>
                <w:rFonts w:ascii="宋体" w:hAnsi="宋体" w:cs="宋体" w:eastAsia="宋体" w:hint="default"/>
                <w:sz w:val="18"/>
                <w:szCs w:val="18"/>
              </w:rPr>
              <w:t>刊载的报刊名 称及版面</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04"/>
              <w:jc w:val="right"/>
              <w:rPr>
                <w:rFonts w:ascii="宋体" w:hAnsi="宋体" w:cs="宋体" w:eastAsia="宋体" w:hint="default"/>
                <w:sz w:val="18"/>
                <w:szCs w:val="18"/>
              </w:rPr>
            </w:pPr>
            <w:r>
              <w:rPr>
                <w:rFonts w:ascii="宋体" w:hAnsi="宋体" w:cs="宋体" w:eastAsia="宋体" w:hint="default"/>
                <w:sz w:val="18"/>
                <w:szCs w:val="18"/>
              </w:rPr>
              <w:t>刊载日期</w:t>
            </w:r>
            <w:r>
              <w:rPr>
                <w:rFonts w:ascii="宋体" w:hAnsi="宋体" w:cs="宋体" w:eastAsia="宋体" w:hint="default"/>
                <w:sz w:val="18"/>
                <w:szCs w:val="18"/>
              </w:rPr>
              <w:t> </w:t>
            </w:r>
          </w:p>
        </w:tc>
        <w:tc>
          <w:tcPr>
            <w:tcW w:w="23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808" w:right="265" w:hanging="449"/>
              <w:jc w:val="left"/>
              <w:rPr>
                <w:rFonts w:ascii="宋体" w:hAnsi="宋体" w:cs="宋体" w:eastAsia="宋体" w:hint="default"/>
                <w:sz w:val="18"/>
                <w:szCs w:val="18"/>
              </w:rPr>
            </w:pPr>
            <w:r>
              <w:rPr>
                <w:rFonts w:ascii="宋体" w:hAnsi="宋体" w:cs="宋体" w:eastAsia="宋体" w:hint="default"/>
                <w:sz w:val="18"/>
                <w:szCs w:val="18"/>
              </w:rPr>
              <w:t>刊载的互联网网站及</w:t>
            </w:r>
            <w:r>
              <w:rPr>
                <w:rFonts w:ascii="宋体" w:hAnsi="宋体" w:cs="宋体" w:eastAsia="宋体" w:hint="default"/>
                <w:sz w:val="18"/>
                <w:szCs w:val="18"/>
              </w:rPr>
              <w:t> </w:t>
            </w:r>
            <w:r>
              <w:rPr>
                <w:rFonts w:ascii="宋体" w:hAnsi="宋体" w:cs="宋体" w:eastAsia="宋体" w:hint="default"/>
                <w:sz w:val="18"/>
                <w:szCs w:val="18"/>
              </w:rPr>
              <w:t>检索路径</w:t>
            </w:r>
            <w:r>
              <w:rPr>
                <w:rFonts w:ascii="宋体" w:hAnsi="宋体" w:cs="宋体" w:eastAsia="宋体" w:hint="default"/>
                <w:sz w:val="18"/>
                <w:szCs w:val="18"/>
              </w:rPr>
              <w:t> </w:t>
            </w:r>
          </w:p>
        </w:tc>
      </w:tr>
      <w:tr>
        <w:trPr>
          <w:trHeight w:val="487"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2019-001</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2019</w:t>
            </w:r>
            <w:r>
              <w:rPr>
                <w:rFonts w:ascii="宋体" w:hAnsi="宋体" w:cs="宋体" w:eastAsia="宋体" w:hint="default"/>
                <w:sz w:val="18"/>
                <w:szCs w:val="18"/>
              </w:rPr>
              <w:t>年度第一次临时股东大会的提示性公告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2"/>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B16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2019/1/2</w:t>
            </w:r>
            <w:r>
              <w:rPr>
                <w:rFonts w:ascii="宋体"/>
                <w:sz w:val="18"/>
              </w:rPr>
              <w:t> </w:t>
            </w:r>
          </w:p>
        </w:tc>
        <w:tc>
          <w:tcPr>
            <w:tcW w:w="235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87"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宋体" w:hAnsi="宋体" w:cs="宋体" w:eastAsia="宋体" w:hint="default"/>
                  <w:sz w:val="18"/>
                  <w:szCs w:val="18"/>
                </w:rPr>
                <w:t>http://www.cninfo.com.cn</w:t>
              </w:r>
            </w:hyperlink>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 </w:t>
            </w:r>
          </w:p>
        </w:tc>
      </w:tr>
      <w:tr>
        <w:trPr>
          <w:trHeight w:val="490"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2019-002</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年度第一次临时股东大会决议公告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2"/>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2019/1/3</w:t>
            </w:r>
            <w:r>
              <w:rPr>
                <w:rFonts w:ascii="宋体"/>
                <w:sz w:val="18"/>
              </w:rPr>
              <w:t> </w:t>
            </w:r>
          </w:p>
        </w:tc>
        <w:tc>
          <w:tcPr>
            <w:tcW w:w="2352" w:type="dxa"/>
            <w:vMerge/>
            <w:tcBorders>
              <w:left w:val="single" w:sz="6" w:space="0" w:color="000000"/>
              <w:right w:val="single" w:sz="6" w:space="0" w:color="000000"/>
            </w:tcBorders>
          </w:tcPr>
          <w:p>
            <w:pPr/>
          </w:p>
        </w:tc>
      </w:tr>
      <w:tr>
        <w:trPr>
          <w:trHeight w:val="490"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2019-003</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宋体" w:hAnsi="宋体" w:cs="宋体" w:eastAsia="宋体" w:hint="default"/>
                <w:sz w:val="18"/>
                <w:szCs w:val="18"/>
              </w:rPr>
              <w:t>2019</w:t>
            </w:r>
            <w:r>
              <w:rPr>
                <w:rFonts w:ascii="宋体" w:hAnsi="宋体" w:cs="宋体" w:eastAsia="宋体" w:hint="default"/>
                <w:sz w:val="18"/>
                <w:szCs w:val="18"/>
              </w:rPr>
              <w:t>年第一次临时会议决议公告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2"/>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2019/1/3</w:t>
            </w:r>
            <w:r>
              <w:rPr>
                <w:rFonts w:ascii="宋体"/>
                <w:sz w:val="18"/>
              </w:rPr>
              <w:t> </w:t>
            </w:r>
          </w:p>
        </w:tc>
        <w:tc>
          <w:tcPr>
            <w:tcW w:w="2352" w:type="dxa"/>
            <w:vMerge/>
            <w:tcBorders>
              <w:left w:val="single" w:sz="6" w:space="0" w:color="000000"/>
              <w:right w:val="single" w:sz="6" w:space="0" w:color="000000"/>
            </w:tcBorders>
          </w:tcPr>
          <w:p>
            <w:pPr/>
          </w:p>
        </w:tc>
      </w:tr>
      <w:tr>
        <w:trPr>
          <w:trHeight w:val="490"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2019-004</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第八届监事会</w:t>
            </w:r>
            <w:r>
              <w:rPr>
                <w:rFonts w:ascii="宋体" w:hAnsi="宋体" w:cs="宋体" w:eastAsia="宋体" w:hint="default"/>
                <w:sz w:val="18"/>
                <w:szCs w:val="18"/>
              </w:rPr>
              <w:t>2019</w:t>
            </w:r>
            <w:r>
              <w:rPr>
                <w:rFonts w:ascii="宋体" w:hAnsi="宋体" w:cs="宋体" w:eastAsia="宋体" w:hint="default"/>
                <w:sz w:val="18"/>
                <w:szCs w:val="18"/>
              </w:rPr>
              <w:t>年第一次临时会议决议公告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2"/>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2019/1/3</w:t>
            </w:r>
            <w:r>
              <w:rPr>
                <w:rFonts w:ascii="宋体"/>
                <w:sz w:val="18"/>
              </w:rPr>
              <w:t> </w:t>
            </w:r>
          </w:p>
        </w:tc>
        <w:tc>
          <w:tcPr>
            <w:tcW w:w="2352" w:type="dxa"/>
            <w:vMerge/>
            <w:tcBorders>
              <w:left w:val="single" w:sz="6" w:space="0" w:color="000000"/>
              <w:right w:val="single" w:sz="6" w:space="0" w:color="000000"/>
            </w:tcBorders>
          </w:tcPr>
          <w:p>
            <w:pPr/>
          </w:p>
        </w:tc>
      </w:tr>
      <w:tr>
        <w:trPr>
          <w:trHeight w:val="488"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宋体" w:hAnsi="宋体" w:cs="宋体" w:eastAsia="宋体" w:hint="default"/>
                <w:sz w:val="18"/>
                <w:szCs w:val="18"/>
              </w:rPr>
            </w:pPr>
            <w:r>
              <w:rPr>
                <w:rFonts w:ascii="宋体"/>
                <w:spacing w:val="-1"/>
                <w:sz w:val="18"/>
              </w:rPr>
              <w:t>2019-005</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关于公司控股股东进行股票质押交易的公告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42"/>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B92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4"/>
              <w:jc w:val="right"/>
              <w:rPr>
                <w:rFonts w:ascii="宋体" w:hAnsi="宋体" w:cs="宋体" w:eastAsia="宋体" w:hint="default"/>
                <w:sz w:val="18"/>
                <w:szCs w:val="18"/>
              </w:rPr>
            </w:pPr>
            <w:r>
              <w:rPr>
                <w:rFonts w:ascii="宋体"/>
                <w:spacing w:val="-1"/>
                <w:sz w:val="18"/>
              </w:rPr>
              <w:t>2019/1/5</w:t>
            </w:r>
            <w:r>
              <w:rPr>
                <w:rFonts w:ascii="宋体"/>
                <w:sz w:val="18"/>
              </w:rPr>
              <w:t> </w:t>
            </w:r>
          </w:p>
        </w:tc>
        <w:tc>
          <w:tcPr>
            <w:tcW w:w="2352" w:type="dxa"/>
            <w:vMerge/>
            <w:tcBorders>
              <w:left w:val="single" w:sz="6" w:space="0" w:color="000000"/>
              <w:right w:val="single" w:sz="6" w:space="0" w:color="000000"/>
            </w:tcBorders>
          </w:tcPr>
          <w:p>
            <w:pPr/>
          </w:p>
        </w:tc>
      </w:tr>
      <w:tr>
        <w:trPr>
          <w:trHeight w:val="490"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2019-006</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关于公司高级管理人员减持股份实施情况的公告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2"/>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B21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2019/1/10 </w:t>
            </w:r>
          </w:p>
        </w:tc>
        <w:tc>
          <w:tcPr>
            <w:tcW w:w="2352" w:type="dxa"/>
            <w:vMerge/>
            <w:tcBorders>
              <w:left w:val="single" w:sz="6" w:space="0" w:color="000000"/>
              <w:right w:val="single" w:sz="6" w:space="0" w:color="000000"/>
            </w:tcBorders>
          </w:tcPr>
          <w:p>
            <w:pPr/>
          </w:p>
        </w:tc>
      </w:tr>
      <w:tr>
        <w:trPr>
          <w:trHeight w:val="490"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2019-007</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关于股东减持公司股份的预披露公告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2"/>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B21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2019/1/10 </w:t>
            </w:r>
          </w:p>
        </w:tc>
        <w:tc>
          <w:tcPr>
            <w:tcW w:w="2352" w:type="dxa"/>
            <w:vMerge/>
            <w:tcBorders>
              <w:left w:val="single" w:sz="6" w:space="0" w:color="000000"/>
              <w:right w:val="single" w:sz="6" w:space="0" w:color="000000"/>
            </w:tcBorders>
          </w:tcPr>
          <w:p>
            <w:pPr/>
          </w:p>
        </w:tc>
      </w:tr>
      <w:tr>
        <w:trPr>
          <w:trHeight w:val="490"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2019-008</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2019</w:t>
            </w:r>
            <w:r>
              <w:rPr>
                <w:rFonts w:ascii="宋体" w:hAnsi="宋体" w:cs="宋体" w:eastAsia="宋体" w:hint="default"/>
                <w:sz w:val="18"/>
                <w:szCs w:val="18"/>
              </w:rPr>
              <w:t>年度日常关联交易预计事项的提示性公告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2"/>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2019/1/12 </w:t>
            </w:r>
          </w:p>
        </w:tc>
        <w:tc>
          <w:tcPr>
            <w:tcW w:w="2352" w:type="dxa"/>
            <w:vMerge/>
            <w:tcBorders>
              <w:left w:val="single" w:sz="6" w:space="0" w:color="000000"/>
              <w:right w:val="single" w:sz="6" w:space="0" w:color="000000"/>
            </w:tcBorders>
          </w:tcPr>
          <w:p>
            <w:pPr/>
          </w:p>
        </w:tc>
      </w:tr>
      <w:tr>
        <w:trPr>
          <w:trHeight w:val="487"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2019-009</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股票交易异常波动公告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2"/>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2019/1/18 </w:t>
            </w:r>
          </w:p>
        </w:tc>
        <w:tc>
          <w:tcPr>
            <w:tcW w:w="2352" w:type="dxa"/>
            <w:vMerge/>
            <w:tcBorders>
              <w:left w:val="single" w:sz="6" w:space="0" w:color="000000"/>
              <w:right w:val="single" w:sz="6" w:space="0" w:color="000000"/>
            </w:tcBorders>
          </w:tcPr>
          <w:p>
            <w:pPr/>
          </w:p>
        </w:tc>
      </w:tr>
      <w:tr>
        <w:trPr>
          <w:trHeight w:val="490"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2019-010</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关于获得政府补助的公告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89"/>
              <w:jc w:val="right"/>
              <w:rPr>
                <w:rFonts w:ascii="宋体" w:hAnsi="宋体" w:cs="宋体" w:eastAsia="宋体" w:hint="default"/>
                <w:sz w:val="18"/>
                <w:szCs w:val="18"/>
              </w:rPr>
            </w:pPr>
            <w:r>
              <w:rPr>
                <w:rFonts w:ascii="宋体" w:hAnsi="宋体" w:cs="宋体" w:eastAsia="宋体" w:hint="default"/>
                <w:spacing w:val="-1"/>
                <w:sz w:val="18"/>
                <w:szCs w:val="18"/>
              </w:rPr>
              <w:t>证券时报</w:t>
            </w:r>
            <w:r>
              <w:rPr>
                <w:rFonts w:ascii="宋体" w:hAnsi="宋体" w:cs="宋体" w:eastAsia="宋体" w:hint="default"/>
                <w:spacing w:val="-1"/>
                <w:sz w:val="18"/>
                <w:szCs w:val="18"/>
              </w:rPr>
              <w:t>B5</w:t>
            </w:r>
            <w:r>
              <w:rPr>
                <w:rFonts w:ascii="宋体" w:hAnsi="宋体" w:cs="宋体" w:eastAsia="宋体" w:hint="default"/>
                <w:sz w:val="18"/>
                <w:szCs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2019/1/23 </w:t>
            </w:r>
          </w:p>
        </w:tc>
        <w:tc>
          <w:tcPr>
            <w:tcW w:w="2352" w:type="dxa"/>
            <w:vMerge/>
            <w:tcBorders>
              <w:left w:val="single" w:sz="6" w:space="0" w:color="000000"/>
              <w:right w:val="single" w:sz="6" w:space="0" w:color="000000"/>
            </w:tcBorders>
          </w:tcPr>
          <w:p>
            <w:pPr/>
          </w:p>
        </w:tc>
      </w:tr>
      <w:tr>
        <w:trPr>
          <w:trHeight w:val="490"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2019-011</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宋体" w:hAnsi="宋体" w:cs="宋体" w:eastAsia="宋体" w:hint="default"/>
                <w:sz w:val="18"/>
                <w:szCs w:val="18"/>
              </w:rPr>
              <w:t>2019</w:t>
            </w:r>
            <w:r>
              <w:rPr>
                <w:rFonts w:ascii="宋体" w:hAnsi="宋体" w:cs="宋体" w:eastAsia="宋体" w:hint="default"/>
                <w:sz w:val="18"/>
                <w:szCs w:val="18"/>
              </w:rPr>
              <w:t>年第二次临时会议决议公告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2"/>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2019/1/31 </w:t>
            </w:r>
          </w:p>
        </w:tc>
        <w:tc>
          <w:tcPr>
            <w:tcW w:w="2352" w:type="dxa"/>
            <w:vMerge/>
            <w:tcBorders>
              <w:left w:val="single" w:sz="6" w:space="0" w:color="000000"/>
              <w:right w:val="single" w:sz="6" w:space="0" w:color="000000"/>
            </w:tcBorders>
          </w:tcPr>
          <w:p>
            <w:pPr/>
          </w:p>
        </w:tc>
      </w:tr>
      <w:tr>
        <w:trPr>
          <w:trHeight w:val="490"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
              <w:jc w:val="right"/>
              <w:rPr>
                <w:rFonts w:ascii="宋体" w:hAnsi="宋体" w:cs="宋体" w:eastAsia="宋体" w:hint="default"/>
                <w:sz w:val="18"/>
                <w:szCs w:val="18"/>
              </w:rPr>
            </w:pPr>
            <w:r>
              <w:rPr>
                <w:rFonts w:ascii="宋体"/>
                <w:spacing w:val="-1"/>
                <w:sz w:val="18"/>
              </w:rPr>
              <w:t>2019-012</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年度日常关联交易预计公告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42"/>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9"/>
              <w:jc w:val="right"/>
              <w:rPr>
                <w:rFonts w:ascii="宋体" w:hAnsi="宋体" w:cs="宋体" w:eastAsia="宋体" w:hint="default"/>
                <w:sz w:val="18"/>
                <w:szCs w:val="18"/>
              </w:rPr>
            </w:pPr>
            <w:r>
              <w:rPr>
                <w:rFonts w:ascii="宋体"/>
                <w:spacing w:val="-1"/>
                <w:sz w:val="18"/>
              </w:rPr>
              <w:t>2019/1/31 </w:t>
            </w:r>
          </w:p>
        </w:tc>
        <w:tc>
          <w:tcPr>
            <w:tcW w:w="2352" w:type="dxa"/>
            <w:vMerge/>
            <w:tcBorders>
              <w:left w:val="single" w:sz="6" w:space="0" w:color="000000"/>
              <w:right w:val="single" w:sz="6" w:space="0" w:color="000000"/>
            </w:tcBorders>
          </w:tcPr>
          <w:p>
            <w:pPr/>
          </w:p>
        </w:tc>
      </w:tr>
      <w:tr>
        <w:trPr>
          <w:trHeight w:val="487"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2019-013</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关于预计公司及下属子公司担保额度的公告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2"/>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2019/1/31 </w:t>
            </w:r>
          </w:p>
        </w:tc>
        <w:tc>
          <w:tcPr>
            <w:tcW w:w="2352" w:type="dxa"/>
            <w:vMerge/>
            <w:tcBorders>
              <w:left w:val="single" w:sz="6" w:space="0" w:color="000000"/>
              <w:right w:val="single" w:sz="6" w:space="0" w:color="000000"/>
            </w:tcBorders>
          </w:tcPr>
          <w:p>
            <w:pPr/>
          </w:p>
        </w:tc>
      </w:tr>
      <w:tr>
        <w:trPr>
          <w:trHeight w:val="490"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2019-014</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关于使用自有资金进行证券投资的公告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2"/>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2019/1/31 </w:t>
            </w:r>
          </w:p>
        </w:tc>
        <w:tc>
          <w:tcPr>
            <w:tcW w:w="2352" w:type="dxa"/>
            <w:vMerge/>
            <w:tcBorders>
              <w:left w:val="single" w:sz="6" w:space="0" w:color="000000"/>
              <w:right w:val="single" w:sz="6" w:space="0" w:color="000000"/>
            </w:tcBorders>
          </w:tcPr>
          <w:p>
            <w:pPr/>
          </w:p>
        </w:tc>
      </w:tr>
      <w:tr>
        <w:trPr>
          <w:trHeight w:val="490"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2019-015</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关于为控股子公司提供财务资助的公告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2"/>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2019/1/31 </w:t>
            </w:r>
          </w:p>
        </w:tc>
        <w:tc>
          <w:tcPr>
            <w:tcW w:w="2352" w:type="dxa"/>
            <w:vMerge/>
            <w:tcBorders>
              <w:left w:val="single" w:sz="6" w:space="0" w:color="000000"/>
              <w:right w:val="single" w:sz="6" w:space="0" w:color="000000"/>
            </w:tcBorders>
          </w:tcPr>
          <w:p>
            <w:pPr/>
          </w:p>
        </w:tc>
      </w:tr>
      <w:tr>
        <w:trPr>
          <w:trHeight w:val="490"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2019-016</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2019</w:t>
            </w:r>
            <w:r>
              <w:rPr>
                <w:rFonts w:ascii="宋体" w:hAnsi="宋体" w:cs="宋体" w:eastAsia="宋体" w:hint="default"/>
                <w:sz w:val="18"/>
                <w:szCs w:val="18"/>
              </w:rPr>
              <w:t>年度第二次临时股东大会的通知</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2"/>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2019/1/31 </w:t>
            </w:r>
          </w:p>
        </w:tc>
        <w:tc>
          <w:tcPr>
            <w:tcW w:w="2352" w:type="dxa"/>
            <w:vMerge/>
            <w:tcBorders>
              <w:left w:val="single" w:sz="6" w:space="0" w:color="000000"/>
              <w:right w:val="single" w:sz="6" w:space="0" w:color="000000"/>
            </w:tcBorders>
          </w:tcPr>
          <w:p>
            <w:pPr/>
          </w:p>
        </w:tc>
      </w:tr>
      <w:tr>
        <w:trPr>
          <w:trHeight w:val="490" w:hRule="exact"/>
        </w:trPr>
        <w:tc>
          <w:tcPr>
            <w:tcW w:w="9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2019-017</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年年度业绩预告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42"/>
              <w:jc w:val="righ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2019/1/31 </w:t>
            </w:r>
          </w:p>
        </w:tc>
        <w:tc>
          <w:tcPr>
            <w:tcW w:w="2352" w:type="dxa"/>
            <w:vMerge/>
            <w:tcBorders>
              <w:left w:val="single" w:sz="6" w:space="0" w:color="000000"/>
              <w:bottom w:val="single" w:sz="6" w:space="0" w:color="000000"/>
              <w:right w:val="single" w:sz="6" w:space="0" w:color="000000"/>
            </w:tcBorders>
          </w:tcPr>
          <w:p>
            <w:pPr/>
          </w:p>
        </w:tc>
      </w:tr>
    </w:tbl>
    <w:p>
      <w:pPr>
        <w:spacing w:after="0"/>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923"/>
        <w:gridCol w:w="4177"/>
        <w:gridCol w:w="1277"/>
        <w:gridCol w:w="1133"/>
        <w:gridCol w:w="2352"/>
      </w:tblGrid>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right"/>
              <w:rPr>
                <w:rFonts w:ascii="宋体" w:hAnsi="宋体" w:cs="宋体" w:eastAsia="宋体" w:hint="default"/>
                <w:sz w:val="18"/>
                <w:szCs w:val="18"/>
              </w:rPr>
            </w:pPr>
            <w:r>
              <w:rPr>
                <w:rFonts w:ascii="宋体"/>
                <w:spacing w:val="-1"/>
                <w:sz w:val="18"/>
              </w:rPr>
              <w:t>2019-018</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关于股东进行股票补充质押交易的公告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9"/>
              <w:jc w:val="right"/>
              <w:rPr>
                <w:rFonts w:ascii="宋体" w:hAnsi="宋体" w:cs="宋体" w:eastAsia="宋体" w:hint="default"/>
                <w:sz w:val="18"/>
                <w:szCs w:val="18"/>
              </w:rPr>
            </w:pPr>
            <w:r>
              <w:rPr>
                <w:rFonts w:ascii="宋体"/>
                <w:spacing w:val="-1"/>
                <w:sz w:val="18"/>
              </w:rPr>
              <w:t>2019/1/31 </w:t>
            </w:r>
          </w:p>
        </w:tc>
        <w:tc>
          <w:tcPr>
            <w:tcW w:w="2352" w:type="dxa"/>
            <w:vMerge w:val="restart"/>
            <w:tcBorders>
              <w:top w:val="single" w:sz="6" w:space="0" w:color="000000"/>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2019-019</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第八届监事会</w:t>
            </w:r>
            <w:r>
              <w:rPr>
                <w:rFonts w:ascii="宋体" w:hAnsi="宋体" w:cs="宋体" w:eastAsia="宋体" w:hint="default"/>
                <w:sz w:val="18"/>
                <w:szCs w:val="18"/>
              </w:rPr>
              <w:t>2019</w:t>
            </w:r>
            <w:r>
              <w:rPr>
                <w:rFonts w:ascii="宋体" w:hAnsi="宋体" w:cs="宋体" w:eastAsia="宋体" w:hint="default"/>
                <w:sz w:val="18"/>
                <w:szCs w:val="18"/>
              </w:rPr>
              <w:t>年第二次临时会议决议公告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2019/1/31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2019-020</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2019</w:t>
            </w:r>
            <w:r>
              <w:rPr>
                <w:rFonts w:ascii="宋体" w:hAnsi="宋体" w:cs="宋体" w:eastAsia="宋体" w:hint="default"/>
                <w:sz w:val="18"/>
                <w:szCs w:val="18"/>
              </w:rPr>
              <w:t>年度第二次临时股东大会的提示性公告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2019/2/15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2019-021</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年度第二次临时股东大会决议公告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B20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2019/2/19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2019-022</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关于下属子公司获得高新技术企业证书的公告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B29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2019/3/7</w:t>
            </w:r>
            <w:r>
              <w:rPr>
                <w:rFonts w:ascii="宋体"/>
                <w:sz w:val="18"/>
              </w:rPr>
              <w:t>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2019-023</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关于公司控股股东进行股票质押式回购交易的公告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2019/3/9</w:t>
            </w:r>
            <w:r>
              <w:rPr>
                <w:rFonts w:ascii="宋体"/>
                <w:sz w:val="18"/>
              </w:rPr>
              <w:t>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2019-024</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关于公司控股股东进行股票质押式回购交易的公告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2019/3/28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2019-025</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第八届董事会第一次会议决议公告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2019/3/28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2019-026</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年年度报告摘要</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2019/3/28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2019-027</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2018</w:t>
            </w:r>
            <w:r>
              <w:rPr>
                <w:rFonts w:ascii="宋体" w:hAnsi="宋体" w:cs="宋体" w:eastAsia="宋体" w:hint="default"/>
                <w:sz w:val="18"/>
                <w:szCs w:val="18"/>
              </w:rPr>
              <w:t>年年度股东大会的通知</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B27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2019/3/28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2019-028</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关于计提资产减值准备的公告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B27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2019/3/28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2019-029</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第八届监事会第一次会议决议公告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B27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2019/3/28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2019-030</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关于股东股份减持的进展公告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2019/4/8</w:t>
            </w:r>
            <w:r>
              <w:rPr>
                <w:rFonts w:ascii="宋体"/>
                <w:sz w:val="18"/>
              </w:rPr>
              <w:t>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2019-031</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第八届董事会第二次会议决议公告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B169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2019/4/12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2019-032</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年第一季度报告正文</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B169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2019/4/12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right"/>
              <w:rPr>
                <w:rFonts w:ascii="宋体" w:hAnsi="宋体" w:cs="宋体" w:eastAsia="宋体" w:hint="default"/>
                <w:sz w:val="18"/>
                <w:szCs w:val="18"/>
              </w:rPr>
            </w:pPr>
            <w:r>
              <w:rPr>
                <w:rFonts w:ascii="宋体"/>
                <w:spacing w:val="-1"/>
                <w:sz w:val="18"/>
              </w:rPr>
              <w:t>2019-033</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第八届监事会第二次会议决议公告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B169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9"/>
              <w:jc w:val="right"/>
              <w:rPr>
                <w:rFonts w:ascii="宋体" w:hAnsi="宋体" w:cs="宋体" w:eastAsia="宋体" w:hint="default"/>
                <w:sz w:val="18"/>
                <w:szCs w:val="18"/>
              </w:rPr>
            </w:pPr>
            <w:r>
              <w:rPr>
                <w:rFonts w:ascii="宋体"/>
                <w:spacing w:val="-1"/>
                <w:sz w:val="18"/>
              </w:rPr>
              <w:t>2019/4/12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2019-034</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关于计提资产减值准备的公告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B169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2019/4/12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2019-035</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关于获得政府补助的公告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B169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2019/4/12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2019-036</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2018</w:t>
            </w:r>
            <w:r>
              <w:rPr>
                <w:rFonts w:ascii="宋体" w:hAnsi="宋体" w:cs="宋体" w:eastAsia="宋体" w:hint="default"/>
                <w:sz w:val="18"/>
                <w:szCs w:val="18"/>
              </w:rPr>
              <w:t>年年度股东大会的提示性公告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B48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2019/4/16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2019-037</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年年度股东大会决议公告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B88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2019/4/19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2019-038</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宋体" w:hAnsi="宋体" w:cs="宋体" w:eastAsia="宋体" w:hint="default"/>
                <w:sz w:val="18"/>
                <w:szCs w:val="18"/>
              </w:rPr>
              <w:t>2019</w:t>
            </w:r>
            <w:r>
              <w:rPr>
                <w:rFonts w:ascii="宋体" w:hAnsi="宋体" w:cs="宋体" w:eastAsia="宋体" w:hint="default"/>
                <w:sz w:val="18"/>
                <w:szCs w:val="18"/>
              </w:rPr>
              <w:t>年第三次临时会议决议公告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B152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2019/4/24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2019-039</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第八届监事会</w:t>
            </w:r>
            <w:r>
              <w:rPr>
                <w:rFonts w:ascii="宋体" w:hAnsi="宋体" w:cs="宋体" w:eastAsia="宋体" w:hint="default"/>
                <w:sz w:val="18"/>
                <w:szCs w:val="18"/>
              </w:rPr>
              <w:t>2019</w:t>
            </w:r>
            <w:r>
              <w:rPr>
                <w:rFonts w:ascii="宋体" w:hAnsi="宋体" w:cs="宋体" w:eastAsia="宋体" w:hint="default"/>
                <w:sz w:val="18"/>
                <w:szCs w:val="18"/>
              </w:rPr>
              <w:t>年第三次临时会议决议公告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B152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2019/4/24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right"/>
              <w:rPr>
                <w:rFonts w:ascii="宋体" w:hAnsi="宋体" w:cs="宋体" w:eastAsia="宋体" w:hint="default"/>
                <w:sz w:val="18"/>
                <w:szCs w:val="18"/>
              </w:rPr>
            </w:pPr>
            <w:r>
              <w:rPr>
                <w:rFonts w:ascii="宋体"/>
                <w:spacing w:val="-1"/>
                <w:sz w:val="18"/>
              </w:rPr>
              <w:t>2019-040</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关于公司全资子公司对外提供担保的公告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B261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9"/>
              <w:jc w:val="right"/>
              <w:rPr>
                <w:rFonts w:ascii="宋体" w:hAnsi="宋体" w:cs="宋体" w:eastAsia="宋体" w:hint="default"/>
                <w:sz w:val="18"/>
                <w:szCs w:val="18"/>
              </w:rPr>
            </w:pPr>
            <w:r>
              <w:rPr>
                <w:rFonts w:ascii="宋体"/>
                <w:spacing w:val="-1"/>
                <w:sz w:val="18"/>
              </w:rPr>
              <w:t>2019/4/26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2019-041</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关于公司控股股东部分股份解除质押的公告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B316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2019/4/27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2019-042</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以上股东股份减持的进展公告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B16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2019/5/6</w:t>
            </w:r>
            <w:r>
              <w:rPr>
                <w:rFonts w:ascii="宋体"/>
                <w:sz w:val="18"/>
              </w:rPr>
              <w:t>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2019-043</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关于公司控股股东进行股票质押式回购交易的公告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B80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2019/5/7</w:t>
            </w:r>
            <w:r>
              <w:rPr>
                <w:rFonts w:ascii="宋体"/>
                <w:sz w:val="18"/>
              </w:rPr>
              <w:t>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2019-044</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宋体" w:hAnsi="宋体" w:cs="宋体" w:eastAsia="宋体" w:hint="default"/>
                <w:sz w:val="18"/>
                <w:szCs w:val="18"/>
              </w:rPr>
              <w:t>2019</w:t>
            </w:r>
            <w:r>
              <w:rPr>
                <w:rFonts w:ascii="宋体" w:hAnsi="宋体" w:cs="宋体" w:eastAsia="宋体" w:hint="default"/>
                <w:sz w:val="18"/>
                <w:szCs w:val="18"/>
              </w:rPr>
              <w:t>年第四次临时会议决议公告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2019/5/9</w:t>
            </w:r>
            <w:r>
              <w:rPr>
                <w:rFonts w:ascii="宋体"/>
                <w:sz w:val="18"/>
              </w:rPr>
              <w:t> </w:t>
            </w:r>
          </w:p>
        </w:tc>
        <w:tc>
          <w:tcPr>
            <w:tcW w:w="2352" w:type="dxa"/>
            <w:vMerge/>
            <w:tcBorders>
              <w:left w:val="single" w:sz="6" w:space="0" w:color="000000"/>
              <w:right w:val="single" w:sz="6" w:space="0" w:color="000000"/>
            </w:tcBorders>
          </w:tcPr>
          <w:p>
            <w:pPr/>
          </w:p>
        </w:tc>
      </w:tr>
      <w:tr>
        <w:trPr>
          <w:trHeight w:val="66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2019-045</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95"/>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2019</w:t>
            </w:r>
            <w:r>
              <w:rPr>
                <w:rFonts w:ascii="宋体" w:hAnsi="宋体" w:cs="宋体" w:eastAsia="宋体" w:hint="default"/>
                <w:sz w:val="18"/>
                <w:szCs w:val="18"/>
              </w:rPr>
              <w:t>年股票期权与限制性股票激励计划（草 案）》的修订说明</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4"/>
              <w:jc w:val="right"/>
              <w:rPr>
                <w:rFonts w:ascii="宋体" w:hAnsi="宋体" w:cs="宋体" w:eastAsia="宋体" w:hint="default"/>
                <w:sz w:val="18"/>
                <w:szCs w:val="18"/>
              </w:rPr>
            </w:pPr>
            <w:r>
              <w:rPr>
                <w:rFonts w:ascii="宋体"/>
                <w:spacing w:val="-1"/>
                <w:sz w:val="18"/>
              </w:rPr>
              <w:t>2019/5/9</w:t>
            </w:r>
            <w:r>
              <w:rPr>
                <w:rFonts w:ascii="宋体"/>
                <w:sz w:val="18"/>
              </w:rPr>
              <w:t> </w:t>
            </w:r>
          </w:p>
        </w:tc>
        <w:tc>
          <w:tcPr>
            <w:tcW w:w="2352" w:type="dxa"/>
            <w:vMerge/>
            <w:tcBorders>
              <w:left w:val="single" w:sz="6" w:space="0" w:color="000000"/>
              <w:bottom w:val="single" w:sz="6" w:space="0" w:color="000000"/>
              <w:right w:val="single" w:sz="6" w:space="0" w:color="000000"/>
            </w:tcBorders>
          </w:tcPr>
          <w:p>
            <w:pPr/>
          </w:p>
        </w:tc>
      </w:tr>
    </w:tbl>
    <w:p>
      <w:pPr>
        <w:spacing w:after="0"/>
        <w:sectPr>
          <w:pgSz w:w="11910" w:h="16840"/>
          <w:pgMar w:header="916" w:footer="1261" w:top="1120" w:bottom="150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923"/>
        <w:gridCol w:w="4177"/>
        <w:gridCol w:w="1277"/>
        <w:gridCol w:w="1133"/>
        <w:gridCol w:w="2352"/>
      </w:tblGrid>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right"/>
              <w:rPr>
                <w:rFonts w:ascii="宋体" w:hAnsi="宋体" w:cs="宋体" w:eastAsia="宋体" w:hint="default"/>
                <w:sz w:val="18"/>
                <w:szCs w:val="18"/>
              </w:rPr>
            </w:pPr>
            <w:r>
              <w:rPr>
                <w:rFonts w:ascii="宋体"/>
                <w:spacing w:val="-1"/>
                <w:sz w:val="18"/>
              </w:rPr>
              <w:t>2019-046</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第八届监事会</w:t>
            </w:r>
            <w:r>
              <w:rPr>
                <w:rFonts w:ascii="宋体" w:hAnsi="宋体" w:cs="宋体" w:eastAsia="宋体" w:hint="default"/>
                <w:sz w:val="18"/>
                <w:szCs w:val="18"/>
              </w:rPr>
              <w:t>2019</w:t>
            </w:r>
            <w:r>
              <w:rPr>
                <w:rFonts w:ascii="宋体" w:hAnsi="宋体" w:cs="宋体" w:eastAsia="宋体" w:hint="default"/>
                <w:sz w:val="18"/>
                <w:szCs w:val="18"/>
              </w:rPr>
              <w:t>年第四次临时会议决议公告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4"/>
              <w:jc w:val="right"/>
              <w:rPr>
                <w:rFonts w:ascii="宋体" w:hAnsi="宋体" w:cs="宋体" w:eastAsia="宋体" w:hint="default"/>
                <w:sz w:val="18"/>
                <w:szCs w:val="18"/>
              </w:rPr>
            </w:pPr>
            <w:r>
              <w:rPr>
                <w:rFonts w:ascii="宋体"/>
                <w:spacing w:val="-1"/>
                <w:sz w:val="18"/>
              </w:rPr>
              <w:t>2019/5/9</w:t>
            </w:r>
            <w:r>
              <w:rPr>
                <w:rFonts w:ascii="宋体"/>
                <w:sz w:val="18"/>
              </w:rPr>
              <w:t> </w:t>
            </w:r>
          </w:p>
        </w:tc>
        <w:tc>
          <w:tcPr>
            <w:tcW w:w="2352" w:type="dxa"/>
            <w:vMerge w:val="restart"/>
            <w:tcBorders>
              <w:top w:val="single" w:sz="6" w:space="0" w:color="000000"/>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2019-047</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关于控股股东股票质押式回购交易展期的公告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2019/5/22 </w:t>
            </w:r>
          </w:p>
        </w:tc>
        <w:tc>
          <w:tcPr>
            <w:tcW w:w="2352" w:type="dxa"/>
            <w:vMerge/>
            <w:tcBorders>
              <w:left w:val="single" w:sz="6" w:space="0" w:color="000000"/>
              <w:right w:val="single" w:sz="6" w:space="0" w:color="000000"/>
            </w:tcBorders>
          </w:tcPr>
          <w:p>
            <w:pPr/>
          </w:p>
        </w:tc>
      </w:tr>
      <w:tr>
        <w:trPr>
          <w:trHeight w:val="66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2019-048</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
              <w:jc w:val="left"/>
              <w:rPr>
                <w:rFonts w:ascii="宋体" w:hAnsi="宋体" w:cs="宋体" w:eastAsia="宋体" w:hint="default"/>
                <w:sz w:val="18"/>
                <w:szCs w:val="18"/>
              </w:rPr>
            </w:pPr>
            <w:r>
              <w:rPr>
                <w:rFonts w:ascii="宋体" w:hAnsi="宋体" w:cs="宋体" w:eastAsia="宋体" w:hint="default"/>
                <w:sz w:val="18"/>
                <w:szCs w:val="18"/>
              </w:rPr>
              <w:t>监事会关于</w:t>
            </w:r>
            <w:r>
              <w:rPr>
                <w:rFonts w:ascii="宋体" w:hAnsi="宋体" w:cs="宋体" w:eastAsia="宋体" w:hint="default"/>
                <w:sz w:val="18"/>
                <w:szCs w:val="18"/>
              </w:rPr>
              <w:t>2019</w:t>
            </w:r>
            <w:r>
              <w:rPr>
                <w:rFonts w:ascii="宋体" w:hAnsi="宋体" w:cs="宋体" w:eastAsia="宋体" w:hint="default"/>
                <w:sz w:val="18"/>
                <w:szCs w:val="18"/>
              </w:rPr>
              <w:t>年股票期权与限制性股票激励计划激 励对象名单的公示情况说明及核查意见</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2019/5/22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2019-049</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关于获得政府补助的公告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B16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2019/5/28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2019-050</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年年度权益分派实施公告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B27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2019/5/31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2019-051</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2019</w:t>
            </w:r>
            <w:r>
              <w:rPr>
                <w:rFonts w:ascii="宋体" w:hAnsi="宋体" w:cs="宋体" w:eastAsia="宋体" w:hint="default"/>
                <w:sz w:val="18"/>
                <w:szCs w:val="18"/>
              </w:rPr>
              <w:t>年度第三次临时股东大会的通知</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2019/5/31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2019-052</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独立董事公开征集委托投票权报告书</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2019/5/31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right"/>
              <w:rPr>
                <w:rFonts w:ascii="宋体" w:hAnsi="宋体" w:cs="宋体" w:eastAsia="宋体" w:hint="default"/>
                <w:sz w:val="18"/>
                <w:szCs w:val="18"/>
              </w:rPr>
            </w:pPr>
            <w:r>
              <w:rPr>
                <w:rFonts w:ascii="宋体"/>
                <w:spacing w:val="-1"/>
                <w:sz w:val="18"/>
              </w:rPr>
              <w:t>2019-053</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2019</w:t>
            </w:r>
            <w:r>
              <w:rPr>
                <w:rFonts w:ascii="宋体" w:hAnsi="宋体" w:cs="宋体" w:eastAsia="宋体" w:hint="default"/>
                <w:sz w:val="18"/>
                <w:szCs w:val="18"/>
              </w:rPr>
              <w:t>年度第三次临时股东大会的提示性公告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B141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59"/>
              <w:jc w:val="right"/>
              <w:rPr>
                <w:rFonts w:ascii="宋体" w:hAnsi="宋体" w:cs="宋体" w:eastAsia="宋体" w:hint="default"/>
                <w:sz w:val="18"/>
                <w:szCs w:val="18"/>
              </w:rPr>
            </w:pPr>
            <w:r>
              <w:rPr>
                <w:rFonts w:ascii="宋体"/>
                <w:spacing w:val="-1"/>
                <w:sz w:val="18"/>
              </w:rPr>
              <w:t>2019/6/10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2019-054</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宋体" w:hAnsi="宋体" w:cs="宋体" w:eastAsia="宋体" w:hint="default"/>
                <w:sz w:val="18"/>
                <w:szCs w:val="18"/>
              </w:rPr>
              <w:t>2019</w:t>
            </w:r>
            <w:r>
              <w:rPr>
                <w:rFonts w:ascii="宋体" w:hAnsi="宋体" w:cs="宋体" w:eastAsia="宋体" w:hint="default"/>
                <w:sz w:val="18"/>
                <w:szCs w:val="18"/>
              </w:rPr>
              <w:t>年第五次临时会议决议公告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B40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2019/6/13 </w:t>
            </w:r>
          </w:p>
        </w:tc>
        <w:tc>
          <w:tcPr>
            <w:tcW w:w="2352" w:type="dxa"/>
            <w:vMerge/>
            <w:tcBorders>
              <w:left w:val="single" w:sz="6" w:space="0" w:color="000000"/>
              <w:right w:val="single" w:sz="6" w:space="0" w:color="000000"/>
            </w:tcBorders>
          </w:tcPr>
          <w:p>
            <w:pPr/>
          </w:p>
        </w:tc>
      </w:tr>
      <w:tr>
        <w:trPr>
          <w:trHeight w:val="658"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2019-055</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5"/>
              <w:jc w:val="left"/>
              <w:rPr>
                <w:rFonts w:ascii="宋体" w:hAnsi="宋体" w:cs="宋体" w:eastAsia="宋体" w:hint="default"/>
                <w:sz w:val="18"/>
                <w:szCs w:val="18"/>
              </w:rPr>
            </w:pPr>
            <w:r>
              <w:rPr>
                <w:rFonts w:ascii="宋体" w:hAnsi="宋体" w:cs="宋体" w:eastAsia="宋体" w:hint="default"/>
                <w:sz w:val="18"/>
                <w:szCs w:val="18"/>
              </w:rPr>
              <w:t>关于取消</w:t>
            </w:r>
            <w:r>
              <w:rPr>
                <w:rFonts w:ascii="宋体" w:hAnsi="宋体" w:cs="宋体" w:eastAsia="宋体" w:hint="default"/>
                <w:sz w:val="18"/>
                <w:szCs w:val="18"/>
              </w:rPr>
              <w:t>2019</w:t>
            </w:r>
            <w:r>
              <w:rPr>
                <w:rFonts w:ascii="宋体" w:hAnsi="宋体" w:cs="宋体" w:eastAsia="宋体" w:hint="default"/>
                <w:sz w:val="18"/>
                <w:szCs w:val="18"/>
              </w:rPr>
              <w:t>年度第三次临时股东大会并另行择机召 开的公告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B40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59"/>
              <w:jc w:val="right"/>
              <w:rPr>
                <w:rFonts w:ascii="宋体" w:hAnsi="宋体" w:cs="宋体" w:eastAsia="宋体" w:hint="default"/>
                <w:sz w:val="18"/>
                <w:szCs w:val="18"/>
              </w:rPr>
            </w:pPr>
            <w:r>
              <w:rPr>
                <w:rFonts w:ascii="宋体"/>
                <w:spacing w:val="-1"/>
                <w:sz w:val="18"/>
              </w:rPr>
              <w:t>2019/6/13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2019-056</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以上股东权益变动的提示性公告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B93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2019/6/29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2019-057</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以上股东减持股份实施情况的公告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2019/7/9</w:t>
            </w:r>
            <w:r>
              <w:rPr>
                <w:rFonts w:ascii="宋体"/>
                <w:sz w:val="18"/>
              </w:rPr>
              <w:t>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2019-058</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以上股东减持公司股份的预披露公告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2019/7/9</w:t>
            </w:r>
            <w:r>
              <w:rPr>
                <w:rFonts w:ascii="宋体"/>
                <w:sz w:val="18"/>
              </w:rPr>
              <w:t>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2019-059</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以上股东权益变动的提示性公告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2019/7/9</w:t>
            </w:r>
            <w:r>
              <w:rPr>
                <w:rFonts w:ascii="宋体"/>
                <w:sz w:val="18"/>
              </w:rPr>
              <w:t>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right"/>
              <w:rPr>
                <w:rFonts w:ascii="宋体" w:hAnsi="宋体" w:cs="宋体" w:eastAsia="宋体" w:hint="default"/>
                <w:sz w:val="18"/>
                <w:szCs w:val="18"/>
              </w:rPr>
            </w:pPr>
            <w:r>
              <w:rPr>
                <w:rFonts w:ascii="宋体"/>
                <w:spacing w:val="-1"/>
                <w:sz w:val="18"/>
              </w:rPr>
              <w:t>2019-060</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以上股东权益变动的补充公告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4"/>
              <w:jc w:val="right"/>
              <w:rPr>
                <w:rFonts w:ascii="宋体" w:hAnsi="宋体" w:cs="宋体" w:eastAsia="宋体" w:hint="default"/>
                <w:sz w:val="18"/>
                <w:szCs w:val="18"/>
              </w:rPr>
            </w:pPr>
            <w:r>
              <w:rPr>
                <w:rFonts w:ascii="宋体"/>
                <w:spacing w:val="-1"/>
                <w:sz w:val="18"/>
              </w:rPr>
              <w:t>2019/7/9</w:t>
            </w:r>
            <w:r>
              <w:rPr>
                <w:rFonts w:ascii="宋体"/>
                <w:sz w:val="18"/>
              </w:rPr>
              <w:t>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2019-061</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关于对外投资设立产业投资基金的进展公告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2019/7/13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2019-062</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关于公司股东部分股份解除质押的公告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2019/7/30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2019-063</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关于下属子公司出售鼎捷软件股份的公告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2019/7/30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2019-064</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以上股东减持股份实施情况的公告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2019/7/31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2019-065</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关于下属子公司对外出售股票资产的公告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2019/8/2</w:t>
            </w:r>
            <w:r>
              <w:rPr>
                <w:rFonts w:ascii="宋体"/>
                <w:sz w:val="18"/>
              </w:rPr>
              <w:t>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2019-066</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关于下属子公司对外出售股票资产的公告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B88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04"/>
              <w:jc w:val="right"/>
              <w:rPr>
                <w:rFonts w:ascii="宋体" w:hAnsi="宋体" w:cs="宋体" w:eastAsia="宋体" w:hint="default"/>
                <w:sz w:val="18"/>
                <w:szCs w:val="18"/>
              </w:rPr>
            </w:pPr>
            <w:r>
              <w:rPr>
                <w:rFonts w:ascii="宋体"/>
                <w:spacing w:val="-1"/>
                <w:sz w:val="18"/>
              </w:rPr>
              <w:t>2019/8/6</w:t>
            </w:r>
            <w:r>
              <w:rPr>
                <w:rFonts w:ascii="宋体"/>
                <w:sz w:val="18"/>
              </w:rPr>
              <w:t>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right"/>
              <w:rPr>
                <w:rFonts w:ascii="宋体" w:hAnsi="宋体" w:cs="宋体" w:eastAsia="宋体" w:hint="default"/>
                <w:sz w:val="18"/>
                <w:szCs w:val="18"/>
              </w:rPr>
            </w:pPr>
            <w:r>
              <w:rPr>
                <w:rFonts w:ascii="宋体"/>
                <w:spacing w:val="-1"/>
                <w:sz w:val="18"/>
              </w:rPr>
              <w:t>2019-067</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关于产业投资基金完成基金变更备案登记手续的公告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B56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04"/>
              <w:jc w:val="right"/>
              <w:rPr>
                <w:rFonts w:ascii="宋体" w:hAnsi="宋体" w:cs="宋体" w:eastAsia="宋体" w:hint="default"/>
                <w:sz w:val="18"/>
                <w:szCs w:val="18"/>
              </w:rPr>
            </w:pPr>
            <w:r>
              <w:rPr>
                <w:rFonts w:ascii="宋体"/>
                <w:spacing w:val="-1"/>
                <w:sz w:val="18"/>
              </w:rPr>
              <w:t>2019/8/7</w:t>
            </w:r>
            <w:r>
              <w:rPr>
                <w:rFonts w:ascii="宋体"/>
                <w:sz w:val="18"/>
              </w:rPr>
              <w:t>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2019-068</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关于公司股东股份解除质押的公告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B60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2019/8/13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2019-069</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第八届董事会第三次会议决议公告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2019/8/31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2019-070</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年半年度报告摘要</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2019/8/31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2019-071</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关于授权管理层处置股票资产的公告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2019/8/31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2019-072</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关于为控股子公司提供财务资助的公告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59"/>
              <w:jc w:val="right"/>
              <w:rPr>
                <w:rFonts w:ascii="宋体" w:hAnsi="宋体" w:cs="宋体" w:eastAsia="宋体" w:hint="default"/>
                <w:sz w:val="18"/>
                <w:szCs w:val="18"/>
              </w:rPr>
            </w:pPr>
            <w:r>
              <w:rPr>
                <w:rFonts w:ascii="宋体"/>
                <w:spacing w:val="-1"/>
                <w:sz w:val="18"/>
              </w:rPr>
              <w:t>2019/8/31 </w:t>
            </w:r>
          </w:p>
        </w:tc>
        <w:tc>
          <w:tcPr>
            <w:tcW w:w="2352" w:type="dxa"/>
            <w:vMerge/>
            <w:tcBorders>
              <w:left w:val="single" w:sz="6" w:space="0" w:color="000000"/>
              <w:bottom w:val="single" w:sz="6" w:space="0" w:color="000000"/>
              <w:right w:val="single" w:sz="6" w:space="0" w:color="000000"/>
            </w:tcBorders>
          </w:tcPr>
          <w:p>
            <w:pPr/>
          </w:p>
        </w:tc>
      </w:tr>
    </w:tbl>
    <w:p>
      <w:pPr>
        <w:spacing w:after="0"/>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923"/>
        <w:gridCol w:w="4177"/>
        <w:gridCol w:w="1277"/>
        <w:gridCol w:w="1133"/>
        <w:gridCol w:w="2352"/>
      </w:tblGrid>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right"/>
              <w:rPr>
                <w:rFonts w:ascii="宋体" w:hAnsi="宋体" w:cs="宋体" w:eastAsia="宋体" w:hint="default"/>
                <w:sz w:val="18"/>
                <w:szCs w:val="18"/>
              </w:rPr>
            </w:pPr>
            <w:r>
              <w:rPr>
                <w:rFonts w:ascii="宋体"/>
                <w:spacing w:val="-1"/>
                <w:sz w:val="18"/>
              </w:rPr>
              <w:t>2019-073</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2019</w:t>
            </w:r>
            <w:r>
              <w:rPr>
                <w:rFonts w:ascii="宋体" w:hAnsi="宋体" w:cs="宋体" w:eastAsia="宋体" w:hint="default"/>
                <w:sz w:val="18"/>
                <w:szCs w:val="18"/>
              </w:rPr>
              <w:t>年度第三次临时股东大会的通知</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4" w:right="0"/>
              <w:jc w:val="center"/>
              <w:rPr>
                <w:rFonts w:ascii="宋体" w:hAnsi="宋体" w:cs="宋体" w:eastAsia="宋体" w:hint="default"/>
                <w:sz w:val="18"/>
                <w:szCs w:val="18"/>
              </w:rPr>
            </w:pPr>
            <w:r>
              <w:rPr>
                <w:rFonts w:ascii="宋体"/>
                <w:sz w:val="18"/>
              </w:rPr>
              <w:t>2019/8/31 </w:t>
            </w:r>
          </w:p>
        </w:tc>
        <w:tc>
          <w:tcPr>
            <w:tcW w:w="2352" w:type="dxa"/>
            <w:vMerge w:val="restart"/>
            <w:tcBorders>
              <w:top w:val="single" w:sz="6" w:space="0" w:color="000000"/>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2019-074</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独立董事公开征集委托投票权报告书</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2019/8/31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2019-075</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关于计提资产减值准备及核销资产的公告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2019/8/31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2019-076</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关于公司高级管理人员辞职的公告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2019/8/31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2019-077</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第八届监事会第三次会议决议公告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2019/8/31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2019-078</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关于获得政府补助的公告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B144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2019/8/31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2019-079</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宋体" w:hAnsi="宋体" w:cs="宋体" w:eastAsia="宋体" w:hint="default"/>
                <w:sz w:val="18"/>
                <w:szCs w:val="18"/>
              </w:rPr>
              <w:t>2019</w:t>
            </w:r>
            <w:r>
              <w:rPr>
                <w:rFonts w:ascii="宋体" w:hAnsi="宋体" w:cs="宋体" w:eastAsia="宋体" w:hint="default"/>
                <w:sz w:val="18"/>
                <w:szCs w:val="18"/>
              </w:rPr>
              <w:t>年第六次临时会议决议公告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B78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2019/9/11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2019-080</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关于捐赠资金参与设立北京金融科技研究院的公告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B78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2019/9/11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2019-081</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2019</w:t>
            </w:r>
            <w:r>
              <w:rPr>
                <w:rFonts w:ascii="宋体" w:hAnsi="宋体" w:cs="宋体" w:eastAsia="宋体" w:hint="default"/>
                <w:sz w:val="18"/>
                <w:szCs w:val="18"/>
              </w:rPr>
              <w:t>年度第三次临时股东大会的提示性公告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2019/9/12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2019-082</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关于公司控股股东进行股票质押交易的公告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2019/9/12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2019-083</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年度第三次临时股东大会决议公告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A16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2019/9/17 </w:t>
            </w:r>
          </w:p>
        </w:tc>
        <w:tc>
          <w:tcPr>
            <w:tcW w:w="2352" w:type="dxa"/>
            <w:vMerge/>
            <w:tcBorders>
              <w:left w:val="single" w:sz="6" w:space="0" w:color="000000"/>
              <w:right w:val="single" w:sz="6" w:space="0" w:color="000000"/>
            </w:tcBorders>
          </w:tcPr>
          <w:p>
            <w:pPr/>
          </w:p>
        </w:tc>
      </w:tr>
      <w:tr>
        <w:trPr>
          <w:trHeight w:val="66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2019-084</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2019</w:t>
            </w:r>
            <w:r>
              <w:rPr>
                <w:rFonts w:ascii="宋体" w:hAnsi="宋体" w:cs="宋体" w:eastAsia="宋体" w:hint="default"/>
                <w:sz w:val="18"/>
                <w:szCs w:val="18"/>
              </w:rPr>
              <w:t>年股票期权与限制性股票激励计划内幕信息 知情人及激励对象买卖公司股票情况的自查报告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94" w:right="0"/>
              <w:jc w:val="center"/>
              <w:rPr>
                <w:rFonts w:ascii="宋体" w:hAnsi="宋体" w:cs="宋体" w:eastAsia="宋体" w:hint="default"/>
                <w:sz w:val="18"/>
                <w:szCs w:val="18"/>
              </w:rPr>
            </w:pPr>
            <w:r>
              <w:rPr>
                <w:rFonts w:ascii="宋体"/>
                <w:sz w:val="18"/>
              </w:rPr>
              <w:t>2019/9/17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2019-085</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宋体" w:hAnsi="宋体" w:cs="宋体" w:eastAsia="宋体" w:hint="default"/>
                <w:sz w:val="18"/>
                <w:szCs w:val="18"/>
              </w:rPr>
              <w:t>2019</w:t>
            </w:r>
            <w:r>
              <w:rPr>
                <w:rFonts w:ascii="宋体" w:hAnsi="宋体" w:cs="宋体" w:eastAsia="宋体" w:hint="default"/>
                <w:sz w:val="18"/>
                <w:szCs w:val="18"/>
              </w:rPr>
              <w:t>年第七次临时会议决议公告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B71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2019/9/18 </w:t>
            </w:r>
          </w:p>
        </w:tc>
        <w:tc>
          <w:tcPr>
            <w:tcW w:w="2352" w:type="dxa"/>
            <w:vMerge/>
            <w:tcBorders>
              <w:left w:val="single" w:sz="6" w:space="0" w:color="000000"/>
              <w:right w:val="single" w:sz="6" w:space="0" w:color="000000"/>
            </w:tcBorders>
          </w:tcPr>
          <w:p>
            <w:pPr/>
          </w:p>
        </w:tc>
      </w:tr>
      <w:tr>
        <w:trPr>
          <w:trHeight w:val="658"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2019-086</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5"/>
              <w:jc w:val="left"/>
              <w:rPr>
                <w:rFonts w:ascii="宋体" w:hAnsi="宋体" w:cs="宋体" w:eastAsia="宋体" w:hint="default"/>
                <w:sz w:val="18"/>
                <w:szCs w:val="18"/>
              </w:rPr>
            </w:pPr>
            <w:r>
              <w:rPr>
                <w:rFonts w:ascii="宋体" w:hAnsi="宋体" w:cs="宋体" w:eastAsia="宋体" w:hint="default"/>
                <w:sz w:val="18"/>
                <w:szCs w:val="18"/>
              </w:rPr>
              <w:t>关于调整</w:t>
            </w:r>
            <w:r>
              <w:rPr>
                <w:rFonts w:ascii="宋体" w:hAnsi="宋体" w:cs="宋体" w:eastAsia="宋体" w:hint="default"/>
                <w:sz w:val="18"/>
                <w:szCs w:val="18"/>
              </w:rPr>
              <w:t>2019</w:t>
            </w:r>
            <w:r>
              <w:rPr>
                <w:rFonts w:ascii="宋体" w:hAnsi="宋体" w:cs="宋体" w:eastAsia="宋体" w:hint="default"/>
                <w:sz w:val="18"/>
                <w:szCs w:val="18"/>
              </w:rPr>
              <w:t>年股票期权与限制性股票激励计划激励 对象名单、授予权益数量及价格的公告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B71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94" w:right="0"/>
              <w:jc w:val="center"/>
              <w:rPr>
                <w:rFonts w:ascii="宋体" w:hAnsi="宋体" w:cs="宋体" w:eastAsia="宋体" w:hint="default"/>
                <w:sz w:val="18"/>
                <w:szCs w:val="18"/>
              </w:rPr>
            </w:pPr>
            <w:r>
              <w:rPr>
                <w:rFonts w:ascii="宋体"/>
                <w:sz w:val="18"/>
              </w:rPr>
              <w:t>2019/9/18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right"/>
              <w:rPr>
                <w:rFonts w:ascii="宋体" w:hAnsi="宋体" w:cs="宋体" w:eastAsia="宋体" w:hint="default"/>
                <w:sz w:val="18"/>
                <w:szCs w:val="18"/>
              </w:rPr>
            </w:pPr>
            <w:r>
              <w:rPr>
                <w:rFonts w:ascii="宋体"/>
                <w:spacing w:val="-1"/>
                <w:sz w:val="18"/>
              </w:rPr>
              <w:t>2019-087</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关于向激励对象授予股票期权与限制性股票的公告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B71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4" w:right="0"/>
              <w:jc w:val="center"/>
              <w:rPr>
                <w:rFonts w:ascii="宋体" w:hAnsi="宋体" w:cs="宋体" w:eastAsia="宋体" w:hint="default"/>
                <w:sz w:val="18"/>
                <w:szCs w:val="18"/>
              </w:rPr>
            </w:pPr>
            <w:r>
              <w:rPr>
                <w:rFonts w:ascii="宋体"/>
                <w:sz w:val="18"/>
              </w:rPr>
              <w:t>2019/9/18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2019-088</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第八届监事会</w:t>
            </w:r>
            <w:r>
              <w:rPr>
                <w:rFonts w:ascii="宋体" w:hAnsi="宋体" w:cs="宋体" w:eastAsia="宋体" w:hint="default"/>
                <w:sz w:val="18"/>
                <w:szCs w:val="18"/>
              </w:rPr>
              <w:t>2019</w:t>
            </w:r>
            <w:r>
              <w:rPr>
                <w:rFonts w:ascii="宋体" w:hAnsi="宋体" w:cs="宋体" w:eastAsia="宋体" w:hint="default"/>
                <w:sz w:val="18"/>
                <w:szCs w:val="18"/>
              </w:rPr>
              <w:t>年第五次临时会议决议公告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B71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2019/9/18 </w:t>
            </w:r>
          </w:p>
        </w:tc>
        <w:tc>
          <w:tcPr>
            <w:tcW w:w="2352" w:type="dxa"/>
            <w:vMerge/>
            <w:tcBorders>
              <w:left w:val="single" w:sz="6" w:space="0" w:color="000000"/>
              <w:right w:val="single" w:sz="6" w:space="0" w:color="000000"/>
            </w:tcBorders>
          </w:tcPr>
          <w:p>
            <w:pPr/>
          </w:p>
        </w:tc>
      </w:tr>
      <w:tr>
        <w:trPr>
          <w:trHeight w:val="658"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2019-089</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5"/>
              <w:jc w:val="left"/>
              <w:rPr>
                <w:rFonts w:ascii="宋体" w:hAnsi="宋体" w:cs="宋体" w:eastAsia="宋体" w:hint="default"/>
                <w:sz w:val="18"/>
                <w:szCs w:val="18"/>
              </w:rPr>
            </w:pPr>
            <w:r>
              <w:rPr>
                <w:rFonts w:ascii="宋体" w:hAnsi="宋体" w:cs="宋体" w:eastAsia="宋体" w:hint="default"/>
                <w:sz w:val="18"/>
                <w:szCs w:val="18"/>
              </w:rPr>
              <w:t>监事会关于</w:t>
            </w:r>
            <w:r>
              <w:rPr>
                <w:rFonts w:ascii="宋体" w:hAnsi="宋体" w:cs="宋体" w:eastAsia="宋体" w:hint="default"/>
                <w:sz w:val="18"/>
                <w:szCs w:val="18"/>
              </w:rPr>
              <w:t>2019</w:t>
            </w:r>
            <w:r>
              <w:rPr>
                <w:rFonts w:ascii="宋体" w:hAnsi="宋体" w:cs="宋体" w:eastAsia="宋体" w:hint="default"/>
                <w:sz w:val="18"/>
                <w:szCs w:val="18"/>
              </w:rPr>
              <w:t>年股票期权与限制性股票激励计划授 予日激励对象名单的核实意见</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B71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94" w:right="0"/>
              <w:jc w:val="center"/>
              <w:rPr>
                <w:rFonts w:ascii="宋体" w:hAnsi="宋体" w:cs="宋体" w:eastAsia="宋体" w:hint="default"/>
                <w:sz w:val="18"/>
                <w:szCs w:val="18"/>
              </w:rPr>
            </w:pPr>
            <w:r>
              <w:rPr>
                <w:rFonts w:ascii="宋体"/>
                <w:sz w:val="18"/>
              </w:rPr>
              <w:t>2019/9/18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2019-090</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关于下属子公司对外出售股票资产的进展公告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B38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2019/9/26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2019-091</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关于获得政府补助的公告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B94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2019/10/8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2019-092</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第八届董事会第四次会议决议公告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2019/10/22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2019-093</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年第三季度报告正文</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2019/10/22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right"/>
              <w:rPr>
                <w:rFonts w:ascii="宋体" w:hAnsi="宋体" w:cs="宋体" w:eastAsia="宋体" w:hint="default"/>
                <w:sz w:val="18"/>
                <w:szCs w:val="18"/>
              </w:rPr>
            </w:pPr>
            <w:r>
              <w:rPr>
                <w:rFonts w:ascii="宋体"/>
                <w:spacing w:val="-1"/>
                <w:sz w:val="18"/>
              </w:rPr>
              <w:t>2019-094</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关于下属子公司高新技术企业认定相关情况的公告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2" w:right="0"/>
              <w:jc w:val="center"/>
              <w:rPr>
                <w:rFonts w:ascii="宋体" w:hAnsi="宋体" w:cs="宋体" w:eastAsia="宋体" w:hint="default"/>
                <w:sz w:val="18"/>
                <w:szCs w:val="18"/>
              </w:rPr>
            </w:pPr>
            <w:r>
              <w:rPr>
                <w:rFonts w:ascii="宋体"/>
                <w:sz w:val="18"/>
              </w:rPr>
              <w:t>2019/10/22 </w:t>
            </w:r>
          </w:p>
        </w:tc>
        <w:tc>
          <w:tcPr>
            <w:tcW w:w="2352" w:type="dxa"/>
            <w:vMerge/>
            <w:tcBorders>
              <w:left w:val="single" w:sz="6" w:space="0" w:color="000000"/>
              <w:right w:val="single" w:sz="6" w:space="0" w:color="000000"/>
            </w:tcBorders>
          </w:tcPr>
          <w:p>
            <w:pPr/>
          </w:p>
        </w:tc>
      </w:tr>
      <w:tr>
        <w:trPr>
          <w:trHeight w:val="66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2019-095</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5"/>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2019</w:t>
            </w:r>
            <w:r>
              <w:rPr>
                <w:rFonts w:ascii="宋体" w:hAnsi="宋体" w:cs="宋体" w:eastAsia="宋体" w:hint="default"/>
                <w:sz w:val="18"/>
                <w:szCs w:val="18"/>
              </w:rPr>
              <w:t>年股票期权与限制性股票激励计划授予登记 完成的公告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B202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92" w:right="0"/>
              <w:jc w:val="center"/>
              <w:rPr>
                <w:rFonts w:ascii="宋体" w:hAnsi="宋体" w:cs="宋体" w:eastAsia="宋体" w:hint="default"/>
                <w:sz w:val="18"/>
                <w:szCs w:val="18"/>
              </w:rPr>
            </w:pPr>
            <w:r>
              <w:rPr>
                <w:rFonts w:ascii="宋体"/>
                <w:sz w:val="18"/>
              </w:rPr>
              <w:t>2019/10/30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2019-096</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关于持股</w:t>
            </w:r>
            <w:r>
              <w:rPr>
                <w:rFonts w:ascii="宋体" w:hAnsi="宋体" w:cs="宋体" w:eastAsia="宋体" w:hint="default"/>
                <w:sz w:val="18"/>
                <w:szCs w:val="18"/>
              </w:rPr>
              <w:t>5%</w:t>
            </w:r>
            <w:r>
              <w:rPr>
                <w:rFonts w:ascii="宋体" w:hAnsi="宋体" w:cs="宋体" w:eastAsia="宋体" w:hint="default"/>
                <w:sz w:val="18"/>
                <w:szCs w:val="18"/>
              </w:rPr>
              <w:t>以上股东股份减持的进展公告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B245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2019/10/30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2019-097</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关于获得政府补助的公告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B47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2019/11/1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2019-098</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关于控股股东权益被动稀释超过</w:t>
            </w:r>
            <w:r>
              <w:rPr>
                <w:rFonts w:ascii="宋体" w:hAnsi="宋体" w:cs="宋体" w:eastAsia="宋体" w:hint="default"/>
                <w:sz w:val="18"/>
                <w:szCs w:val="18"/>
              </w:rPr>
              <w:t>5%</w:t>
            </w:r>
            <w:r>
              <w:rPr>
                <w:rFonts w:ascii="宋体" w:hAnsi="宋体" w:cs="宋体" w:eastAsia="宋体" w:hint="default"/>
                <w:sz w:val="18"/>
                <w:szCs w:val="18"/>
              </w:rPr>
              <w:t>以上的提示性公告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B47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2019/11/1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2019-099</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关于下属子公司对外出售股票资产的进展公告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B37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2019/11/5 </w:t>
            </w:r>
          </w:p>
        </w:tc>
        <w:tc>
          <w:tcPr>
            <w:tcW w:w="2352" w:type="dxa"/>
            <w:vMerge/>
            <w:tcBorders>
              <w:left w:val="single" w:sz="6" w:space="0" w:color="000000"/>
              <w:bottom w:val="single" w:sz="6" w:space="0" w:color="000000"/>
              <w:right w:val="single" w:sz="6" w:space="0" w:color="000000"/>
            </w:tcBorders>
          </w:tcPr>
          <w:p>
            <w:pPr/>
          </w:p>
        </w:tc>
      </w:tr>
    </w:tbl>
    <w:p>
      <w:pPr>
        <w:spacing w:after="0"/>
        <w:sectPr>
          <w:pgSz w:w="11910" w:h="16840"/>
          <w:pgMar w:header="916" w:footer="1261" w:top="1120" w:bottom="148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49" w:type="dxa"/>
        <w:tblLayout w:type="fixed"/>
        <w:tblCellMar>
          <w:top w:w="0" w:type="dxa"/>
          <w:left w:w="0" w:type="dxa"/>
          <w:bottom w:w="0" w:type="dxa"/>
          <w:right w:w="0" w:type="dxa"/>
        </w:tblCellMar>
        <w:tblLook w:val="01E0"/>
      </w:tblPr>
      <w:tblGrid>
        <w:gridCol w:w="923"/>
        <w:gridCol w:w="4177"/>
        <w:gridCol w:w="1277"/>
        <w:gridCol w:w="1133"/>
        <w:gridCol w:w="2352"/>
      </w:tblGrid>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
              <w:jc w:val="right"/>
              <w:rPr>
                <w:rFonts w:ascii="宋体" w:hAnsi="宋体" w:cs="宋体" w:eastAsia="宋体" w:hint="default"/>
                <w:sz w:val="18"/>
                <w:szCs w:val="18"/>
              </w:rPr>
            </w:pPr>
            <w:r>
              <w:rPr>
                <w:rFonts w:ascii="宋体"/>
                <w:spacing w:val="-1"/>
                <w:sz w:val="18"/>
              </w:rPr>
              <w:t>2019-100</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关于全资子公司项目进展情况的自愿信息披露公告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B35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92" w:right="0"/>
              <w:jc w:val="center"/>
              <w:rPr>
                <w:rFonts w:ascii="宋体" w:hAnsi="宋体" w:cs="宋体" w:eastAsia="宋体" w:hint="default"/>
                <w:sz w:val="18"/>
                <w:szCs w:val="18"/>
              </w:rPr>
            </w:pPr>
            <w:r>
              <w:rPr>
                <w:rFonts w:ascii="宋体"/>
                <w:sz w:val="18"/>
              </w:rPr>
              <w:t>2019/11/15 </w:t>
            </w:r>
          </w:p>
        </w:tc>
        <w:tc>
          <w:tcPr>
            <w:tcW w:w="2352" w:type="dxa"/>
            <w:vMerge w:val="restart"/>
            <w:tcBorders>
              <w:top w:val="single" w:sz="6" w:space="0" w:color="000000"/>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2019-101</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关于获得政府补助的公告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B40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2019/11/20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2019-102</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关于控股子公司签署重大合同的自愿信息披露公告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B27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2019/12/4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2019-103</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第八届董事会</w:t>
            </w:r>
            <w:r>
              <w:rPr>
                <w:rFonts w:ascii="宋体" w:hAnsi="宋体" w:cs="宋体" w:eastAsia="宋体" w:hint="default"/>
                <w:sz w:val="18"/>
                <w:szCs w:val="18"/>
              </w:rPr>
              <w:t>2019</w:t>
            </w:r>
            <w:r>
              <w:rPr>
                <w:rFonts w:ascii="宋体" w:hAnsi="宋体" w:cs="宋体" w:eastAsia="宋体" w:hint="default"/>
                <w:sz w:val="18"/>
                <w:szCs w:val="18"/>
              </w:rPr>
              <w:t>年第八次临时会议决议公告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2019/12/4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2019-104</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独立董事提名人声明</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2019/12/4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2019-105</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独立董事候选人声明（罗婷）</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2019/12/4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2019-106</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关于预计公司及下属子公司担保额度的公告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B82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2019/12/4 </w:t>
            </w:r>
          </w:p>
        </w:tc>
        <w:tc>
          <w:tcPr>
            <w:tcW w:w="2352" w:type="dxa"/>
            <w:vMerge/>
            <w:tcBorders>
              <w:left w:val="single" w:sz="6" w:space="0" w:color="000000"/>
              <w:right w:val="single" w:sz="6" w:space="0" w:color="000000"/>
            </w:tcBorders>
          </w:tcPr>
          <w:p>
            <w:pPr/>
          </w:p>
        </w:tc>
      </w:tr>
      <w:tr>
        <w:trPr>
          <w:trHeight w:val="661"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18"/>
                <w:szCs w:val="18"/>
              </w:rPr>
            </w:pPr>
            <w:r>
              <w:rPr>
                <w:rFonts w:ascii="宋体"/>
                <w:spacing w:val="-1"/>
                <w:sz w:val="18"/>
              </w:rPr>
              <w:t>2019-107</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关于使用自有资金进行证券投资的公告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316" w:right="222" w:hanging="46"/>
              <w:jc w:val="left"/>
              <w:rPr>
                <w:rFonts w:ascii="宋体" w:hAnsi="宋体" w:cs="宋体" w:eastAsia="宋体" w:hint="default"/>
                <w:sz w:val="18"/>
                <w:szCs w:val="18"/>
              </w:rPr>
            </w:pPr>
            <w:r>
              <w:rPr>
                <w:rFonts w:ascii="宋体" w:hAnsi="宋体" w:cs="宋体" w:eastAsia="宋体" w:hint="default"/>
                <w:sz w:val="18"/>
                <w:szCs w:val="18"/>
              </w:rPr>
              <w:t>证券时报 </w:t>
            </w:r>
            <w:r>
              <w:rPr>
                <w:rFonts w:ascii="宋体" w:hAnsi="宋体" w:cs="宋体" w:eastAsia="宋体" w:hint="default"/>
                <w:sz w:val="18"/>
                <w:szCs w:val="18"/>
              </w:rPr>
              <w:t>B82,B83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94" w:right="0"/>
              <w:jc w:val="center"/>
              <w:rPr>
                <w:rFonts w:ascii="宋体" w:hAnsi="宋体" w:cs="宋体" w:eastAsia="宋体" w:hint="default"/>
                <w:sz w:val="18"/>
                <w:szCs w:val="18"/>
              </w:rPr>
            </w:pPr>
            <w:r>
              <w:rPr>
                <w:rFonts w:ascii="宋体"/>
                <w:sz w:val="18"/>
              </w:rPr>
              <w:t>2019/12/4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2019-108</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关于为控股子公司提供财务资助的公告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2019/12/4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2019-109</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关于授权管理层处置股票资产的公告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2019/12/4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2019-110</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2019</w:t>
            </w:r>
            <w:r>
              <w:rPr>
                <w:rFonts w:ascii="宋体" w:hAnsi="宋体" w:cs="宋体" w:eastAsia="宋体" w:hint="default"/>
                <w:sz w:val="18"/>
                <w:szCs w:val="18"/>
              </w:rPr>
              <w:t>年度第四次临时股东大会的通知</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2019/12/4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2019-111</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第八届监事会</w:t>
            </w:r>
            <w:r>
              <w:rPr>
                <w:rFonts w:ascii="宋体" w:hAnsi="宋体" w:cs="宋体" w:eastAsia="宋体" w:hint="default"/>
                <w:sz w:val="18"/>
                <w:szCs w:val="18"/>
              </w:rPr>
              <w:t>2019</w:t>
            </w:r>
            <w:r>
              <w:rPr>
                <w:rFonts w:ascii="宋体" w:hAnsi="宋体" w:cs="宋体" w:eastAsia="宋体" w:hint="default"/>
                <w:sz w:val="18"/>
                <w:szCs w:val="18"/>
              </w:rPr>
              <w:t>年第六次临时会议决议公告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2019/12/4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2019-112</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关于公司控股股东部分股份解除质押的公告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B47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2019/12/5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2019-113</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关于公司控股股东进行股票质押式回购交易的公告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2019/12/7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2019-114</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关于下属子公司获得高新技术企业证书的公告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2019/12/7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2019-115</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关于获得政府补助的公告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B53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2019/12/7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2019-116</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关于公司控股股东部分股份解除质押的公告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B68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2019/12/18 </w:t>
            </w:r>
          </w:p>
        </w:tc>
        <w:tc>
          <w:tcPr>
            <w:tcW w:w="2352" w:type="dxa"/>
            <w:vMerge/>
            <w:tcBorders>
              <w:left w:val="single" w:sz="6" w:space="0" w:color="000000"/>
              <w:right w:val="single" w:sz="6" w:space="0" w:color="000000"/>
            </w:tcBorders>
          </w:tcPr>
          <w:p>
            <w:pPr/>
          </w:p>
        </w:tc>
      </w:tr>
      <w:tr>
        <w:trPr>
          <w:trHeight w:val="487"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2019-117</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z w:val="18"/>
                <w:szCs w:val="18"/>
              </w:rPr>
              <w:t>2019</w:t>
            </w:r>
            <w:r>
              <w:rPr>
                <w:rFonts w:ascii="宋体" w:hAnsi="宋体" w:cs="宋体" w:eastAsia="宋体" w:hint="default"/>
                <w:sz w:val="18"/>
                <w:szCs w:val="18"/>
              </w:rPr>
              <w:t>年度第四次临时股东大会的提示性公告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B76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2019/12/19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2019-118</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关于下属子公司对外出售股票资产的进展公告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B63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2019/12/20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2019-119</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年度第四次临时股东大会决议公告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2019/12/24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2019-120</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关于公司控股股东进行股票质押式回购交易的公告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2019/12/24 </w:t>
            </w:r>
          </w:p>
        </w:tc>
        <w:tc>
          <w:tcPr>
            <w:tcW w:w="2352" w:type="dxa"/>
            <w:vMerge/>
            <w:tcBorders>
              <w:left w:val="single" w:sz="6" w:space="0" w:color="000000"/>
              <w:right w:val="single" w:sz="6" w:space="0" w:color="000000"/>
            </w:tcBorders>
          </w:tcPr>
          <w:p>
            <w:pPr/>
          </w:p>
        </w:tc>
      </w:tr>
      <w:tr>
        <w:trPr>
          <w:trHeight w:val="488"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2019-121</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关于获得政府补助的公告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B8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2019/12/24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2019-122</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关于下属子公司对外出售股票资产的进展公告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2019/12/27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2019-123</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关于获得政府补助的公告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B64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2019/12/27 </w:t>
            </w:r>
          </w:p>
        </w:tc>
        <w:tc>
          <w:tcPr>
            <w:tcW w:w="2352" w:type="dxa"/>
            <w:vMerge/>
            <w:tcBorders>
              <w:left w:val="single" w:sz="6" w:space="0" w:color="000000"/>
              <w:right w:val="single" w:sz="6" w:space="0" w:color="000000"/>
            </w:tcBorders>
          </w:tcPr>
          <w:p>
            <w:pPr/>
          </w:p>
        </w:tc>
      </w:tr>
      <w:tr>
        <w:trPr>
          <w:trHeight w:val="490" w:hRule="exact"/>
        </w:trPr>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2019-124</w:t>
            </w:r>
            <w:r>
              <w:rPr>
                <w:rFonts w:ascii="宋体"/>
                <w:sz w:val="18"/>
              </w:rPr>
              <w:t> </w:t>
            </w:r>
          </w:p>
        </w:tc>
        <w:tc>
          <w:tcPr>
            <w:tcW w:w="4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关于公司控股股东部分股份解除质押的公告</w:t>
            </w:r>
            <w:r>
              <w:rPr>
                <w:rFonts w:ascii="宋体" w:hAnsi="宋体" w:cs="宋体" w:eastAsia="宋体" w:hint="default"/>
                <w:sz w:val="18"/>
                <w:szCs w:val="18"/>
              </w:rPr>
              <w:t> </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z w:val="18"/>
                <w:szCs w:val="18"/>
              </w:rPr>
              <w:t>B124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5" w:right="0"/>
              <w:jc w:val="center"/>
              <w:rPr>
                <w:rFonts w:ascii="宋体" w:hAnsi="宋体" w:cs="宋体" w:eastAsia="宋体" w:hint="default"/>
                <w:sz w:val="18"/>
                <w:szCs w:val="18"/>
              </w:rPr>
            </w:pPr>
            <w:r>
              <w:rPr>
                <w:rFonts w:ascii="宋体"/>
                <w:sz w:val="18"/>
              </w:rPr>
              <w:t>2020/1/2 </w:t>
            </w:r>
          </w:p>
        </w:tc>
        <w:tc>
          <w:tcPr>
            <w:tcW w:w="2352" w:type="dxa"/>
            <w:vMerge/>
            <w:tcBorders>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二十、公司子公司重大事项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after="0" w:line="240" w:lineRule="auto"/>
        <w:jc w:val="left"/>
        <w:sectPr>
          <w:pgSz w:w="11910" w:h="16840"/>
          <w:pgMar w:header="916" w:footer="1261" w:top="1120" w:bottom="1460" w:left="980" w:right="0"/>
        </w:sectPr>
      </w:pPr>
    </w:p>
    <w:p>
      <w:pPr>
        <w:pStyle w:val="BodyText"/>
        <w:spacing w:line="240" w:lineRule="auto" w:before="34"/>
        <w:ind w:left="0" w:right="473"/>
        <w:jc w:val="right"/>
      </w:pP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44"/>
          <w:footerReference w:type="default" r:id="rId45"/>
          <w:pgSz w:w="16840" w:h="11910" w:orient="landscape"/>
          <w:pgMar w:header="0" w:footer="0" w:top="820" w:bottom="0" w:left="1300" w:right="960"/>
        </w:sect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26"/>
          <w:szCs w:val="26"/>
        </w:rPr>
      </w:pPr>
    </w:p>
    <w:p>
      <w:pPr>
        <w:pStyle w:val="Heading2"/>
        <w:spacing w:line="240" w:lineRule="auto"/>
        <w:ind w:left="140" w:right="0"/>
        <w:jc w:val="left"/>
        <w:rPr>
          <w:b w:val="0"/>
          <w:bCs w:val="0"/>
        </w:rPr>
      </w:pPr>
      <w:bookmarkStart w:name="_bookmark5" w:id="6"/>
      <w:bookmarkEnd w:id="6"/>
      <w:r>
        <w:rPr>
          <w:b w:val="0"/>
          <w:bCs w:val="0"/>
        </w:rPr>
      </w:r>
      <w:r>
        <w:rPr>
          <w:w w:val="95"/>
        </w:rPr>
        <w:t>一、股份变动情况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140" w:right="0"/>
        <w:jc w:val="left"/>
        <w:rPr>
          <w:b w:val="0"/>
          <w:bCs w:val="0"/>
        </w:rPr>
      </w:pPr>
      <w:r>
        <w:rPr>
          <w:rFonts w:ascii="Times New Roman" w:hAnsi="Times New Roman" w:cs="Times New Roman" w:eastAsia="Times New Roman" w:hint="default"/>
        </w:rPr>
        <w:t>1</w:t>
      </w:r>
      <w:r>
        <w:rPr/>
        <w:t>、股份变动情况</w:t>
      </w:r>
      <w:r>
        <w:rPr>
          <w:b w:val="0"/>
          <w:bCs w:val="0"/>
        </w:rPr>
      </w:r>
    </w:p>
    <w:p>
      <w:pPr>
        <w:pStyle w:val="Heading1"/>
        <w:spacing w:line="240" w:lineRule="auto" w:before="133"/>
        <w:ind w:left="140" w:right="-17"/>
        <w:jc w:val="left"/>
        <w:rPr>
          <w:b w:val="0"/>
          <w:bCs w:val="0"/>
        </w:rPr>
      </w:pPr>
      <w:r>
        <w:rPr>
          <w:b w:val="0"/>
          <w:bCs w:val="0"/>
        </w:rPr>
        <w:br w:type="column"/>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20"/>
          <w:szCs w:val="20"/>
        </w:rPr>
      </w:pPr>
    </w:p>
    <w:p>
      <w:pPr>
        <w:pStyle w:val="BodyText"/>
        <w:spacing w:line="240" w:lineRule="auto"/>
        <w:ind w:left="140" w:right="0"/>
        <w:jc w:val="left"/>
      </w:pPr>
      <w:r>
        <w:rPr/>
        <w:t>单位：股</w:t>
      </w:r>
    </w:p>
    <w:p>
      <w:pPr>
        <w:spacing w:after="0" w:line="240" w:lineRule="auto"/>
        <w:jc w:val="left"/>
        <w:sectPr>
          <w:type w:val="continuous"/>
          <w:pgSz w:w="16840" w:h="11910" w:orient="landscape"/>
          <w:pgMar w:top="1100" w:bottom="1460" w:left="1300" w:right="960"/>
          <w:cols w:num="3" w:equalWidth="0">
            <w:col w:w="2067" w:space="2904"/>
            <w:col w:w="4155" w:space="4114"/>
            <w:col w:w="1340"/>
          </w:cols>
        </w:sectPr>
      </w:pPr>
    </w:p>
    <w:p>
      <w:pPr>
        <w:spacing w:line="240" w:lineRule="auto" w:before="4"/>
        <w:rPr>
          <w:rFonts w:ascii="宋体" w:hAnsi="宋体" w:cs="宋体" w:eastAsia="宋体" w:hint="default"/>
          <w:sz w:val="8"/>
          <w:szCs w:val="8"/>
        </w:rPr>
      </w:pPr>
    </w:p>
    <w:tbl>
      <w:tblPr>
        <w:tblW w:w="0" w:type="auto"/>
        <w:jc w:val="left"/>
        <w:tblInd w:w="247" w:type="dxa"/>
        <w:tblLayout w:type="fixed"/>
        <w:tblCellMar>
          <w:top w:w="0" w:type="dxa"/>
          <w:left w:w="0" w:type="dxa"/>
          <w:bottom w:w="0" w:type="dxa"/>
          <w:right w:w="0" w:type="dxa"/>
        </w:tblCellMar>
        <w:tblLook w:val="01E0"/>
      </w:tblPr>
      <w:tblGrid>
        <w:gridCol w:w="2304"/>
        <w:gridCol w:w="1501"/>
        <w:gridCol w:w="1109"/>
        <w:gridCol w:w="1666"/>
        <w:gridCol w:w="1335"/>
        <w:gridCol w:w="1246"/>
        <w:gridCol w:w="1320"/>
        <w:gridCol w:w="1201"/>
        <w:gridCol w:w="1246"/>
        <w:gridCol w:w="1274"/>
      </w:tblGrid>
      <w:tr>
        <w:trPr>
          <w:trHeight w:val="401" w:hRule="exact"/>
        </w:trPr>
        <w:tc>
          <w:tcPr>
            <w:tcW w:w="2304" w:type="dxa"/>
            <w:vMerge w:val="restart"/>
            <w:tcBorders>
              <w:top w:val="single" w:sz="4" w:space="0" w:color="000000"/>
              <w:left w:val="single" w:sz="4" w:space="0" w:color="000000"/>
              <w:right w:val="single" w:sz="4" w:space="0" w:color="000000"/>
            </w:tcBorders>
            <w:shd w:val="clear" w:color="auto" w:fill="D2D2D2"/>
          </w:tcPr>
          <w:p>
            <w:pPr/>
          </w:p>
        </w:tc>
        <w:tc>
          <w:tcPr>
            <w:tcW w:w="26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676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本次变动增减（＋，－）</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4"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3" w:hRule="exact"/>
        </w:trPr>
        <w:tc>
          <w:tcPr>
            <w:tcW w:w="2304" w:type="dxa"/>
            <w:vMerge/>
            <w:tcBorders>
              <w:left w:val="single" w:sz="4" w:space="0" w:color="000000"/>
              <w:bottom w:val="single" w:sz="4" w:space="0" w:color="000000"/>
              <w:right w:val="single" w:sz="4" w:space="0" w:color="000000"/>
            </w:tcBorders>
            <w:shd w:val="clear" w:color="auto" w:fill="D2D2D2"/>
          </w:tcPr>
          <w:p>
            <w:pPr/>
          </w:p>
        </w:tc>
        <w:tc>
          <w:tcPr>
            <w:tcW w:w="15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28,516,942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6,950,000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-6,170,578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779,422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29,296,364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3.02%</w:t>
            </w:r>
          </w:p>
        </w:tc>
      </w:tr>
      <w:tr>
        <w:trPr>
          <w:trHeight w:val="403"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28,516,942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2.96%</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6,950,000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-6,170,578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779,422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29,296,364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3.02%</w:t>
            </w:r>
          </w:p>
        </w:tc>
      </w:tr>
      <w:tr>
        <w:trPr>
          <w:trHeight w:val="401"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w w:val="95"/>
                <w:sz w:val="18"/>
              </w:rPr>
              <w:t>3,647,112</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w w:val="95"/>
                <w:sz w:val="18"/>
              </w:rPr>
              <w:t>3,647,112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0.38%</w:t>
            </w:r>
          </w:p>
        </w:tc>
      </w:tr>
      <w:tr>
        <w:trPr>
          <w:trHeight w:val="403"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24,869,830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2.58%</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6,950,000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-6,170,578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779,422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25,649,252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2.65%</w:t>
            </w:r>
          </w:p>
        </w:tc>
      </w:tr>
      <w:tr>
        <w:trPr>
          <w:trHeight w:val="401"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934,914,331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97.04%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6,170,578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6,170,578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941,084,909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96.98%</w:t>
            </w:r>
          </w:p>
        </w:tc>
      </w:tr>
      <w:tr>
        <w:trPr>
          <w:trHeight w:val="401"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934,914,331</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97.04%</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6,170,578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6,170,578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941,084,909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96.98%</w:t>
            </w:r>
          </w:p>
        </w:tc>
      </w:tr>
      <w:tr>
        <w:trPr>
          <w:trHeight w:val="403"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963,431,273</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6,950,000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6,950,000</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970,381,273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8"/>
        <w:rPr>
          <w:rFonts w:ascii="宋体" w:hAnsi="宋体" w:cs="宋体" w:eastAsia="宋体" w:hint="default"/>
          <w:sz w:val="6"/>
          <w:szCs w:val="6"/>
        </w:rPr>
      </w:pPr>
    </w:p>
    <w:p>
      <w:pPr>
        <w:pStyle w:val="BodyText"/>
        <w:spacing w:line="240" w:lineRule="auto" w:before="76"/>
        <w:ind w:left="0" w:right="480"/>
        <w:jc w:val="right"/>
        <w:rPr>
          <w:rFonts w:ascii="Times New Roman" w:hAnsi="Times New Roman" w:cs="Times New Roman" w:eastAsia="Times New Roman" w:hint="default"/>
        </w:rPr>
      </w:pPr>
      <w:r>
        <w:rPr>
          <w:rFonts w:ascii="Times New Roman"/>
        </w:rPr>
        <w:t>80</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8"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100" w:bottom="1460" w:left="1300" w:right="960"/>
        </w:sectPr>
      </w:pPr>
    </w:p>
    <w:p>
      <w:pPr>
        <w:spacing w:line="240" w:lineRule="auto" w:before="6"/>
        <w:rPr>
          <w:rFonts w:ascii="Times New Roman" w:hAnsi="Times New Roman" w:cs="Times New Roman" w:eastAsia="Times New Roman" w:hint="default"/>
          <w:sz w:val="23"/>
          <w:szCs w:val="23"/>
        </w:rPr>
      </w:pPr>
    </w:p>
    <w:p>
      <w:pPr>
        <w:pStyle w:val="BodyText"/>
        <w:spacing w:line="240" w:lineRule="auto" w:before="44"/>
        <w:ind w:right="0"/>
        <w:jc w:val="left"/>
      </w:pPr>
      <w:r>
        <w:rPr/>
        <w:t>股份变动的原因</w:t>
      </w:r>
    </w:p>
    <w:p>
      <w:pPr>
        <w:pStyle w:val="BodyText"/>
        <w:spacing w:line="460" w:lineRule="auto" w:before="117"/>
        <w:ind w:left="580" w:right="5271" w:hanging="428"/>
        <w:jc w:val="left"/>
        <w:rPr>
          <w:rFonts w:ascii="宋体" w:hAnsi="宋体" w:cs="宋体" w:eastAsia="宋体" w:hint="default"/>
        </w:rPr>
      </w:pPr>
      <w:r>
        <w:rPr/>
        <w:t>√ 适用 □</w:t>
      </w:r>
      <w:r>
        <w:rPr>
          <w:spacing w:val="3"/>
        </w:rPr>
        <w:t> </w:t>
      </w:r>
      <w:r>
        <w:rPr/>
        <w:t>不适用</w:t>
      </w:r>
      <w:r>
        <w:rPr/>
        <w:t> </w:t>
      </w:r>
      <w:r>
        <w:rPr>
          <w:rFonts w:ascii="宋体" w:hAnsi="宋体" w:cs="宋体" w:eastAsia="宋体" w:hint="default"/>
        </w:rPr>
        <w:t>1</w:t>
      </w:r>
      <w:r>
        <w:rPr/>
        <w:t>、</w:t>
      </w:r>
      <w:r>
        <w:rPr>
          <w:rFonts w:ascii="宋体" w:hAnsi="宋体" w:cs="宋体" w:eastAsia="宋体" w:hint="default"/>
        </w:rPr>
        <w:t>2019</w:t>
      </w:r>
      <w:r>
        <w:rPr/>
        <w:t>年股票期权与限制性股票激励计划之股份变动</w:t>
      </w:r>
      <w:r>
        <w:rPr>
          <w:rFonts w:ascii="宋体" w:hAnsi="宋体" w:cs="宋体" w:eastAsia="宋体" w:hint="default"/>
        </w:rPr>
        <w:t> </w:t>
      </w:r>
    </w:p>
    <w:p>
      <w:pPr>
        <w:pStyle w:val="BodyText"/>
        <w:spacing w:line="408" w:lineRule="auto"/>
        <w:ind w:right="1213" w:firstLine="427"/>
        <w:jc w:val="left"/>
        <w:rPr>
          <w:rFonts w:ascii="宋体" w:hAnsi="宋体" w:cs="宋体" w:eastAsia="宋体" w:hint="default"/>
        </w:rPr>
      </w:pP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16</w:t>
      </w:r>
      <w:r>
        <w:rPr/>
        <w:t>日，公司</w:t>
      </w:r>
      <w:r>
        <w:rPr>
          <w:rFonts w:ascii="宋体" w:hAnsi="宋体" w:cs="宋体" w:eastAsia="宋体" w:hint="default"/>
        </w:rPr>
        <w:t>2019</w:t>
      </w:r>
      <w:r>
        <w:rPr/>
        <w:t>年度第三次临时股东大会审议通过了《</w:t>
      </w:r>
      <w:r>
        <w:rPr>
          <w:rFonts w:ascii="宋体" w:hAnsi="宋体" w:cs="宋体" w:eastAsia="宋体" w:hint="default"/>
        </w:rPr>
        <w:t>2019</w:t>
      </w:r>
      <w:r>
        <w:rPr/>
        <w:t>年股票期权与限制性股票激励计划（草案）修 订稿》及其摘要等议案。</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30</w:t>
      </w:r>
      <w:r>
        <w:rPr/>
        <w:t>日，经中国证券登记结算有限责任公司深圳分公司审核确认，公司本次股权激励计 划授予登记完成，实际授予并登记的限制性股票激励对象人数为</w:t>
      </w:r>
      <w:r>
        <w:rPr>
          <w:rFonts w:ascii="宋体" w:hAnsi="宋体" w:cs="宋体" w:eastAsia="宋体" w:hint="default"/>
        </w:rPr>
        <w:t>16</w:t>
      </w:r>
      <w:r>
        <w:rPr/>
        <w:t>人，实际授予数量为</w:t>
      </w:r>
      <w:r>
        <w:rPr>
          <w:rFonts w:ascii="宋体" w:hAnsi="宋体" w:cs="宋体" w:eastAsia="宋体" w:hint="default"/>
        </w:rPr>
        <w:t>695.00</w:t>
      </w:r>
      <w:r>
        <w:rPr/>
        <w:t>万股；授予股票期权激励对 象人数为</w:t>
      </w:r>
      <w:r>
        <w:rPr>
          <w:rFonts w:ascii="宋体" w:hAnsi="宋体" w:cs="宋体" w:eastAsia="宋体" w:hint="default"/>
        </w:rPr>
        <w:t>104</w:t>
      </w:r>
      <w:r>
        <w:rPr/>
        <w:t>人，实际授予登记的股份数量为</w:t>
      </w:r>
      <w:r>
        <w:rPr>
          <w:rFonts w:ascii="宋体" w:hAnsi="宋体" w:cs="宋体" w:eastAsia="宋体" w:hint="default"/>
        </w:rPr>
        <w:t>2,247.00</w:t>
      </w:r>
      <w:r>
        <w:rPr/>
        <w:t>万份。本次限制性股票授予登记完成后，公司股份总数由 </w:t>
      </w:r>
      <w:r>
        <w:rPr>
          <w:rFonts w:ascii="宋体" w:hAnsi="宋体" w:cs="宋体" w:eastAsia="宋体" w:hint="default"/>
        </w:rPr>
        <w:t>963,431,273</w:t>
      </w:r>
      <w:r>
        <w:rPr/>
        <w:t>股变更为</w:t>
      </w:r>
      <w:r>
        <w:rPr>
          <w:rFonts w:ascii="宋体" w:hAnsi="宋体" w:cs="宋体" w:eastAsia="宋体" w:hint="default"/>
        </w:rPr>
        <w:t>970,381,273</w:t>
      </w:r>
      <w:r>
        <w:rPr/>
        <w:t>股。</w:t>
      </w:r>
      <w:r>
        <w:rPr>
          <w:rFonts w:ascii="宋体" w:hAnsi="宋体" w:cs="宋体" w:eastAsia="宋体" w:hint="default"/>
        </w:rPr>
        <w:t> </w:t>
      </w:r>
    </w:p>
    <w:p>
      <w:pPr>
        <w:pStyle w:val="BodyText"/>
        <w:spacing w:line="240" w:lineRule="auto" w:before="37"/>
        <w:ind w:left="436" w:right="0"/>
        <w:jc w:val="left"/>
        <w:rPr>
          <w:rFonts w:ascii="宋体" w:hAnsi="宋体" w:cs="宋体" w:eastAsia="宋体" w:hint="default"/>
        </w:rPr>
      </w:pPr>
      <w:r>
        <w:rPr>
          <w:rFonts w:ascii="宋体" w:hAnsi="宋体" w:cs="宋体" w:eastAsia="宋体" w:hint="default"/>
        </w:rPr>
        <w:t>2</w:t>
      </w:r>
      <w:r>
        <w:rPr/>
        <w:t>、本报告期初高管锁定股中的</w:t>
      </w:r>
      <w:r>
        <w:rPr>
          <w:rFonts w:ascii="宋体" w:hAnsi="宋体" w:cs="宋体" w:eastAsia="宋体" w:hint="default"/>
        </w:rPr>
        <w:t>6,170,578</w:t>
      </w:r>
      <w:r>
        <w:rPr/>
        <w:t>股因锁定期限届满在本报告期内自动解除锁定。</w:t>
      </w:r>
      <w:r>
        <w:rPr>
          <w:rFonts w:ascii="宋体" w:hAnsi="宋体" w:cs="宋体" w:eastAsia="宋体" w:hint="default"/>
        </w:rPr>
        <w:t> </w:t>
      </w:r>
    </w:p>
    <w:p>
      <w:pPr>
        <w:spacing w:line="240" w:lineRule="auto" w:before="9"/>
        <w:rPr>
          <w:rFonts w:ascii="宋体" w:hAnsi="宋体" w:cs="宋体" w:eastAsia="宋体" w:hint="default"/>
          <w:sz w:val="12"/>
          <w:szCs w:val="12"/>
        </w:rPr>
      </w:pPr>
    </w:p>
    <w:p>
      <w:pPr>
        <w:pStyle w:val="BodyText"/>
        <w:spacing w:line="408" w:lineRule="auto"/>
        <w:ind w:right="1200" w:firstLine="283"/>
        <w:jc w:val="left"/>
        <w:rPr>
          <w:rFonts w:ascii="宋体" w:hAnsi="宋体" w:cs="宋体" w:eastAsia="宋体" w:hint="default"/>
        </w:rPr>
      </w:pPr>
      <w:r>
        <w:rPr/>
        <w:t>（</w:t>
      </w:r>
      <w:r>
        <w:rPr>
          <w:rFonts w:ascii="宋体" w:hAnsi="宋体" w:cs="宋体" w:eastAsia="宋体" w:hint="default"/>
        </w:rPr>
        <w:t>1</w:t>
      </w:r>
      <w:r>
        <w:rPr/>
        <w:t>）张丹丹女士于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26</w:t>
      </w:r>
      <w:r>
        <w:rPr/>
        <w:t>日离任，不再担任公司高级副总裁职务，其持有的</w:t>
      </w:r>
      <w:r>
        <w:rPr>
          <w:rFonts w:ascii="宋体" w:hAnsi="宋体" w:cs="宋体" w:eastAsia="宋体" w:hint="default"/>
        </w:rPr>
        <w:t>6,131,278</w:t>
      </w:r>
      <w:r>
        <w:rPr/>
        <w:t>股高管锁定股自离任之日 起锁定</w:t>
      </w:r>
      <w:r>
        <w:rPr>
          <w:rFonts w:ascii="宋体" w:hAnsi="宋体" w:cs="宋体" w:eastAsia="宋体" w:hint="default"/>
        </w:rPr>
        <w:t>6</w:t>
      </w:r>
      <w:r>
        <w:rPr/>
        <w:t>个月后全部解除锁定。</w:t>
      </w:r>
      <w:r>
        <w:rPr>
          <w:rFonts w:ascii="宋体" w:hAnsi="宋体" w:cs="宋体" w:eastAsia="宋体" w:hint="default"/>
        </w:rPr>
        <w:t> </w:t>
      </w:r>
    </w:p>
    <w:p>
      <w:pPr>
        <w:pStyle w:val="BodyText"/>
        <w:spacing w:line="408" w:lineRule="auto" w:before="37"/>
        <w:ind w:right="1290" w:firstLine="283"/>
        <w:jc w:val="left"/>
        <w:rPr>
          <w:rFonts w:ascii="宋体" w:hAnsi="宋体" w:cs="宋体" w:eastAsia="宋体" w:hint="default"/>
        </w:rPr>
      </w:pPr>
      <w:r>
        <w:rPr/>
        <w:t>（</w:t>
      </w:r>
      <w:r>
        <w:rPr>
          <w:rFonts w:ascii="宋体" w:hAnsi="宋体" w:cs="宋体" w:eastAsia="宋体" w:hint="default"/>
        </w:rPr>
        <w:t>2</w:t>
      </w:r>
      <w:r>
        <w:rPr/>
        <w:t>）王德伟先生于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16</w:t>
      </w:r>
      <w:r>
        <w:rPr/>
        <w:t>日离任，不再担任公司公司副总裁职务，其持有的</w:t>
      </w:r>
      <w:r>
        <w:rPr>
          <w:rFonts w:ascii="宋体" w:hAnsi="宋体" w:cs="宋体" w:eastAsia="宋体" w:hint="default"/>
        </w:rPr>
        <w:t>39,300</w:t>
      </w:r>
      <w:r>
        <w:rPr/>
        <w:t>股高管锁定股自其原任期终 止之日（</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5</w:t>
      </w:r>
      <w:r>
        <w:rPr/>
        <w:t>日）起锁定</w:t>
      </w:r>
      <w:r>
        <w:rPr>
          <w:rFonts w:ascii="宋体" w:hAnsi="宋体" w:cs="宋体" w:eastAsia="宋体" w:hint="default"/>
        </w:rPr>
        <w:t>6</w:t>
      </w:r>
      <w:r>
        <w:rPr/>
        <w:t>个月后全部解除锁定。</w:t>
      </w:r>
      <w:r>
        <w:rPr>
          <w:rFonts w:ascii="宋体" w:hAnsi="宋体" w:cs="宋体" w:eastAsia="宋体" w:hint="default"/>
        </w:rPr>
        <w:t> </w:t>
      </w:r>
    </w:p>
    <w:p>
      <w:pPr>
        <w:pStyle w:val="BodyText"/>
        <w:spacing w:line="240" w:lineRule="auto" w:before="39"/>
        <w:ind w:right="0"/>
        <w:jc w:val="left"/>
        <w:rPr>
          <w:rFonts w:ascii="宋体" w:hAnsi="宋体" w:cs="宋体" w:eastAsia="宋体" w:hint="default"/>
        </w:rPr>
      </w:pPr>
      <w:r>
        <w:rPr/>
        <w:t>股份变动的批准情况</w:t>
      </w:r>
      <w:r>
        <w:rPr>
          <w:rFonts w:ascii="宋体" w:hAnsi="宋体" w:cs="宋体" w:eastAsia="宋体" w:hint="default"/>
        </w:rPr>
        <w:t> </w:t>
      </w:r>
    </w:p>
    <w:p>
      <w:pPr>
        <w:pStyle w:val="BodyText"/>
        <w:spacing w:line="240" w:lineRule="auto" w:before="103"/>
        <w:ind w:right="0"/>
        <w:jc w:val="left"/>
      </w:pPr>
      <w:r>
        <w:rPr/>
        <w:t>√ 适用 □</w:t>
      </w:r>
      <w:r>
        <w:rPr>
          <w:spacing w:val="3"/>
        </w:rPr>
        <w:t> </w:t>
      </w:r>
      <w:r>
        <w:rPr/>
        <w:t>不适用</w:t>
      </w:r>
    </w:p>
    <w:p>
      <w:pPr>
        <w:pStyle w:val="BodyText"/>
        <w:spacing w:line="360" w:lineRule="auto" w:before="117"/>
        <w:ind w:right="1125"/>
        <w:jc w:val="left"/>
      </w:pPr>
      <w:r>
        <w:rPr/>
        <w:t>详见“第五节</w:t>
      </w:r>
      <w:r>
        <w:rPr>
          <w:spacing w:val="1"/>
        </w:rPr>
        <w:t> </w:t>
      </w:r>
      <w:r>
        <w:rPr>
          <w:rFonts w:ascii="宋体" w:hAnsi="宋体" w:cs="宋体" w:eastAsia="宋体" w:hint="default"/>
          <w:spacing w:val="1"/>
        </w:rPr>
      </w:r>
      <w:r>
        <w:rPr/>
        <w:t>重要事项”的“十五、公司股权激励计划、员工持股计划或其他员工激励措施的实施情况”。</w:t>
      </w:r>
      <w:r>
        <w:rPr>
          <w:rFonts w:ascii="宋体" w:hAnsi="宋体" w:cs="宋体" w:eastAsia="宋体" w:hint="default"/>
        </w:rPr>
        <w:t> </w:t>
      </w:r>
      <w:r>
        <w:rPr/>
        <w:t>股份变动的过户情况</w:t>
      </w:r>
    </w:p>
    <w:p>
      <w:pPr>
        <w:pStyle w:val="BodyText"/>
        <w:spacing w:line="240" w:lineRule="auto" w:before="25"/>
        <w:ind w:right="0"/>
        <w:jc w:val="left"/>
      </w:pPr>
      <w:r>
        <w:rPr/>
        <w:t>√适用 □</w:t>
      </w:r>
      <w:r>
        <w:rPr>
          <w:spacing w:val="2"/>
        </w:rPr>
        <w:t> </w:t>
      </w:r>
      <w:r>
        <w:rPr/>
        <w:t>不适用</w:t>
      </w:r>
    </w:p>
    <w:p>
      <w:pPr>
        <w:pStyle w:val="BodyText"/>
        <w:spacing w:line="357" w:lineRule="auto" w:before="117"/>
        <w:ind w:right="2203"/>
        <w:jc w:val="left"/>
      </w:pPr>
      <w:r>
        <w:rPr/>
        <w:t>详见“第五节 </w:t>
      </w:r>
      <w:r>
        <w:rPr>
          <w:rFonts w:ascii="宋体" w:hAnsi="宋体" w:cs="宋体" w:eastAsia="宋体" w:hint="default"/>
        </w:rPr>
      </w:r>
      <w:r>
        <w:rPr/>
        <w:t>重要事项”的“十五、公司股权激励计划、员工持股计划或其他员工激励措施的实施情况”。 股份回购的实施进展情况</w:t>
      </w:r>
    </w:p>
    <w:p>
      <w:pPr>
        <w:pStyle w:val="BodyText"/>
        <w:spacing w:line="360" w:lineRule="auto" w:before="29"/>
        <w:ind w:right="6973"/>
        <w:jc w:val="left"/>
      </w:pPr>
      <w:r>
        <w:rPr/>
        <w:t>□ 适用 √</w:t>
      </w:r>
      <w:r>
        <w:rPr>
          <w:spacing w:val="3"/>
        </w:rPr>
        <w:t> </w:t>
      </w:r>
      <w:r>
        <w:rPr/>
        <w:t>不适用</w:t>
      </w:r>
      <w:r>
        <w:rPr/>
        <w:t> 采用集中竞价方式减持回购股份的实施进展情况</w:t>
      </w:r>
    </w:p>
    <w:p>
      <w:pPr>
        <w:pStyle w:val="BodyText"/>
        <w:spacing w:line="360" w:lineRule="auto" w:before="25"/>
        <w:ind w:right="1393"/>
        <w:jc w:val="left"/>
      </w:pPr>
      <w:r>
        <w:rPr/>
        <w:t>□ 适用 √</w:t>
      </w:r>
      <w:r>
        <w:rPr>
          <w:spacing w:val="3"/>
        </w:rPr>
        <w:t> </w:t>
      </w:r>
      <w:r>
        <w:rPr/>
        <w:t>不适用</w:t>
      </w:r>
      <w:r>
        <w:rPr/>
        <w:t> 股份变动对最近一年和最近一期基本每股收益和稀释每股收益、归属于公司普通股股东的每股净资产等财务指标的影响</w:t>
      </w:r>
    </w:p>
    <w:p>
      <w:pPr>
        <w:pStyle w:val="BodyText"/>
        <w:spacing w:line="357" w:lineRule="auto" w:before="27"/>
        <w:ind w:left="513" w:right="1213" w:hanging="360"/>
        <w:jc w:val="left"/>
      </w:pPr>
      <w:r>
        <w:rPr/>
        <w:t>√ 适用 □</w:t>
      </w:r>
      <w:r>
        <w:rPr>
          <w:spacing w:val="3"/>
        </w:rPr>
        <w:t> </w:t>
      </w:r>
      <w:r>
        <w:rPr/>
        <w:t>不适用</w:t>
      </w:r>
      <w:r>
        <w:rPr/>
        <w:t> 公司</w:t>
      </w:r>
      <w:r>
        <w:rPr>
          <w:rFonts w:ascii="宋体" w:hAnsi="宋体" w:cs="宋体" w:eastAsia="宋体" w:hint="default"/>
        </w:rPr>
        <w:t>2019</w:t>
      </w:r>
      <w:r>
        <w:rPr/>
        <w:t>年股权激励之限制性股票完成授予登记后，公司总股本由</w:t>
      </w:r>
      <w:r>
        <w:rPr>
          <w:rFonts w:ascii="宋体" w:hAnsi="宋体" w:cs="宋体" w:eastAsia="宋体" w:hint="default"/>
        </w:rPr>
        <w:t>963,431,273</w:t>
      </w:r>
      <w:r>
        <w:rPr/>
        <w:t>股增加至</w:t>
      </w:r>
      <w:r>
        <w:rPr>
          <w:rFonts w:ascii="宋体" w:hAnsi="宋体" w:cs="宋体" w:eastAsia="宋体" w:hint="default"/>
        </w:rPr>
        <w:t>970,381,273</w:t>
      </w:r>
      <w:r>
        <w:rPr/>
        <w:t>股。按照变动后</w:t>
      </w:r>
    </w:p>
    <w:p>
      <w:pPr>
        <w:pStyle w:val="BodyText"/>
        <w:spacing w:line="224" w:lineRule="exact"/>
        <w:ind w:right="0"/>
        <w:jc w:val="left"/>
      </w:pPr>
      <w:r>
        <w:rPr/>
        <w:t>的新股本</w:t>
      </w:r>
      <w:r>
        <w:rPr>
          <w:rFonts w:ascii="宋体" w:hAnsi="宋体" w:cs="宋体" w:eastAsia="宋体" w:hint="default"/>
        </w:rPr>
        <w:t>970,381,273</w:t>
      </w:r>
      <w:r>
        <w:rPr/>
        <w:t>股计算，</w:t>
      </w:r>
      <w:r>
        <w:rPr>
          <w:rFonts w:ascii="宋体" w:hAnsi="宋体" w:cs="宋体" w:eastAsia="宋体" w:hint="default"/>
        </w:rPr>
        <w:t>2019</w:t>
      </w:r>
      <w:r>
        <w:rPr/>
        <w:t>年度基本每股收益、稀释每股收益和归属公司普通股东的每股净资产分别为</w:t>
      </w:r>
      <w:r>
        <w:rPr>
          <w:rFonts w:ascii="宋体" w:hAnsi="宋体" w:cs="宋体" w:eastAsia="宋体" w:hint="default"/>
        </w:rPr>
        <w:t>0.3899</w:t>
      </w:r>
      <w:r>
        <w:rPr/>
        <w:t>元、</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0.3890</w:t>
      </w:r>
      <w:r>
        <w:rPr/>
        <w:t>元、</w:t>
      </w:r>
      <w:r>
        <w:rPr>
          <w:rFonts w:ascii="宋体" w:hAnsi="宋体" w:cs="宋体" w:eastAsia="宋体" w:hint="default"/>
        </w:rPr>
        <w:t>5.3787</w:t>
      </w:r>
      <w:r>
        <w:rPr/>
        <w:t>元。</w:t>
      </w:r>
      <w:r>
        <w:rPr>
          <w:rFonts w:ascii="宋体" w:hAnsi="宋体" w:cs="宋体" w:eastAsia="宋体" w:hint="default"/>
        </w:rPr>
        <w:t> </w:t>
      </w:r>
    </w:p>
    <w:p>
      <w:pPr>
        <w:pStyle w:val="BodyText"/>
        <w:spacing w:line="240" w:lineRule="auto" w:before="117"/>
        <w:ind w:right="0"/>
        <w:jc w:val="left"/>
      </w:pPr>
      <w:r>
        <w:rPr/>
        <w:t>公司认为必要或证券监管机构要求披露的其他内容</w:t>
      </w:r>
    </w:p>
    <w:p>
      <w:pPr>
        <w:pStyle w:val="BodyText"/>
        <w:spacing w:line="240" w:lineRule="auto" w:before="118"/>
        <w:ind w:right="0"/>
        <w:jc w:val="left"/>
      </w:pPr>
      <w:r>
        <w:rPr/>
        <w:t>□ 适用 √</w:t>
      </w:r>
      <w:r>
        <w:rPr>
          <w:spacing w:val="3"/>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76"/>
        <w:ind w:left="0" w:right="1133"/>
        <w:jc w:val="right"/>
        <w:rPr>
          <w:rFonts w:ascii="Times New Roman" w:hAnsi="Times New Roman" w:cs="Times New Roman" w:eastAsia="Times New Roman" w:hint="default"/>
        </w:rPr>
      </w:pPr>
      <w:r>
        <w:rPr/>
        <w:pict>
          <v:shape style="position:absolute;margin-left:535.634705pt;margin-top:42.786865pt;width:59.493346pt;height:26.794713pt;mso-position-horizontal-relative:page;mso-position-vertical-relative:paragraph;z-index:1336" type="#_x0000_t75" stroked="false">
            <v:imagedata r:id="rId18" o:title=""/>
          </v:shape>
        </w:pict>
      </w:r>
      <w:r>
        <w:rPr>
          <w:rFonts w:ascii="Times New Roman"/>
        </w:rPr>
        <w:t>81</w:t>
      </w:r>
    </w:p>
    <w:p>
      <w:pPr>
        <w:spacing w:after="0" w:line="240" w:lineRule="auto"/>
        <w:jc w:val="right"/>
        <w:rPr>
          <w:rFonts w:ascii="Times New Roman" w:hAnsi="Times New Roman" w:cs="Times New Roman" w:eastAsia="Times New Roman" w:hint="default"/>
        </w:rPr>
        <w:sectPr>
          <w:headerReference w:type="default" r:id="rId46"/>
          <w:footerReference w:type="default" r:id="rId47"/>
          <w:pgSz w:w="11910" w:h="16840"/>
          <w:pgMar w:header="916" w:footer="0" w:top="1120" w:bottom="0" w:left="980" w:right="0"/>
        </w:sectPr>
      </w:pPr>
    </w:p>
    <w:p>
      <w:pPr>
        <w:spacing w:line="20" w:lineRule="exact"/>
        <w:ind w:left="10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Times New Roman" w:hAnsi="Times New Roman" w:cs="Times New Roman" w:eastAsia="Times New Roman" w:hint="default"/>
          <w:sz w:val="2"/>
          <w:szCs w:val="2"/>
        </w:rPr>
      </w:r>
    </w:p>
    <w:p>
      <w:pPr>
        <w:pStyle w:val="Heading4"/>
        <w:spacing w:line="240" w:lineRule="auto" w:before="35"/>
        <w:ind w:left="140"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140" w:right="0"/>
        <w:jc w:val="left"/>
      </w:pPr>
      <w:r>
        <w:rPr/>
        <w:t>√ 适用 □</w:t>
      </w:r>
      <w:r>
        <w:rPr>
          <w:spacing w:val="3"/>
        </w:rPr>
        <w:t> </w:t>
      </w:r>
      <w:r>
        <w:rPr/>
        <w:t>不适用</w:t>
      </w:r>
    </w:p>
    <w:p>
      <w:pPr>
        <w:pStyle w:val="BodyText"/>
        <w:spacing w:line="240" w:lineRule="auto" w:before="117"/>
        <w:ind w:left="0" w:right="357"/>
        <w:jc w:val="right"/>
      </w:pPr>
      <w:r>
        <w:rPr/>
        <w:t>单位：股</w:t>
      </w:r>
    </w:p>
    <w:p>
      <w:pPr>
        <w:spacing w:line="240" w:lineRule="auto" w:before="2"/>
        <w:rPr>
          <w:rFonts w:ascii="宋体" w:hAnsi="宋体" w:cs="宋体" w:eastAsia="宋体" w:hint="default"/>
          <w:sz w:val="8"/>
          <w:szCs w:val="8"/>
        </w:rPr>
      </w:pPr>
    </w:p>
    <w:tbl>
      <w:tblPr>
        <w:tblW w:w="0" w:type="auto"/>
        <w:jc w:val="left"/>
        <w:tblInd w:w="247" w:type="dxa"/>
        <w:tblLayout w:type="fixed"/>
        <w:tblCellMar>
          <w:top w:w="0" w:type="dxa"/>
          <w:left w:w="0" w:type="dxa"/>
          <w:bottom w:w="0" w:type="dxa"/>
          <w:right w:w="0" w:type="dxa"/>
        </w:tblCellMar>
        <w:tblLook w:val="01E0"/>
      </w:tblPr>
      <w:tblGrid>
        <w:gridCol w:w="2014"/>
        <w:gridCol w:w="1418"/>
        <w:gridCol w:w="992"/>
        <w:gridCol w:w="994"/>
        <w:gridCol w:w="1416"/>
        <w:gridCol w:w="2554"/>
        <w:gridCol w:w="4697"/>
      </w:tblGrid>
      <w:tr>
        <w:trPr>
          <w:trHeight w:val="715" w:hRule="exact"/>
        </w:trPr>
        <w:tc>
          <w:tcPr>
            <w:tcW w:w="2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130"/>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1" w:right="131"/>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4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程艳云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8,527,926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8,527,926</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非公开发行限售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8,527,926 </w:t>
            </w:r>
            <w:r>
              <w:rPr>
                <w:rFonts w:ascii="宋体" w:hAnsi="宋体" w:cs="宋体" w:eastAsia="宋体" w:hint="default"/>
                <w:sz w:val="18"/>
                <w:szCs w:val="18"/>
              </w:rPr>
              <w:t>股</w:t>
            </w:r>
          </w:p>
        </w:tc>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限售期已满，尚未解限</w:t>
            </w:r>
          </w:p>
        </w:tc>
      </w:tr>
      <w:tr>
        <w:trPr>
          <w:trHeight w:val="403"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7,735,638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7,735,638</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非公开发行限售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7,735,638 </w:t>
            </w:r>
            <w:r>
              <w:rPr>
                <w:rFonts w:ascii="宋体" w:hAnsi="宋体" w:cs="宋体" w:eastAsia="宋体" w:hint="default"/>
                <w:sz w:val="18"/>
                <w:szCs w:val="18"/>
              </w:rPr>
              <w:t>股</w:t>
            </w:r>
          </w:p>
        </w:tc>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限售期已满，尚未解限</w:t>
            </w:r>
          </w:p>
        </w:tc>
      </w:tr>
      <w:tr>
        <w:trPr>
          <w:trHeight w:val="713"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79"/>
              <w:jc w:val="left"/>
              <w:rPr>
                <w:rFonts w:ascii="宋体" w:hAnsi="宋体" w:cs="宋体" w:eastAsia="宋体" w:hint="default"/>
                <w:sz w:val="18"/>
                <w:szCs w:val="18"/>
              </w:rPr>
            </w:pPr>
            <w:r>
              <w:rPr>
                <w:rFonts w:ascii="宋体" w:hAnsi="宋体" w:cs="宋体" w:eastAsia="宋体" w:hint="default"/>
                <w:sz w:val="18"/>
                <w:szCs w:val="18"/>
              </w:rPr>
              <w:t>南京博飞信投资管理 有限公司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2,808,225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2,808,225</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非公开发行限售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2,808,225 </w:t>
            </w:r>
            <w:r>
              <w:rPr>
                <w:rFonts w:ascii="宋体" w:hAnsi="宋体" w:cs="宋体" w:eastAsia="宋体" w:hint="default"/>
                <w:sz w:val="18"/>
                <w:szCs w:val="18"/>
              </w:rPr>
              <w:t>股</w:t>
            </w:r>
          </w:p>
        </w:tc>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限售期已满，尚未解限</w:t>
            </w:r>
          </w:p>
        </w:tc>
      </w:tr>
      <w:tr>
        <w:trPr>
          <w:trHeight w:val="715"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79"/>
              <w:jc w:val="left"/>
              <w:rPr>
                <w:rFonts w:ascii="宋体" w:hAnsi="宋体" w:cs="宋体" w:eastAsia="宋体" w:hint="default"/>
                <w:sz w:val="18"/>
                <w:szCs w:val="18"/>
              </w:rPr>
            </w:pPr>
            <w:r>
              <w:rPr>
                <w:rFonts w:ascii="宋体" w:hAnsi="宋体" w:cs="宋体" w:eastAsia="宋体" w:hint="default"/>
                <w:sz w:val="18"/>
                <w:szCs w:val="18"/>
              </w:rPr>
              <w:t>南京明通投资管理中 心（有限合伙）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838,887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838,887</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非公开发行限售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838,887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限售期已满，尚未解限</w:t>
            </w:r>
          </w:p>
        </w:tc>
      </w:tr>
      <w:tr>
        <w:trPr>
          <w:trHeight w:val="40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陈大龙</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716,097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716,097</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非公开发行限售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716,097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限售期已满，尚未解限</w:t>
            </w:r>
          </w:p>
        </w:tc>
      </w:tr>
      <w:tr>
        <w:trPr>
          <w:trHeight w:val="403"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李晶</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715,698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715,698</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非公开发行限售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715,698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限售期已满，尚未解限</w:t>
            </w:r>
          </w:p>
        </w:tc>
      </w:tr>
      <w:tr>
        <w:trPr>
          <w:trHeight w:val="40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吴秀兰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705,251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705,251</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非公开发行限售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705,251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限售期已满，尚未解限</w:t>
            </w:r>
          </w:p>
        </w:tc>
      </w:tr>
      <w:tr>
        <w:trPr>
          <w:trHeight w:val="403"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常杰</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2"/>
                <w:sz w:val="18"/>
              </w:rPr>
              <w:t>119,349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119,349</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非公开发行限售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119,349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限售期已满，尚未解限</w:t>
            </w:r>
          </w:p>
        </w:tc>
      </w:tr>
      <w:tr>
        <w:trPr>
          <w:trHeight w:val="40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王计斌</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105,308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105,308</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非公开发行限售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105,308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限售期已满，尚未解限</w:t>
            </w:r>
          </w:p>
        </w:tc>
      </w:tr>
      <w:tr>
        <w:trPr>
          <w:trHeight w:val="404"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施伟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63,185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63,185</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非公开发行限售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63,185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限售期已满，尚未解限</w:t>
            </w:r>
          </w:p>
        </w:tc>
      </w:tr>
      <w:tr>
        <w:trPr>
          <w:trHeight w:val="1025"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6,131,278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6,131,278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张丹丹女士于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日离任，不再担任公司高</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级副总裁职务，其持有的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6,131,278 </w:t>
            </w:r>
            <w:r>
              <w:rPr>
                <w:rFonts w:ascii="宋体" w:hAnsi="宋体" w:cs="宋体" w:eastAsia="宋体" w:hint="default"/>
                <w:sz w:val="18"/>
                <w:szCs w:val="18"/>
              </w:rPr>
              <w:t>股高管锁定股自离任</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之日起锁定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个月后全部解除锁定。</w:t>
            </w:r>
          </w:p>
        </w:tc>
      </w:tr>
    </w:tbl>
    <w:p>
      <w:pPr>
        <w:spacing w:after="0" w:line="240" w:lineRule="auto"/>
        <w:jc w:val="left"/>
        <w:rPr>
          <w:rFonts w:ascii="宋体" w:hAnsi="宋体" w:cs="宋体" w:eastAsia="宋体" w:hint="default"/>
          <w:sz w:val="18"/>
          <w:szCs w:val="18"/>
        </w:rPr>
        <w:sectPr>
          <w:headerReference w:type="default" r:id="rId48"/>
          <w:footerReference w:type="default" r:id="rId49"/>
          <w:pgSz w:w="16840" w:h="11910" w:orient="landscape"/>
          <w:pgMar w:header="906" w:footer="1260" w:top="1100" w:bottom="1460" w:left="1300" w:right="1080"/>
          <w:pgNumType w:start="82"/>
        </w:sect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701.4pt;height:.5pt;mso-position-horizontal-relative:char;mso-position-vertical-relative:line" coordorigin="0,0" coordsize="14028,10">
            <v:group style="position:absolute;left:5;top:5;width:14018;height:2" coordorigin="5,5" coordsize="14018,2">
              <v:shape style="position:absolute;left:5;top:5;width:14018;height:2" coordorigin="5,5" coordsize="14018,0" path="m5,5l14023,5e" filled="false" stroked="true" strokeweight=".48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sz w:val="3"/>
          <w:szCs w:val="3"/>
        </w:rPr>
      </w:pPr>
    </w:p>
    <w:tbl>
      <w:tblPr>
        <w:tblW w:w="0" w:type="auto"/>
        <w:jc w:val="left"/>
        <w:tblInd w:w="247" w:type="dxa"/>
        <w:tblLayout w:type="fixed"/>
        <w:tblCellMar>
          <w:top w:w="0" w:type="dxa"/>
          <w:left w:w="0" w:type="dxa"/>
          <w:bottom w:w="0" w:type="dxa"/>
          <w:right w:w="0" w:type="dxa"/>
        </w:tblCellMar>
        <w:tblLook w:val="01E0"/>
      </w:tblPr>
      <w:tblGrid>
        <w:gridCol w:w="2014"/>
        <w:gridCol w:w="1418"/>
        <w:gridCol w:w="992"/>
        <w:gridCol w:w="994"/>
        <w:gridCol w:w="1416"/>
        <w:gridCol w:w="2554"/>
        <w:gridCol w:w="4697"/>
      </w:tblGrid>
      <w:tr>
        <w:trPr>
          <w:trHeight w:val="1651"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年股权激励之限</w:t>
            </w:r>
          </w:p>
          <w:p>
            <w:pPr>
              <w:pStyle w:val="TableParagraph"/>
              <w:spacing w:line="300" w:lineRule="auto" w:before="60"/>
              <w:ind w:left="103" w:right="185"/>
              <w:jc w:val="left"/>
              <w:rPr>
                <w:rFonts w:ascii="宋体" w:hAnsi="宋体" w:cs="宋体" w:eastAsia="宋体" w:hint="default"/>
                <w:sz w:val="18"/>
                <w:szCs w:val="18"/>
              </w:rPr>
            </w:pPr>
            <w:r>
              <w:rPr>
                <w:rFonts w:ascii="宋体" w:hAnsi="宋体" w:cs="宋体" w:eastAsia="宋体" w:hint="default"/>
                <w:sz w:val="18"/>
                <w:szCs w:val="18"/>
              </w:rPr>
              <w:t>制性股票激励</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名对 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6,950,000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8"/>
              <w:ind w:left="103" w:right="23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年股票期权与限制性股 票激励计划，新增股权激励 限售股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695 </w:t>
            </w:r>
            <w:r>
              <w:rPr>
                <w:rFonts w:ascii="宋体" w:hAnsi="宋体" w:cs="宋体" w:eastAsia="宋体" w:hint="default"/>
                <w:sz w:val="18"/>
                <w:szCs w:val="18"/>
              </w:rPr>
              <w:t>万股。</w:t>
            </w:r>
          </w:p>
        </w:tc>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0" w:right="173"/>
              <w:jc w:val="left"/>
              <w:rPr>
                <w:rFonts w:ascii="宋体" w:hAnsi="宋体" w:cs="宋体" w:eastAsia="宋体" w:hint="default"/>
                <w:sz w:val="18"/>
                <w:szCs w:val="18"/>
              </w:rPr>
            </w:pPr>
            <w:r>
              <w:rPr>
                <w:rFonts w:ascii="宋体" w:hAnsi="宋体" w:cs="宋体" w:eastAsia="宋体" w:hint="default"/>
                <w:sz w:val="18"/>
                <w:szCs w:val="18"/>
              </w:rPr>
              <w:t>参照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年股权激励计划管理，解除限售后涉及的高管 锁定股按《深圳证券交易所上市公司董事、监事和高级 管理人员所持本公司股份及其变动管理业务指引》、</w:t>
            </w:r>
          </w:p>
          <w:p>
            <w:pPr>
              <w:pStyle w:val="TableParagraph"/>
              <w:spacing w:line="316" w:lineRule="auto" w:before="26"/>
              <w:ind w:left="100" w:right="266"/>
              <w:jc w:val="left"/>
              <w:rPr>
                <w:rFonts w:ascii="宋体" w:hAnsi="宋体" w:cs="宋体" w:eastAsia="宋体" w:hint="default"/>
                <w:sz w:val="18"/>
                <w:szCs w:val="18"/>
              </w:rPr>
            </w:pPr>
            <w:r>
              <w:rPr>
                <w:rFonts w:ascii="宋体" w:hAnsi="宋体" w:cs="宋体" w:eastAsia="宋体" w:hint="default"/>
                <w:sz w:val="18"/>
                <w:szCs w:val="18"/>
              </w:rPr>
              <w:t>《深交所上市公司股东及董事、监事、高级管理人员减 持股份实施细则》执行。</w:t>
            </w:r>
          </w:p>
        </w:tc>
      </w:tr>
      <w:tr>
        <w:trPr>
          <w:trHeight w:val="2626" w:hRule="exact"/>
        </w:trPr>
        <w:tc>
          <w:tcPr>
            <w:tcW w:w="2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其他高管锁定股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50,100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39,300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10,800</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46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0" w:right="266"/>
              <w:jc w:val="both"/>
              <w:rPr>
                <w:rFonts w:ascii="宋体" w:hAnsi="宋体" w:cs="宋体" w:eastAsia="宋体" w:hint="default"/>
                <w:sz w:val="18"/>
                <w:szCs w:val="18"/>
              </w:rPr>
            </w:pPr>
            <w:r>
              <w:rPr>
                <w:rFonts w:ascii="宋体" w:hAnsi="宋体" w:cs="宋体" w:eastAsia="宋体" w:hint="default"/>
                <w:sz w:val="18"/>
                <w:szCs w:val="18"/>
              </w:rPr>
              <w:t>按《深圳证券交易所上市公司董事、监事和高级管理人 员所持本公司股份及其变动管理业务指引》、《深交所 上市公司股东及董事、监事、高级管理人员减持股份实 施细则》执行。</w:t>
            </w:r>
          </w:p>
          <w:p>
            <w:pPr>
              <w:pStyle w:val="TableParagraph"/>
              <w:spacing w:line="240" w:lineRule="auto" w:before="55"/>
              <w:ind w:left="100" w:right="0"/>
              <w:jc w:val="both"/>
              <w:rPr>
                <w:rFonts w:ascii="宋体" w:hAnsi="宋体" w:cs="宋体" w:eastAsia="宋体" w:hint="default"/>
                <w:sz w:val="18"/>
                <w:szCs w:val="18"/>
              </w:rPr>
            </w:pPr>
            <w:r>
              <w:rPr>
                <w:rFonts w:ascii="宋体" w:hAnsi="宋体" w:cs="宋体" w:eastAsia="宋体" w:hint="default"/>
                <w:sz w:val="18"/>
                <w:szCs w:val="18"/>
              </w:rPr>
              <w:t>王德伟先生于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日离任，不再担任公司公司</w:t>
            </w:r>
          </w:p>
          <w:p>
            <w:pPr>
              <w:pStyle w:val="TableParagraph"/>
              <w:spacing w:line="240" w:lineRule="auto" w:before="63"/>
              <w:ind w:left="100" w:right="0"/>
              <w:jc w:val="both"/>
              <w:rPr>
                <w:rFonts w:ascii="宋体" w:hAnsi="宋体" w:cs="宋体" w:eastAsia="宋体" w:hint="default"/>
                <w:sz w:val="18"/>
                <w:szCs w:val="18"/>
              </w:rPr>
            </w:pPr>
            <w:r>
              <w:rPr>
                <w:rFonts w:ascii="宋体" w:hAnsi="宋体" w:cs="宋体" w:eastAsia="宋体" w:hint="default"/>
                <w:sz w:val="18"/>
                <w:szCs w:val="18"/>
              </w:rPr>
              <w:t>副总裁职务，其持有的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39,300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股高管锁定股自其原任期</w:t>
            </w:r>
          </w:p>
          <w:p>
            <w:pPr>
              <w:pStyle w:val="TableParagraph"/>
              <w:spacing w:line="300" w:lineRule="auto" w:before="63"/>
              <w:ind w:left="100" w:right="252"/>
              <w:jc w:val="both"/>
              <w:rPr>
                <w:rFonts w:ascii="宋体" w:hAnsi="宋体" w:cs="宋体" w:eastAsia="宋体" w:hint="default"/>
                <w:sz w:val="18"/>
                <w:szCs w:val="18"/>
              </w:rPr>
            </w:pPr>
            <w:r>
              <w:rPr>
                <w:rFonts w:ascii="宋体" w:hAnsi="宋体" w:cs="宋体" w:eastAsia="宋体" w:hint="default"/>
                <w:sz w:val="18"/>
                <w:szCs w:val="18"/>
              </w:rPr>
              <w:t>终止之日（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日）起锁定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个月后全部解除 锁定。</w:t>
            </w:r>
          </w:p>
        </w:tc>
      </w:tr>
      <w:tr>
        <w:trPr>
          <w:trHeight w:val="404" w:hRule="exact"/>
        </w:trPr>
        <w:tc>
          <w:tcPr>
            <w:tcW w:w="2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28,516,942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6,950,000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6,170,578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29,296,364</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4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left="140" w:right="0"/>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40"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40"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247" w:type="dxa"/>
        <w:tblLayout w:type="fixed"/>
        <w:tblCellMar>
          <w:top w:w="0" w:type="dxa"/>
          <w:left w:w="0" w:type="dxa"/>
          <w:bottom w:w="0" w:type="dxa"/>
          <w:right w:w="0" w:type="dxa"/>
        </w:tblCellMar>
        <w:tblLook w:val="01E0"/>
      </w:tblPr>
      <w:tblGrid>
        <w:gridCol w:w="2559"/>
        <w:gridCol w:w="1753"/>
        <w:gridCol w:w="1800"/>
        <w:gridCol w:w="1575"/>
        <w:gridCol w:w="2594"/>
        <w:gridCol w:w="1697"/>
        <w:gridCol w:w="2083"/>
      </w:tblGrid>
      <w:tr>
        <w:trPr>
          <w:trHeight w:val="714"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股票及其衍生证券名称</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15" w:right="264"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23"/>
              <w:jc w:val="righ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2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1406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2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6.345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1" w:right="0"/>
              <w:jc w:val="left"/>
              <w:rPr>
                <w:rFonts w:ascii="Times New Roman" w:hAnsi="Times New Roman" w:cs="Times New Roman" w:eastAsia="Times New Roman" w:hint="default"/>
                <w:sz w:val="18"/>
                <w:szCs w:val="18"/>
              </w:rPr>
            </w:pPr>
            <w:r>
              <w:rPr>
                <w:rFonts w:ascii="Times New Roman"/>
                <w:sz w:val="18"/>
              </w:rPr>
              <w:t>6,950,000</w:t>
            </w:r>
          </w:p>
        </w:tc>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6,950,000</w:t>
            </w:r>
          </w:p>
        </w:tc>
        <w:tc>
          <w:tcPr>
            <w:tcW w:w="208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140" w:right="0"/>
        <w:jc w:val="left"/>
      </w:pPr>
      <w:r>
        <w:rPr/>
        <w:t>报告期内证券发行（不含优先股）情况的说明</w:t>
      </w:r>
    </w:p>
    <w:p>
      <w:pPr>
        <w:pStyle w:val="BodyText"/>
        <w:spacing w:line="240" w:lineRule="auto" w:before="115"/>
        <w:ind w:left="500" w:right="0"/>
        <w:jc w:val="left"/>
        <w:rPr>
          <w:rFonts w:ascii="宋体" w:hAnsi="宋体" w:cs="宋体" w:eastAsia="宋体" w:hint="default"/>
        </w:rPr>
      </w:pPr>
      <w:r>
        <w:rPr/>
        <w:t>详见“第五节</w:t>
      </w:r>
      <w:r>
        <w:rPr>
          <w:spacing w:val="1"/>
        </w:rPr>
        <w:t> </w:t>
      </w:r>
      <w:r>
        <w:rPr>
          <w:rFonts w:ascii="宋体" w:hAnsi="宋体" w:cs="宋体" w:eastAsia="宋体" w:hint="default"/>
          <w:spacing w:val="1"/>
        </w:rPr>
      </w:r>
      <w:r>
        <w:rPr/>
        <w:t>重要事项”的“十五、公司股权激励计划、员工持股计划或其他员工激励措施的实施情况”。</w:t>
      </w:r>
      <w:r>
        <w:rPr>
          <w:rFonts w:ascii="宋体" w:hAnsi="宋体" w:cs="宋体" w:eastAsia="宋体" w:hint="default"/>
        </w:rPr>
        <w:t> </w:t>
      </w:r>
    </w:p>
    <w:p>
      <w:pPr>
        <w:pStyle w:val="BodyText"/>
        <w:spacing w:line="240" w:lineRule="auto" w:before="77"/>
        <w:ind w:left="140" w:right="0"/>
        <w:jc w:val="left"/>
        <w:rPr>
          <w:rFonts w:ascii="宋体" w:hAnsi="宋体" w:cs="宋体" w:eastAsia="宋体" w:hint="default"/>
        </w:rPr>
      </w:pPr>
      <w:r>
        <w:rPr>
          <w:rFonts w:ascii="宋体"/>
        </w:rPr>
        <w:t> </w:t>
      </w:r>
    </w:p>
    <w:p>
      <w:pPr>
        <w:spacing w:after="0" w:line="240" w:lineRule="auto"/>
        <w:jc w:val="left"/>
        <w:rPr>
          <w:rFonts w:ascii="宋体" w:hAnsi="宋体" w:cs="宋体" w:eastAsia="宋体" w:hint="default"/>
        </w:rPr>
        <w:sectPr>
          <w:pgSz w:w="16840" w:h="11910" w:orient="landscape"/>
          <w:pgMar w:header="906" w:footer="1260" w:top="1100" w:bottom="1460" w:left="1300" w:right="1080"/>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headerReference w:type="default" r:id="rId50"/>
          <w:footerReference w:type="default" r:id="rId51"/>
          <w:pgSz w:w="11910" w:h="16840"/>
          <w:pgMar w:header="916" w:footer="1261" w:top="1120" w:bottom="1460" w:left="980" w:right="0"/>
          <w:pgNumType w:start="84"/>
        </w:sectPr>
      </w:pPr>
    </w:p>
    <w:p>
      <w:pPr>
        <w:pStyle w:val="BodyText"/>
        <w:spacing w:line="240" w:lineRule="auto" w:before="44"/>
        <w:ind w:right="0"/>
        <w:jc w:val="left"/>
      </w:pPr>
      <w:r>
        <w:rPr/>
        <w:t>√ 适用 □</w:t>
      </w:r>
      <w:r>
        <w:rPr>
          <w:spacing w:val="3"/>
        </w:rPr>
        <w:t> </w:t>
      </w:r>
      <w:r>
        <w:rPr/>
        <w:t>不适用</w:t>
      </w:r>
    </w:p>
    <w:p>
      <w:pPr>
        <w:pStyle w:val="BodyText"/>
        <w:spacing w:line="240" w:lineRule="auto" w:before="115"/>
        <w:ind w:right="0"/>
        <w:jc w:val="left"/>
        <w:rPr>
          <w:rFonts w:ascii="宋体" w:hAnsi="宋体" w:cs="宋体" w:eastAsia="宋体" w:hint="default"/>
        </w:rPr>
      </w:pPr>
      <w:r>
        <w:rPr/>
        <w:t>（</w:t>
      </w:r>
      <w:r>
        <w:rPr>
          <w:rFonts w:ascii="Times New Roman" w:hAnsi="Times New Roman" w:cs="Times New Roman" w:eastAsia="Times New Roman" w:hint="default"/>
        </w:rPr>
        <w:t>1</w:t>
      </w:r>
      <w:r>
        <w:rPr/>
        <w:t>）股东结构变动情况</w:t>
      </w:r>
      <w:r>
        <w:rPr>
          <w:rFonts w:ascii="宋体" w:hAnsi="宋体" w:cs="宋体" w:eastAsia="宋体" w:hint="default"/>
        </w:rPr>
        <w:t> </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ind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00" w:bottom="1460" w:left="980" w:right="0"/>
          <w:cols w:num="2" w:equalWidth="0">
            <w:col w:w="2135" w:space="6785"/>
            <w:col w:w="2010"/>
          </w:cols>
        </w:sectPr>
      </w:pPr>
    </w:p>
    <w:p>
      <w:pPr>
        <w:spacing w:line="240" w:lineRule="auto" w:before="1"/>
        <w:rPr>
          <w:rFonts w:ascii="宋体" w:hAnsi="宋体" w:cs="宋体" w:eastAsia="宋体" w:hint="default"/>
          <w:sz w:val="29"/>
          <w:szCs w:val="29"/>
        </w:rPr>
      </w:pPr>
    </w:p>
    <w:tbl>
      <w:tblPr>
        <w:tblW w:w="0" w:type="auto"/>
        <w:jc w:val="left"/>
        <w:tblInd w:w="180" w:type="dxa"/>
        <w:tblLayout w:type="fixed"/>
        <w:tblCellMar>
          <w:top w:w="0" w:type="dxa"/>
          <w:left w:w="0" w:type="dxa"/>
          <w:bottom w:w="0" w:type="dxa"/>
          <w:right w:w="0" w:type="dxa"/>
        </w:tblCellMar>
        <w:tblLook w:val="01E0"/>
      </w:tblPr>
      <w:tblGrid>
        <w:gridCol w:w="2311"/>
        <w:gridCol w:w="1454"/>
        <w:gridCol w:w="1584"/>
        <w:gridCol w:w="1397"/>
        <w:gridCol w:w="1728"/>
        <w:gridCol w:w="1167"/>
      </w:tblGrid>
      <w:tr>
        <w:trPr>
          <w:trHeight w:val="487" w:hRule="exact"/>
        </w:trPr>
        <w:tc>
          <w:tcPr>
            <w:tcW w:w="231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788" w:right="0"/>
              <w:jc w:val="left"/>
              <w:rPr>
                <w:rFonts w:ascii="宋体" w:hAnsi="宋体" w:cs="宋体" w:eastAsia="宋体" w:hint="default"/>
                <w:sz w:val="18"/>
                <w:szCs w:val="18"/>
              </w:rPr>
            </w:pPr>
            <w:r>
              <w:rPr>
                <w:rFonts w:ascii="宋体" w:hAnsi="宋体" w:cs="宋体" w:eastAsia="宋体" w:hint="default"/>
                <w:sz w:val="18"/>
                <w:szCs w:val="18"/>
              </w:rPr>
              <w:t>股份类型</w:t>
            </w:r>
            <w:r>
              <w:rPr>
                <w:rFonts w:ascii="宋体" w:hAnsi="宋体" w:cs="宋体" w:eastAsia="宋体" w:hint="default"/>
                <w:sz w:val="18"/>
                <w:szCs w:val="18"/>
              </w:rPr>
              <w:t> </w:t>
            </w:r>
          </w:p>
        </w:tc>
        <w:tc>
          <w:tcPr>
            <w:tcW w:w="3039"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87" w:right="0"/>
              <w:jc w:val="center"/>
              <w:rPr>
                <w:rFonts w:ascii="宋体" w:hAnsi="宋体" w:cs="宋体" w:eastAsia="宋体" w:hint="default"/>
                <w:sz w:val="18"/>
                <w:szCs w:val="18"/>
              </w:rPr>
            </w:pPr>
            <w:r>
              <w:rPr>
                <w:rFonts w:ascii="宋体" w:hAnsi="宋体" w:cs="宋体" w:eastAsia="宋体" w:hint="default"/>
                <w:sz w:val="18"/>
                <w:szCs w:val="18"/>
              </w:rPr>
              <w:t>变动前</w:t>
            </w:r>
            <w:r>
              <w:rPr>
                <w:rFonts w:ascii="宋体" w:hAnsi="宋体" w:cs="宋体" w:eastAsia="宋体" w:hint="default"/>
                <w:sz w:val="18"/>
                <w:szCs w:val="18"/>
              </w:rPr>
              <w:t> </w:t>
            </w:r>
          </w:p>
        </w:tc>
        <w:tc>
          <w:tcPr>
            <w:tcW w:w="139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本次变动数</w:t>
            </w:r>
            <w:r>
              <w:rPr>
                <w:rFonts w:ascii="宋体" w:hAnsi="宋体" w:cs="宋体" w:eastAsia="宋体" w:hint="default"/>
                <w:sz w:val="18"/>
                <w:szCs w:val="18"/>
              </w:rPr>
              <w:t> </w:t>
            </w:r>
          </w:p>
        </w:tc>
        <w:tc>
          <w:tcPr>
            <w:tcW w:w="289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变动后</w:t>
            </w:r>
            <w:r>
              <w:rPr>
                <w:rFonts w:ascii="宋体" w:hAnsi="宋体" w:cs="宋体" w:eastAsia="宋体" w:hint="default"/>
                <w:sz w:val="18"/>
                <w:szCs w:val="18"/>
              </w:rPr>
              <w:t> </w:t>
            </w:r>
          </w:p>
        </w:tc>
      </w:tr>
      <w:tr>
        <w:trPr>
          <w:trHeight w:val="492" w:hRule="exact"/>
        </w:trPr>
        <w:tc>
          <w:tcPr>
            <w:tcW w:w="2311" w:type="dxa"/>
            <w:vMerge/>
            <w:tcBorders>
              <w:left w:val="single" w:sz="6" w:space="0" w:color="000000"/>
              <w:bottom w:val="single" w:sz="6" w:space="0" w:color="000000"/>
              <w:right w:val="single" w:sz="6" w:space="0" w:color="000000"/>
            </w:tcBorders>
            <w:shd w:val="clear" w:color="auto" w:fill="D9D9D9"/>
          </w:tcPr>
          <w:p>
            <w:pPr/>
          </w:p>
        </w:tc>
        <w:tc>
          <w:tcPr>
            <w:tcW w:w="145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2"/>
              <w:ind w:left="537" w:right="0"/>
              <w:jc w:val="left"/>
              <w:rPr>
                <w:rFonts w:ascii="宋体" w:hAnsi="宋体" w:cs="宋体" w:eastAsia="宋体" w:hint="default"/>
                <w:sz w:val="18"/>
                <w:szCs w:val="18"/>
              </w:rPr>
            </w:pPr>
            <w:r>
              <w:rPr>
                <w:rFonts w:ascii="宋体" w:hAnsi="宋体" w:cs="宋体" w:eastAsia="宋体" w:hint="default"/>
                <w:sz w:val="18"/>
                <w:szCs w:val="18"/>
              </w:rPr>
              <w:t>股数</w:t>
            </w:r>
            <w:r>
              <w:rPr>
                <w:rFonts w:ascii="宋体" w:hAnsi="宋体" w:cs="宋体" w:eastAsia="宋体" w:hint="default"/>
                <w:sz w:val="18"/>
                <w:szCs w:val="18"/>
              </w:rPr>
              <w:t> </w:t>
            </w:r>
          </w:p>
        </w:tc>
        <w:tc>
          <w:tcPr>
            <w:tcW w:w="15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2"/>
              <w:ind w:left="60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397" w:type="dxa"/>
            <w:vMerge/>
            <w:tcBorders>
              <w:left w:val="single" w:sz="6" w:space="0" w:color="000000"/>
              <w:bottom w:val="single" w:sz="6" w:space="0" w:color="000000"/>
              <w:right w:val="single" w:sz="6" w:space="0" w:color="000000"/>
            </w:tcBorders>
            <w:shd w:val="clear" w:color="auto" w:fill="D9D9D9"/>
          </w:tcPr>
          <w:p>
            <w:pPr/>
          </w:p>
        </w:tc>
        <w:tc>
          <w:tcPr>
            <w:tcW w:w="17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2"/>
              <w:ind w:left="94" w:right="0"/>
              <w:jc w:val="center"/>
              <w:rPr>
                <w:rFonts w:ascii="宋体" w:hAnsi="宋体" w:cs="宋体" w:eastAsia="宋体" w:hint="default"/>
                <w:sz w:val="18"/>
                <w:szCs w:val="18"/>
              </w:rPr>
            </w:pPr>
            <w:r>
              <w:rPr>
                <w:rFonts w:ascii="宋体" w:hAnsi="宋体" w:cs="宋体" w:eastAsia="宋体" w:hint="default"/>
                <w:sz w:val="18"/>
                <w:szCs w:val="18"/>
              </w:rPr>
              <w:t>股数</w:t>
            </w:r>
            <w:r>
              <w:rPr>
                <w:rFonts w:ascii="宋体" w:hAnsi="宋体" w:cs="宋体" w:eastAsia="宋体" w:hint="default"/>
                <w:sz w:val="18"/>
                <w:szCs w:val="18"/>
              </w:rPr>
              <w:t> </w:t>
            </w:r>
          </w:p>
        </w:tc>
        <w:tc>
          <w:tcPr>
            <w:tcW w:w="11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2"/>
              <w:ind w:left="396"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r>
      <w:tr>
        <w:trPr>
          <w:trHeight w:val="487" w:hRule="exact"/>
        </w:trPr>
        <w:tc>
          <w:tcPr>
            <w:tcW w:w="23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3" w:right="0"/>
              <w:jc w:val="left"/>
              <w:rPr>
                <w:rFonts w:ascii="宋体" w:hAnsi="宋体" w:cs="宋体" w:eastAsia="宋体" w:hint="default"/>
                <w:sz w:val="18"/>
                <w:szCs w:val="18"/>
              </w:rPr>
            </w:pPr>
            <w:r>
              <w:rPr>
                <w:rFonts w:ascii="宋体" w:hAnsi="宋体" w:cs="宋体" w:eastAsia="宋体" w:hint="default"/>
                <w:sz w:val="18"/>
                <w:szCs w:val="18"/>
              </w:rPr>
              <w:t>一、有限售条件的流通股</w:t>
            </w:r>
            <w:r>
              <w:rPr>
                <w:rFonts w:ascii="宋体" w:hAnsi="宋体" w:cs="宋体" w:eastAsia="宋体" w:hint="default"/>
                <w:sz w:val="18"/>
                <w:szCs w:val="18"/>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28,516,942</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2.96%</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1"/>
              <w:jc w:val="right"/>
              <w:rPr>
                <w:rFonts w:ascii="宋体" w:hAnsi="宋体" w:cs="宋体" w:eastAsia="宋体" w:hint="default"/>
                <w:sz w:val="18"/>
                <w:szCs w:val="18"/>
              </w:rPr>
            </w:pPr>
            <w:r>
              <w:rPr>
                <w:rFonts w:ascii="宋体"/>
                <w:spacing w:val="-1"/>
                <w:sz w:val="18"/>
              </w:rPr>
              <w:t>779</w:t>
            </w:r>
            <w:r>
              <w:rPr>
                <w:rFonts w:ascii="Times New Roman"/>
                <w:spacing w:val="-1"/>
                <w:sz w:val="18"/>
              </w:rPr>
              <w:t>,</w:t>
            </w:r>
            <w:r>
              <w:rPr>
                <w:rFonts w:ascii="宋体"/>
                <w:spacing w:val="-1"/>
                <w:sz w:val="18"/>
              </w:rPr>
              <w:t>422</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29,296,364</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3.02%</w:t>
            </w:r>
          </w:p>
        </w:tc>
      </w:tr>
      <w:tr>
        <w:trPr>
          <w:trHeight w:val="490" w:hRule="exact"/>
        </w:trPr>
        <w:tc>
          <w:tcPr>
            <w:tcW w:w="23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3" w:right="0"/>
              <w:jc w:val="left"/>
              <w:rPr>
                <w:rFonts w:ascii="宋体" w:hAnsi="宋体" w:cs="宋体" w:eastAsia="宋体" w:hint="default"/>
                <w:sz w:val="18"/>
                <w:szCs w:val="18"/>
              </w:rPr>
            </w:pPr>
            <w:r>
              <w:rPr>
                <w:rFonts w:ascii="宋体" w:hAnsi="宋体" w:cs="宋体" w:eastAsia="宋体" w:hint="default"/>
                <w:sz w:val="18"/>
                <w:szCs w:val="18"/>
              </w:rPr>
              <w:t>二、无限售条件的流通股</w:t>
            </w:r>
            <w:r>
              <w:rPr>
                <w:rFonts w:ascii="宋体" w:hAnsi="宋体" w:cs="宋体" w:eastAsia="宋体" w:hint="default"/>
                <w:sz w:val="18"/>
                <w:szCs w:val="18"/>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934,914,331</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97.04%</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6,170,578</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941,084,909</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96.98%</w:t>
            </w:r>
          </w:p>
        </w:tc>
      </w:tr>
      <w:tr>
        <w:trPr>
          <w:trHeight w:val="490" w:hRule="exact"/>
        </w:trPr>
        <w:tc>
          <w:tcPr>
            <w:tcW w:w="23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3" w:right="0"/>
              <w:jc w:val="left"/>
              <w:rPr>
                <w:rFonts w:ascii="宋体" w:hAnsi="宋体" w:cs="宋体" w:eastAsia="宋体" w:hint="default"/>
                <w:sz w:val="18"/>
                <w:szCs w:val="18"/>
              </w:rPr>
            </w:pPr>
            <w:r>
              <w:rPr>
                <w:rFonts w:ascii="宋体" w:hAnsi="宋体" w:cs="宋体" w:eastAsia="宋体" w:hint="default"/>
                <w:sz w:val="18"/>
                <w:szCs w:val="18"/>
              </w:rPr>
              <w:t>三、股份总数</w:t>
            </w:r>
            <w:r>
              <w:rPr>
                <w:rFonts w:ascii="宋体" w:hAnsi="宋体" w:cs="宋体" w:eastAsia="宋体" w:hint="default"/>
                <w:sz w:val="18"/>
                <w:szCs w:val="18"/>
              </w:rPr>
              <w:t> </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963,431,273</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100%</w:t>
            </w:r>
          </w:p>
        </w:tc>
        <w:tc>
          <w:tcPr>
            <w:tcW w:w="1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6,950,000</w:t>
            </w:r>
          </w:p>
        </w:tc>
        <w:tc>
          <w:tcPr>
            <w:tcW w:w="17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970,381,273</w:t>
            </w:r>
          </w:p>
        </w:tc>
        <w:tc>
          <w:tcPr>
            <w:tcW w:w="11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0"/>
        <w:jc w:val="left"/>
        <w:rPr>
          <w:rFonts w:ascii="宋体" w:hAnsi="宋体" w:cs="宋体" w:eastAsia="宋体" w:hint="default"/>
        </w:rPr>
      </w:pPr>
      <w:r>
        <w:rPr/>
        <w:t>（</w:t>
      </w:r>
      <w:r>
        <w:rPr>
          <w:rFonts w:ascii="Times New Roman" w:hAnsi="Times New Roman" w:cs="Times New Roman" w:eastAsia="Times New Roman" w:hint="default"/>
        </w:rPr>
        <w:t>2</w:t>
      </w:r>
      <w:r>
        <w:rPr/>
        <w:t>）公司资产和负债结构的变动情况</w:t>
      </w:r>
      <w:r>
        <w:rPr>
          <w:rFonts w:ascii="宋体" w:hAnsi="宋体" w:cs="宋体" w:eastAsia="宋体" w:hint="default"/>
        </w:rPr>
        <w:t> </w:t>
      </w:r>
    </w:p>
    <w:p>
      <w:pPr>
        <w:pStyle w:val="BodyText"/>
        <w:spacing w:line="240" w:lineRule="auto" w:before="103"/>
        <w:ind w:left="0" w:right="1491"/>
        <w:jc w:val="right"/>
      </w:pPr>
      <w:r>
        <w:rPr/>
        <w:t>单位：元</w:t>
      </w:r>
    </w:p>
    <w:p>
      <w:pPr>
        <w:spacing w:line="240" w:lineRule="auto" w:before="2"/>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2348"/>
        <w:gridCol w:w="1601"/>
        <w:gridCol w:w="1995"/>
        <w:gridCol w:w="1702"/>
        <w:gridCol w:w="1988"/>
      </w:tblGrid>
      <w:tr>
        <w:trPr>
          <w:trHeight w:val="466" w:hRule="exact"/>
        </w:trPr>
        <w:tc>
          <w:tcPr>
            <w:tcW w:w="2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89"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5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8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r>
              <w:rPr>
                <w:rFonts w:ascii="宋体" w:hAnsi="宋体" w:cs="宋体" w:eastAsia="宋体" w:hint="default"/>
                <w:sz w:val="18"/>
                <w:szCs w:val="18"/>
              </w:rPr>
              <w:t> </w:t>
            </w:r>
          </w:p>
        </w:tc>
        <w:tc>
          <w:tcPr>
            <w:tcW w:w="36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8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r>
              <w:rPr>
                <w:rFonts w:ascii="宋体" w:hAnsi="宋体" w:cs="宋体" w:eastAsia="宋体" w:hint="default"/>
                <w:sz w:val="18"/>
                <w:szCs w:val="18"/>
              </w:rPr>
              <w:t> </w:t>
            </w:r>
          </w:p>
        </w:tc>
      </w:tr>
      <w:tr>
        <w:trPr>
          <w:trHeight w:val="463" w:hRule="exact"/>
        </w:trPr>
        <w:tc>
          <w:tcPr>
            <w:tcW w:w="2348"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614"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44"/>
              <w:jc w:val="righ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z w:val="18"/>
                <w:szCs w:val="18"/>
              </w:rPr>
              <w:t>/</w:t>
            </w:r>
            <w:r>
              <w:rPr>
                <w:rFonts w:ascii="宋体" w:hAnsi="宋体" w:cs="宋体" w:eastAsia="宋体" w:hint="default"/>
                <w:sz w:val="18"/>
                <w:szCs w:val="18"/>
              </w:rPr>
              <w:t>总负债比例</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88" w:right="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42"/>
              <w:jc w:val="righ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z w:val="18"/>
                <w:szCs w:val="18"/>
              </w:rPr>
              <w:t>/</w:t>
            </w:r>
            <w:r>
              <w:rPr>
                <w:rFonts w:ascii="宋体" w:hAnsi="宋体" w:cs="宋体" w:eastAsia="宋体" w:hint="default"/>
                <w:sz w:val="18"/>
                <w:szCs w:val="18"/>
              </w:rPr>
              <w:t>总负债比例</w:t>
            </w:r>
            <w:r>
              <w:rPr>
                <w:rFonts w:ascii="宋体" w:hAnsi="宋体" w:cs="宋体" w:eastAsia="宋体" w:hint="default"/>
                <w:sz w:val="18"/>
                <w:szCs w:val="18"/>
              </w:rPr>
              <w:t> </w:t>
            </w:r>
          </w:p>
        </w:tc>
      </w:tr>
      <w:tr>
        <w:trPr>
          <w:trHeight w:val="463" w:hRule="exact"/>
        </w:trPr>
        <w:tc>
          <w:tcPr>
            <w:tcW w:w="2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流动资产</w:t>
            </w:r>
            <w:r>
              <w:rPr>
                <w:rFonts w:ascii="宋体" w:hAnsi="宋体" w:cs="宋体" w:eastAsia="宋体" w:hint="default"/>
                <w:sz w:val="18"/>
                <w:szCs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7,777,475,968.78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72.31%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7,683,909,277.31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71.84%</w:t>
            </w:r>
          </w:p>
        </w:tc>
      </w:tr>
      <w:tr>
        <w:trPr>
          <w:trHeight w:val="466" w:hRule="exact"/>
        </w:trPr>
        <w:tc>
          <w:tcPr>
            <w:tcW w:w="2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r>
              <w:rPr>
                <w:rFonts w:ascii="宋体" w:hAnsi="宋体" w:cs="宋体" w:eastAsia="宋体" w:hint="default"/>
                <w:sz w:val="18"/>
                <w:szCs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2,978,026,060.99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27.69%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3,012,396,931.86</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28.16%</w:t>
            </w:r>
          </w:p>
        </w:tc>
      </w:tr>
      <w:tr>
        <w:trPr>
          <w:trHeight w:val="464" w:hRule="exact"/>
        </w:trPr>
        <w:tc>
          <w:tcPr>
            <w:tcW w:w="2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4"/>
              <w:jc w:val="right"/>
              <w:rPr>
                <w:rFonts w:ascii="Times New Roman" w:hAnsi="Times New Roman" w:cs="Times New Roman" w:eastAsia="Times New Roman" w:hint="default"/>
                <w:sz w:val="18"/>
                <w:szCs w:val="18"/>
              </w:rPr>
            </w:pPr>
            <w:r>
              <w:rPr>
                <w:rFonts w:ascii="Times New Roman"/>
                <w:spacing w:val="-1"/>
                <w:sz w:val="18"/>
              </w:rPr>
              <w:t>10,755,502,029.77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10,696,306,209.17</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3" w:hRule="exact"/>
        </w:trPr>
        <w:tc>
          <w:tcPr>
            <w:tcW w:w="2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r>
              <w:rPr>
                <w:rFonts w:ascii="宋体" w:hAnsi="宋体" w:cs="宋体" w:eastAsia="宋体" w:hint="default"/>
                <w:sz w:val="18"/>
                <w:szCs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5,351,464,171.85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98.50%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5,575,438,558.34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98.29%</w:t>
            </w:r>
          </w:p>
        </w:tc>
      </w:tr>
      <w:tr>
        <w:trPr>
          <w:trHeight w:val="466" w:hRule="exact"/>
        </w:trPr>
        <w:tc>
          <w:tcPr>
            <w:tcW w:w="2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r>
              <w:rPr>
                <w:rFonts w:ascii="宋体" w:hAnsi="宋体" w:cs="宋体" w:eastAsia="宋体" w:hint="default"/>
                <w:sz w:val="18"/>
                <w:szCs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81,713,804.30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1.50%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97,181,314.70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1.71%</w:t>
            </w:r>
          </w:p>
        </w:tc>
      </w:tr>
      <w:tr>
        <w:trPr>
          <w:trHeight w:val="463" w:hRule="exact"/>
        </w:trPr>
        <w:tc>
          <w:tcPr>
            <w:tcW w:w="2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总负债</w:t>
            </w:r>
            <w:r>
              <w:rPr>
                <w:rFonts w:ascii="宋体" w:hAnsi="宋体" w:cs="宋体" w:eastAsia="宋体" w:hint="default"/>
                <w:sz w:val="18"/>
                <w:szCs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5,433,177,976.15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4"/>
              <w:jc w:val="right"/>
              <w:rPr>
                <w:rFonts w:ascii="Times New Roman" w:hAnsi="Times New Roman" w:cs="Times New Roman" w:eastAsia="Times New Roman" w:hint="default"/>
                <w:sz w:val="18"/>
                <w:szCs w:val="18"/>
              </w:rPr>
            </w:pPr>
            <w:r>
              <w:rPr>
                <w:rFonts w:ascii="Times New Roman"/>
                <w:sz w:val="18"/>
              </w:rPr>
              <w:t>100%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pacing w:val="-1"/>
                <w:sz w:val="18"/>
              </w:rPr>
              <w:t>5,672,619,873.04</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63" w:hRule="exact"/>
        </w:trPr>
        <w:tc>
          <w:tcPr>
            <w:tcW w:w="2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r>
              <w:rPr>
                <w:rFonts w:ascii="宋体" w:hAnsi="宋体" w:cs="宋体" w:eastAsia="宋体" w:hint="default"/>
                <w:sz w:val="18"/>
                <w:szCs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5,322,324,053.62</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49.48%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5,023,686,336.13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46.97%</w:t>
            </w:r>
          </w:p>
        </w:tc>
      </w:tr>
      <w:tr>
        <w:trPr>
          <w:trHeight w:val="466" w:hRule="exact"/>
        </w:trPr>
        <w:tc>
          <w:tcPr>
            <w:tcW w:w="23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r>
              <w:rPr>
                <w:rFonts w:ascii="宋体" w:hAnsi="宋体" w:cs="宋体" w:eastAsia="宋体" w:hint="default"/>
                <w:sz w:val="18"/>
                <w:szCs w:val="18"/>
              </w:rPr>
              <w:t> </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5,219,351,789.16</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5"/>
              <w:jc w:val="right"/>
              <w:rPr>
                <w:rFonts w:ascii="Times New Roman" w:hAnsi="Times New Roman" w:cs="Times New Roman" w:eastAsia="Times New Roman" w:hint="default"/>
                <w:sz w:val="18"/>
                <w:szCs w:val="18"/>
              </w:rPr>
            </w:pPr>
            <w:r>
              <w:rPr>
                <w:rFonts w:ascii="Times New Roman"/>
                <w:sz w:val="18"/>
              </w:rPr>
              <w:t>48.53%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pacing w:val="-1"/>
                <w:sz w:val="18"/>
              </w:rPr>
              <w:t>4,946,084,692.51</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46.24%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after="0" w:line="240" w:lineRule="auto"/>
        <w:jc w:val="left"/>
        <w:sectPr>
          <w:type w:val="continuous"/>
          <w:pgSz w:w="11910" w:h="16840"/>
          <w:pgMar w:top="110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2"/>
        <w:spacing w:line="240" w:lineRule="auto" w:before="26"/>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单位：股</w:t>
      </w:r>
    </w:p>
    <w:p>
      <w:pPr>
        <w:spacing w:line="240" w:lineRule="auto" w:before="4"/>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989"/>
        <w:gridCol w:w="480"/>
        <w:gridCol w:w="467"/>
        <w:gridCol w:w="659"/>
        <w:gridCol w:w="815"/>
        <w:gridCol w:w="1016"/>
        <w:gridCol w:w="90"/>
        <w:gridCol w:w="1118"/>
        <w:gridCol w:w="682"/>
        <w:gridCol w:w="269"/>
        <w:gridCol w:w="332"/>
        <w:gridCol w:w="817"/>
        <w:gridCol w:w="650"/>
        <w:gridCol w:w="600"/>
        <w:gridCol w:w="586"/>
      </w:tblGrid>
      <w:tr>
        <w:trPr>
          <w:trHeight w:val="1030"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51"/>
              <w:jc w:val="both"/>
              <w:rPr>
                <w:rFonts w:ascii="宋体" w:hAnsi="宋体" w:cs="宋体" w:eastAsia="宋体" w:hint="default"/>
                <w:sz w:val="18"/>
                <w:szCs w:val="18"/>
              </w:rPr>
            </w:pPr>
            <w:r>
              <w:rPr>
                <w:rFonts w:ascii="宋体" w:hAnsi="宋体" w:cs="宋体" w:eastAsia="宋体" w:hint="default"/>
                <w:sz w:val="18"/>
                <w:szCs w:val="18"/>
              </w:rPr>
              <w:t>报告期末 普通股股 东总数</w:t>
            </w:r>
          </w:p>
        </w:tc>
        <w:tc>
          <w:tcPr>
            <w:tcW w:w="9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70,185</w:t>
            </w:r>
          </w:p>
        </w:tc>
        <w:tc>
          <w:tcPr>
            <w:tcW w:w="14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1" w:right="0"/>
              <w:jc w:val="left"/>
              <w:rPr>
                <w:rFonts w:ascii="宋体" w:hAnsi="宋体" w:cs="宋体" w:eastAsia="宋体" w:hint="default"/>
                <w:sz w:val="18"/>
                <w:szCs w:val="18"/>
              </w:rPr>
            </w:pPr>
            <w:r>
              <w:rPr>
                <w:rFonts w:ascii="宋体"/>
                <w:sz w:val="18"/>
              </w:rPr>
              <w:t>66,339</w:t>
            </w:r>
          </w:p>
        </w:tc>
        <w:tc>
          <w:tcPr>
            <w:tcW w:w="18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1" w:right="156"/>
              <w:jc w:val="left"/>
              <w:rPr>
                <w:rFonts w:ascii="宋体" w:hAnsi="宋体" w:cs="宋体" w:eastAsia="宋体" w:hint="default"/>
                <w:sz w:val="18"/>
                <w:szCs w:val="18"/>
              </w:rPr>
            </w:pPr>
            <w:r>
              <w:rPr>
                <w:rFonts w:ascii="宋体" w:hAnsi="宋体" w:cs="宋体" w:eastAsia="宋体" w:hint="default"/>
                <w:sz w:val="18"/>
                <w:szCs w:val="18"/>
              </w:rPr>
              <w:t>报告期末表决权恢复 的优先股股东总数</w:t>
            </w:r>
          </w:p>
        </w:tc>
        <w:tc>
          <w:tcPr>
            <w:tcW w:w="6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z w:val="18"/>
              </w:rPr>
              <w:t>0</w:t>
            </w:r>
          </w:p>
        </w:tc>
        <w:tc>
          <w:tcPr>
            <w:tcW w:w="20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54"/>
              <w:jc w:val="both"/>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股股东总数</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0</w:t>
            </w:r>
          </w:p>
        </w:tc>
      </w:tr>
      <w:tr>
        <w:trPr>
          <w:trHeight w:val="461" w:hRule="exact"/>
        </w:trPr>
        <w:tc>
          <w:tcPr>
            <w:tcW w:w="9571"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06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64"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57" w:lineRule="auto"/>
              <w:ind w:left="215" w:right="22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1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272" w:right="10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103" w:right="103"/>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24"/>
              <w:ind w:left="112" w:right="10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1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24"/>
              <w:ind w:left="122" w:right="115"/>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83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8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713"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126" w:type="dxa"/>
            <w:gridSpan w:val="2"/>
            <w:vMerge/>
            <w:tcBorders>
              <w:left w:val="single" w:sz="4" w:space="0" w:color="000000"/>
              <w:bottom w:val="single" w:sz="4" w:space="0" w:color="000000"/>
              <w:right w:val="single" w:sz="4" w:space="0" w:color="000000"/>
            </w:tcBorders>
            <w:shd w:val="clear" w:color="auto" w:fill="D2D2D2"/>
          </w:tcPr>
          <w:p>
            <w:pPr/>
          </w:p>
        </w:tc>
        <w:tc>
          <w:tcPr>
            <w:tcW w:w="815" w:type="dxa"/>
            <w:vMerge/>
            <w:tcBorders>
              <w:left w:val="single" w:sz="4" w:space="0" w:color="000000"/>
              <w:bottom w:val="single" w:sz="4" w:space="0" w:color="000000"/>
              <w:right w:val="single" w:sz="4" w:space="0" w:color="000000"/>
            </w:tcBorders>
            <w:shd w:val="clear" w:color="auto" w:fill="D2D2D2"/>
          </w:tcPr>
          <w:p>
            <w:pPr/>
          </w:p>
        </w:tc>
        <w:tc>
          <w:tcPr>
            <w:tcW w:w="1106" w:type="dxa"/>
            <w:gridSpan w:val="2"/>
            <w:vMerge/>
            <w:tcBorders>
              <w:left w:val="single" w:sz="4" w:space="0" w:color="000000"/>
              <w:bottom w:val="single" w:sz="4" w:space="0" w:color="000000"/>
              <w:right w:val="single" w:sz="4" w:space="0" w:color="000000"/>
            </w:tcBorders>
            <w:shd w:val="clear" w:color="auto" w:fill="D2D2D2"/>
          </w:tcPr>
          <w:p>
            <w:pPr/>
          </w:p>
        </w:tc>
        <w:tc>
          <w:tcPr>
            <w:tcW w:w="1118" w:type="dxa"/>
            <w:vMerge/>
            <w:tcBorders>
              <w:left w:val="single" w:sz="4" w:space="0" w:color="000000"/>
              <w:bottom w:val="single" w:sz="4" w:space="0" w:color="000000"/>
              <w:right w:val="single" w:sz="4" w:space="0" w:color="000000"/>
            </w:tcBorders>
            <w:shd w:val="clear" w:color="auto" w:fill="D2D2D2"/>
          </w:tcPr>
          <w:p>
            <w:pPr/>
          </w:p>
        </w:tc>
        <w:tc>
          <w:tcPr>
            <w:tcW w:w="951" w:type="dxa"/>
            <w:gridSpan w:val="2"/>
            <w:vMerge/>
            <w:tcBorders>
              <w:left w:val="single" w:sz="4" w:space="0" w:color="000000"/>
              <w:bottom w:val="single" w:sz="4" w:space="0" w:color="000000"/>
              <w:right w:val="single" w:sz="4" w:space="0" w:color="000000"/>
            </w:tcBorders>
            <w:shd w:val="clear" w:color="auto" w:fill="D2D2D2"/>
          </w:tcPr>
          <w:p>
            <w:pPr/>
          </w:p>
        </w:tc>
        <w:tc>
          <w:tcPr>
            <w:tcW w:w="1150" w:type="dxa"/>
            <w:gridSpan w:val="2"/>
            <w:vMerge/>
            <w:tcBorders>
              <w:left w:val="single" w:sz="4" w:space="0" w:color="000000"/>
              <w:bottom w:val="single" w:sz="4" w:space="0" w:color="000000"/>
              <w:right w:val="single" w:sz="4" w:space="0" w:color="000000"/>
            </w:tcBorders>
            <w:shd w:val="clear" w:color="auto" w:fill="D2D2D2"/>
          </w:tcPr>
          <w:p>
            <w:pP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37"/>
              <w:jc w:val="left"/>
              <w:rPr>
                <w:rFonts w:ascii="宋体" w:hAnsi="宋体" w:cs="宋体" w:eastAsia="宋体" w:hint="default"/>
                <w:sz w:val="18"/>
                <w:szCs w:val="18"/>
              </w:rPr>
            </w:pPr>
            <w:r>
              <w:rPr>
                <w:rFonts w:ascii="宋体" w:hAnsi="宋体" w:cs="宋体" w:eastAsia="宋体" w:hint="default"/>
                <w:sz w:val="18"/>
                <w:szCs w:val="18"/>
              </w:rPr>
              <w:t>股份 状态</w:t>
            </w:r>
          </w:p>
        </w:tc>
        <w:tc>
          <w:tcPr>
            <w:tcW w:w="1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271"/>
              <w:jc w:val="left"/>
              <w:rPr>
                <w:rFonts w:ascii="宋体" w:hAnsi="宋体" w:cs="宋体" w:eastAsia="宋体" w:hint="default"/>
                <w:sz w:val="18"/>
                <w:szCs w:val="18"/>
              </w:rPr>
            </w:pPr>
            <w:r>
              <w:rPr>
                <w:rFonts w:ascii="宋体" w:hAnsi="宋体" w:cs="宋体" w:eastAsia="宋体" w:hint="default"/>
                <w:sz w:val="18"/>
                <w:szCs w:val="18"/>
              </w:rPr>
              <w:t>神州数码软件 有限公司</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1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8"/>
              <w:jc w:val="right"/>
              <w:rPr>
                <w:rFonts w:ascii="Times New Roman" w:hAnsi="Times New Roman" w:cs="Times New Roman" w:eastAsia="Times New Roman" w:hint="default"/>
                <w:sz w:val="18"/>
                <w:szCs w:val="18"/>
              </w:rPr>
            </w:pPr>
            <w:r>
              <w:rPr>
                <w:rFonts w:ascii="Times New Roman"/>
                <w:sz w:val="18"/>
              </w:rPr>
              <w:t>40.14%</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389,540,110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389,540,110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质押</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247,869,570</w:t>
            </w: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71"/>
              <w:jc w:val="both"/>
              <w:rPr>
                <w:rFonts w:ascii="宋体" w:hAnsi="宋体" w:cs="宋体" w:eastAsia="宋体" w:hint="default"/>
                <w:sz w:val="18"/>
                <w:szCs w:val="18"/>
              </w:rPr>
            </w:pPr>
            <w:r>
              <w:rPr>
                <w:rFonts w:ascii="宋体" w:hAnsi="宋体" w:cs="宋体" w:eastAsia="宋体" w:hint="default"/>
                <w:sz w:val="18"/>
                <w:szCs w:val="18"/>
              </w:rPr>
              <w:t>中新苏州工业 园区创业投资 有限公司</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1"/>
              <w:jc w:val="right"/>
              <w:rPr>
                <w:rFonts w:ascii="Times New Roman" w:hAnsi="Times New Roman" w:cs="Times New Roman" w:eastAsia="Times New Roman" w:hint="default"/>
                <w:sz w:val="18"/>
                <w:szCs w:val="18"/>
              </w:rPr>
            </w:pPr>
            <w:r>
              <w:rPr>
                <w:rFonts w:ascii="Times New Roman"/>
                <w:sz w:val="18"/>
              </w:rPr>
              <w:t>6.67%</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64,675,937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-16,913,205</w:t>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64,675,937</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7"/>
              <w:jc w:val="center"/>
              <w:rPr>
                <w:rFonts w:ascii="宋体" w:hAnsi="宋体" w:cs="宋体" w:eastAsia="宋体" w:hint="default"/>
                <w:sz w:val="18"/>
                <w:szCs w:val="18"/>
              </w:rPr>
            </w:pPr>
            <w:r>
              <w:rPr>
                <w:rFonts w:ascii="宋体" w:hAnsi="宋体" w:cs="宋体" w:eastAsia="宋体" w:hint="default"/>
                <w:sz w:val="18"/>
                <w:szCs w:val="18"/>
              </w:rPr>
              <w:t>质押</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21,000,000</w:t>
            </w: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271"/>
              <w:jc w:val="left"/>
              <w:rPr>
                <w:rFonts w:ascii="宋体" w:hAnsi="宋体" w:cs="宋体" w:eastAsia="宋体" w:hint="default"/>
                <w:sz w:val="18"/>
                <w:szCs w:val="18"/>
              </w:rPr>
            </w:pPr>
            <w:r>
              <w:rPr>
                <w:rFonts w:ascii="宋体" w:hAnsi="宋体" w:cs="宋体" w:eastAsia="宋体" w:hint="default"/>
                <w:sz w:val="18"/>
                <w:szCs w:val="18"/>
              </w:rPr>
              <w:t>萍乡信锐企业 管理合伙企业</w:t>
            </w:r>
          </w:p>
          <w:p>
            <w:pPr>
              <w:pStyle w:val="TableParagraph"/>
              <w:spacing w:line="240" w:lineRule="auto" w:before="21"/>
              <w:ind w:left="10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105" w:right="110"/>
              <w:jc w:val="left"/>
              <w:rPr>
                <w:rFonts w:ascii="宋体" w:hAnsi="宋体" w:cs="宋体" w:eastAsia="宋体" w:hint="default"/>
                <w:sz w:val="18"/>
                <w:szCs w:val="18"/>
              </w:rPr>
            </w:pPr>
            <w:r>
              <w:rPr>
                <w:rFonts w:ascii="宋体" w:hAnsi="宋体" w:cs="宋体" w:eastAsia="宋体" w:hint="default"/>
                <w:sz w:val="18"/>
                <w:szCs w:val="18"/>
              </w:rPr>
              <w:t>境内非国有 法人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11"/>
              <w:jc w:val="right"/>
              <w:rPr>
                <w:rFonts w:ascii="Times New Roman" w:hAnsi="Times New Roman" w:cs="Times New Roman" w:eastAsia="Times New Roman" w:hint="default"/>
                <w:sz w:val="18"/>
                <w:szCs w:val="18"/>
              </w:rPr>
            </w:pPr>
            <w:r>
              <w:rPr>
                <w:rFonts w:ascii="Times New Roman"/>
                <w:sz w:val="18"/>
              </w:rPr>
              <w:t>5.37%</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52,101,765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-8,545,682</w:t>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52,101,765</w:t>
            </w:r>
          </w:p>
        </w:tc>
        <w:tc>
          <w:tcPr>
            <w:tcW w:w="650" w:type="dxa"/>
            <w:tcBorders>
              <w:top w:val="single" w:sz="4" w:space="0" w:color="000000"/>
              <w:left w:val="single" w:sz="4" w:space="0" w:color="000000"/>
              <w:bottom w:val="single" w:sz="4" w:space="0" w:color="000000"/>
              <w:right w:val="single" w:sz="4" w:space="0" w:color="000000"/>
            </w:tcBorders>
          </w:tcPr>
          <w:p>
            <w:pPr/>
          </w:p>
        </w:tc>
        <w:tc>
          <w:tcPr>
            <w:tcW w:w="1186" w:type="dxa"/>
            <w:gridSpan w:val="2"/>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71"/>
              <w:jc w:val="left"/>
              <w:rPr>
                <w:rFonts w:ascii="宋体" w:hAnsi="宋体" w:cs="宋体" w:eastAsia="宋体" w:hint="default"/>
                <w:sz w:val="18"/>
                <w:szCs w:val="18"/>
              </w:rPr>
            </w:pPr>
            <w:r>
              <w:rPr>
                <w:rFonts w:ascii="宋体" w:hAnsi="宋体" w:cs="宋体" w:eastAsia="宋体" w:hint="default"/>
                <w:sz w:val="18"/>
                <w:szCs w:val="18"/>
              </w:rPr>
              <w:t>昆山市申昌科 技有限公司</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1"/>
              <w:jc w:val="right"/>
              <w:rPr>
                <w:rFonts w:ascii="Times New Roman" w:hAnsi="Times New Roman" w:cs="Times New Roman" w:eastAsia="Times New Roman" w:hint="default"/>
                <w:sz w:val="18"/>
                <w:szCs w:val="18"/>
              </w:rPr>
            </w:pPr>
            <w:r>
              <w:rPr>
                <w:rFonts w:ascii="Times New Roman"/>
                <w:sz w:val="18"/>
              </w:rPr>
              <w:t>5.12%</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49,708,280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49,708,280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冻结</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6,632,000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271"/>
              <w:jc w:val="left"/>
              <w:rPr>
                <w:rFonts w:ascii="宋体" w:hAnsi="宋体" w:cs="宋体" w:eastAsia="宋体" w:hint="default"/>
                <w:sz w:val="18"/>
                <w:szCs w:val="18"/>
              </w:rPr>
            </w:pPr>
            <w:r>
              <w:rPr>
                <w:rFonts w:ascii="宋体" w:hAnsi="宋体" w:cs="宋体" w:eastAsia="宋体" w:hint="default"/>
                <w:sz w:val="18"/>
                <w:szCs w:val="18"/>
              </w:rPr>
              <w:t>中国银河证券 股份有限公司</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11"/>
              <w:jc w:val="right"/>
              <w:rPr>
                <w:rFonts w:ascii="Times New Roman" w:hAnsi="Times New Roman" w:cs="Times New Roman" w:eastAsia="Times New Roman" w:hint="default"/>
                <w:sz w:val="18"/>
                <w:szCs w:val="18"/>
              </w:rPr>
            </w:pPr>
            <w:r>
              <w:rPr>
                <w:rFonts w:ascii="Times New Roman"/>
                <w:sz w:val="18"/>
              </w:rPr>
              <w:t>1.42%</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13,742,100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-5,338,700</w:t>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13,742,100</w:t>
            </w:r>
          </w:p>
        </w:tc>
        <w:tc>
          <w:tcPr>
            <w:tcW w:w="650" w:type="dxa"/>
            <w:tcBorders>
              <w:top w:val="single" w:sz="4" w:space="0" w:color="000000"/>
              <w:left w:val="single" w:sz="4" w:space="0" w:color="000000"/>
              <w:bottom w:val="single" w:sz="4" w:space="0" w:color="000000"/>
              <w:right w:val="single" w:sz="4" w:space="0" w:color="000000"/>
            </w:tcBorders>
          </w:tcPr>
          <w:p>
            <w:pPr/>
          </w:p>
        </w:tc>
        <w:tc>
          <w:tcPr>
            <w:tcW w:w="1186"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5" w:right="153"/>
              <w:jc w:val="left"/>
              <w:rPr>
                <w:rFonts w:ascii="Times New Roman" w:hAnsi="Times New Roman" w:cs="Times New Roman" w:eastAsia="Times New Roman" w:hint="default"/>
                <w:sz w:val="18"/>
                <w:szCs w:val="18"/>
              </w:rPr>
            </w:pPr>
            <w:r>
              <w:rPr>
                <w:rFonts w:ascii="Times New Roman"/>
                <w:sz w:val="18"/>
              </w:rPr>
              <w:t>Infinity</w:t>
            </w:r>
            <w:r>
              <w:rPr>
                <w:rFonts w:ascii="Times New Roman"/>
                <w:spacing w:val="-4"/>
                <w:sz w:val="18"/>
              </w:rPr>
              <w:t> </w:t>
            </w:r>
            <w:r>
              <w:rPr>
                <w:rFonts w:ascii="Times New Roman"/>
                <w:sz w:val="18"/>
              </w:rPr>
              <w:t>I-China</w:t>
            </w:r>
            <w:r>
              <w:rPr>
                <w:rFonts w:ascii="Times New Roman"/>
                <w:w w:val="99"/>
                <w:sz w:val="18"/>
              </w:rPr>
              <w:t> </w:t>
            </w:r>
            <w:r>
              <w:rPr>
                <w:rFonts w:ascii="Times New Roman"/>
                <w:sz w:val="18"/>
              </w:rPr>
              <w:t>Investments(Isra</w:t>
            </w:r>
            <w:r>
              <w:rPr>
                <w:rFonts w:ascii="Times New Roman"/>
                <w:w w:val="99"/>
                <w:sz w:val="18"/>
              </w:rPr>
              <w:t> </w:t>
            </w:r>
            <w:r>
              <w:rPr>
                <w:rFonts w:ascii="Times New Roman"/>
                <w:spacing w:val="-3"/>
                <w:sz w:val="18"/>
              </w:rPr>
              <w:t>el),L.P.</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1"/>
              <w:jc w:val="right"/>
              <w:rPr>
                <w:rFonts w:ascii="Times New Roman" w:hAnsi="Times New Roman" w:cs="Times New Roman" w:eastAsia="Times New Roman" w:hint="default"/>
                <w:sz w:val="18"/>
                <w:szCs w:val="18"/>
              </w:rPr>
            </w:pPr>
            <w:r>
              <w:rPr>
                <w:rFonts w:ascii="Times New Roman"/>
                <w:sz w:val="18"/>
              </w:rPr>
              <w:t>1.35%</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13,130,434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13,130,434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67"/>
              <w:jc w:val="center"/>
              <w:rPr>
                <w:rFonts w:ascii="宋体" w:hAnsi="宋体" w:cs="宋体" w:eastAsia="宋体" w:hint="default"/>
                <w:sz w:val="18"/>
                <w:szCs w:val="18"/>
              </w:rPr>
            </w:pPr>
            <w:r>
              <w:rPr>
                <w:rFonts w:ascii="宋体" w:hAnsi="宋体" w:cs="宋体" w:eastAsia="宋体" w:hint="default"/>
                <w:sz w:val="18"/>
                <w:szCs w:val="18"/>
              </w:rPr>
              <w:t>质押</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13,130,434</w:t>
            </w:r>
          </w:p>
        </w:tc>
      </w:tr>
      <w:tr>
        <w:trPr>
          <w:trHeight w:val="46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程艳云</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1"/>
              <w:jc w:val="right"/>
              <w:rPr>
                <w:rFonts w:ascii="Times New Roman" w:hAnsi="Times New Roman" w:cs="Times New Roman" w:eastAsia="Times New Roman" w:hint="default"/>
                <w:sz w:val="18"/>
                <w:szCs w:val="18"/>
              </w:rPr>
            </w:pPr>
            <w:r>
              <w:rPr>
                <w:rFonts w:ascii="Times New Roman"/>
                <w:sz w:val="18"/>
              </w:rPr>
              <w:t>0.88%</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72" w:right="0"/>
              <w:jc w:val="left"/>
              <w:rPr>
                <w:rFonts w:ascii="Times New Roman" w:hAnsi="Times New Roman" w:cs="Times New Roman" w:eastAsia="Times New Roman" w:hint="default"/>
                <w:sz w:val="18"/>
                <w:szCs w:val="18"/>
              </w:rPr>
            </w:pPr>
            <w:r>
              <w:rPr>
                <w:rFonts w:ascii="Times New Roman"/>
                <w:sz w:val="18"/>
              </w:rPr>
              <w:t>8,527,926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20" w:right="0"/>
              <w:jc w:val="left"/>
              <w:rPr>
                <w:rFonts w:ascii="Times New Roman" w:hAnsi="Times New Roman" w:cs="Times New Roman" w:eastAsia="Times New Roman" w:hint="default"/>
                <w:sz w:val="18"/>
                <w:szCs w:val="18"/>
              </w:rPr>
            </w:pPr>
            <w:r>
              <w:rPr>
                <w:rFonts w:ascii="Times New Roman"/>
                <w:sz w:val="18"/>
              </w:rPr>
              <w:t>8,527,926</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4" w:space="0" w:color="000000"/>
              <w:left w:val="single" w:sz="4" w:space="0" w:color="000000"/>
              <w:bottom w:val="single" w:sz="4" w:space="0" w:color="000000"/>
              <w:right w:val="single" w:sz="4" w:space="0" w:color="000000"/>
            </w:tcBorders>
          </w:tcPr>
          <w:p>
            <w:pPr/>
          </w:p>
        </w:tc>
        <w:tc>
          <w:tcPr>
            <w:tcW w:w="1186" w:type="dxa"/>
            <w:gridSpan w:val="2"/>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王宇飞</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1"/>
              <w:jc w:val="right"/>
              <w:rPr>
                <w:rFonts w:ascii="Times New Roman" w:hAnsi="Times New Roman" w:cs="Times New Roman" w:eastAsia="Times New Roman" w:hint="default"/>
                <w:sz w:val="18"/>
                <w:szCs w:val="18"/>
              </w:rPr>
            </w:pPr>
            <w:r>
              <w:rPr>
                <w:rFonts w:ascii="Times New Roman"/>
                <w:sz w:val="18"/>
              </w:rPr>
              <w:t>0.86%</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72" w:right="0"/>
              <w:jc w:val="left"/>
              <w:rPr>
                <w:rFonts w:ascii="Times New Roman" w:hAnsi="Times New Roman" w:cs="Times New Roman" w:eastAsia="Times New Roman" w:hint="default"/>
                <w:sz w:val="18"/>
                <w:szCs w:val="18"/>
              </w:rPr>
            </w:pPr>
            <w:r>
              <w:rPr>
                <w:rFonts w:ascii="Times New Roman"/>
                <w:sz w:val="18"/>
              </w:rPr>
              <w:t>8,340,049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-2,239,947</w:t>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54" w:right="0"/>
              <w:jc w:val="left"/>
              <w:rPr>
                <w:rFonts w:ascii="Times New Roman" w:hAnsi="Times New Roman" w:cs="Times New Roman" w:eastAsia="Times New Roman" w:hint="default"/>
                <w:sz w:val="18"/>
                <w:szCs w:val="18"/>
              </w:rPr>
            </w:pPr>
            <w:r>
              <w:rPr>
                <w:rFonts w:ascii="Times New Roman"/>
                <w:sz w:val="18"/>
              </w:rPr>
              <w:t>300,000</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19" w:right="0"/>
              <w:jc w:val="left"/>
              <w:rPr>
                <w:rFonts w:ascii="Times New Roman" w:hAnsi="Times New Roman" w:cs="Times New Roman" w:eastAsia="Times New Roman" w:hint="default"/>
                <w:sz w:val="18"/>
                <w:szCs w:val="18"/>
              </w:rPr>
            </w:pPr>
            <w:r>
              <w:rPr>
                <w:rFonts w:ascii="Times New Roman"/>
                <w:sz w:val="18"/>
              </w:rPr>
              <w:t>8,040,049</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7"/>
              <w:jc w:val="center"/>
              <w:rPr>
                <w:rFonts w:ascii="宋体" w:hAnsi="宋体" w:cs="宋体" w:eastAsia="宋体" w:hint="default"/>
                <w:sz w:val="18"/>
                <w:szCs w:val="18"/>
              </w:rPr>
            </w:pPr>
            <w:r>
              <w:rPr>
                <w:rFonts w:ascii="宋体" w:hAnsi="宋体" w:cs="宋体" w:eastAsia="宋体" w:hint="default"/>
                <w:sz w:val="18"/>
                <w:szCs w:val="18"/>
              </w:rPr>
              <w:t>质押</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53" w:right="0"/>
              <w:jc w:val="left"/>
              <w:rPr>
                <w:rFonts w:ascii="Times New Roman" w:hAnsi="Times New Roman" w:cs="Times New Roman" w:eastAsia="Times New Roman" w:hint="default"/>
                <w:sz w:val="18"/>
                <w:szCs w:val="18"/>
              </w:rPr>
            </w:pPr>
            <w:r>
              <w:rPr>
                <w:rFonts w:ascii="Times New Roman"/>
                <w:sz w:val="18"/>
              </w:rPr>
              <w:t>6,840,000</w:t>
            </w:r>
          </w:p>
        </w:tc>
      </w:tr>
      <w:tr>
        <w:trPr>
          <w:trHeight w:val="46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1"/>
              <w:jc w:val="right"/>
              <w:rPr>
                <w:rFonts w:ascii="Times New Roman" w:hAnsi="Times New Roman" w:cs="Times New Roman" w:eastAsia="Times New Roman" w:hint="default"/>
                <w:sz w:val="18"/>
                <w:szCs w:val="18"/>
              </w:rPr>
            </w:pPr>
            <w:r>
              <w:rPr>
                <w:rFonts w:ascii="Times New Roman"/>
                <w:sz w:val="18"/>
              </w:rPr>
              <w:t>0.83%</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72" w:right="0"/>
              <w:jc w:val="left"/>
              <w:rPr>
                <w:rFonts w:ascii="Times New Roman" w:hAnsi="Times New Roman" w:cs="Times New Roman" w:eastAsia="Times New Roman" w:hint="default"/>
                <w:sz w:val="18"/>
                <w:szCs w:val="18"/>
              </w:rPr>
            </w:pPr>
            <w:r>
              <w:rPr>
                <w:rFonts w:ascii="Times New Roman"/>
                <w:sz w:val="18"/>
              </w:rPr>
              <w:t>8,035,638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300,000</w:t>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20" w:right="0"/>
              <w:jc w:val="left"/>
              <w:rPr>
                <w:rFonts w:ascii="Times New Roman" w:hAnsi="Times New Roman" w:cs="Times New Roman" w:eastAsia="Times New Roman" w:hint="default"/>
                <w:sz w:val="18"/>
                <w:szCs w:val="18"/>
              </w:rPr>
            </w:pPr>
            <w:r>
              <w:rPr>
                <w:rFonts w:ascii="Times New Roman"/>
                <w:sz w:val="18"/>
              </w:rPr>
              <w:t>8,035,638</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c>
          <w:tcPr>
            <w:tcW w:w="650" w:type="dxa"/>
            <w:tcBorders>
              <w:top w:val="single" w:sz="4" w:space="0" w:color="000000"/>
              <w:left w:val="single" w:sz="4" w:space="0" w:color="000000"/>
              <w:bottom w:val="single" w:sz="4" w:space="0" w:color="000000"/>
              <w:right w:val="single" w:sz="4" w:space="0" w:color="000000"/>
            </w:tcBorders>
          </w:tcPr>
          <w:p>
            <w:pPr/>
          </w:p>
        </w:tc>
        <w:tc>
          <w:tcPr>
            <w:tcW w:w="1186" w:type="dxa"/>
            <w:gridSpan w:val="2"/>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贺胜龙</w:t>
            </w:r>
          </w:p>
        </w:tc>
        <w:tc>
          <w:tcPr>
            <w:tcW w:w="11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11"/>
              <w:jc w:val="right"/>
              <w:rPr>
                <w:rFonts w:ascii="Times New Roman" w:hAnsi="Times New Roman" w:cs="Times New Roman" w:eastAsia="Times New Roman" w:hint="default"/>
                <w:sz w:val="18"/>
                <w:szCs w:val="18"/>
              </w:rPr>
            </w:pPr>
            <w:r>
              <w:rPr>
                <w:rFonts w:ascii="Times New Roman"/>
                <w:sz w:val="18"/>
              </w:rPr>
              <w:t>0.49%</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72" w:right="0"/>
              <w:jc w:val="left"/>
              <w:rPr>
                <w:rFonts w:ascii="Times New Roman" w:hAnsi="Times New Roman" w:cs="Times New Roman" w:eastAsia="Times New Roman" w:hint="default"/>
                <w:sz w:val="18"/>
                <w:szCs w:val="18"/>
              </w:rPr>
            </w:pPr>
            <w:r>
              <w:rPr>
                <w:rFonts w:ascii="Times New Roman"/>
                <w:sz w:val="18"/>
              </w:rPr>
              <w:t>4,800,000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-315,000</w:t>
            </w:r>
          </w:p>
        </w:tc>
        <w:tc>
          <w:tcPr>
            <w:tcW w:w="9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z w:val="18"/>
              </w:rPr>
              <w:t>0</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19" w:right="0"/>
              <w:jc w:val="left"/>
              <w:rPr>
                <w:rFonts w:ascii="Times New Roman" w:hAnsi="Times New Roman" w:cs="Times New Roman" w:eastAsia="Times New Roman" w:hint="default"/>
                <w:sz w:val="18"/>
                <w:szCs w:val="18"/>
              </w:rPr>
            </w:pPr>
            <w:r>
              <w:rPr>
                <w:rFonts w:ascii="Times New Roman"/>
                <w:sz w:val="18"/>
              </w:rPr>
              <w:t>4,800,000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67"/>
              <w:jc w:val="center"/>
              <w:rPr>
                <w:rFonts w:ascii="宋体" w:hAnsi="宋体" w:cs="宋体" w:eastAsia="宋体" w:hint="default"/>
                <w:sz w:val="18"/>
                <w:szCs w:val="18"/>
              </w:rPr>
            </w:pPr>
            <w:r>
              <w:rPr>
                <w:rFonts w:ascii="宋体" w:hAnsi="宋体" w:cs="宋体" w:eastAsia="宋体" w:hint="default"/>
                <w:sz w:val="18"/>
                <w:szCs w:val="18"/>
              </w:rPr>
              <w:t>质押</w:t>
            </w:r>
          </w:p>
        </w:tc>
        <w:tc>
          <w:tcPr>
            <w:tcW w:w="11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53" w:right="0"/>
              <w:jc w:val="left"/>
              <w:rPr>
                <w:rFonts w:ascii="Times New Roman" w:hAnsi="Times New Roman" w:cs="Times New Roman" w:eastAsia="Times New Roman" w:hint="default"/>
                <w:sz w:val="18"/>
                <w:szCs w:val="18"/>
              </w:rPr>
            </w:pPr>
            <w:r>
              <w:rPr>
                <w:rFonts w:ascii="Times New Roman"/>
                <w:sz w:val="18"/>
              </w:rPr>
              <w:t>3,500,000</w:t>
            </w:r>
          </w:p>
        </w:tc>
      </w:tr>
      <w:tr>
        <w:trPr>
          <w:trHeight w:val="1337" w:hRule="exact"/>
        </w:trPr>
        <w:tc>
          <w:tcPr>
            <w:tcW w:w="25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5" w:right="137"/>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tc>
        <w:tc>
          <w:tcPr>
            <w:tcW w:w="697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华亿投资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年度认购公司非公开发行股份的价格为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9.44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股，认购股份数量为</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9,358,417 </w:t>
            </w:r>
            <w:r>
              <w:rPr>
                <w:rFonts w:ascii="宋体" w:hAnsi="宋体" w:cs="宋体" w:eastAsia="宋体" w:hint="default"/>
                <w:sz w:val="18"/>
                <w:szCs w:val="18"/>
              </w:rPr>
              <w:t>股，自</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日起，限售期为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年半年度实施资本公</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股后，华亿投资的股份增至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18,716,834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股。上述股份已于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日解除限售并上市流通。</w:t>
            </w:r>
          </w:p>
        </w:tc>
      </w:tr>
      <w:tr>
        <w:trPr>
          <w:trHeight w:val="466" w:hRule="exact"/>
        </w:trPr>
        <w:tc>
          <w:tcPr>
            <w:tcW w:w="25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05"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w:t>
            </w:r>
          </w:p>
        </w:tc>
        <w:tc>
          <w:tcPr>
            <w:tcW w:w="697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神码软件与萍乡信锐之间根据《企业会计准则第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关联方披露》第四条的规定存</w:t>
            </w:r>
          </w:p>
        </w:tc>
      </w:tr>
    </w:tbl>
    <w:p>
      <w:pPr>
        <w:spacing w:after="0" w:line="240" w:lineRule="auto"/>
        <w:jc w:val="left"/>
        <w:rPr>
          <w:rFonts w:ascii="宋体" w:hAnsi="宋体" w:cs="宋体" w:eastAsia="宋体"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261" w:type="dxa"/>
        <w:tblLayout w:type="fixed"/>
        <w:tblCellMar>
          <w:top w:w="0" w:type="dxa"/>
          <w:left w:w="0" w:type="dxa"/>
          <w:bottom w:w="0" w:type="dxa"/>
          <w:right w:w="0" w:type="dxa"/>
        </w:tblCellMar>
        <w:tblLook w:val="01E0"/>
      </w:tblPr>
      <w:tblGrid>
        <w:gridCol w:w="2595"/>
        <w:gridCol w:w="1044"/>
        <w:gridCol w:w="1995"/>
        <w:gridCol w:w="2252"/>
        <w:gridCol w:w="1685"/>
      </w:tblGrid>
      <w:tr>
        <w:trPr>
          <w:trHeight w:val="464" w:hRule="exact"/>
        </w:trPr>
        <w:tc>
          <w:tcPr>
            <w:tcW w:w="2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的说明</w:t>
            </w:r>
          </w:p>
        </w:tc>
        <w:tc>
          <w:tcPr>
            <w:tcW w:w="697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在关联关系。除上述外，神码软件与前十大其他股东均不存在关联关系。</w:t>
            </w:r>
          </w:p>
        </w:tc>
      </w:tr>
      <w:tr>
        <w:trPr>
          <w:trHeight w:val="466"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63" w:hRule="exact"/>
        </w:trPr>
        <w:tc>
          <w:tcPr>
            <w:tcW w:w="36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4"/>
              <w:ind w:left="451" w:right="180" w:hanging="269"/>
              <w:jc w:val="left"/>
              <w:rPr>
                <w:rFonts w:ascii="宋体" w:hAnsi="宋体" w:cs="宋体" w:eastAsia="宋体" w:hint="default"/>
                <w:sz w:val="18"/>
                <w:szCs w:val="18"/>
              </w:rPr>
            </w:pPr>
            <w:r>
              <w:rPr>
                <w:rFonts w:ascii="宋体" w:hAnsi="宋体" w:cs="宋体" w:eastAsia="宋体" w:hint="default"/>
                <w:sz w:val="18"/>
                <w:szCs w:val="18"/>
              </w:rPr>
              <w:t>报告期末持有无限售 条件股份数量</w:t>
            </w:r>
          </w:p>
        </w:tc>
        <w:tc>
          <w:tcPr>
            <w:tcW w:w="39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63" w:hRule="exact"/>
        </w:trPr>
        <w:tc>
          <w:tcPr>
            <w:tcW w:w="3639" w:type="dxa"/>
            <w:gridSpan w:val="2"/>
            <w:vMerge/>
            <w:tcBorders>
              <w:left w:val="single" w:sz="4" w:space="0" w:color="000000"/>
              <w:bottom w:val="single" w:sz="4" w:space="0" w:color="000000"/>
              <w:right w:val="single" w:sz="4" w:space="0" w:color="000000"/>
            </w:tcBorders>
            <w:shd w:val="clear" w:color="auto" w:fill="D2D2D2"/>
          </w:tcPr>
          <w:p>
            <w:pPr/>
          </w:p>
        </w:tc>
        <w:tc>
          <w:tcPr>
            <w:tcW w:w="1995" w:type="dxa"/>
            <w:vMerge/>
            <w:tcBorders>
              <w:left w:val="single" w:sz="4" w:space="0" w:color="000000"/>
              <w:bottom w:val="single" w:sz="4" w:space="0" w:color="000000"/>
              <w:right w:val="single" w:sz="4" w:space="0" w:color="000000"/>
            </w:tcBorders>
            <w:shd w:val="clear" w:color="auto" w:fill="D2D2D2"/>
          </w:tcPr>
          <w:p>
            <w:pPr/>
          </w:p>
        </w:tc>
        <w:tc>
          <w:tcPr>
            <w:tcW w:w="2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66" w:hRule="exact"/>
        </w:trPr>
        <w:tc>
          <w:tcPr>
            <w:tcW w:w="3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389,540,110</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pacing w:val="-1"/>
                <w:sz w:val="18"/>
              </w:rPr>
              <w:t>389,540,110</w:t>
            </w:r>
          </w:p>
        </w:tc>
      </w:tr>
      <w:tr>
        <w:trPr>
          <w:trHeight w:val="463" w:hRule="exact"/>
        </w:trPr>
        <w:tc>
          <w:tcPr>
            <w:tcW w:w="3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中新苏州工业园区创业投资有限公司</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64,675,937</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64,675,937</w:t>
            </w:r>
          </w:p>
        </w:tc>
      </w:tr>
      <w:tr>
        <w:trPr>
          <w:trHeight w:val="463" w:hRule="exact"/>
        </w:trPr>
        <w:tc>
          <w:tcPr>
            <w:tcW w:w="3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萍乡信锐企业管理合伙企业（有限合伙）</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52,101,765</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52,101,765</w:t>
            </w:r>
          </w:p>
        </w:tc>
      </w:tr>
      <w:tr>
        <w:trPr>
          <w:trHeight w:val="466" w:hRule="exact"/>
        </w:trPr>
        <w:tc>
          <w:tcPr>
            <w:tcW w:w="3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昆山市申昌科技有限公司</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49,708,280</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49,708,280</w:t>
            </w:r>
          </w:p>
        </w:tc>
      </w:tr>
      <w:tr>
        <w:trPr>
          <w:trHeight w:val="464" w:hRule="exact"/>
        </w:trPr>
        <w:tc>
          <w:tcPr>
            <w:tcW w:w="3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中国银河证券股份有限公司</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13,742,100</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00"/>
              <w:jc w:val="right"/>
              <w:rPr>
                <w:rFonts w:ascii="Times New Roman" w:hAnsi="Times New Roman" w:cs="Times New Roman" w:eastAsia="Times New Roman" w:hint="default"/>
                <w:sz w:val="18"/>
                <w:szCs w:val="18"/>
              </w:rPr>
            </w:pPr>
            <w:r>
              <w:rPr>
                <w:rFonts w:ascii="Times New Roman"/>
                <w:spacing w:val="-1"/>
                <w:sz w:val="18"/>
              </w:rPr>
              <w:t>13,742,100</w:t>
            </w:r>
          </w:p>
        </w:tc>
      </w:tr>
      <w:tr>
        <w:trPr>
          <w:trHeight w:val="463" w:hRule="exact"/>
        </w:trPr>
        <w:tc>
          <w:tcPr>
            <w:tcW w:w="3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5" w:right="0"/>
              <w:jc w:val="left"/>
              <w:rPr>
                <w:rFonts w:ascii="Times New Roman" w:hAnsi="Times New Roman" w:cs="Times New Roman" w:eastAsia="Times New Roman" w:hint="default"/>
                <w:sz w:val="18"/>
                <w:szCs w:val="18"/>
              </w:rPr>
            </w:pPr>
            <w:r>
              <w:rPr>
                <w:rFonts w:ascii="Times New Roman"/>
                <w:sz w:val="18"/>
              </w:rPr>
              <w:t>Infinity I-China</w:t>
            </w:r>
            <w:r>
              <w:rPr>
                <w:rFonts w:ascii="Times New Roman"/>
                <w:spacing w:val="-31"/>
                <w:sz w:val="18"/>
              </w:rPr>
              <w:t> </w:t>
            </w:r>
            <w:r>
              <w:rPr>
                <w:rFonts w:ascii="Times New Roman"/>
                <w:sz w:val="18"/>
              </w:rPr>
              <w:t>Investments(Israel),L.P.</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13,130,434</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13,130,434</w:t>
            </w:r>
          </w:p>
        </w:tc>
      </w:tr>
      <w:tr>
        <w:trPr>
          <w:trHeight w:val="466" w:hRule="exact"/>
        </w:trPr>
        <w:tc>
          <w:tcPr>
            <w:tcW w:w="3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王宇飞</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8,040,049</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8,040,049</w:t>
            </w:r>
          </w:p>
        </w:tc>
      </w:tr>
      <w:tr>
        <w:trPr>
          <w:trHeight w:val="463" w:hRule="exact"/>
        </w:trPr>
        <w:tc>
          <w:tcPr>
            <w:tcW w:w="3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贺胜龙</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4,800,000</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4,800,000</w:t>
            </w:r>
          </w:p>
        </w:tc>
      </w:tr>
      <w:tr>
        <w:trPr>
          <w:trHeight w:val="713" w:hRule="exact"/>
        </w:trPr>
        <w:tc>
          <w:tcPr>
            <w:tcW w:w="3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中国工商银行股份有限公司－金鹰核心资源 混合型证券投资基金</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2,400,000</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2,400,000</w:t>
            </w:r>
          </w:p>
        </w:tc>
      </w:tr>
      <w:tr>
        <w:trPr>
          <w:trHeight w:val="715" w:hRule="exact"/>
        </w:trPr>
        <w:tc>
          <w:tcPr>
            <w:tcW w:w="363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101"/>
              <w:jc w:val="left"/>
              <w:rPr>
                <w:rFonts w:ascii="宋体" w:hAnsi="宋体" w:cs="宋体" w:eastAsia="宋体" w:hint="default"/>
                <w:sz w:val="18"/>
                <w:szCs w:val="18"/>
              </w:rPr>
            </w:pPr>
            <w:r>
              <w:rPr>
                <w:rFonts w:ascii="宋体" w:hAnsi="宋体" w:cs="宋体" w:eastAsia="宋体" w:hint="default"/>
                <w:sz w:val="18"/>
                <w:szCs w:val="18"/>
              </w:rPr>
              <w:t>云南国际信托有限公司－云南信托·大西部 丝绸之路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号集合资金信托计划</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2,346,499</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2,346,499</w:t>
            </w:r>
          </w:p>
        </w:tc>
      </w:tr>
      <w:tr>
        <w:trPr>
          <w:trHeight w:val="1026" w:hRule="exact"/>
        </w:trPr>
        <w:tc>
          <w:tcPr>
            <w:tcW w:w="36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名无限售流通股股东之间，以及前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p>
          <w:p>
            <w:pPr>
              <w:pStyle w:val="TableParagraph"/>
              <w:spacing w:line="300" w:lineRule="auto" w:before="63"/>
              <w:ind w:left="105" w:right="189"/>
              <w:jc w:val="left"/>
              <w:rPr>
                <w:rFonts w:ascii="宋体" w:hAnsi="宋体" w:cs="宋体" w:eastAsia="宋体" w:hint="default"/>
                <w:sz w:val="18"/>
                <w:szCs w:val="18"/>
              </w:rPr>
            </w:pP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 联关系或一致行动的说明</w:t>
            </w:r>
          </w:p>
        </w:tc>
        <w:tc>
          <w:tcPr>
            <w:tcW w:w="59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未知</w:t>
            </w:r>
          </w:p>
        </w:tc>
      </w:tr>
      <w:tr>
        <w:trPr>
          <w:trHeight w:val="714" w:hRule="exact"/>
        </w:trPr>
        <w:tc>
          <w:tcPr>
            <w:tcW w:w="36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05" w:right="19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名普通股股东参与融资融券业务情况 说明</w:t>
            </w:r>
          </w:p>
        </w:tc>
        <w:tc>
          <w:tcPr>
            <w:tcW w:w="593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0"/>
        <w:jc w:val="left"/>
      </w:pPr>
      <w:r>
        <w:rPr/>
        <w:t>□ 是 √</w:t>
      </w:r>
      <w:r>
        <w:rPr>
          <w:spacing w:val="3"/>
        </w:rPr>
        <w:t> </w:t>
      </w:r>
      <w:r>
        <w:rPr/>
        <w:t>否</w:t>
      </w:r>
    </w:p>
    <w:p>
      <w:pPr>
        <w:pStyle w:val="BodyText"/>
        <w:spacing w:line="240" w:lineRule="auto" w:before="117"/>
        <w:ind w:right="0"/>
        <w:jc w:val="left"/>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8593"/>
        <w:jc w:val="left"/>
      </w:pPr>
      <w:r>
        <w:rPr/>
        <w:t>控股股东性质：无控股主体 控股股东类型：法人</w:t>
      </w:r>
    </w:p>
    <w:tbl>
      <w:tblPr>
        <w:tblW w:w="0" w:type="auto"/>
        <w:jc w:val="left"/>
        <w:tblInd w:w="261" w:type="dxa"/>
        <w:tblLayout w:type="fixed"/>
        <w:tblCellMar>
          <w:top w:w="0" w:type="dxa"/>
          <w:left w:w="0" w:type="dxa"/>
          <w:bottom w:w="0" w:type="dxa"/>
          <w:right w:w="0" w:type="dxa"/>
        </w:tblCellMar>
        <w:tblLook w:val="01E0"/>
      </w:tblPr>
      <w:tblGrid>
        <w:gridCol w:w="2264"/>
        <w:gridCol w:w="1615"/>
        <w:gridCol w:w="1724"/>
        <w:gridCol w:w="1880"/>
        <w:gridCol w:w="2086"/>
      </w:tblGrid>
      <w:tr>
        <w:trPr>
          <w:trHeight w:val="715"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35" w:right="144" w:hanging="38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91110108735130180K</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投资控股</w:t>
            </w:r>
          </w:p>
        </w:tc>
      </w:tr>
      <w:tr>
        <w:trPr>
          <w:trHeight w:val="1027"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66"/>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0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05" w:right="555"/>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日，神码软件持有本公司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40.14%</w:t>
            </w:r>
            <w:r>
              <w:rPr>
                <w:rFonts w:ascii="宋体" w:hAnsi="宋体" w:cs="宋体" w:eastAsia="宋体" w:hint="default"/>
                <w:sz w:val="18"/>
                <w:szCs w:val="18"/>
              </w:rPr>
              <w:t>的股份，本公司之全资子公司 </w:t>
            </w:r>
            <w:r>
              <w:rPr>
                <w:rFonts w:ascii="Times New Roman" w:hAnsi="Times New Roman" w:cs="Times New Roman" w:eastAsia="Times New Roman" w:hint="default"/>
                <w:sz w:val="18"/>
                <w:szCs w:val="18"/>
              </w:rPr>
              <w:t>DCSL </w:t>
            </w:r>
            <w:r>
              <w:rPr>
                <w:rFonts w:ascii="宋体" w:hAnsi="宋体" w:cs="宋体" w:eastAsia="宋体" w:hint="default"/>
                <w:sz w:val="18"/>
                <w:szCs w:val="18"/>
              </w:rPr>
              <w:t>直接持有鼎捷软件</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15.43%</w:t>
            </w:r>
            <w:r>
              <w:rPr>
                <w:rFonts w:ascii="宋体" w:hAnsi="宋体" w:cs="宋体" w:eastAsia="宋体" w:hint="default"/>
                <w:sz w:val="18"/>
                <w:szCs w:val="18"/>
              </w:rPr>
              <w:t>的股份。</w:t>
            </w:r>
          </w:p>
        </w:tc>
      </w:tr>
    </w:tbl>
    <w:p>
      <w:pPr>
        <w:spacing w:after="0" w:line="300" w:lineRule="auto"/>
        <w:jc w:val="left"/>
        <w:rPr>
          <w:rFonts w:ascii="宋体" w:hAnsi="宋体" w:cs="宋体" w:eastAsia="宋体" w:hint="default"/>
          <w:sz w:val="18"/>
          <w:szCs w:val="18"/>
        </w:rPr>
        <w:sectPr>
          <w:pgSz w:w="11910" w:h="16840"/>
          <w:pgMar w:header="916" w:footer="1261" w:top="1120" w:bottom="1460" w:left="980" w:right="0"/>
        </w:sectPr>
      </w:pPr>
    </w:p>
    <w:p>
      <w:pPr>
        <w:spacing w:line="240" w:lineRule="auto" w:before="9"/>
        <w:rPr>
          <w:rFonts w:ascii="宋体" w:hAnsi="宋体" w:cs="宋体" w:eastAsia="宋体" w:hint="default"/>
          <w:sz w:val="20"/>
          <w:szCs w:val="20"/>
        </w:rPr>
      </w:pPr>
    </w:p>
    <w:p>
      <w:pPr>
        <w:pStyle w:val="BodyText"/>
        <w:spacing w:line="240" w:lineRule="auto" w:before="44"/>
        <w:ind w:right="0"/>
        <w:jc w:val="left"/>
      </w:pPr>
      <w:r>
        <w:rPr/>
        <w:t>控股股东报告期内变更</w:t>
      </w:r>
    </w:p>
    <w:p>
      <w:pPr>
        <w:pStyle w:val="BodyText"/>
        <w:spacing w:line="357" w:lineRule="auto" w:before="117"/>
        <w:ind w:right="6793"/>
        <w:jc w:val="left"/>
      </w:pPr>
      <w:r>
        <w:rPr/>
        <w:t>□ 适用 √</w:t>
      </w:r>
      <w:r>
        <w:rPr>
          <w:spacing w:val="3"/>
        </w:rPr>
        <w:t> </w:t>
      </w:r>
      <w:r>
        <w:rPr/>
        <w:t>不适用</w:t>
      </w:r>
      <w:r>
        <w:rPr/>
        <w:t> 公司报告期控股股东未发生变更。</w:t>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053"/>
        <w:jc w:val="left"/>
      </w:pPr>
      <w:r>
        <w:rPr/>
        <w:t>实际控制人性质：无实际控制人 实际控制人类型：不存在 公司不存在实际控制人情况的说明</w:t>
      </w:r>
    </w:p>
    <w:p>
      <w:pPr>
        <w:pStyle w:val="BodyText"/>
        <w:spacing w:line="316" w:lineRule="auto" w:before="29"/>
        <w:ind w:right="1393" w:firstLine="360"/>
        <w:jc w:val="left"/>
        <w:rPr>
          <w:rFonts w:ascii="宋体" w:hAnsi="宋体" w:cs="宋体" w:eastAsia="宋体" w:hint="default"/>
        </w:rPr>
      </w:pPr>
      <w:r>
        <w:rPr/>
        <w:t>公司的控股股东为神码软件。由于神码软件是神州控股的全资子公司，神州控股的股权结构分散，不存在实际控制 人，因此公司无实际控制人。</w:t>
      </w:r>
      <w:r>
        <w:rPr>
          <w:rFonts w:ascii="宋体" w:hAnsi="宋体" w:cs="宋体" w:eastAsia="宋体" w:hint="default"/>
        </w:rPr>
        <w:t> </w:t>
      </w:r>
    </w:p>
    <w:p>
      <w:pPr>
        <w:pStyle w:val="BodyText"/>
        <w:spacing w:line="240" w:lineRule="auto" w:before="60"/>
        <w:ind w:right="0"/>
        <w:jc w:val="left"/>
      </w:pPr>
      <w:r>
        <w:rPr/>
        <w:t>公司最终控制层面是否存在持股比例在</w:t>
      </w:r>
      <w:r>
        <w:rPr>
          <w:spacing w:val="-44"/>
        </w:rPr>
        <w:t> </w:t>
      </w:r>
      <w:r>
        <w:rPr>
          <w:rFonts w:ascii="Times New Roman" w:hAnsi="Times New Roman" w:cs="Times New Roman" w:eastAsia="Times New Roman" w:hint="default"/>
        </w:rPr>
        <w:t>10%</w:t>
      </w:r>
      <w:r>
        <w:rPr/>
        <w:t>以上的股东情况</w:t>
      </w:r>
    </w:p>
    <w:p>
      <w:pPr>
        <w:pStyle w:val="BodyText"/>
        <w:spacing w:line="360" w:lineRule="auto" w:before="101"/>
        <w:ind w:right="9760"/>
        <w:jc w:val="left"/>
      </w:pPr>
      <w:r>
        <w:rPr/>
        <w:t>√ 是 □</w:t>
      </w:r>
      <w:r>
        <w:rPr>
          <w:spacing w:val="3"/>
        </w:rPr>
        <w:t> </w:t>
      </w:r>
      <w:r>
        <w:rPr/>
        <w:t>否</w:t>
      </w:r>
      <w:r>
        <w:rPr/>
        <w:t> 法人</w:t>
      </w:r>
    </w:p>
    <w:p>
      <w:pPr>
        <w:pStyle w:val="BodyText"/>
        <w:spacing w:line="240" w:lineRule="auto" w:before="27"/>
        <w:ind w:right="0"/>
        <w:jc w:val="left"/>
      </w:pPr>
      <w:r>
        <w:rPr/>
        <w:t>最终控制层面持股情况</w:t>
      </w:r>
    </w:p>
    <w:p>
      <w:pPr>
        <w:spacing w:line="240" w:lineRule="auto" w:before="2"/>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2264"/>
        <w:gridCol w:w="1618"/>
        <w:gridCol w:w="1565"/>
        <w:gridCol w:w="2213"/>
        <w:gridCol w:w="1908"/>
      </w:tblGrid>
      <w:tr>
        <w:trPr>
          <w:trHeight w:val="715"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最终控制层面股东名称</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32" w:right="146" w:hanging="38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025"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166"/>
              <w:jc w:val="left"/>
              <w:rPr>
                <w:rFonts w:ascii="宋体" w:hAnsi="宋体" w:cs="宋体" w:eastAsia="宋体" w:hint="default"/>
                <w:sz w:val="18"/>
                <w:szCs w:val="18"/>
              </w:rPr>
            </w:pPr>
            <w:r>
              <w:rPr>
                <w:rFonts w:ascii="宋体" w:hAnsi="宋体" w:cs="宋体" w:eastAsia="宋体" w:hint="default"/>
                <w:sz w:val="18"/>
                <w:szCs w:val="18"/>
              </w:rPr>
              <w:t>广州城投甲子投资合伙企 业（有限合伙）</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42"/>
              <w:jc w:val="both"/>
              <w:rPr>
                <w:rFonts w:ascii="宋体" w:hAnsi="宋体" w:cs="宋体" w:eastAsia="宋体" w:hint="default"/>
                <w:sz w:val="18"/>
                <w:szCs w:val="18"/>
              </w:rPr>
            </w:pPr>
            <w:r>
              <w:rPr>
                <w:rFonts w:ascii="宋体" w:hAnsi="宋体" w:cs="宋体" w:eastAsia="宋体" w:hint="default"/>
                <w:sz w:val="18"/>
                <w:szCs w:val="18"/>
              </w:rPr>
              <w:t>广州城投佳朋产 业投资基金管理 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91440101MA59EFAJ00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投资</w:t>
            </w:r>
          </w:p>
        </w:tc>
      </w:tr>
      <w:tr>
        <w:trPr>
          <w:trHeight w:val="71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66"/>
              <w:jc w:val="left"/>
              <w:rPr>
                <w:rFonts w:ascii="宋体" w:hAnsi="宋体" w:cs="宋体" w:eastAsia="宋体" w:hint="default"/>
                <w:sz w:val="18"/>
                <w:szCs w:val="18"/>
              </w:rPr>
            </w:pPr>
            <w:r>
              <w:rPr>
                <w:rFonts w:ascii="宋体" w:hAnsi="宋体" w:cs="宋体" w:eastAsia="宋体" w:hint="default"/>
                <w:sz w:val="18"/>
                <w:szCs w:val="18"/>
              </w:rPr>
              <w:t>广州广电运通金融电子股 份有限公司</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黄跃珍</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统一社会信用代码</w:t>
            </w: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914401017163404737</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通用设备制造业</w:t>
            </w:r>
          </w:p>
        </w:tc>
      </w:tr>
      <w:tr>
        <w:trPr>
          <w:trHeight w:val="71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05" w:right="286"/>
              <w:jc w:val="left"/>
              <w:rPr>
                <w:rFonts w:ascii="Times New Roman" w:hAnsi="Times New Roman" w:cs="Times New Roman" w:eastAsia="Times New Roman" w:hint="default"/>
                <w:sz w:val="18"/>
                <w:szCs w:val="18"/>
              </w:rPr>
            </w:pPr>
            <w:r>
              <w:rPr>
                <w:rFonts w:ascii="Times New Roman"/>
                <w:sz w:val="18"/>
              </w:rPr>
              <w:t>Dragon City</w:t>
            </w:r>
            <w:r>
              <w:rPr>
                <w:rFonts w:ascii="Times New Roman"/>
                <w:spacing w:val="-5"/>
                <w:sz w:val="18"/>
              </w:rPr>
              <w:t> </w:t>
            </w:r>
            <w:r>
              <w:rPr>
                <w:rFonts w:ascii="Times New Roman"/>
                <w:sz w:val="18"/>
              </w:rPr>
              <w:t>International</w:t>
            </w:r>
            <w:r>
              <w:rPr>
                <w:rFonts w:ascii="Times New Roman"/>
                <w:sz w:val="18"/>
              </w:rPr>
              <w:t> Investment</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pacing w:val="-4"/>
                <w:sz w:val="18"/>
              </w:rPr>
              <w:t>Yip </w:t>
            </w:r>
            <w:r>
              <w:rPr>
                <w:rFonts w:ascii="Times New Roman"/>
                <w:sz w:val="18"/>
              </w:rPr>
              <w:t>Chi</w:t>
            </w:r>
            <w:r>
              <w:rPr>
                <w:rFonts w:ascii="Times New Roman"/>
                <w:spacing w:val="-3"/>
                <w:sz w:val="18"/>
              </w:rPr>
              <w:t> </w:t>
            </w:r>
            <w:r>
              <w:rPr>
                <w:rFonts w:ascii="Times New Roman"/>
                <w:spacing w:val="-10"/>
                <w:sz w:val="18"/>
              </w:rPr>
              <w:t>Yu</w:t>
            </w:r>
          </w:p>
        </w:tc>
        <w:tc>
          <w:tcPr>
            <w:tcW w:w="1565" w:type="dxa"/>
            <w:tcBorders>
              <w:top w:val="single" w:sz="4" w:space="0" w:color="000000"/>
              <w:left w:val="single" w:sz="4" w:space="0" w:color="000000"/>
              <w:bottom w:val="single" w:sz="4" w:space="0" w:color="000000"/>
              <w:right w:val="single" w:sz="4" w:space="0" w:color="000000"/>
            </w:tcBorders>
          </w:tcPr>
          <w:p>
            <w:pPr/>
          </w:p>
        </w:tc>
        <w:tc>
          <w:tcPr>
            <w:tcW w:w="2213" w:type="dxa"/>
            <w:tcBorders>
              <w:top w:val="single" w:sz="4" w:space="0" w:color="000000"/>
              <w:left w:val="single" w:sz="4" w:space="0" w:color="000000"/>
              <w:bottom w:val="single" w:sz="4" w:space="0" w:color="000000"/>
              <w:right w:val="single" w:sz="4" w:space="0" w:color="000000"/>
            </w:tcBorders>
          </w:tcPr>
          <w:p>
            <w:pPr/>
          </w:p>
        </w:tc>
        <w:tc>
          <w:tcPr>
            <w:tcW w:w="1908" w:type="dxa"/>
            <w:tcBorders>
              <w:top w:val="single" w:sz="4" w:space="0" w:color="000000"/>
              <w:left w:val="single" w:sz="4" w:space="0" w:color="000000"/>
              <w:bottom w:val="single" w:sz="4" w:space="0" w:color="000000"/>
              <w:right w:val="single" w:sz="4" w:space="0" w:color="000000"/>
            </w:tcBorders>
          </w:tcPr>
          <w:p>
            <w:pPr/>
          </w:p>
        </w:tc>
      </w:tr>
      <w:tr>
        <w:trPr>
          <w:trHeight w:val="1380"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316" w:lineRule="auto"/>
              <w:ind w:left="105" w:right="166"/>
              <w:jc w:val="both"/>
              <w:rPr>
                <w:rFonts w:ascii="宋体" w:hAnsi="宋体" w:cs="宋体" w:eastAsia="宋体" w:hint="default"/>
                <w:sz w:val="18"/>
                <w:szCs w:val="18"/>
              </w:rPr>
            </w:pPr>
            <w:r>
              <w:rPr>
                <w:rFonts w:ascii="宋体" w:hAnsi="宋体" w:cs="宋体" w:eastAsia="宋体" w:hint="default"/>
                <w:sz w:val="18"/>
                <w:szCs w:val="18"/>
              </w:rPr>
              <w:t>最终控制层面股东报告期 内控制的其他境内外上市 公司的股权情况</w:t>
            </w:r>
          </w:p>
        </w:tc>
        <w:tc>
          <w:tcPr>
            <w:tcW w:w="7305" w:type="dxa"/>
            <w:gridSpan w:val="4"/>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、广州广电运通金融电子股份有限公司在报告期内控制的其他境内外上市公司的股权情 况，详见广州广电运通金融电子股份有限公司披露的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年年度报告。 </w:t>
            </w:r>
            <w:r>
              <w:rPr>
                <w:rFonts w:ascii="Times New Roman" w:hAnsi="Times New Roman" w:cs="Times New Roman" w:eastAsia="Times New Roman" w:hint="default"/>
                <w:sz w:val="18"/>
                <w:szCs w:val="18"/>
              </w:rPr>
              <w:t>2</w:t>
            </w:r>
            <w:r>
              <w:rPr>
                <w:rFonts w:ascii="宋体" w:hAnsi="宋体" w:cs="宋体" w:eastAsia="宋体" w:hint="default"/>
                <w:sz w:val="18"/>
                <w:szCs w:val="18"/>
              </w:rPr>
              <w:t>、未知广州城投甲子投资合伙企业（有限合伙）</w:t>
            </w:r>
            <w:r>
              <w:rPr>
                <w:rFonts w:ascii="宋体" w:hAnsi="宋体" w:cs="宋体" w:eastAsia="宋体" w:hint="default"/>
                <w:sz w:val="21"/>
                <w:szCs w:val="21"/>
              </w:rPr>
              <w:t>及</w:t>
            </w:r>
            <w:r>
              <w:rPr>
                <w:rFonts w:ascii="宋体" w:hAnsi="宋体" w:cs="宋体" w:eastAsia="宋体" w:hint="default"/>
                <w:spacing w:val="-54"/>
                <w:sz w:val="21"/>
                <w:szCs w:val="21"/>
              </w:rPr>
              <w:t> </w:t>
            </w:r>
            <w:r>
              <w:rPr>
                <w:rFonts w:ascii="Times New Roman" w:hAnsi="Times New Roman" w:cs="Times New Roman" w:eastAsia="Times New Roman" w:hint="default"/>
                <w:sz w:val="18"/>
                <w:szCs w:val="18"/>
              </w:rPr>
              <w:t>Dragon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City</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Investment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 报告期内控制的其他境内外上市公司的股权情况。</w:t>
            </w:r>
          </w:p>
        </w:tc>
      </w:tr>
    </w:tbl>
    <w:p>
      <w:pPr>
        <w:pStyle w:val="BodyText"/>
        <w:spacing w:line="240" w:lineRule="auto" w:before="49"/>
        <w:ind w:right="0"/>
        <w:jc w:val="left"/>
      </w:pPr>
      <w:r>
        <w:rPr/>
        <w:t>实际控制人报告期内变更</w:t>
      </w:r>
    </w:p>
    <w:p>
      <w:pPr>
        <w:pStyle w:val="BodyText"/>
        <w:spacing w:line="357" w:lineRule="auto" w:before="115"/>
        <w:ind w:right="6793"/>
        <w:jc w:val="left"/>
      </w:pPr>
      <w:r>
        <w:rPr/>
        <w:t>□ 适用 √</w:t>
      </w:r>
      <w:r>
        <w:rPr>
          <w:spacing w:val="3"/>
        </w:rPr>
        <w:t> </w:t>
      </w:r>
      <w:r>
        <w:rPr/>
        <w:t>不适用</w:t>
      </w:r>
      <w:r>
        <w:rPr/>
        <w:t> 公司报告期实际控制人未发生变更。 公司与实际控制人之间的产权及控制关系的方框图</w:t>
      </w:r>
    </w:p>
    <w:p>
      <w:pPr>
        <w:spacing w:after="0" w:line="357" w:lineRule="auto"/>
        <w:jc w:val="left"/>
        <w:sectPr>
          <w:pgSz w:w="11910" w:h="16840"/>
          <w:pgMar w:header="916" w:footer="1261" w:top="1120" w:bottom="14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spacing w:line="5353" w:lineRule="exact"/>
        <w:ind w:left="1074" w:right="0" w:firstLine="0"/>
        <w:rPr>
          <w:rFonts w:ascii="宋体" w:hAnsi="宋体" w:cs="宋体" w:eastAsia="宋体" w:hint="default"/>
          <w:sz w:val="20"/>
          <w:szCs w:val="20"/>
        </w:rPr>
      </w:pPr>
      <w:r>
        <w:rPr>
          <w:rFonts w:ascii="宋体" w:hAnsi="宋体" w:cs="宋体" w:eastAsia="宋体" w:hint="default"/>
          <w:position w:val="-106"/>
          <w:sz w:val="20"/>
          <w:szCs w:val="20"/>
        </w:rPr>
        <w:pict>
          <v:group style="width:155.450pt;height:267.7pt;mso-position-horizontal-relative:char;mso-position-vertical-relative:line" coordorigin="0,0" coordsize="3109,5354">
            <v:shape style="position:absolute;left:1102;top:3879;width:954;height:503" type="#_x0000_t75" stroked="false">
              <v:imagedata r:id="rId52" o:title=""/>
            </v:shape>
            <v:shape style="position:absolute;left:1089;top:3865;width:933;height:483" type="#_x0000_t75" stroked="false">
              <v:imagedata r:id="rId53" o:title=""/>
            </v:shape>
            <v:shape style="position:absolute;left:8;top:4842;width:3101;height:511" type="#_x0000_t75" stroked="false">
              <v:imagedata r:id="rId54" o:title=""/>
            </v:shape>
            <v:shape style="position:absolute;left:0;top:4831;width:3073;height:483" type="#_x0000_t75" stroked="false">
              <v:imagedata r:id="rId55" o:title=""/>
            </v:shape>
            <v:shape style="position:absolute;left:1498;top:4339;width:116;height:491" type="#_x0000_t75" stroked="false">
              <v:imagedata r:id="rId56" o:title=""/>
            </v:shape>
            <v:group style="position:absolute;left:1556;top:4702;width:2;height:39" coordorigin="1556,4702" coordsize="2,39">
              <v:shape style="position:absolute;left:1556;top:4702;width:2;height:39" coordorigin="1556,4702" coordsize="0,39" path="m1556,4702l1556,4740e" filled="false" stroked="true" strokeweight=".822544pt" strokecolor="#404040">
                <v:path arrowok="t"/>
              </v:shape>
              <v:shape style="position:absolute;left:871;top:982;width:1423;height:503" type="#_x0000_t75" stroked="false">
                <v:imagedata r:id="rId57" o:title=""/>
              </v:shape>
              <v:shape style="position:absolute;left:856;top:966;width:1399;height:483" type="#_x0000_t75" stroked="false">
                <v:imagedata r:id="rId58" o:title=""/>
              </v:shape>
              <v:shape style="position:absolute;left:871;top:11;width:1423;height:511" type="#_x0000_t75" stroked="false">
                <v:imagedata r:id="rId59" o:title=""/>
              </v:shape>
              <v:shape style="position:absolute;left:856;top:0;width:1399;height:483" type="#_x0000_t75" stroked="false">
                <v:imagedata r:id="rId60" o:title=""/>
              </v:shape>
              <v:shape style="position:absolute;left:1498;top:475;width:116;height:491" type="#_x0000_t75" stroked="false">
                <v:imagedata r:id="rId61" o:title=""/>
              </v:shape>
            </v:group>
            <v:group style="position:absolute;left:1556;top:837;width:2;height:39" coordorigin="1556,837" coordsize="2,39">
              <v:shape style="position:absolute;left:1556;top:837;width:2;height:39" coordorigin="1556,837" coordsize="0,39" path="m1556,837l1556,875e" filled="false" stroked="true" strokeweight=".822544pt" strokecolor="#404040">
                <v:path arrowok="t"/>
              </v:shape>
              <v:shape style="position:absolute;left:1498;top:1441;width:116;height:491" type="#_x0000_t75" stroked="false">
                <v:imagedata r:id="rId62" o:title=""/>
              </v:shape>
            </v:group>
            <v:group style="position:absolute;left:1556;top:1803;width:2;height:39" coordorigin="1556,1803" coordsize="2,39">
              <v:shape style="position:absolute;left:1556;top:1803;width:2;height:39" coordorigin="1556,1803" coordsize="0,39" path="m1556,1803l1556,1841e" filled="false" stroked="true" strokeweight=".822544pt" strokecolor="#404040">
                <v:path arrowok="t"/>
              </v:shape>
              <v:shape style="position:absolute;left:403;top:1945;width:2352;height:511" type="#_x0000_t75" stroked="false">
                <v:imagedata r:id="rId63" o:title=""/>
              </v:shape>
              <v:shape style="position:absolute;left:390;top:1932;width:2332;height:483" type="#_x0000_t75" stroked="false">
                <v:imagedata r:id="rId64" o:title=""/>
              </v:shape>
              <v:shape style="position:absolute;left:1498;top:2407;width:116;height:491" type="#_x0000_t75" stroked="false">
                <v:imagedata r:id="rId65" o:title=""/>
              </v:shape>
            </v:group>
            <v:group style="position:absolute;left:1556;top:2769;width:2;height:39" coordorigin="1556,2769" coordsize="2,39">
              <v:shape style="position:absolute;left:1556;top:2769;width:2;height:39" coordorigin="1556,2769" coordsize="0,39" path="m1556,2769l1556,2807e" filled="false" stroked="true" strokeweight=".822544pt" strokecolor="#404040">
                <v:path arrowok="t"/>
              </v:shape>
              <v:shape style="position:absolute;left:403;top:2908;width:2352;height:511" type="#_x0000_t75" stroked="false">
                <v:imagedata r:id="rId66" o:title=""/>
              </v:shape>
              <v:shape style="position:absolute;left:390;top:2898;width:2332;height:483" type="#_x0000_t75" stroked="false">
                <v:imagedata r:id="rId67" o:title=""/>
              </v:shape>
              <v:shape style="position:absolute;left:1498;top:3373;width:116;height:491" type="#_x0000_t75" stroked="false">
                <v:imagedata r:id="rId68" o:title=""/>
              </v:shape>
            </v:group>
            <v:group style="position:absolute;left:1556;top:3735;width:2;height:39" coordorigin="1556,3735" coordsize="2,39">
              <v:shape style="position:absolute;left:1556;top:3735;width:2;height:39" coordorigin="1556,3735" coordsize="0,39" path="m1556,3735l1556,3774e" filled="false" stroked="true" strokeweight=".822544pt" strokecolor="#404040">
                <v:path arrowok="t"/>
              </v:shape>
              <v:shape style="position:absolute;left:1355;top:641;width:405;height:188" type="#_x0000_t202" filled="false" stroked="false">
                <v:textbox inset="0,0,0,0">
                  <w:txbxContent>
                    <w:p>
                      <w:pPr>
                        <w:spacing w:line="188" w:lineRule="exact" w:before="0"/>
                        <w:ind w:left="0" w:right="0" w:firstLine="0"/>
                        <w:jc w:val="left"/>
                        <w:rPr>
                          <w:rFonts w:ascii="Calibri" w:hAnsi="Calibri" w:cs="Calibri" w:eastAsia="Calibri" w:hint="default"/>
                          <w:sz w:val="18"/>
                          <w:szCs w:val="18"/>
                        </w:rPr>
                      </w:pPr>
                      <w:r>
                        <w:rPr>
                          <w:rFonts w:ascii="Calibri"/>
                          <w:sz w:val="18"/>
                        </w:rPr>
                        <w:t>100%</w:t>
                      </w:r>
                    </w:p>
                  </w:txbxContent>
                </v:textbox>
                <w10:wrap type="none"/>
              </v:shape>
              <v:shape style="position:absolute;left:1355;top:1609;width:405;height:188" type="#_x0000_t202" filled="false" stroked="false">
                <v:textbox inset="0,0,0,0">
                  <w:txbxContent>
                    <w:p>
                      <w:pPr>
                        <w:spacing w:line="188" w:lineRule="exact" w:before="0"/>
                        <w:ind w:left="0" w:right="0" w:firstLine="0"/>
                        <w:jc w:val="left"/>
                        <w:rPr>
                          <w:rFonts w:ascii="Calibri" w:hAnsi="Calibri" w:cs="Calibri" w:eastAsia="Calibri" w:hint="default"/>
                          <w:sz w:val="18"/>
                          <w:szCs w:val="18"/>
                        </w:rPr>
                      </w:pPr>
                      <w:r>
                        <w:rPr>
                          <w:rFonts w:ascii="Calibri"/>
                          <w:sz w:val="18"/>
                        </w:rPr>
                        <w:t>100%</w:t>
                      </w:r>
                    </w:p>
                  </w:txbxContent>
                </v:textbox>
                <w10:wrap type="none"/>
              </v:shape>
              <v:shape style="position:absolute;left:1355;top:2577;width:405;height:188" type="#_x0000_t202" filled="false" stroked="false">
                <v:textbox inset="0,0,0,0">
                  <w:txbxContent>
                    <w:p>
                      <w:pPr>
                        <w:spacing w:line="187" w:lineRule="exact" w:before="0"/>
                        <w:ind w:left="0" w:right="0" w:firstLine="0"/>
                        <w:jc w:val="left"/>
                        <w:rPr>
                          <w:rFonts w:ascii="Calibri" w:hAnsi="Calibri" w:cs="Calibri" w:eastAsia="Calibri" w:hint="default"/>
                          <w:sz w:val="18"/>
                          <w:szCs w:val="18"/>
                        </w:rPr>
                      </w:pPr>
                      <w:r>
                        <w:rPr>
                          <w:rFonts w:ascii="Calibri"/>
                          <w:sz w:val="18"/>
                        </w:rPr>
                        <w:t>100%</w:t>
                      </w:r>
                    </w:p>
                  </w:txbxContent>
                </v:textbox>
                <w10:wrap type="none"/>
              </v:shape>
              <v:shape style="position:absolute;left:1355;top:3544;width:405;height:188" type="#_x0000_t202" filled="false" stroked="false">
                <v:textbox inset="0,0,0,0">
                  <w:txbxContent>
                    <w:p>
                      <w:pPr>
                        <w:spacing w:line="188" w:lineRule="exact" w:before="0"/>
                        <w:ind w:left="0" w:right="0" w:firstLine="0"/>
                        <w:jc w:val="left"/>
                        <w:rPr>
                          <w:rFonts w:ascii="Calibri" w:hAnsi="Calibri" w:cs="Calibri" w:eastAsia="Calibri" w:hint="default"/>
                          <w:sz w:val="18"/>
                          <w:szCs w:val="18"/>
                        </w:rPr>
                      </w:pPr>
                      <w:r>
                        <w:rPr>
                          <w:rFonts w:ascii="Calibri"/>
                          <w:sz w:val="18"/>
                        </w:rPr>
                        <w:t>100%</w:t>
                      </w:r>
                    </w:p>
                  </w:txbxContent>
                </v:textbox>
                <w10:wrap type="none"/>
              </v:shape>
              <v:shape style="position:absolute;left:1286;top:4512;width:543;height:188" type="#_x0000_t202" filled="false" stroked="false">
                <v:textbox inset="0,0,0,0">
                  <w:txbxContent>
                    <w:p>
                      <w:pPr>
                        <w:spacing w:line="188" w:lineRule="exact" w:before="0"/>
                        <w:ind w:left="0" w:right="0" w:firstLine="0"/>
                        <w:jc w:val="left"/>
                        <w:rPr>
                          <w:rFonts w:ascii="Calibri" w:hAnsi="Calibri" w:cs="Calibri" w:eastAsia="Calibri" w:hint="default"/>
                          <w:sz w:val="18"/>
                          <w:szCs w:val="18"/>
                        </w:rPr>
                      </w:pPr>
                      <w:r>
                        <w:rPr>
                          <w:rFonts w:ascii="Calibri"/>
                          <w:sz w:val="18"/>
                        </w:rPr>
                        <w:t>40.14%</w:t>
                      </w:r>
                    </w:p>
                  </w:txbxContent>
                </v:textbox>
                <w10:wrap type="none"/>
              </v:shape>
              <v:shape style="position:absolute;left:856;top:0;width:1399;height:484" type="#_x0000_t202" filled="false" stroked="true" strokeweight=".424982pt" strokecolor="#404040">
                <v:textbox inset="0,0,0,0">
                  <w:txbxContent>
                    <w:p>
                      <w:pPr>
                        <w:spacing w:line="194" w:lineRule="exact" w:before="0"/>
                        <w:ind w:left="2" w:right="0" w:firstLine="0"/>
                        <w:jc w:val="center"/>
                        <w:rPr>
                          <w:rFonts w:ascii="宋体" w:hAnsi="宋体" w:cs="宋体" w:eastAsia="宋体" w:hint="default"/>
                          <w:sz w:val="18"/>
                          <w:szCs w:val="18"/>
                        </w:rPr>
                      </w:pPr>
                      <w:r>
                        <w:rPr>
                          <w:rFonts w:ascii="宋体" w:hAnsi="宋体" w:cs="宋体" w:eastAsia="宋体" w:hint="default"/>
                          <w:sz w:val="18"/>
                          <w:szCs w:val="18"/>
                        </w:rPr>
                        <w:t>神州数码</w:t>
                      </w:r>
                    </w:p>
                    <w:p>
                      <w:pPr>
                        <w:spacing w:before="8"/>
                        <w:ind w:left="3"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Calibri" w:hAnsi="Calibri" w:cs="Calibri" w:eastAsia="Calibri" w:hint="default"/>
                          <w:sz w:val="18"/>
                          <w:szCs w:val="18"/>
                        </w:rPr>
                        <w:t>00861.HK</w:t>
                      </w:r>
                      <w:r>
                        <w:rPr>
                          <w:rFonts w:ascii="宋体" w:hAnsi="宋体" w:cs="宋体" w:eastAsia="宋体" w:hint="default"/>
                          <w:sz w:val="18"/>
                          <w:szCs w:val="18"/>
                        </w:rPr>
                        <w:t>）</w:t>
                      </w:r>
                    </w:p>
                  </w:txbxContent>
                </v:textbox>
                <w10:wrap type="none"/>
              </v:shape>
              <v:shape style="position:absolute;left:856;top:966;width:1399;height:484" type="#_x0000_t202" filled="false" stroked="true" strokeweight=".424982pt" strokecolor="#404040">
                <v:textbox inset="0,0,0,0">
                  <w:txbxContent>
                    <w:p>
                      <w:pPr>
                        <w:spacing w:line="204" w:lineRule="exact" w:before="25"/>
                        <w:ind w:left="447" w:right="90" w:hanging="352"/>
                        <w:jc w:val="left"/>
                        <w:rPr>
                          <w:rFonts w:ascii="Calibri" w:hAnsi="Calibri" w:cs="Calibri" w:eastAsia="Calibri" w:hint="default"/>
                          <w:sz w:val="17"/>
                          <w:szCs w:val="17"/>
                        </w:rPr>
                      </w:pPr>
                      <w:r>
                        <w:rPr>
                          <w:rFonts w:ascii="Calibri"/>
                          <w:sz w:val="17"/>
                        </w:rPr>
                        <w:t>Digital</w:t>
                      </w:r>
                      <w:r>
                        <w:rPr>
                          <w:rFonts w:ascii="Calibri"/>
                          <w:spacing w:val="-19"/>
                          <w:sz w:val="17"/>
                        </w:rPr>
                        <w:t> </w:t>
                      </w:r>
                      <w:r>
                        <w:rPr>
                          <w:rFonts w:ascii="Calibri"/>
                          <w:sz w:val="17"/>
                        </w:rPr>
                        <w:t>China</w:t>
                      </w:r>
                      <w:r>
                        <w:rPr>
                          <w:rFonts w:ascii="Calibri"/>
                          <w:spacing w:val="-20"/>
                          <w:sz w:val="17"/>
                        </w:rPr>
                        <w:t> </w:t>
                      </w:r>
                      <w:r>
                        <w:rPr>
                          <w:rFonts w:ascii="Calibri"/>
                          <w:sz w:val="17"/>
                        </w:rPr>
                        <w:t>(BVI)</w:t>
                      </w:r>
                      <w:r>
                        <w:rPr>
                          <w:rFonts w:ascii="Calibri"/>
                          <w:w w:val="97"/>
                          <w:sz w:val="17"/>
                        </w:rPr>
                        <w:t> </w:t>
                      </w:r>
                      <w:r>
                        <w:rPr>
                          <w:rFonts w:ascii="Calibri"/>
                          <w:sz w:val="17"/>
                        </w:rPr>
                        <w:t>Limited</w:t>
                      </w:r>
                    </w:p>
                  </w:txbxContent>
                </v:textbox>
                <w10:wrap type="none"/>
              </v:shape>
              <v:shape style="position:absolute;left:390;top:1932;width:2332;height:484" type="#_x0000_t202" filled="false" stroked="true" strokeweight=".425892pt" strokecolor="#404040">
                <v:textbox inset="0,0,0,0">
                  <w:txbxContent>
                    <w:p>
                      <w:pPr>
                        <w:spacing w:line="212" w:lineRule="exact" w:before="9"/>
                        <w:ind w:left="3" w:right="0" w:firstLine="0"/>
                        <w:jc w:val="center"/>
                        <w:rPr>
                          <w:rFonts w:ascii="Calibri" w:hAnsi="Calibri" w:cs="Calibri" w:eastAsia="Calibri" w:hint="default"/>
                          <w:sz w:val="18"/>
                          <w:szCs w:val="18"/>
                        </w:rPr>
                      </w:pPr>
                      <w:r>
                        <w:rPr>
                          <w:rFonts w:ascii="Calibri"/>
                          <w:sz w:val="18"/>
                        </w:rPr>
                        <w:t>Grace Glory</w:t>
                      </w:r>
                      <w:r>
                        <w:rPr>
                          <w:rFonts w:ascii="Calibri"/>
                          <w:spacing w:val="1"/>
                          <w:sz w:val="18"/>
                        </w:rPr>
                        <w:t> </w:t>
                      </w:r>
                      <w:r>
                        <w:rPr>
                          <w:rFonts w:ascii="Calibri"/>
                          <w:sz w:val="18"/>
                        </w:rPr>
                        <w:t>Enterprises</w:t>
                      </w:r>
                    </w:p>
                    <w:p>
                      <w:pPr>
                        <w:spacing w:line="239" w:lineRule="exact" w:before="0"/>
                        <w:ind w:left="3" w:right="0" w:firstLine="0"/>
                        <w:jc w:val="center"/>
                        <w:rPr>
                          <w:rFonts w:ascii="Calibri" w:hAnsi="Calibri" w:cs="Calibri" w:eastAsia="Calibri" w:hint="default"/>
                          <w:sz w:val="17"/>
                          <w:szCs w:val="17"/>
                        </w:rPr>
                      </w:pPr>
                      <w:r>
                        <w:rPr>
                          <w:rFonts w:ascii="Calibri" w:hAnsi="Calibri" w:cs="Calibri" w:eastAsia="Calibri" w:hint="default"/>
                          <w:sz w:val="18"/>
                          <w:szCs w:val="18"/>
                        </w:rPr>
                        <w:t>Limited(</w:t>
                      </w:r>
                      <w:r>
                        <w:rPr>
                          <w:rFonts w:ascii="宋体" w:hAnsi="宋体" w:cs="宋体" w:eastAsia="宋体" w:hint="default"/>
                          <w:sz w:val="17"/>
                          <w:szCs w:val="17"/>
                        </w:rPr>
                        <w:t>辉煌企业有限公司</w:t>
                      </w:r>
                      <w:r>
                        <w:rPr>
                          <w:rFonts w:ascii="Calibri" w:hAnsi="Calibri" w:cs="Calibri" w:eastAsia="Calibri" w:hint="default"/>
                          <w:sz w:val="17"/>
                          <w:szCs w:val="17"/>
                        </w:rPr>
                        <w:t>)</w:t>
                      </w:r>
                    </w:p>
                  </w:txbxContent>
                </v:textbox>
                <w10:wrap type="none"/>
              </v:shape>
              <v:shape style="position:absolute;left:390;top:2898;width:2332;height:484" type="#_x0000_t202" filled="false" stroked="true" strokeweight=".425892pt" strokecolor="#404040">
                <v:textbox inset="0,0,0,0">
                  <w:txbxContent>
                    <w:p>
                      <w:pPr>
                        <w:spacing w:line="232" w:lineRule="auto" w:before="0"/>
                        <w:ind w:left="149" w:right="144" w:firstLine="193"/>
                        <w:jc w:val="left"/>
                        <w:rPr>
                          <w:rFonts w:ascii="Calibri" w:hAnsi="Calibri" w:cs="Calibri" w:eastAsia="Calibri" w:hint="default"/>
                          <w:sz w:val="17"/>
                          <w:szCs w:val="17"/>
                        </w:rPr>
                      </w:pPr>
                      <w:r>
                        <w:rPr>
                          <w:rFonts w:ascii="Calibri" w:hAnsi="Calibri" w:cs="Calibri" w:eastAsia="Calibri" w:hint="default"/>
                          <w:sz w:val="20"/>
                          <w:szCs w:val="20"/>
                        </w:rPr>
                        <w:t>Cellular</w:t>
                      </w:r>
                      <w:r>
                        <w:rPr>
                          <w:rFonts w:ascii="Calibri" w:hAnsi="Calibri" w:cs="Calibri" w:eastAsia="Calibri" w:hint="default"/>
                          <w:spacing w:val="-5"/>
                          <w:sz w:val="20"/>
                          <w:szCs w:val="20"/>
                        </w:rPr>
                        <w:t> </w:t>
                      </w:r>
                      <w:r>
                        <w:rPr>
                          <w:rFonts w:ascii="Calibri" w:hAnsi="Calibri" w:cs="Calibri" w:eastAsia="Calibri" w:hint="default"/>
                          <w:sz w:val="20"/>
                          <w:szCs w:val="20"/>
                        </w:rPr>
                        <w:t>Investments</w:t>
                      </w:r>
                      <w:r>
                        <w:rPr>
                          <w:rFonts w:ascii="Calibri" w:hAnsi="Calibri" w:cs="Calibri" w:eastAsia="Calibri" w:hint="default"/>
                          <w:w w:val="98"/>
                          <w:sz w:val="20"/>
                          <w:szCs w:val="20"/>
                        </w:rPr>
                        <w:t> </w:t>
                      </w:r>
                      <w:r>
                        <w:rPr>
                          <w:rFonts w:ascii="Calibri" w:hAnsi="Calibri" w:cs="Calibri" w:eastAsia="Calibri" w:hint="default"/>
                          <w:w w:val="95"/>
                          <w:sz w:val="20"/>
                          <w:szCs w:val="20"/>
                        </w:rPr>
                        <w:t>Limited(</w:t>
                      </w:r>
                      <w:r>
                        <w:rPr>
                          <w:rFonts w:ascii="宋体" w:hAnsi="宋体" w:cs="宋体" w:eastAsia="宋体" w:hint="default"/>
                          <w:w w:val="95"/>
                          <w:sz w:val="17"/>
                          <w:szCs w:val="17"/>
                        </w:rPr>
                        <w:t>鸿健投资有限公司</w:t>
                      </w:r>
                      <w:r>
                        <w:rPr>
                          <w:rFonts w:ascii="Calibri" w:hAnsi="Calibri" w:cs="Calibri" w:eastAsia="Calibri" w:hint="default"/>
                          <w:w w:val="95"/>
                          <w:sz w:val="17"/>
                          <w:szCs w:val="17"/>
                        </w:rPr>
                        <w:t>)</w:t>
                      </w:r>
                      <w:r>
                        <w:rPr>
                          <w:rFonts w:ascii="Calibri" w:hAnsi="Calibri" w:cs="Calibri" w:eastAsia="Calibri" w:hint="default"/>
                          <w:sz w:val="17"/>
                          <w:szCs w:val="17"/>
                        </w:rPr>
                      </w:r>
                    </w:p>
                  </w:txbxContent>
                </v:textbox>
                <w10:wrap type="none"/>
              </v:shape>
              <v:shape style="position:absolute;left:1089;top:3865;width:933;height:484" type="#_x0000_t202" filled="false" stroked="true" strokeweight=".423505pt" strokecolor="#404040">
                <v:textbox inset="0,0,0,0">
                  <w:txbxContent>
                    <w:p>
                      <w:pPr>
                        <w:spacing w:before="96"/>
                        <w:ind w:left="101" w:right="0" w:firstLine="0"/>
                        <w:jc w:val="left"/>
                        <w:rPr>
                          <w:rFonts w:ascii="宋体" w:hAnsi="宋体" w:cs="宋体" w:eastAsia="宋体" w:hint="default"/>
                          <w:sz w:val="18"/>
                          <w:szCs w:val="18"/>
                        </w:rPr>
                      </w:pPr>
                      <w:r>
                        <w:rPr>
                          <w:rFonts w:ascii="宋体" w:hAnsi="宋体" w:cs="宋体" w:eastAsia="宋体" w:hint="default"/>
                          <w:sz w:val="18"/>
                          <w:szCs w:val="18"/>
                        </w:rPr>
                        <w:t>神码软件</w:t>
                      </w:r>
                    </w:p>
                  </w:txbxContent>
                </v:textbox>
                <w10:wrap type="none"/>
              </v:shape>
              <v:shape style="position:absolute;left:0;top:4831;width:3074;height:484" type="#_x0000_t202" filled="false" stroked="true" strokeweight=".426127pt" strokecolor="#404040">
                <v:textbox inset="0,0,0,0">
                  <w:txbxContent>
                    <w:p>
                      <w:pPr>
                        <w:spacing w:before="98"/>
                        <w:ind w:left="715" w:right="0" w:firstLine="0"/>
                        <w:jc w:val="left"/>
                        <w:rPr>
                          <w:rFonts w:ascii="宋体" w:hAnsi="宋体" w:cs="宋体" w:eastAsia="宋体" w:hint="default"/>
                          <w:sz w:val="18"/>
                          <w:szCs w:val="18"/>
                        </w:rPr>
                      </w:pPr>
                      <w:r>
                        <w:rPr>
                          <w:rFonts w:ascii="宋体" w:hAnsi="宋体" w:cs="宋体" w:eastAsia="宋体" w:hint="default"/>
                          <w:sz w:val="18"/>
                          <w:szCs w:val="18"/>
                        </w:rPr>
                        <w:t>神州信息（</w:t>
                      </w:r>
                      <w:r>
                        <w:rPr>
                          <w:rFonts w:ascii="Calibri" w:hAnsi="Calibri" w:cs="Calibri" w:eastAsia="Calibri" w:hint="default"/>
                          <w:sz w:val="18"/>
                          <w:szCs w:val="18"/>
                        </w:rPr>
                        <w:t>000555</w:t>
                      </w: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106"/>
          <w:sz w:val="20"/>
          <w:szCs w:val="20"/>
        </w:rPr>
      </w:r>
    </w:p>
    <w:p>
      <w:pPr>
        <w:spacing w:line="240" w:lineRule="auto" w:before="8"/>
        <w:rPr>
          <w:rFonts w:ascii="宋体" w:hAnsi="宋体" w:cs="宋体" w:eastAsia="宋体" w:hint="default"/>
          <w:sz w:val="22"/>
          <w:szCs w:val="22"/>
        </w:rPr>
      </w:pPr>
    </w:p>
    <w:p>
      <w:pPr>
        <w:pStyle w:val="BodyText"/>
        <w:spacing w:line="240" w:lineRule="auto" w:before="44"/>
        <w:ind w:right="0"/>
        <w:jc w:val="left"/>
      </w:pPr>
      <w:r>
        <w:rPr/>
        <w:t>实际控制人通过信托或其他资产管理方式控制公司</w:t>
      </w:r>
    </w:p>
    <w:p>
      <w:pPr>
        <w:pStyle w:val="BodyText"/>
        <w:spacing w:line="240" w:lineRule="auto" w:before="117"/>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after="0" w:line="240" w:lineRule="auto"/>
        <w:jc w:val="left"/>
        <w:sectPr>
          <w:pgSz w:w="11910" w:h="16840"/>
          <w:pgMar w:header="916" w:footer="1261" w:top="112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left="3285" w:right="0"/>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57" w:lineRule="auto" w:before="44"/>
        <w:ind w:right="8593"/>
        <w:jc w:val="left"/>
      </w:pPr>
      <w:r>
        <w:rPr/>
        <w:t>□ 适用 √</w:t>
      </w:r>
      <w:r>
        <w:rPr>
          <w:spacing w:val="3"/>
        </w:rPr>
        <w:t> </w:t>
      </w:r>
      <w:r>
        <w:rPr/>
        <w:t>不适用</w:t>
      </w:r>
      <w:r>
        <w:rPr/>
        <w:t> 报告期公司不存在优先股。</w:t>
      </w:r>
    </w:p>
    <w:p>
      <w:pPr>
        <w:spacing w:after="0" w:line="357" w:lineRule="auto"/>
        <w:jc w:val="left"/>
        <w:sectPr>
          <w:pgSz w:w="11910" w:h="16840"/>
          <w:pgMar w:header="916" w:footer="1261" w:top="112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left="2642" w:right="0"/>
        <w:jc w:val="left"/>
        <w:rPr>
          <w:b w:val="0"/>
          <w:bCs w:val="0"/>
        </w:rPr>
      </w:pPr>
      <w:bookmarkStart w:name="_bookmark7" w:id="8"/>
      <w:bookmarkEnd w:id="8"/>
      <w:r>
        <w:rPr>
          <w:b w:val="0"/>
          <w:bCs w:val="0"/>
        </w:rPr>
      </w:r>
      <w:r>
        <w:rPr/>
        <w:t>第八节</w:t>
      </w:r>
      <w:r>
        <w:rPr>
          <w:spacing w:val="-6"/>
        </w:rPr>
        <w:t> </w:t>
      </w:r>
      <w:r>
        <w:rPr/>
        <w:t>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7873"/>
        <w:jc w:val="left"/>
      </w:pPr>
      <w:r>
        <w:rPr/>
        <w:t>□ 适用 √</w:t>
      </w:r>
      <w:r>
        <w:rPr>
          <w:spacing w:val="3"/>
        </w:rPr>
        <w:t> </w:t>
      </w:r>
      <w:r>
        <w:rPr/>
        <w:t>不适用</w:t>
      </w:r>
      <w:r>
        <w:rPr/>
        <w:t> 报告期公司不存在可转换公司债券。</w:t>
      </w:r>
    </w:p>
    <w:p>
      <w:pPr>
        <w:spacing w:after="0" w:line="357" w:lineRule="auto"/>
        <w:jc w:val="left"/>
        <w:sectPr>
          <w:pgSz w:w="11910" w:h="16840"/>
          <w:pgMar w:header="916" w:footer="1261" w:top="112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left="2099" w:right="1246"/>
        <w:jc w:val="left"/>
        <w:rPr>
          <w:b w:val="0"/>
          <w:bCs w:val="0"/>
        </w:rPr>
      </w:pPr>
      <w:bookmarkStart w:name="_bookmark8" w:id="9"/>
      <w:bookmarkEnd w:id="9"/>
      <w:r>
        <w:rPr>
          <w:b w:val="0"/>
          <w:bCs w:val="0"/>
        </w:rPr>
      </w:r>
      <w:r>
        <w:rPr/>
        <w:t>第九节</w:t>
      </w:r>
      <w:r>
        <w:rPr>
          <w:spacing w:val="-8"/>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left="573" w:right="1246"/>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9" w:type="dxa"/>
        <w:tblLayout w:type="fixed"/>
        <w:tblCellMar>
          <w:top w:w="0" w:type="dxa"/>
          <w:left w:w="0" w:type="dxa"/>
          <w:bottom w:w="0" w:type="dxa"/>
          <w:right w:w="0" w:type="dxa"/>
        </w:tblCellMar>
        <w:tblLook w:val="01E0"/>
      </w:tblPr>
      <w:tblGrid>
        <w:gridCol w:w="840"/>
        <w:gridCol w:w="1027"/>
        <w:gridCol w:w="802"/>
        <w:gridCol w:w="600"/>
        <w:gridCol w:w="646"/>
        <w:gridCol w:w="1006"/>
        <w:gridCol w:w="1049"/>
        <w:gridCol w:w="883"/>
        <w:gridCol w:w="749"/>
        <w:gridCol w:w="706"/>
        <w:gridCol w:w="1020"/>
        <w:gridCol w:w="1051"/>
      </w:tblGrid>
      <w:tr>
        <w:trPr>
          <w:trHeight w:val="1964"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328"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357" w:lineRule="auto"/>
              <w:ind w:left="215" w:right="214"/>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319" w:right="13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338" w:right="15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59" w:right="163"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16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0" w:right="187"/>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40" w:lineRule="auto" w:before="19"/>
              <w:ind w:left="190"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163"/>
              <w:jc w:val="both"/>
              <w:rPr>
                <w:rFonts w:ascii="宋体" w:hAnsi="宋体" w:cs="宋体" w:eastAsia="宋体" w:hint="default"/>
                <w:sz w:val="18"/>
                <w:szCs w:val="18"/>
              </w:rPr>
            </w:pPr>
            <w:r>
              <w:rPr>
                <w:rFonts w:ascii="宋体" w:hAnsi="宋体" w:cs="宋体" w:eastAsia="宋体" w:hint="default"/>
                <w:sz w:val="18"/>
                <w:szCs w:val="18"/>
              </w:rPr>
              <w:t>本期 减持 股份 数量</w:t>
            </w:r>
          </w:p>
          <w:p>
            <w:pPr>
              <w:pStyle w:val="TableParagraph"/>
              <w:spacing w:line="240" w:lineRule="auto" w:before="19"/>
              <w:ind w:left="170" w:right="0"/>
              <w:jc w:val="both"/>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26" w:right="142" w:hanging="180"/>
              <w:jc w:val="left"/>
              <w:rPr>
                <w:rFonts w:ascii="宋体" w:hAnsi="宋体" w:cs="宋体" w:eastAsia="宋体" w:hint="default"/>
                <w:sz w:val="18"/>
                <w:szCs w:val="18"/>
              </w:rPr>
            </w:pPr>
            <w:r>
              <w:rPr>
                <w:rFonts w:ascii="宋体" w:hAnsi="宋体" w:cs="宋体" w:eastAsia="宋体" w:hint="default"/>
                <w:sz w:val="18"/>
                <w:szCs w:val="18"/>
              </w:rPr>
              <w:t>其他增减 变动</w:t>
            </w:r>
          </w:p>
          <w:p>
            <w:pPr>
              <w:pStyle w:val="TableParagraph"/>
              <w:spacing w:line="240" w:lineRule="auto" w:before="19"/>
              <w:ind w:left="23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60" w:right="15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Times New Roman" w:hAnsi="Times New Roman" w:cs="Times New Roman" w:eastAsia="Times New Roman" w:hint="default"/>
                <w:sz w:val="12"/>
                <w:szCs w:val="12"/>
              </w:rPr>
            </w:pPr>
            <w:r>
              <w:rPr>
                <w:rFonts w:ascii="宋体" w:hAnsi="宋体" w:cs="宋体" w:eastAsia="宋体" w:hint="default"/>
                <w:sz w:val="18"/>
                <w:szCs w:val="18"/>
              </w:rPr>
              <w:t>李鸿春</w:t>
            </w:r>
            <w:r>
              <w:rPr>
                <w:rFonts w:ascii="Times New Roman" w:hAnsi="Times New Roman" w:cs="Times New Roman" w:eastAsia="Times New Roman" w:hint="default"/>
                <w:position w:val="6"/>
                <w:sz w:val="12"/>
                <w:szCs w:val="12"/>
              </w:rPr>
              <w:t>1</w:t>
            </w:r>
            <w:r>
              <w:rPr>
                <w:rFonts w:ascii="Times New Roman" w:hAnsi="Times New Roman" w:cs="Times New Roman" w:eastAsia="Times New Roman" w:hint="default"/>
                <w:sz w:val="12"/>
                <w:szCs w:val="12"/>
              </w:rPr>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王永利</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4"/>
          <w:szCs w:val="24"/>
        </w:rPr>
      </w:pPr>
    </w:p>
    <w:p>
      <w:pPr>
        <w:spacing w:line="20" w:lineRule="exact"/>
        <w:ind w:left="568" w:right="0" w:firstLine="0"/>
        <w:rPr>
          <w:rFonts w:ascii="宋体" w:hAnsi="宋体" w:cs="宋体" w:eastAsia="宋体" w:hint="default"/>
          <w:sz w:val="2"/>
          <w:szCs w:val="2"/>
        </w:rPr>
      </w:pPr>
      <w:r>
        <w:rPr>
          <w:rFonts w:ascii="宋体" w:hAnsi="宋体" w:cs="宋体" w:eastAsia="宋体" w:hint="default"/>
          <w:sz w:val="2"/>
          <w:szCs w:val="2"/>
        </w:rPr>
        <w:pict>
          <v:group style="width:144.5pt;height:.5pt;mso-position-horizontal-relative:char;mso-position-vertical-relative:line" coordorigin="0,0" coordsize="2890,10">
            <v:group style="position:absolute;left:5;top:5;width:2881;height:2" coordorigin="5,5" coordsize="2881,2">
              <v:shape style="position:absolute;left:5;top:5;width:2881;height:2" coordorigin="5,5" coordsize="2881,0" path="m5,5l2885,5e" filled="false" stroked="true" strokeweight=".47998pt" strokecolor="#000000">
                <v:path arrowok="t"/>
              </v:shape>
            </v:group>
          </v:group>
        </w:pict>
      </w:r>
      <w:r>
        <w:rPr>
          <w:rFonts w:ascii="宋体" w:hAnsi="宋体" w:cs="宋体" w:eastAsia="宋体" w:hint="default"/>
          <w:sz w:val="2"/>
          <w:szCs w:val="2"/>
        </w:rPr>
      </w:r>
    </w:p>
    <w:p>
      <w:pPr>
        <w:pStyle w:val="BodyText"/>
        <w:spacing w:line="232" w:lineRule="exact" w:before="101"/>
        <w:ind w:left="573" w:right="1246"/>
        <w:jc w:val="left"/>
      </w:pPr>
      <w:r>
        <w:rPr>
          <w:rFonts w:ascii="Times New Roman" w:hAnsi="Times New Roman" w:cs="Times New Roman" w:eastAsia="Times New Roman" w:hint="default"/>
          <w:position w:val="6"/>
          <w:sz w:val="12"/>
          <w:szCs w:val="12"/>
        </w:rPr>
        <w:t>1</w:t>
      </w:r>
      <w:r>
        <w:rPr/>
        <w:t>李鸿春先生任公司董事、总裁职务，其持有公司股权激励限售股</w:t>
      </w:r>
      <w:r>
        <w:rPr>
          <w:spacing w:val="-47"/>
        </w:rPr>
        <w:t> </w:t>
      </w:r>
      <w:r>
        <w:rPr>
          <w:rFonts w:ascii="Times New Roman" w:hAnsi="Times New Roman" w:cs="Times New Roman" w:eastAsia="Times New Roman" w:hint="default"/>
        </w:rPr>
        <w:t>1,000,000</w:t>
      </w:r>
      <w:r>
        <w:rPr>
          <w:rFonts w:ascii="Times New Roman" w:hAnsi="Times New Roman" w:cs="Times New Roman" w:eastAsia="Times New Roman" w:hint="default"/>
          <w:spacing w:val="-1"/>
        </w:rPr>
        <w:t> </w:t>
      </w:r>
      <w:r>
        <w:rPr/>
        <w:t>股已填写在总裁一行，因此本表中其任职董事 职务一行中不再重复填写其持股数量。</w:t>
      </w:r>
    </w:p>
    <w:p>
      <w:pPr>
        <w:spacing w:after="0" w:line="232" w:lineRule="exact"/>
        <w:jc w:val="left"/>
        <w:sectPr>
          <w:pgSz w:w="11910" w:h="16840"/>
          <w:pgMar w:header="916" w:footer="1261" w:top="1120" w:bottom="1460" w:left="56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840"/>
        <w:gridCol w:w="1027"/>
        <w:gridCol w:w="802"/>
        <w:gridCol w:w="600"/>
        <w:gridCol w:w="646"/>
        <w:gridCol w:w="1006"/>
        <w:gridCol w:w="1049"/>
        <w:gridCol w:w="883"/>
        <w:gridCol w:w="749"/>
        <w:gridCol w:w="706"/>
        <w:gridCol w:w="1020"/>
        <w:gridCol w:w="1051"/>
      </w:tblGrid>
      <w:tr>
        <w:trPr>
          <w:trHeight w:val="102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罗婷</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3"/>
              <w:jc w:val="right"/>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45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3"/>
              <w:jc w:val="righ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2"/>
              <w:jc w:val="right"/>
              <w:rPr>
                <w:rFonts w:ascii="Times New Roman" w:hAnsi="Times New Roman" w:cs="Times New Roman" w:eastAsia="Times New Roman" w:hint="default"/>
                <w:sz w:val="18"/>
                <w:szCs w:val="18"/>
              </w:rPr>
            </w:pPr>
            <w:r>
              <w:rPr>
                <w:rFonts w:ascii="Times New Roman"/>
                <w:sz w:val="18"/>
              </w:rPr>
              <w:t>49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张民</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3"/>
              <w:jc w:val="righ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63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许克勤</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3"/>
              <w:jc w:val="righ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57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李鸿春</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3"/>
              <w:jc w:val="righ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54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102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赵文甫</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2"/>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3"/>
              <w:jc w:val="righ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47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102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3"/>
              <w:jc w:val="right"/>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47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102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于宏志</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CTO</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3"/>
              <w:jc w:val="righ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45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马洪杰</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3"/>
              <w:jc w:val="righ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45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150,000</w:t>
            </w:r>
          </w:p>
        </w:tc>
      </w:tr>
      <w:tr>
        <w:trPr>
          <w:trHeight w:val="102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郝晋瑞</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3"/>
              <w:jc w:val="righ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49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14,400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314,400</w:t>
            </w:r>
          </w:p>
        </w:tc>
      </w:tr>
      <w:tr>
        <w:trPr>
          <w:trHeight w:val="102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李侃遐</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3"/>
              <w:jc w:val="right"/>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47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102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刘伟刚</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3"/>
              <w:jc w:val="righ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35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102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崔晓天</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2"/>
              <w:jc w:val="left"/>
              <w:rPr>
                <w:rFonts w:ascii="宋体" w:hAnsi="宋体" w:cs="宋体" w:eastAsia="宋体" w:hint="default"/>
                <w:sz w:val="18"/>
                <w:szCs w:val="18"/>
              </w:rPr>
            </w:pPr>
            <w:r>
              <w:rPr>
                <w:rFonts w:ascii="宋体" w:hAnsi="宋体" w:cs="宋体" w:eastAsia="宋体" w:hint="default"/>
                <w:sz w:val="18"/>
                <w:szCs w:val="18"/>
              </w:rPr>
              <w:t>信创首席 专家</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03"/>
              <w:jc w:val="right"/>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1"/>
              <w:jc w:val="right"/>
              <w:rPr>
                <w:rFonts w:ascii="Times New Roman" w:hAnsi="Times New Roman" w:cs="Times New Roman" w:eastAsia="Times New Roman" w:hint="default"/>
                <w:sz w:val="18"/>
                <w:szCs w:val="18"/>
              </w:rPr>
            </w:pPr>
            <w:r>
              <w:rPr>
                <w:rFonts w:ascii="Times New Roman"/>
                <w:sz w:val="18"/>
              </w:rPr>
              <w:t>55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56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19" w:type="dxa"/>
        <w:tblLayout w:type="fixed"/>
        <w:tblCellMar>
          <w:top w:w="0" w:type="dxa"/>
          <w:left w:w="0" w:type="dxa"/>
          <w:bottom w:w="0" w:type="dxa"/>
          <w:right w:w="0" w:type="dxa"/>
        </w:tblCellMar>
        <w:tblLook w:val="01E0"/>
      </w:tblPr>
      <w:tblGrid>
        <w:gridCol w:w="840"/>
        <w:gridCol w:w="1027"/>
        <w:gridCol w:w="802"/>
        <w:gridCol w:w="600"/>
        <w:gridCol w:w="646"/>
        <w:gridCol w:w="1006"/>
        <w:gridCol w:w="1049"/>
        <w:gridCol w:w="883"/>
        <w:gridCol w:w="749"/>
        <w:gridCol w:w="706"/>
        <w:gridCol w:w="1020"/>
        <w:gridCol w:w="1051"/>
      </w:tblGrid>
      <w:tr>
        <w:trPr>
          <w:trHeight w:val="102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27"/>
              <w:jc w:val="right"/>
              <w:rPr>
                <w:rFonts w:ascii="宋体" w:hAnsi="宋体" w:cs="宋体" w:eastAsia="宋体" w:hint="default"/>
                <w:sz w:val="18"/>
                <w:szCs w:val="18"/>
              </w:rPr>
            </w:pPr>
            <w:r>
              <w:rPr>
                <w:rFonts w:ascii="宋体" w:hAnsi="宋体" w:cs="宋体" w:eastAsia="宋体" w:hint="default"/>
                <w:sz w:val="18"/>
                <w:szCs w:val="18"/>
              </w:rPr>
              <w:t>离任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牛卓</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9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7"/>
              <w:jc w:val="right"/>
              <w:rPr>
                <w:rFonts w:ascii="宋体" w:hAnsi="宋体" w:cs="宋体" w:eastAsia="宋体" w:hint="default"/>
                <w:sz w:val="18"/>
                <w:szCs w:val="18"/>
              </w:rPr>
            </w:pPr>
            <w:r>
              <w:rPr>
                <w:rFonts w:ascii="宋体" w:hAnsi="宋体" w:cs="宋体" w:eastAsia="宋体" w:hint="default"/>
                <w:sz w:val="18"/>
                <w:szCs w:val="18"/>
              </w:rPr>
              <w:t>离任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3" w:right="192"/>
              <w:jc w:val="left"/>
              <w:rPr>
                <w:rFonts w:ascii="宋体" w:hAnsi="宋体" w:cs="宋体" w:eastAsia="宋体" w:hint="default"/>
                <w:sz w:val="18"/>
                <w:szCs w:val="18"/>
              </w:rPr>
            </w:pPr>
            <w:r>
              <w:rPr>
                <w:rFonts w:ascii="宋体" w:hAnsi="宋体" w:cs="宋体" w:eastAsia="宋体" w:hint="default"/>
                <w:sz w:val="18"/>
                <w:szCs w:val="18"/>
              </w:rPr>
              <w:t>高级副总 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27"/>
              <w:jc w:val="right"/>
              <w:rPr>
                <w:rFonts w:ascii="宋体" w:hAnsi="宋体" w:cs="宋体" w:eastAsia="宋体" w:hint="default"/>
                <w:sz w:val="18"/>
                <w:szCs w:val="18"/>
              </w:rPr>
            </w:pPr>
            <w:r>
              <w:rPr>
                <w:rFonts w:ascii="宋体" w:hAnsi="宋体" w:cs="宋体" w:eastAsia="宋体" w:hint="default"/>
                <w:sz w:val="18"/>
                <w:szCs w:val="18"/>
              </w:rPr>
              <w:t>离任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6,312,43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3,970,</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000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2,342,438</w:t>
            </w:r>
          </w:p>
        </w:tc>
      </w:tr>
      <w:tr>
        <w:trPr>
          <w:trHeight w:val="102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张大鹏</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7"/>
              <w:jc w:val="right"/>
              <w:rPr>
                <w:rFonts w:ascii="宋体" w:hAnsi="宋体" w:cs="宋体" w:eastAsia="宋体" w:hint="default"/>
                <w:sz w:val="18"/>
                <w:szCs w:val="18"/>
              </w:rPr>
            </w:pPr>
            <w:r>
              <w:rPr>
                <w:rFonts w:ascii="宋体" w:hAnsi="宋体" w:cs="宋体" w:eastAsia="宋体" w:hint="default"/>
                <w:sz w:val="18"/>
                <w:szCs w:val="18"/>
              </w:rPr>
              <w:t>离任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徐啸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2"/>
              <w:jc w:val="left"/>
              <w:rPr>
                <w:rFonts w:ascii="宋体" w:hAnsi="宋体" w:cs="宋体" w:eastAsia="宋体" w:hint="default"/>
                <w:sz w:val="18"/>
                <w:szCs w:val="18"/>
              </w:rPr>
            </w:pPr>
            <w:r>
              <w:rPr>
                <w:rFonts w:ascii="宋体" w:hAnsi="宋体" w:cs="宋体" w:eastAsia="宋体" w:hint="default"/>
                <w:sz w:val="18"/>
                <w:szCs w:val="18"/>
              </w:rPr>
              <w:t>首席技术 官</w:t>
            </w:r>
          </w:p>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CTO</w:t>
            </w:r>
            <w:r>
              <w:rPr>
                <w:rFonts w:ascii="宋体" w:hAnsi="宋体" w:cs="宋体" w:eastAsia="宋体" w:hint="default"/>
                <w:sz w:val="18"/>
                <w:szCs w:val="18"/>
              </w:rPr>
              <w:t>）</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27"/>
              <w:jc w:val="right"/>
              <w:rPr>
                <w:rFonts w:ascii="宋体" w:hAnsi="宋体" w:cs="宋体" w:eastAsia="宋体" w:hint="default"/>
                <w:sz w:val="18"/>
                <w:szCs w:val="18"/>
              </w:rPr>
            </w:pPr>
            <w:r>
              <w:rPr>
                <w:rFonts w:ascii="宋体" w:hAnsi="宋体" w:cs="宋体" w:eastAsia="宋体" w:hint="default"/>
                <w:sz w:val="18"/>
                <w:szCs w:val="18"/>
              </w:rPr>
              <w:t>离任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关旭星</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7"/>
              <w:jc w:val="right"/>
              <w:rPr>
                <w:rFonts w:ascii="宋体" w:hAnsi="宋体" w:cs="宋体" w:eastAsia="宋体" w:hint="default"/>
                <w:sz w:val="18"/>
                <w:szCs w:val="18"/>
              </w:rPr>
            </w:pPr>
            <w:r>
              <w:rPr>
                <w:rFonts w:ascii="宋体" w:hAnsi="宋体" w:cs="宋体" w:eastAsia="宋体" w:hint="default"/>
                <w:sz w:val="18"/>
                <w:szCs w:val="18"/>
              </w:rPr>
              <w:t>离任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任玉龙</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27"/>
              <w:jc w:val="right"/>
              <w:rPr>
                <w:rFonts w:ascii="宋体" w:hAnsi="宋体" w:cs="宋体" w:eastAsia="宋体" w:hint="default"/>
                <w:sz w:val="18"/>
                <w:szCs w:val="18"/>
              </w:rPr>
            </w:pPr>
            <w:r>
              <w:rPr>
                <w:rFonts w:ascii="宋体" w:hAnsi="宋体" w:cs="宋体" w:eastAsia="宋体" w:hint="default"/>
                <w:sz w:val="18"/>
                <w:szCs w:val="18"/>
              </w:rPr>
              <w:t>离任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1028"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327"/>
              <w:jc w:val="right"/>
              <w:rPr>
                <w:rFonts w:ascii="宋体" w:hAnsi="宋体" w:cs="宋体" w:eastAsia="宋体" w:hint="default"/>
                <w:sz w:val="18"/>
                <w:szCs w:val="18"/>
              </w:rPr>
            </w:pPr>
            <w:r>
              <w:rPr>
                <w:rFonts w:ascii="宋体" w:hAnsi="宋体" w:cs="宋体" w:eastAsia="宋体" w:hint="default"/>
                <w:sz w:val="18"/>
                <w:szCs w:val="18"/>
              </w:rPr>
              <w:t>离任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7,735,63</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8</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8,035,638</w:t>
            </w:r>
          </w:p>
        </w:tc>
      </w:tr>
      <w:tr>
        <w:trPr>
          <w:trHeight w:val="1025" w:hRule="exact"/>
        </w:trPr>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郭新宝</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27"/>
              <w:jc w:val="right"/>
              <w:rPr>
                <w:rFonts w:ascii="宋体" w:hAnsi="宋体" w:cs="宋体" w:eastAsia="宋体" w:hint="default"/>
                <w:sz w:val="18"/>
                <w:szCs w:val="18"/>
              </w:rPr>
            </w:pPr>
            <w:r>
              <w:rPr>
                <w:rFonts w:ascii="宋体" w:hAnsi="宋体" w:cs="宋体" w:eastAsia="宋体" w:hint="default"/>
                <w:sz w:val="18"/>
                <w:szCs w:val="18"/>
              </w:rPr>
              <w:t>离任</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500,000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715" w:hRule="exact"/>
        </w:trPr>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34"/>
              <w:jc w:val="right"/>
              <w:rPr>
                <w:rFonts w:ascii="Times New Roman" w:hAnsi="Times New Roman" w:cs="Times New Roman" w:eastAsia="Times New Roman" w:hint="default"/>
                <w:sz w:val="18"/>
                <w:szCs w:val="18"/>
              </w:rPr>
            </w:pPr>
            <w:r>
              <w:rPr>
                <w:rFonts w:ascii="Times New Roman"/>
                <w:sz w:val="18"/>
              </w:rPr>
              <w:t>--</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14,062,9</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76</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3,970,</w:t>
            </w:r>
          </w:p>
          <w:p>
            <w:pPr>
              <w:pStyle w:val="TableParagraph"/>
              <w:spacing w:line="240" w:lineRule="auto" w:before="102"/>
              <w:ind w:left="225" w:right="0"/>
              <w:jc w:val="center"/>
              <w:rPr>
                <w:rFonts w:ascii="Times New Roman" w:hAnsi="Times New Roman" w:cs="Times New Roman" w:eastAsia="Times New Roman" w:hint="default"/>
                <w:sz w:val="18"/>
                <w:szCs w:val="18"/>
              </w:rPr>
            </w:pPr>
            <w:r>
              <w:rPr>
                <w:rFonts w:ascii="Times New Roman"/>
                <w:sz w:val="18"/>
              </w:rPr>
              <w:t>500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4,650,000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14,742,476</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left="573" w:right="1246"/>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73" w:right="1246"/>
        <w:jc w:val="left"/>
      </w:pPr>
      <w:r>
        <w:rPr/>
        <w:t>√ 适用 □</w:t>
      </w:r>
      <w:r>
        <w:rPr>
          <w:spacing w:val="3"/>
        </w:rPr>
        <w:t> </w:t>
      </w:r>
      <w:r>
        <w:rPr/>
        <w:t>不适用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tbl>
      <w:tblPr>
        <w:tblW w:w="0" w:type="auto"/>
        <w:jc w:val="left"/>
        <w:tblInd w:w="681" w:type="dxa"/>
        <w:tblLayout w:type="fixed"/>
        <w:tblCellMar>
          <w:top w:w="0" w:type="dxa"/>
          <w:left w:w="0" w:type="dxa"/>
          <w:bottom w:w="0" w:type="dxa"/>
          <w:right w:w="0" w:type="dxa"/>
        </w:tblCellMar>
        <w:tblLook w:val="01E0"/>
      </w:tblPr>
      <w:tblGrid>
        <w:gridCol w:w="953"/>
        <w:gridCol w:w="1215"/>
        <w:gridCol w:w="1231"/>
        <w:gridCol w:w="1923"/>
        <w:gridCol w:w="4247"/>
      </w:tblGrid>
      <w:tr>
        <w:trPr>
          <w:trHeight w:val="463" w:hRule="exact"/>
        </w:trPr>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9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5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8"/>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71"/>
              <w:jc w:val="left"/>
              <w:rPr>
                <w:rFonts w:ascii="宋体" w:hAnsi="宋体" w:cs="宋体" w:eastAsia="宋体" w:hint="default"/>
                <w:sz w:val="18"/>
                <w:szCs w:val="18"/>
              </w:rPr>
            </w:pPr>
            <w:r>
              <w:rPr>
                <w:rFonts w:ascii="宋体" w:hAnsi="宋体" w:cs="宋体" w:eastAsia="宋体" w:hint="default"/>
                <w:sz w:val="18"/>
                <w:szCs w:val="18"/>
              </w:rPr>
              <w:t>任期满离任，不再担任公司第七届董事会独立董事 职务，但仍担任公司第八届董事会董事职务</w:t>
            </w:r>
          </w:p>
        </w:tc>
      </w:tr>
      <w:tr>
        <w:trPr>
          <w:trHeight w:val="463"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牛卓</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08"/>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bl>
    <w:p>
      <w:pPr>
        <w:spacing w:after="0" w:line="240" w:lineRule="auto"/>
        <w:jc w:val="left"/>
        <w:rPr>
          <w:rFonts w:ascii="宋体" w:hAnsi="宋体" w:cs="宋体" w:eastAsia="宋体" w:hint="default"/>
          <w:sz w:val="18"/>
          <w:szCs w:val="18"/>
        </w:rPr>
        <w:sectPr>
          <w:pgSz w:w="11910" w:h="16840"/>
          <w:pgMar w:header="916" w:footer="1261" w:top="1120" w:bottom="1460" w:left="560" w:right="0"/>
        </w:sectPr>
      </w:pPr>
    </w:p>
    <w:p>
      <w:pPr>
        <w:spacing w:line="240" w:lineRule="auto" w:before="6"/>
        <w:rPr>
          <w:rFonts w:ascii="宋体" w:hAnsi="宋体" w:cs="宋体" w:eastAsia="宋体" w:hint="default"/>
          <w:sz w:val="23"/>
          <w:szCs w:val="23"/>
        </w:rPr>
      </w:pPr>
    </w:p>
    <w:tbl>
      <w:tblPr>
        <w:tblW w:w="0" w:type="auto"/>
        <w:jc w:val="left"/>
        <w:tblInd w:w="261" w:type="dxa"/>
        <w:tblLayout w:type="fixed"/>
        <w:tblCellMar>
          <w:top w:w="0" w:type="dxa"/>
          <w:left w:w="0" w:type="dxa"/>
          <w:bottom w:w="0" w:type="dxa"/>
          <w:right w:w="0" w:type="dxa"/>
        </w:tblCellMar>
        <w:tblLook w:val="01E0"/>
      </w:tblPr>
      <w:tblGrid>
        <w:gridCol w:w="953"/>
        <w:gridCol w:w="1215"/>
        <w:gridCol w:w="1231"/>
        <w:gridCol w:w="1923"/>
        <w:gridCol w:w="4247"/>
      </w:tblGrid>
      <w:tr>
        <w:trPr>
          <w:trHeight w:val="713"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1"/>
              <w:jc w:val="left"/>
              <w:rPr>
                <w:rFonts w:ascii="宋体" w:hAnsi="宋体" w:cs="宋体" w:eastAsia="宋体" w:hint="default"/>
                <w:sz w:val="18"/>
                <w:szCs w:val="18"/>
              </w:rPr>
            </w:pPr>
            <w:r>
              <w:rPr>
                <w:rFonts w:ascii="宋体" w:hAnsi="宋体" w:cs="宋体" w:eastAsia="宋体" w:hint="default"/>
                <w:sz w:val="18"/>
                <w:szCs w:val="18"/>
              </w:rPr>
              <w:t>第七届监事会任期满离任，现任第八届监事会主席 职务</w:t>
            </w:r>
          </w:p>
        </w:tc>
      </w:tr>
      <w:tr>
        <w:trPr>
          <w:trHeight w:val="466"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张大鹏</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因工作内容调整，不再担任副总裁职务</w:t>
            </w:r>
          </w:p>
        </w:tc>
      </w:tr>
      <w:tr>
        <w:trPr>
          <w:trHeight w:val="463"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5"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徐啸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首席技术官</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CTO</w:t>
            </w:r>
            <w:r>
              <w:rPr>
                <w:rFonts w:ascii="宋体" w:hAnsi="宋体" w:cs="宋体" w:eastAsia="宋体" w:hint="default"/>
                <w:sz w:val="18"/>
                <w:szCs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3"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1"/>
              <w:jc w:val="left"/>
              <w:rPr>
                <w:rFonts w:ascii="宋体" w:hAnsi="宋体" w:cs="宋体" w:eastAsia="宋体" w:hint="default"/>
                <w:sz w:val="18"/>
                <w:szCs w:val="18"/>
              </w:rPr>
            </w:pPr>
            <w:r>
              <w:rPr>
                <w:rFonts w:ascii="宋体" w:hAnsi="宋体" w:cs="宋体" w:eastAsia="宋体" w:hint="default"/>
                <w:sz w:val="18"/>
                <w:szCs w:val="18"/>
              </w:rPr>
              <w:t>为更加集中精力专注于企业财务管理工作，不再担 任董事职务，担任公司财务总监职务</w:t>
            </w:r>
          </w:p>
        </w:tc>
      </w:tr>
      <w:tr>
        <w:trPr>
          <w:trHeight w:val="716"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1"/>
              <w:jc w:val="left"/>
              <w:rPr>
                <w:rFonts w:ascii="宋体" w:hAnsi="宋体" w:cs="宋体" w:eastAsia="宋体" w:hint="default"/>
                <w:sz w:val="18"/>
                <w:szCs w:val="18"/>
              </w:rPr>
            </w:pPr>
            <w:r>
              <w:rPr>
                <w:rFonts w:ascii="宋体" w:hAnsi="宋体" w:cs="宋体" w:eastAsia="宋体" w:hint="default"/>
                <w:sz w:val="18"/>
                <w:szCs w:val="18"/>
              </w:rPr>
              <w:t>因工作调整，不再担任公司第八届监事会监事会主 席职务，改任第八届董事会董事职务</w:t>
            </w:r>
          </w:p>
        </w:tc>
      </w:tr>
      <w:tr>
        <w:trPr>
          <w:trHeight w:val="463"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关旭星</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r>
        <w:trPr>
          <w:trHeight w:val="713"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因在公司连续任职独立董事即将满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年，为保持独 立董事的独立性，申请辞职</w:t>
            </w:r>
          </w:p>
        </w:tc>
      </w:tr>
      <w:tr>
        <w:trPr>
          <w:trHeight w:val="466"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任玉龙</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因工作内容调整，不再担任副总裁职务</w:t>
            </w:r>
          </w:p>
        </w:tc>
      </w:tr>
      <w:tr>
        <w:trPr>
          <w:trHeight w:val="463"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郭新宝</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因工作内容调整，不再担任副总裁职务</w:t>
            </w:r>
          </w:p>
        </w:tc>
      </w:tr>
      <w:tr>
        <w:trPr>
          <w:trHeight w:val="466" w:hRule="exact"/>
        </w:trPr>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因个人原因辞职</w:t>
            </w:r>
          </w:p>
        </w:tc>
      </w:tr>
    </w:tbl>
    <w:p>
      <w:pPr>
        <w:pStyle w:val="BodyText"/>
        <w:spacing w:line="297" w:lineRule="auto" w:before="49"/>
        <w:ind w:right="1126"/>
        <w:jc w:val="left"/>
      </w:pPr>
      <w:r>
        <w:rPr/>
        <w:t>注：公司独立董事王能光在公司连续任职独立董事将满</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年，为保持独立董事的独立性，王能光申请自</w:t>
      </w:r>
      <w:r>
        <w:rPr>
          <w:spacing w:val="-46"/>
        </w:rPr>
        <w:t> </w:t>
      </w:r>
      <w:r>
        <w:rPr>
          <w:rFonts w:ascii="Times New Roman" w:hAnsi="Times New Roman" w:cs="Times New Roman" w:eastAsia="Times New Roman" w:hint="default"/>
        </w:rPr>
        <w:t>2019 </w:t>
      </w:r>
      <w:r>
        <w:rPr/>
        <w:t>年度股东大会 召开之日起辞去独立董事职务。</w:t>
      </w:r>
    </w:p>
    <w:p>
      <w:pPr>
        <w:spacing w:line="240" w:lineRule="auto" w:before="13"/>
        <w:rPr>
          <w:rFonts w:ascii="宋体" w:hAnsi="宋体" w:cs="宋体" w:eastAsia="宋体" w:hint="default"/>
          <w:sz w:val="21"/>
          <w:szCs w:val="21"/>
        </w:rPr>
      </w:pPr>
    </w:p>
    <w:p>
      <w:pPr>
        <w:pStyle w:val="Heading2"/>
        <w:spacing w:line="240" w:lineRule="auto"/>
        <w:ind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240" w:lineRule="auto" w:before="117"/>
        <w:ind w:left="580" w:right="0"/>
        <w:jc w:val="left"/>
      </w:pPr>
      <w:r>
        <w:rPr/>
        <w:t>（一）董事会成员</w:t>
      </w:r>
    </w:p>
    <w:p>
      <w:pPr>
        <w:spacing w:line="240" w:lineRule="auto" w:before="6"/>
        <w:rPr>
          <w:rFonts w:ascii="宋体" w:hAnsi="宋体" w:cs="宋体" w:eastAsia="宋体" w:hint="default"/>
          <w:sz w:val="16"/>
          <w:szCs w:val="16"/>
        </w:rPr>
      </w:pPr>
    </w:p>
    <w:p>
      <w:pPr>
        <w:pStyle w:val="BodyText"/>
        <w:spacing w:line="403" w:lineRule="auto"/>
        <w:ind w:right="1213" w:firstLine="424"/>
        <w:jc w:val="left"/>
      </w:pPr>
      <w:r>
        <w:rPr/>
        <w:t>郭为，男，</w:t>
      </w:r>
      <w:r>
        <w:rPr>
          <w:rFonts w:ascii="Times New Roman" w:hAnsi="Times New Roman" w:cs="Times New Roman" w:eastAsia="Times New Roman" w:hint="default"/>
        </w:rPr>
        <w:t>57 </w:t>
      </w:r>
      <w:r>
        <w:rPr/>
        <w:t>岁，</w:t>
      </w:r>
      <w:r>
        <w:rPr>
          <w:rFonts w:ascii="Times New Roman" w:hAnsi="Times New Roman" w:cs="Times New Roman" w:eastAsia="Times New Roman" w:hint="default"/>
        </w:rPr>
        <w:t>1988</w:t>
      </w:r>
      <w:r>
        <w:rPr>
          <w:rFonts w:ascii="Times New Roman" w:hAnsi="Times New Roman" w:cs="Times New Roman" w:eastAsia="Times New Roman" w:hint="default"/>
          <w:spacing w:val="1"/>
        </w:rPr>
        <w:t> </w:t>
      </w:r>
      <w:r>
        <w:rPr/>
        <w:t>年获中国科学技术大学工学硕士学位。曾任神州数码控股有限公司董事局主席兼首席执行 官、泰康人寿保险股份有限公司独立董事、鼎捷软件股份有限公司董事、上海浦东发展银行股份有限公司独立董事、慧聪 集团有限公司非执行董事（前称慧聪网有限公司）、中国南方航空股份有限公司非执行独立董事等；现任神州数码控股有 限公司董事会主席兼首席执行官、神州数码信息服务股份有限公司董事长、神州数码集团股份有限公司董事长兼总裁，以 及在上述公司的下属子公司任董事长或董事等职务、北京首钢基金有限公司董事等。</w:t>
      </w:r>
    </w:p>
    <w:p>
      <w:pPr>
        <w:pStyle w:val="BodyText"/>
        <w:spacing w:line="396" w:lineRule="auto" w:before="82"/>
        <w:ind w:right="1208" w:firstLine="424"/>
        <w:jc w:val="both"/>
      </w:pPr>
      <w:r>
        <w:rPr/>
        <w:t>费建江，男，</w:t>
      </w:r>
      <w:r>
        <w:rPr>
          <w:rFonts w:ascii="Times New Roman" w:hAnsi="Times New Roman" w:cs="Times New Roman" w:eastAsia="Times New Roman" w:hint="default"/>
        </w:rPr>
        <w:t>49 </w:t>
      </w:r>
      <w:r>
        <w:rPr/>
        <w:t>岁，</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月，获南华大学经济学学士学位；</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 </w:t>
      </w:r>
      <w:r>
        <w:rPr/>
        <w:t>月，获西安交通大学高级管理人员工商管 理硕士学位。曾任苏州晶方半导体科技股份有限公司董事，现任神州数码信息服务股份有限公司董事、华圆管理咨询（香 港）有限公司执行董事、首长四方（集团）有限公司独立非执行董事、苏州工业园区元禾原点创业投资管理有限公司董事 兼总经理，并在多家投资公司及苏州工业园区元禾原点创业投资管理有限公司管理的基金之</w:t>
      </w:r>
      <w:r>
        <w:rPr>
          <w:spacing w:val="-45"/>
        </w:rPr>
        <w:t> </w:t>
      </w:r>
      <w:r>
        <w:rPr>
          <w:rFonts w:ascii="Times New Roman" w:hAnsi="Times New Roman" w:cs="Times New Roman" w:eastAsia="Times New Roman" w:hint="default"/>
        </w:rPr>
        <w:t>GP</w:t>
      </w:r>
      <w:r>
        <w:rPr>
          <w:rFonts w:ascii="Times New Roman" w:hAnsi="Times New Roman" w:cs="Times New Roman" w:eastAsia="Times New Roman" w:hint="default"/>
          <w:spacing w:val="1"/>
        </w:rPr>
        <w:t> </w:t>
      </w:r>
      <w:r>
        <w:rPr/>
        <w:t>中担任董事或执行事务合 伙人等职务。</w:t>
      </w:r>
    </w:p>
    <w:p>
      <w:pPr>
        <w:pStyle w:val="BodyText"/>
        <w:spacing w:line="386" w:lineRule="auto" w:before="86"/>
        <w:ind w:right="1137" w:firstLine="424"/>
        <w:jc w:val="left"/>
      </w:pPr>
      <w:r>
        <w:rPr/>
        <w:t>李鸿春，男，</w:t>
      </w:r>
      <w:r>
        <w:rPr>
          <w:rFonts w:ascii="Times New Roman" w:hAnsi="Times New Roman" w:cs="Times New Roman" w:eastAsia="Times New Roman" w:hint="default"/>
        </w:rPr>
        <w:t>54 </w:t>
      </w:r>
      <w:r>
        <w:rPr/>
        <w:t>岁。</w:t>
      </w:r>
      <w:r>
        <w:rPr>
          <w:rFonts w:ascii="Times New Roman" w:hAnsi="Times New Roman" w:cs="Times New Roman" w:eastAsia="Times New Roman" w:hint="default"/>
        </w:rPr>
        <w:t>1988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月毕业于北京理工大学，获工学学士学位。曾任神州数码信息服务股份有限公司常务 副总裁、副总裁、集成</w:t>
      </w:r>
      <w:r>
        <w:rPr>
          <w:spacing w:val="-47"/>
        </w:rPr>
        <w:t> </w:t>
      </w:r>
      <w:r>
        <w:rPr>
          <w:rFonts w:ascii="Times New Roman" w:hAnsi="Times New Roman" w:cs="Times New Roman" w:eastAsia="Times New Roman" w:hint="default"/>
        </w:rPr>
        <w:t>SBU</w:t>
      </w:r>
      <w:r>
        <w:rPr>
          <w:rFonts w:ascii="Times New Roman" w:hAnsi="Times New Roman" w:cs="Times New Roman" w:eastAsia="Times New Roman" w:hint="default"/>
          <w:spacing w:val="-2"/>
        </w:rPr>
        <w:t> </w:t>
      </w:r>
      <w:r>
        <w:rPr/>
        <w:t>总裁；现任神州数码信息服务股份有限公司董事兼总裁、营销管理中心总经理、服务业务群组</w:t>
      </w:r>
    </w:p>
    <w:p>
      <w:pPr>
        <w:spacing w:after="0" w:line="386" w:lineRule="auto"/>
        <w:jc w:val="left"/>
        <w:sectPr>
          <w:pgSz w:w="11910" w:h="16840"/>
          <w:pgMar w:header="916" w:footer="1261" w:top="1120" w:bottom="1460" w:left="980" w:right="0"/>
        </w:sectPr>
      </w:pPr>
    </w:p>
    <w:p>
      <w:pPr>
        <w:spacing w:line="240" w:lineRule="auto" w:before="6"/>
        <w:rPr>
          <w:rFonts w:ascii="宋体" w:hAnsi="宋体" w:cs="宋体" w:eastAsia="宋体" w:hint="default"/>
          <w:sz w:val="28"/>
          <w:szCs w:val="28"/>
        </w:rPr>
      </w:pPr>
    </w:p>
    <w:p>
      <w:pPr>
        <w:pStyle w:val="BodyText"/>
        <w:spacing w:line="240" w:lineRule="auto" w:before="44"/>
        <w:ind w:right="0"/>
        <w:jc w:val="left"/>
      </w:pPr>
      <w:r>
        <w:rPr/>
        <w:t>总经理、神州数码融信云技术服务有限公司董事。</w:t>
      </w:r>
    </w:p>
    <w:p>
      <w:pPr>
        <w:spacing w:line="240" w:lineRule="auto" w:before="7"/>
        <w:rPr>
          <w:rFonts w:ascii="宋体" w:hAnsi="宋体" w:cs="宋体" w:eastAsia="宋体" w:hint="default"/>
          <w:sz w:val="15"/>
          <w:szCs w:val="15"/>
        </w:rPr>
      </w:pPr>
    </w:p>
    <w:p>
      <w:pPr>
        <w:pStyle w:val="BodyText"/>
        <w:spacing w:line="393" w:lineRule="auto"/>
        <w:ind w:right="1155" w:firstLine="424"/>
        <w:jc w:val="left"/>
      </w:pPr>
      <w:r>
        <w:rPr/>
        <w:t>杨晓樱，女，</w:t>
      </w:r>
      <w:r>
        <w:rPr>
          <w:rFonts w:ascii="Times New Roman" w:hAnsi="Times New Roman" w:cs="Times New Roman" w:eastAsia="Times New Roman" w:hint="default"/>
        </w:rPr>
        <w:t>52</w:t>
      </w:r>
      <w:r>
        <w:rPr>
          <w:rFonts w:ascii="Times New Roman" w:hAnsi="Times New Roman" w:cs="Times New Roman" w:eastAsia="Times New Roman" w:hint="default"/>
          <w:spacing w:val="-1"/>
        </w:rPr>
        <w:t> </w:t>
      </w:r>
      <w:r>
        <w:rPr/>
        <w:t>岁，</w:t>
      </w:r>
      <w:r>
        <w:rPr>
          <w:rFonts w:ascii="Times New Roman" w:hAnsi="Times New Roman" w:cs="Times New Roman" w:eastAsia="Times New Roman" w:hint="default"/>
        </w:rPr>
        <w:t>2003</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月获中欧国际工商学院工商管理硕士学位。曾任甲骨文（中国）软件系统有限公司副 总裁、福建实达集团股份有限公司董事、仁天科技控股有限公司</w:t>
      </w:r>
      <w:r>
        <w:rPr>
          <w:spacing w:val="-44"/>
        </w:rPr>
        <w:t> </w:t>
      </w:r>
      <w:r>
        <w:rPr>
          <w:rFonts w:ascii="Times New Roman" w:hAnsi="Times New Roman" w:cs="Times New Roman" w:eastAsia="Times New Roman" w:hint="default"/>
        </w:rPr>
        <w:t>CEO</w:t>
      </w:r>
      <w:r>
        <w:rPr/>
        <w:t>、执行董事、神州数码信息服务股份有限公司独立董 事等；现任神州数码信息服务股份有限公司董事、北京三人行数字传播股份有限公司（前称北京众成就数字传媒股份有限 公司）独立董事、深圳海联讯科技股份有限公司独立董事。</w:t>
      </w:r>
    </w:p>
    <w:p>
      <w:pPr>
        <w:pStyle w:val="BodyText"/>
        <w:spacing w:line="400" w:lineRule="auto" w:before="91"/>
        <w:ind w:right="1231" w:firstLine="424"/>
        <w:jc w:val="both"/>
      </w:pPr>
      <w:r>
        <w:rPr/>
        <w:t>韩玉华，女，</w:t>
      </w:r>
      <w:r>
        <w:rPr>
          <w:rFonts w:ascii="Times New Roman" w:hAnsi="Times New Roman" w:cs="Times New Roman" w:eastAsia="Times New Roman" w:hint="default"/>
        </w:rPr>
        <w:t>53 </w:t>
      </w:r>
      <w:r>
        <w:rPr/>
        <w:t>岁，</w:t>
      </w:r>
      <w:r>
        <w:rPr>
          <w:rFonts w:ascii="Times New Roman" w:hAnsi="Times New Roman" w:cs="Times New Roman" w:eastAsia="Times New Roman" w:hint="default"/>
        </w:rPr>
        <w:t>1989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月毕业于深圳大学，获经济学学士学位。曾任神州数码（中国）有限公司业务管理部 副总经理、神州数码（中国）有限公司副总经理、神州数码（中国）有限公司监事、上海神州数码有限公司监事、广州神 州数码信息科技有限公司监事、上海神州数码通信技术有限公司董事、神州数码集团股份有限公司副总裁、神州数码集团 股份有限公司运营总监、神州数码信息服务股份有限公司监事会主席等职务；现任神州数码控股有限公司副总裁、神州数 码信息服务股份有限公司董事。</w:t>
      </w:r>
    </w:p>
    <w:p>
      <w:pPr>
        <w:pStyle w:val="BodyText"/>
        <w:spacing w:line="388" w:lineRule="auto" w:before="85"/>
        <w:ind w:right="1186" w:firstLine="424"/>
        <w:jc w:val="both"/>
      </w:pPr>
      <w:r>
        <w:rPr/>
        <w:t>王永利，男，</w:t>
      </w:r>
      <w:r>
        <w:rPr>
          <w:rFonts w:ascii="Times New Roman" w:hAnsi="Times New Roman" w:cs="Times New Roman" w:eastAsia="Times New Roman" w:hint="default"/>
        </w:rPr>
        <w:t>55</w:t>
      </w:r>
      <w:r>
        <w:rPr>
          <w:rFonts w:ascii="Times New Roman" w:hAnsi="Times New Roman" w:cs="Times New Roman" w:eastAsia="Times New Roman" w:hint="default"/>
          <w:spacing w:val="-1"/>
        </w:rPr>
        <w:t> </w:t>
      </w:r>
      <w:r>
        <w:rPr/>
        <w:t>岁，博士学历，高级会计师。</w:t>
      </w:r>
      <w:r>
        <w:rPr>
          <w:rFonts w:ascii="Times New Roman" w:hAnsi="Times New Roman" w:cs="Times New Roman" w:eastAsia="Times New Roman" w:hint="default"/>
        </w:rPr>
        <w:t>1984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月，毕业于杭州商学院（现浙江工商大学）会计系，获经济 学学士学位；</w:t>
      </w:r>
      <w:r>
        <w:rPr>
          <w:rFonts w:ascii="Times New Roman" w:hAnsi="Times New Roman" w:cs="Times New Roman" w:eastAsia="Times New Roman" w:hint="default"/>
        </w:rPr>
        <w:t>1987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 </w:t>
      </w:r>
      <w:r>
        <w:rPr/>
        <w:t>月，毕业于中国人民大学财政系，获经济学硕士学位；</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3 </w:t>
      </w:r>
      <w:r>
        <w:rPr/>
        <w:t>月至</w:t>
      </w:r>
      <w:r>
        <w:rPr>
          <w:spacing w:val="-46"/>
        </w:rPr>
        <w:t> </w:t>
      </w:r>
      <w:r>
        <w:rPr>
          <w:rFonts w:ascii="Times New Roman" w:hAnsi="Times New Roman" w:cs="Times New Roman" w:eastAsia="Times New Roman" w:hint="default"/>
        </w:rPr>
        <w:t>2006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 </w:t>
      </w:r>
      <w:r>
        <w:rPr/>
        <w:t>月，中央党校一年 制中青班（</w:t>
      </w:r>
      <w:r>
        <w:rPr>
          <w:rFonts w:ascii="Times New Roman" w:hAnsi="Times New Roman" w:cs="Times New Roman" w:eastAsia="Times New Roman" w:hint="default"/>
        </w:rPr>
        <w:t>21 </w:t>
      </w:r>
      <w:r>
        <w:rPr/>
        <w:t>期）学习；</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月，毕业于厦门大学，获经济学博士学位。曾任中国银行股份有限公司行长助理、副 行长、执行董事、资深研究员，乐视金融</w:t>
      </w:r>
      <w:r>
        <w:rPr>
          <w:spacing w:val="-44"/>
        </w:rPr>
        <w:t> </w:t>
      </w:r>
      <w:r>
        <w:rPr>
          <w:rFonts w:ascii="Times New Roman" w:hAnsi="Times New Roman" w:cs="Times New Roman" w:eastAsia="Times New Roman" w:hint="default"/>
        </w:rPr>
        <w:t>CEO</w:t>
      </w:r>
      <w:r>
        <w:rPr/>
        <w:t>、乐视控股（北京）有限公司高级副总裁、中国国际期货股份有限公司副董 事长，现任中国船舶重工股份有限公司独立董事、国任财产保险股份有限公司独立董事、中国民生金融控股有限公司独立 非执行董事、深圳海王集团股份有限公司首席经济学家、神州数码信息服务股份有限公司独立董事。</w:t>
      </w:r>
    </w:p>
    <w:p>
      <w:pPr>
        <w:pStyle w:val="BodyText"/>
        <w:spacing w:line="396" w:lineRule="auto" w:before="92"/>
        <w:ind w:right="1229" w:firstLine="424"/>
        <w:jc w:val="both"/>
      </w:pPr>
      <w:r>
        <w:rPr/>
        <w:t>王能光，男，</w:t>
      </w:r>
      <w:r>
        <w:rPr>
          <w:rFonts w:ascii="Times New Roman" w:hAnsi="Times New Roman" w:cs="Times New Roman" w:eastAsia="Times New Roman" w:hint="default"/>
        </w:rPr>
        <w:t>62</w:t>
      </w:r>
      <w:r>
        <w:rPr>
          <w:rFonts w:ascii="Times New Roman" w:hAnsi="Times New Roman" w:cs="Times New Roman" w:eastAsia="Times New Roman" w:hint="default"/>
          <w:spacing w:val="-1"/>
        </w:rPr>
        <w:t> </w:t>
      </w:r>
      <w:r>
        <w:rPr/>
        <w:t>岁，注册会计师、高级会计师。</w:t>
      </w:r>
      <w:r>
        <w:rPr>
          <w:rFonts w:ascii="Times New Roman" w:hAnsi="Times New Roman" w:cs="Times New Roman" w:eastAsia="Times New Roman" w:hint="default"/>
        </w:rPr>
        <w:t>2001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月，毕业于中共中央党校经济管理专业。曾任联想投资有 限公司董事总经理兼财务总监、北京君联资本管理有限公司董事总经理兼首席财务官（</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29 </w:t>
      </w:r>
      <w:r>
        <w:rPr/>
        <w:t>日北京君联资本管 理有限公司改为君联资本管理股份有限公司），并在多家投资公司担任董事等职务；现任君联资本管理股份有限公司及投 资公司董事等职务、北京君祺嘉睿企业管理有限公司董事、北京诚慧博文投资管理有限公司执行董事兼经理、中国和谐新 能源汽车控股有限公司独立非执行董事、神州数码信息服务股份有限公司独立董事。</w:t>
      </w:r>
    </w:p>
    <w:p>
      <w:pPr>
        <w:pStyle w:val="BodyText"/>
        <w:spacing w:line="398" w:lineRule="auto" w:before="86"/>
        <w:ind w:right="1184" w:firstLine="424"/>
        <w:jc w:val="both"/>
      </w:pPr>
      <w:r>
        <w:rPr/>
        <w:t>吕本富，男，</w:t>
      </w:r>
      <w:r>
        <w:rPr>
          <w:rFonts w:ascii="Times New Roman" w:hAnsi="Times New Roman" w:cs="Times New Roman" w:eastAsia="Times New Roman" w:hint="default"/>
        </w:rPr>
        <w:t>54 </w:t>
      </w:r>
      <w:r>
        <w:rPr/>
        <w:t>岁，教授，博士生导师。</w:t>
      </w:r>
      <w:r>
        <w:rPr>
          <w:rFonts w:ascii="Times New Roman" w:hAnsi="Times New Roman" w:cs="Times New Roman" w:eastAsia="Times New Roman" w:hint="default"/>
        </w:rPr>
        <w:t>1986 </w:t>
      </w:r>
      <w:r>
        <w:rPr/>
        <w:t>年，获安徽师范大学化学专业理学学士；</w:t>
      </w:r>
      <w:r>
        <w:rPr>
          <w:rFonts w:ascii="Times New Roman" w:hAnsi="Times New Roman" w:cs="Times New Roman" w:eastAsia="Times New Roman" w:hint="default"/>
        </w:rPr>
        <w:t>1992 </w:t>
      </w:r>
      <w:r>
        <w:rPr/>
        <w:t>年，获北京大学信息管 理专业理学硕士；</w:t>
      </w:r>
      <w:r>
        <w:rPr>
          <w:rFonts w:ascii="Times New Roman" w:hAnsi="Times New Roman" w:cs="Times New Roman" w:eastAsia="Times New Roman" w:hint="default"/>
        </w:rPr>
        <w:t>2000 </w:t>
      </w:r>
      <w:r>
        <w:rPr/>
        <w:t>年</w:t>
      </w:r>
      <w:r>
        <w:rPr>
          <w:spacing w:val="-49"/>
        </w:rPr>
        <w:t> </w:t>
      </w:r>
      <w:r>
        <w:rPr>
          <w:rFonts w:ascii="Times New Roman" w:hAnsi="Times New Roman" w:cs="Times New Roman" w:eastAsia="Times New Roman" w:hint="default"/>
        </w:rPr>
        <w:t>6 </w:t>
      </w:r>
      <w:r>
        <w:rPr/>
        <w:t>月，获中国社会科学院研究生院数量经济专业应用经济学博士学位。曾任中国科学院大学管理 学院执行院长、北京食空间网络科技有限公司监事、阜阳颍泉农村商业银行股份有限公司独立董事、科清智库（北京）科 技研究院监事、北京富本财经传媒有限公司监事、湖北美尔雅股份有限公司独立董事等职务；现任中国科学院大学管理学 院实验室主任、诚志股份有限公司独立董事、西藏国路安科技股份有限公司独立董事、神州数码信息服务股份有限公司独 立董事。</w:t>
      </w:r>
    </w:p>
    <w:p>
      <w:pPr>
        <w:pStyle w:val="BodyText"/>
        <w:spacing w:line="403" w:lineRule="auto" w:before="85"/>
        <w:ind w:right="1205" w:firstLine="424"/>
        <w:jc w:val="both"/>
      </w:pPr>
      <w:r>
        <w:rPr/>
        <w:t>罗婷，女，</w:t>
      </w:r>
      <w:r>
        <w:rPr>
          <w:rFonts w:ascii="Times New Roman" w:hAnsi="Times New Roman" w:cs="Times New Roman" w:eastAsia="Times New Roman" w:hint="default"/>
        </w:rPr>
        <w:t>45 </w:t>
      </w:r>
      <w:r>
        <w:rPr/>
        <w:t>岁，博士学历，注册会计师。</w:t>
      </w:r>
      <w:r>
        <w:rPr>
          <w:rFonts w:ascii="Times New Roman" w:hAnsi="Times New Roman" w:cs="Times New Roman" w:eastAsia="Times New Roman" w:hint="default"/>
        </w:rPr>
        <w:t>1997 </w:t>
      </w:r>
      <w:r>
        <w:rPr/>
        <w:t>年毕业于北京大学光华管理学院，获经济学学士学位；</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年毕业 于美国威斯康辛大学麦迪逊分校商学院，获会计学博士学位；为非执业中国注册会计师。曾历任中国人保集团、中国人寿 保险股份有限公司财务分析师、清华大学经济管理学院助理教授、副教授（博士生导师）等职务；现任清华大学经济管理 学院长聘副教授（博士生导师）、阿尔特汽车技术股份有限公司独立董事、北京基康仪器股份有限公司独立董事、神州数 码信息服务股份有限公司独立董事。</w:t>
      </w:r>
    </w:p>
    <w:p>
      <w:pPr>
        <w:pStyle w:val="BodyText"/>
        <w:spacing w:line="240" w:lineRule="auto" w:before="81"/>
        <w:ind w:left="578" w:right="0"/>
        <w:jc w:val="left"/>
      </w:pPr>
      <w:r>
        <w:rPr/>
        <w:t>（二）监事会成员</w:t>
      </w:r>
    </w:p>
    <w:p>
      <w:pPr>
        <w:spacing w:after="0" w:line="240" w:lineRule="auto"/>
        <w:jc w:val="left"/>
        <w:sectPr>
          <w:pgSz w:w="11910" w:h="16840"/>
          <w:pgMar w:header="916" w:footer="1261" w:top="1120" w:bottom="1460" w:left="980" w:right="0"/>
        </w:sectPr>
      </w:pPr>
    </w:p>
    <w:p>
      <w:pPr>
        <w:spacing w:line="240" w:lineRule="auto" w:before="6"/>
        <w:rPr>
          <w:rFonts w:ascii="宋体" w:hAnsi="宋体" w:cs="宋体" w:eastAsia="宋体" w:hint="default"/>
          <w:sz w:val="28"/>
          <w:szCs w:val="28"/>
        </w:rPr>
      </w:pPr>
    </w:p>
    <w:p>
      <w:pPr>
        <w:pStyle w:val="BodyText"/>
        <w:spacing w:line="400" w:lineRule="auto" w:before="44"/>
        <w:ind w:right="1193" w:firstLine="424"/>
        <w:jc w:val="both"/>
      </w:pPr>
      <w:r>
        <w:rPr/>
        <w:t>孙洋，男，</w:t>
      </w:r>
      <w:r>
        <w:rPr>
          <w:rFonts w:ascii="Times New Roman" w:hAnsi="Times New Roman" w:cs="Times New Roman" w:eastAsia="Times New Roman" w:hint="default"/>
        </w:rPr>
        <w:t>49 </w:t>
      </w:r>
      <w:r>
        <w:rPr/>
        <w:t>岁，</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年获得北京邮电大学计算机软件工程硕士学位。曾历任中国东方资产管理股份有限公司总公 司信息科技部副总经理、东方邦信金融科技（上海）有限公司董事长、东方邦信融通控股股份有限公司副总经理、东方金 诚国际信用评估有限公司副总经理兼任东方金诚信用管理有限公司总经理；现任神州数码控股有限公司副总裁，兼智慧金 融服务集团总裁、投融资管理部总经理，同时兼任神州数码软件有限公司董事长、神州投资有限公司董事长、神州数码金 融服务（深圳）有限公司董事长、神州数码（南京）信息科技有限公司董事长、神州数码（上海）资产管理有限公司董事 长、西安神州数码实业有限公司董事长等职务；另担任香港上市公司慧聪集团（</w:t>
      </w:r>
      <w:r>
        <w:rPr>
          <w:rFonts w:ascii="Times New Roman" w:hAnsi="Times New Roman" w:cs="Times New Roman" w:eastAsia="Times New Roman" w:hint="default"/>
        </w:rPr>
        <w:t>02280.HK</w:t>
      </w:r>
      <w:r>
        <w:rPr/>
        <w:t>）非执行董事、神州数码信息服 务股份有限公司监事会主席。</w:t>
      </w:r>
    </w:p>
    <w:p>
      <w:pPr>
        <w:pStyle w:val="BodyText"/>
        <w:spacing w:line="393" w:lineRule="auto" w:before="83"/>
        <w:ind w:right="1151" w:firstLine="424"/>
        <w:jc w:val="both"/>
      </w:pPr>
      <w:r>
        <w:rPr/>
        <w:t>张民，男，</w:t>
      </w:r>
      <w:r>
        <w:rPr>
          <w:rFonts w:ascii="Times New Roman" w:hAnsi="Times New Roman" w:cs="Times New Roman" w:eastAsia="Times New Roman" w:hint="default"/>
        </w:rPr>
        <w:t>63</w:t>
      </w:r>
      <w:r>
        <w:rPr>
          <w:rFonts w:ascii="Times New Roman" w:hAnsi="Times New Roman" w:cs="Times New Roman" w:eastAsia="Times New Roman" w:hint="default"/>
          <w:spacing w:val="-1"/>
        </w:rPr>
        <w:t> </w:t>
      </w:r>
      <w:r>
        <w:rPr/>
        <w:t>岁，中级工程师。</w:t>
      </w:r>
      <w:r>
        <w:rPr>
          <w:rFonts w:ascii="Times New Roman" w:hAnsi="Times New Roman" w:cs="Times New Roman" w:eastAsia="Times New Roman" w:hint="default"/>
        </w:rPr>
        <w:t>1987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月毕业于北京师范大学中文专业；</w:t>
      </w:r>
      <w:r>
        <w:rPr>
          <w:rFonts w:ascii="Times New Roman" w:hAnsi="Times New Roman" w:cs="Times New Roman" w:eastAsia="Times New Roman" w:hint="default"/>
        </w:rPr>
        <w:t>1987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月毕业于中华全国律师函授中 心法律专业。曾任神州数码（中国）有限公司部门副总经理、神州数码软件有限公司部门副总经理、神州数码信息服务股 份有限公司沈阳平台及新疆平台总经理、金信</w:t>
      </w:r>
      <w:r>
        <w:rPr>
          <w:spacing w:val="-47"/>
        </w:rPr>
        <w:t> </w:t>
      </w:r>
      <w:r>
        <w:rPr>
          <w:rFonts w:ascii="Times New Roman" w:hAnsi="Times New Roman" w:cs="Times New Roman" w:eastAsia="Times New Roman" w:hint="default"/>
        </w:rPr>
        <w:t>SBU</w:t>
      </w:r>
      <w:r>
        <w:rPr>
          <w:rFonts w:ascii="Times New Roman" w:hAnsi="Times New Roman" w:cs="Times New Roman" w:eastAsia="Times New Roman" w:hint="default"/>
          <w:spacing w:val="-2"/>
        </w:rPr>
        <w:t> </w:t>
      </w:r>
      <w:r>
        <w:rPr/>
        <w:t>综合管理部总经理、企划办副主任等；现任神州数码信息服务股份有限 公司监事。</w:t>
      </w:r>
    </w:p>
    <w:p>
      <w:pPr>
        <w:pStyle w:val="BodyText"/>
        <w:spacing w:line="384" w:lineRule="auto" w:before="91"/>
        <w:ind w:right="1254" w:firstLine="424"/>
        <w:jc w:val="both"/>
      </w:pPr>
      <w:r>
        <w:rPr/>
        <w:t>许克勤，男，</w:t>
      </w:r>
      <w:r>
        <w:rPr>
          <w:rFonts w:ascii="Times New Roman" w:hAnsi="Times New Roman" w:cs="Times New Roman" w:eastAsia="Times New Roman" w:hint="default"/>
        </w:rPr>
        <w:t>57</w:t>
      </w:r>
      <w:r>
        <w:rPr>
          <w:rFonts w:ascii="Times New Roman" w:hAnsi="Times New Roman" w:cs="Times New Roman" w:eastAsia="Times New Roman" w:hint="default"/>
          <w:spacing w:val="-1"/>
        </w:rPr>
        <w:t> </w:t>
      </w:r>
      <w:r>
        <w:rPr/>
        <w:t>岁，经济师。</w:t>
      </w:r>
      <w:r>
        <w:rPr>
          <w:rFonts w:ascii="Times New Roman" w:hAnsi="Times New Roman" w:cs="Times New Roman" w:eastAsia="Times New Roman" w:hint="default"/>
        </w:rPr>
        <w:t>1986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月毕业于西安交通大学电子工程系，获工学学士学位。曾任神州数码信息服 务股份有限公司企划办副主任；现任神州数码信息服务股份有限公司政府</w:t>
      </w:r>
      <w:r>
        <w:rPr>
          <w:spacing w:val="-46"/>
        </w:rPr>
        <w:t> </w:t>
      </w:r>
      <w:r>
        <w:rPr>
          <w:rFonts w:ascii="Times New Roman" w:hAnsi="Times New Roman" w:cs="Times New Roman" w:eastAsia="Times New Roman" w:hint="default"/>
        </w:rPr>
        <w:t>SBU</w:t>
      </w:r>
      <w:r>
        <w:rPr>
          <w:rFonts w:ascii="Times New Roman" w:hAnsi="Times New Roman" w:cs="Times New Roman" w:eastAsia="Times New Roman" w:hint="default"/>
          <w:spacing w:val="-2"/>
        </w:rPr>
        <w:t> </w:t>
      </w:r>
      <w:r>
        <w:rPr/>
        <w:t>副总裁兼企划办主任、职工代表监事。</w:t>
      </w:r>
    </w:p>
    <w:p>
      <w:pPr>
        <w:pStyle w:val="BodyText"/>
        <w:spacing w:line="446" w:lineRule="auto" w:before="73"/>
        <w:ind w:left="578" w:right="6728"/>
        <w:jc w:val="left"/>
      </w:pPr>
      <w:r>
        <w:rPr/>
        <w:t>（三）高级管理人员 李鸿春，请详见（一）董事会成员中的介绍。</w:t>
      </w:r>
    </w:p>
    <w:p>
      <w:pPr>
        <w:pStyle w:val="BodyText"/>
        <w:spacing w:line="391" w:lineRule="auto" w:before="49"/>
        <w:ind w:right="1163" w:firstLine="424"/>
        <w:jc w:val="left"/>
      </w:pPr>
      <w:r>
        <w:rPr/>
        <w:t>赵文甫，男，</w:t>
      </w:r>
      <w:r>
        <w:rPr>
          <w:rFonts w:ascii="Times New Roman" w:hAnsi="Times New Roman" w:cs="Times New Roman" w:eastAsia="Times New Roman" w:hint="default"/>
        </w:rPr>
        <w:t>47 </w:t>
      </w:r>
      <w:r>
        <w:rPr/>
        <w:t>岁，</w:t>
      </w:r>
      <w:r>
        <w:rPr>
          <w:rFonts w:ascii="Times New Roman" w:hAnsi="Times New Roman" w:cs="Times New Roman" w:eastAsia="Times New Roman" w:hint="default"/>
        </w:rPr>
        <w:t>1994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月毕业于西安交通大学，获工学学士学位；</w:t>
      </w:r>
      <w:r>
        <w:rPr>
          <w:rFonts w:ascii="Times New Roman" w:hAnsi="Times New Roman" w:cs="Times New Roman" w:eastAsia="Times New Roman" w:hint="default"/>
        </w:rPr>
        <w:t>1997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 </w:t>
      </w:r>
      <w:r>
        <w:rPr/>
        <w:t>月毕业于天津大学，获工学硕士 学位。曾历任神州数码软件有限公司高级项目经理，产品</w:t>
      </w:r>
      <w:r>
        <w:rPr>
          <w:rFonts w:ascii="Times New Roman" w:hAnsi="Times New Roman" w:cs="Times New Roman" w:eastAsia="Times New Roman" w:hint="default"/>
        </w:rPr>
        <w:t>/</w:t>
      </w:r>
      <w:r>
        <w:rPr/>
        <w:t>系统服务部门总经理、神州数码国锋软件有限公司副总裁、神州 数码信息服务股份有限公司金融</w:t>
      </w:r>
      <w:r>
        <w:rPr>
          <w:spacing w:val="-45"/>
        </w:rPr>
        <w:t> </w:t>
      </w:r>
      <w:r>
        <w:rPr>
          <w:rFonts w:ascii="Times New Roman" w:hAnsi="Times New Roman" w:cs="Times New Roman" w:eastAsia="Times New Roman" w:hint="default"/>
        </w:rPr>
        <w:t>SBU</w:t>
      </w:r>
      <w:r>
        <w:rPr>
          <w:rFonts w:ascii="Times New Roman" w:hAnsi="Times New Roman" w:cs="Times New Roman" w:eastAsia="Times New Roman" w:hint="default"/>
          <w:spacing w:val="-1"/>
        </w:rPr>
        <w:t> </w:t>
      </w:r>
      <w:r>
        <w:rPr/>
        <w:t>项目总监、城商行事业部总经理、</w:t>
      </w:r>
      <w:r>
        <w:rPr>
          <w:rFonts w:ascii="Times New Roman" w:hAnsi="Times New Roman" w:cs="Times New Roman" w:eastAsia="Times New Roman" w:hint="default"/>
        </w:rPr>
        <w:t>SBU</w:t>
      </w:r>
      <w:r>
        <w:rPr>
          <w:rFonts w:ascii="Times New Roman" w:hAnsi="Times New Roman" w:cs="Times New Roman" w:eastAsia="Times New Roman" w:hint="default"/>
          <w:spacing w:val="-1"/>
        </w:rPr>
        <w:t> </w:t>
      </w:r>
      <w:r>
        <w:rPr/>
        <w:t>副总裁、</w:t>
      </w:r>
      <w:r>
        <w:rPr>
          <w:rFonts w:ascii="Times New Roman" w:hAnsi="Times New Roman" w:cs="Times New Roman" w:eastAsia="Times New Roman" w:hint="default"/>
        </w:rPr>
        <w:t>SBU</w:t>
      </w:r>
      <w:r>
        <w:rPr>
          <w:rFonts w:ascii="Times New Roman" w:hAnsi="Times New Roman" w:cs="Times New Roman" w:eastAsia="Times New Roman" w:hint="default"/>
          <w:spacing w:val="-4"/>
        </w:rPr>
        <w:t> </w:t>
      </w:r>
      <w:r>
        <w:rPr/>
        <w:t>常务副总裁、神州数码信息服 务股份有限公司副总裁、金融行业副总裁、神州数码融信云技术服务有限公司董事；现任神州数码信息服务股份有限公司 高级副总裁、金融</w:t>
      </w:r>
      <w:r>
        <w:rPr>
          <w:spacing w:val="-47"/>
        </w:rPr>
        <w:t> </w:t>
      </w:r>
      <w:r>
        <w:rPr>
          <w:rFonts w:ascii="Times New Roman" w:hAnsi="Times New Roman" w:cs="Times New Roman" w:eastAsia="Times New Roman" w:hint="default"/>
        </w:rPr>
        <w:t>SBU</w:t>
      </w:r>
      <w:r>
        <w:rPr>
          <w:rFonts w:ascii="Times New Roman" w:hAnsi="Times New Roman" w:cs="Times New Roman" w:eastAsia="Times New Roman" w:hint="default"/>
          <w:spacing w:val="-2"/>
        </w:rPr>
        <w:t> </w:t>
      </w:r>
      <w:r>
        <w:rPr/>
        <w:t>总经理。</w:t>
      </w:r>
    </w:p>
    <w:p>
      <w:pPr>
        <w:pStyle w:val="BodyText"/>
        <w:spacing w:line="403" w:lineRule="auto" w:before="64"/>
        <w:ind w:right="1208" w:firstLine="424"/>
        <w:jc w:val="both"/>
      </w:pPr>
      <w:r>
        <w:rPr/>
        <w:t>张云飞，女，</w:t>
      </w:r>
      <w:r>
        <w:rPr>
          <w:rFonts w:ascii="Times New Roman" w:hAnsi="Times New Roman" w:cs="Times New Roman" w:eastAsia="Times New Roman" w:hint="default"/>
        </w:rPr>
        <w:t>47 </w:t>
      </w:r>
      <w:r>
        <w:rPr/>
        <w:t>岁，</w:t>
      </w:r>
      <w:r>
        <w:rPr>
          <w:rFonts w:ascii="Times New Roman" w:hAnsi="Times New Roman" w:cs="Times New Roman" w:eastAsia="Times New Roman" w:hint="default"/>
        </w:rPr>
        <w:t>1995 </w:t>
      </w:r>
      <w:r>
        <w:rPr/>
        <w:t>年获北京大学光华管理学院经济学学士学位；</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年获中欧国际工商学院工商管理硕士学 位。曾历任神州数码经营管理部副总经理、济南神州数码有限公司总经理、神州数码科技发展公司副总经理、神州数码控 股有限公司财务部总经理、神州数码集团股份有限公司财务总监、北京迪信通商贸股份有限公司董事、神州数码信息服务 股份有限公司董事、董事会秘书等职务；现任神州数码信息服务股份有限公司财务总监、鼎捷软件股份有限公司董事、神 州数码融信云技术服务有限公司董事。</w:t>
      </w:r>
    </w:p>
    <w:p>
      <w:pPr>
        <w:pStyle w:val="BodyText"/>
        <w:spacing w:line="386" w:lineRule="auto" w:before="81"/>
        <w:ind w:right="1244" w:firstLine="424"/>
        <w:jc w:val="both"/>
      </w:pPr>
      <w:r>
        <w:rPr/>
        <w:t>于宏志，男，</w:t>
      </w:r>
      <w:r>
        <w:rPr>
          <w:rFonts w:ascii="Times New Roman" w:hAnsi="Times New Roman" w:cs="Times New Roman" w:eastAsia="Times New Roman" w:hint="default"/>
        </w:rPr>
        <w:t>45 </w:t>
      </w:r>
      <w:r>
        <w:rPr/>
        <w:t>岁，</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月毕业于中国科学技术大学，获工学学士学位。曾任神州数码信息服务股份有限公司 金融</w:t>
      </w:r>
      <w:r>
        <w:rPr>
          <w:spacing w:val="-47"/>
        </w:rPr>
        <w:t> </w:t>
      </w:r>
      <w:r>
        <w:rPr>
          <w:rFonts w:ascii="Times New Roman" w:hAnsi="Times New Roman" w:cs="Times New Roman" w:eastAsia="Times New Roman" w:hint="default"/>
        </w:rPr>
        <w:t>SBU</w:t>
      </w:r>
      <w:r>
        <w:rPr>
          <w:rFonts w:ascii="Times New Roman" w:hAnsi="Times New Roman" w:cs="Times New Roman" w:eastAsia="Times New Roman" w:hint="default"/>
          <w:spacing w:val="-2"/>
        </w:rPr>
        <w:t> </w:t>
      </w:r>
      <w:r>
        <w:rPr/>
        <w:t>项目总监、业务解决方案部总经理，现任神州数码信息服务股份有限公司</w:t>
      </w:r>
      <w:r>
        <w:rPr>
          <w:spacing w:val="-45"/>
        </w:rPr>
        <w:t> </w:t>
      </w:r>
      <w:r>
        <w:rPr>
          <w:rFonts w:ascii="Times New Roman" w:hAnsi="Times New Roman" w:cs="Times New Roman" w:eastAsia="Times New Roman" w:hint="default"/>
        </w:rPr>
        <w:t>CTO</w:t>
      </w:r>
      <w:r>
        <w:rPr>
          <w:rFonts w:ascii="Times New Roman" w:hAnsi="Times New Roman" w:cs="Times New Roman" w:eastAsia="Times New Roman" w:hint="default"/>
          <w:spacing w:val="-2"/>
        </w:rPr>
        <w:t> </w:t>
      </w:r>
      <w:r>
        <w:rPr/>
        <w:t>兼产品及研发管理中心总经理、 金融</w:t>
      </w:r>
      <w:r>
        <w:rPr>
          <w:spacing w:val="-47"/>
        </w:rPr>
        <w:t> </w:t>
      </w:r>
      <w:r>
        <w:rPr>
          <w:rFonts w:ascii="Times New Roman" w:hAnsi="Times New Roman" w:cs="Times New Roman" w:eastAsia="Times New Roman" w:hint="default"/>
        </w:rPr>
        <w:t>SBU</w:t>
      </w:r>
      <w:r>
        <w:rPr>
          <w:rFonts w:ascii="Times New Roman" w:hAnsi="Times New Roman" w:cs="Times New Roman" w:eastAsia="Times New Roman" w:hint="default"/>
          <w:spacing w:val="-2"/>
        </w:rPr>
        <w:t> </w:t>
      </w:r>
      <w:r>
        <w:rPr/>
        <w:t>副总裁及产品中心总经理。</w:t>
      </w:r>
    </w:p>
    <w:p>
      <w:pPr>
        <w:pStyle w:val="BodyText"/>
        <w:spacing w:line="396" w:lineRule="auto" w:before="68"/>
        <w:ind w:right="1154" w:firstLine="424"/>
        <w:jc w:val="left"/>
      </w:pPr>
      <w:r>
        <w:rPr/>
        <w:t>马洪杰，男，</w:t>
      </w:r>
      <w:r>
        <w:rPr>
          <w:rFonts w:ascii="Times New Roman" w:hAnsi="Times New Roman" w:cs="Times New Roman" w:eastAsia="Times New Roman" w:hint="default"/>
        </w:rPr>
        <w:t>45 </w:t>
      </w:r>
      <w:r>
        <w:rPr/>
        <w:t>岁，</w:t>
      </w:r>
      <w:r>
        <w:rPr>
          <w:spacing w:val="-3"/>
        </w:rPr>
        <w:t> </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 </w:t>
      </w:r>
      <w:r>
        <w:rPr/>
        <w:t>月毕业于大连理工大学，获系统工程博士学位。曾历任神州数码集团信息化管理部副 总经理、神州数码系统集成服务有限公司服务产品中心总经理；现任神州数码信息服务股份有限公司副总裁兼战略发展部 总经理。</w:t>
      </w:r>
    </w:p>
    <w:p>
      <w:pPr>
        <w:pStyle w:val="BodyText"/>
        <w:spacing w:line="240" w:lineRule="auto" w:before="89"/>
        <w:ind w:left="578" w:right="0"/>
        <w:jc w:val="left"/>
      </w:pPr>
      <w:r>
        <w:rPr/>
        <w:t>郝晋瑞，男，</w:t>
      </w:r>
      <w:r>
        <w:rPr>
          <w:rFonts w:ascii="Times New Roman" w:hAnsi="Times New Roman" w:cs="Times New Roman" w:eastAsia="Times New Roman" w:hint="default"/>
        </w:rPr>
        <w:t>49 </w:t>
      </w:r>
      <w:r>
        <w:rPr/>
        <w:t>岁，</w:t>
      </w:r>
      <w:r>
        <w:rPr>
          <w:rFonts w:ascii="Times New Roman" w:hAnsi="Times New Roman" w:cs="Times New Roman" w:eastAsia="Times New Roman" w:hint="default"/>
        </w:rPr>
        <w:t>1992</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月毕业于北京理工大学，获工学学士学位；</w:t>
      </w:r>
      <w:r>
        <w:rPr>
          <w:rFonts w:ascii="Times New Roman" w:hAnsi="Times New Roman" w:cs="Times New Roman" w:eastAsia="Times New Roman" w:hint="default"/>
        </w:rPr>
        <w:t>1995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 </w:t>
      </w:r>
      <w:r>
        <w:rPr/>
        <w:t>月毕业于北京理工大学，于同年</w:t>
      </w:r>
    </w:p>
    <w:p>
      <w:pPr>
        <w:pStyle w:val="BodyText"/>
        <w:spacing w:line="240" w:lineRule="auto" w:before="149"/>
        <w:ind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月获工学硕士学位。曾历任北京理工大学讲师、神州数码信息服务股份有限公司</w:t>
      </w:r>
      <w:r>
        <w:rPr>
          <w:spacing w:val="-46"/>
        </w:rPr>
        <w:t> </w:t>
      </w:r>
      <w:r>
        <w:rPr>
          <w:rFonts w:ascii="Times New Roman" w:hAnsi="Times New Roman" w:cs="Times New Roman" w:eastAsia="Times New Roman" w:hint="default"/>
        </w:rPr>
        <w:t>SBU</w:t>
      </w:r>
      <w:r>
        <w:rPr>
          <w:rFonts w:ascii="Times New Roman" w:hAnsi="Times New Roman" w:cs="Times New Roman" w:eastAsia="Times New Roman" w:hint="default"/>
          <w:spacing w:val="-2"/>
        </w:rPr>
        <w:t> </w:t>
      </w:r>
      <w:r>
        <w:rPr/>
        <w:t>副总经理、项目管理部总经理；现</w:t>
      </w:r>
    </w:p>
    <w:p>
      <w:pPr>
        <w:spacing w:after="0" w:line="240" w:lineRule="auto"/>
        <w:jc w:val="left"/>
        <w:sectPr>
          <w:pgSz w:w="11910" w:h="16840"/>
          <w:pgMar w:header="916" w:footer="1261" w:top="1120" w:bottom="1460" w:left="980" w:right="0"/>
        </w:sectPr>
      </w:pPr>
    </w:p>
    <w:p>
      <w:pPr>
        <w:spacing w:line="240" w:lineRule="auto" w:before="6"/>
        <w:rPr>
          <w:rFonts w:ascii="宋体" w:hAnsi="宋体" w:cs="宋体" w:eastAsia="宋体" w:hint="default"/>
          <w:sz w:val="28"/>
          <w:szCs w:val="28"/>
        </w:rPr>
      </w:pPr>
    </w:p>
    <w:p>
      <w:pPr>
        <w:pStyle w:val="BodyText"/>
        <w:spacing w:line="240" w:lineRule="auto" w:before="44"/>
        <w:ind w:left="393" w:right="1170"/>
        <w:jc w:val="left"/>
      </w:pPr>
      <w:r>
        <w:rPr/>
        <w:t>任神州数码信息服务股份有限公司副总裁、项目及交付管理中心总经理。</w:t>
      </w:r>
    </w:p>
    <w:p>
      <w:pPr>
        <w:spacing w:line="240" w:lineRule="auto" w:before="7"/>
        <w:rPr>
          <w:rFonts w:ascii="宋体" w:hAnsi="宋体" w:cs="宋体" w:eastAsia="宋体" w:hint="default"/>
          <w:sz w:val="15"/>
          <w:szCs w:val="15"/>
        </w:rPr>
      </w:pPr>
    </w:p>
    <w:p>
      <w:pPr>
        <w:pStyle w:val="BodyText"/>
        <w:spacing w:line="398" w:lineRule="auto"/>
        <w:ind w:left="393" w:right="1231" w:firstLine="424"/>
        <w:jc w:val="both"/>
      </w:pPr>
      <w:r>
        <w:rPr/>
        <w:t>李侃遐，女，</w:t>
      </w:r>
      <w:r>
        <w:rPr>
          <w:rFonts w:ascii="Times New Roman" w:hAnsi="Times New Roman" w:cs="Times New Roman" w:eastAsia="Times New Roman" w:hint="default"/>
        </w:rPr>
        <w:t>47 </w:t>
      </w:r>
      <w:r>
        <w:rPr/>
        <w:t>岁，</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月毕业于香港大学，获组织与人力资源管理研究生文凭。曾历任神州数码（中国）有 限公司人力资源部招聘调配部经理、北区人力资源总监、集团人力副总经理、神州数码信息服务股份有限公司企划办副主 任兼人力资源及行政部总经理；现任神州数码信息服务股份有限公司副总裁、人力资源及行政部总经理。</w:t>
      </w:r>
    </w:p>
    <w:p>
      <w:pPr>
        <w:pStyle w:val="BodyText"/>
        <w:spacing w:line="393" w:lineRule="auto" w:before="85"/>
        <w:ind w:left="393" w:right="1170" w:firstLine="424"/>
        <w:jc w:val="left"/>
      </w:pPr>
      <w:r>
        <w:rPr/>
        <w:t>刘伟刚，男，</w:t>
      </w:r>
      <w:r>
        <w:rPr>
          <w:rFonts w:ascii="Times New Roman" w:hAnsi="Times New Roman" w:cs="Times New Roman" w:eastAsia="Times New Roman" w:hint="default"/>
        </w:rPr>
        <w:t>35 </w:t>
      </w:r>
      <w:r>
        <w:rPr/>
        <w:t>岁，</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月毕业于中国人民大学，获经济学学士学位；</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月获中国人民大学经济学硕 士学位；</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 </w:t>
      </w:r>
      <w:r>
        <w:rPr/>
        <w:t>月取得董事会秘书资格证明。曾历任神州数码控股有限公司金融服务事业部投资经理、企业发展部投资 经理、神州数码信息服务股份有限公司资本证券部证券事务代表、投资总监、资本证券部副总经理；现任神州数码信息服 务股份有限公司董事会秘书、投资管理部总经理、资本证券部总经理。</w:t>
      </w:r>
    </w:p>
    <w:p>
      <w:pPr>
        <w:pStyle w:val="BodyText"/>
        <w:spacing w:line="393" w:lineRule="auto" w:before="88"/>
        <w:ind w:left="393" w:right="1170" w:firstLine="424"/>
        <w:jc w:val="left"/>
      </w:pPr>
      <w:r>
        <w:rPr/>
        <w:t>崔晓天，男，</w:t>
      </w:r>
      <w:r>
        <w:rPr>
          <w:rFonts w:ascii="Times New Roman" w:hAnsi="Times New Roman" w:cs="Times New Roman" w:eastAsia="Times New Roman" w:hint="default"/>
        </w:rPr>
        <w:t>55 </w:t>
      </w:r>
      <w:r>
        <w:rPr/>
        <w:t>岁，</w:t>
      </w:r>
      <w:r>
        <w:rPr>
          <w:rFonts w:ascii="Times New Roman" w:hAnsi="Times New Roman" w:cs="Times New Roman" w:eastAsia="Times New Roman" w:hint="default"/>
        </w:rPr>
        <w:t>1988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月毕业于清华大学，获学士学位；</w:t>
      </w:r>
      <w:r>
        <w:rPr>
          <w:rFonts w:ascii="Times New Roman" w:hAnsi="Times New Roman" w:cs="Times New Roman" w:eastAsia="Times New Roman" w:hint="default"/>
        </w:rPr>
        <w:t>1991</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 </w:t>
      </w:r>
      <w:r>
        <w:rPr/>
        <w:t>月毕业中国科学院计算技术研究所，获硕 士学位；</w:t>
      </w:r>
      <w:r>
        <w:rPr>
          <w:rFonts w:ascii="Times New Roman" w:hAnsi="Times New Roman" w:cs="Times New Roman" w:eastAsia="Times New Roman" w:hint="default"/>
        </w:rPr>
        <w:t>1995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 </w:t>
      </w:r>
      <w:r>
        <w:rPr/>
        <w:t>月毕业中国科学院计算技术研究所，获工学博士学位，现为中国科学院正高级工程师。曾历任中国科学 院计算技术研究所</w:t>
      </w:r>
      <w:r>
        <w:rPr>
          <w:spacing w:val="-45"/>
        </w:rPr>
        <w:t> </w:t>
      </w:r>
      <w:r>
        <w:rPr>
          <w:rFonts w:ascii="Times New Roman" w:hAnsi="Times New Roman" w:cs="Times New Roman" w:eastAsia="Times New Roman" w:hint="default"/>
        </w:rPr>
        <w:t>CAD </w:t>
      </w:r>
      <w:r>
        <w:rPr/>
        <w:t>开放实验室助理研究员、中国科学院计算技术研究所副研究员、联想集团系统集成有限公司政府 事业部助理总经理、神州数码软件公司产品部副总经理、总经理、神州数码软件公司政府本部副总经理、神州数码信息服 务股份有限公司历任工程院副院长、院长、研发中心总经理、副总裁、安全可靠首席专家；现任神州数码信息服务股份有 限公司信创首席专家。</w:t>
      </w:r>
    </w:p>
    <w:p>
      <w:pPr>
        <w:pStyle w:val="BodyText"/>
        <w:spacing w:line="223" w:lineRule="exact"/>
        <w:ind w:left="393" w:right="1170"/>
        <w:jc w:val="left"/>
      </w:pPr>
      <w:r>
        <w:rPr/>
        <w:t>在股东单位任职情况</w:t>
      </w:r>
    </w:p>
    <w:p>
      <w:pPr>
        <w:pStyle w:val="BodyText"/>
        <w:spacing w:line="240" w:lineRule="auto" w:before="117"/>
        <w:ind w:left="393" w:right="1170"/>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501" w:type="dxa"/>
        <w:tblLayout w:type="fixed"/>
        <w:tblCellMar>
          <w:top w:w="0" w:type="dxa"/>
          <w:left w:w="0" w:type="dxa"/>
          <w:bottom w:w="0" w:type="dxa"/>
          <w:right w:w="0" w:type="dxa"/>
        </w:tblCellMar>
        <w:tblLook w:val="01E0"/>
      </w:tblPr>
      <w:tblGrid>
        <w:gridCol w:w="1030"/>
        <w:gridCol w:w="2369"/>
        <w:gridCol w:w="1532"/>
        <w:gridCol w:w="1726"/>
        <w:gridCol w:w="1754"/>
        <w:gridCol w:w="1160"/>
      </w:tblGrid>
      <w:tr>
        <w:trPr>
          <w:trHeight w:val="1028" w:hRule="exact"/>
        </w:trPr>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1" w:right="146" w:hanging="180"/>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3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91" w:right="129" w:hanging="360"/>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4" w:right="123"/>
              <w:jc w:val="center"/>
              <w:rPr>
                <w:rFonts w:ascii="宋体" w:hAnsi="宋体" w:cs="宋体" w:eastAsia="宋体" w:hint="default"/>
                <w:sz w:val="18"/>
                <w:szCs w:val="18"/>
              </w:rPr>
            </w:pPr>
            <w:r>
              <w:rPr>
                <w:rFonts w:ascii="宋体" w:hAnsi="宋体" w:cs="宋体" w:eastAsia="宋体" w:hint="default"/>
                <w:sz w:val="18"/>
                <w:szCs w:val="18"/>
              </w:rPr>
              <w:t>在股东单位 是否领取报 酬津贴</w:t>
            </w:r>
          </w:p>
        </w:tc>
      </w:tr>
      <w:tr>
        <w:trPr>
          <w:trHeight w:val="46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总经理、董事</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754"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33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在股东单位任职情况的说明</w:t>
            </w:r>
          </w:p>
        </w:tc>
        <w:tc>
          <w:tcPr>
            <w:tcW w:w="61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393" w:right="1170"/>
        <w:jc w:val="left"/>
      </w:pPr>
      <w:r>
        <w:rPr/>
        <w:t>在其他单位任职情况</w:t>
      </w:r>
    </w:p>
    <w:p>
      <w:pPr>
        <w:pStyle w:val="BodyText"/>
        <w:spacing w:line="240" w:lineRule="auto" w:before="117"/>
        <w:ind w:left="393" w:right="1170"/>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824"/>
        <w:gridCol w:w="3332"/>
        <w:gridCol w:w="1680"/>
        <w:gridCol w:w="1649"/>
        <w:gridCol w:w="1306"/>
        <w:gridCol w:w="1174"/>
      </w:tblGrid>
      <w:tr>
        <w:trPr>
          <w:trHeight w:val="1028" w:hRule="exact"/>
        </w:trPr>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36" w:right="135"/>
              <w:jc w:val="left"/>
              <w:rPr>
                <w:rFonts w:ascii="宋体" w:hAnsi="宋体" w:cs="宋体" w:eastAsia="宋体" w:hint="default"/>
                <w:sz w:val="18"/>
                <w:szCs w:val="18"/>
              </w:rPr>
            </w:pPr>
            <w:r>
              <w:rPr>
                <w:rFonts w:ascii="宋体" w:hAnsi="宋体" w:cs="宋体" w:eastAsia="宋体" w:hint="default"/>
                <w:sz w:val="18"/>
                <w:szCs w:val="18"/>
              </w:rPr>
              <w:t>任职人 员姓名</w:t>
            </w:r>
          </w:p>
        </w:tc>
        <w:tc>
          <w:tcPr>
            <w:tcW w:w="3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5" w:right="113" w:hanging="541"/>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31" w:right="130"/>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董事会主席</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首席执行官</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6" w:footer="1261" w:top="1120" w:bottom="1460" w:left="74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824"/>
        <w:gridCol w:w="3332"/>
        <w:gridCol w:w="1680"/>
        <w:gridCol w:w="1649"/>
        <w:gridCol w:w="1306"/>
        <w:gridCol w:w="1174"/>
      </w:tblGrid>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北京首钢基金有限公司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6"/>
              <w:jc w:val="left"/>
              <w:rPr>
                <w:rFonts w:ascii="宋体" w:hAnsi="宋体" w:cs="宋体" w:eastAsia="宋体" w:hint="default"/>
                <w:sz w:val="18"/>
                <w:szCs w:val="18"/>
              </w:rPr>
            </w:pPr>
            <w:r>
              <w:rPr>
                <w:rFonts w:ascii="宋体" w:hAnsi="宋体" w:cs="宋体" w:eastAsia="宋体" w:hint="default"/>
                <w:sz w:val="18"/>
                <w:szCs w:val="18"/>
              </w:rPr>
              <w:t>苏州工业园区元禾原点创业投资管理有 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苏州工业园区理则股权投资管理中心</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广州元禾原点投资管理有限公司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336"/>
              <w:jc w:val="left"/>
              <w:rPr>
                <w:rFonts w:ascii="宋体" w:hAnsi="宋体" w:cs="宋体" w:eastAsia="宋体" w:hint="default"/>
                <w:sz w:val="18"/>
                <w:szCs w:val="18"/>
              </w:rPr>
            </w:pPr>
            <w:r>
              <w:rPr>
                <w:rFonts w:ascii="宋体" w:hAnsi="宋体" w:cs="宋体" w:eastAsia="宋体" w:hint="default"/>
                <w:sz w:val="18"/>
                <w:szCs w:val="18"/>
              </w:rPr>
              <w:t>广州原点正则投资管理中心（有限合 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336"/>
              <w:jc w:val="left"/>
              <w:rPr>
                <w:rFonts w:ascii="宋体" w:hAnsi="宋体" w:cs="宋体" w:eastAsia="宋体" w:hint="default"/>
                <w:sz w:val="18"/>
                <w:szCs w:val="18"/>
              </w:rPr>
            </w:pPr>
            <w:r>
              <w:rPr>
                <w:rFonts w:ascii="宋体" w:hAnsi="宋体" w:cs="宋体" w:eastAsia="宋体" w:hint="default"/>
                <w:sz w:val="18"/>
                <w:szCs w:val="18"/>
              </w:rPr>
              <w:t>广州原点壹号创业投资企业（有限合 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杭州既明投资管理有限公司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杭州既明元则创业投资管理合伙企业</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杭州既明乙未创业投资合伙企业（有限 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苏州工业园区金陵壹号投资管理中心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苏州工业园区正则既明股权投资管理有 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苏州工业园区正则股权投资管理中心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（普通合伙）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苏州工业园区原点正则创业投资管理中 心（有限合伙）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苏州工业园区西子壹号投资管理中心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56"/>
              <w:jc w:val="left"/>
              <w:rPr>
                <w:rFonts w:ascii="宋体" w:hAnsi="宋体" w:cs="宋体" w:eastAsia="宋体" w:hint="default"/>
                <w:sz w:val="18"/>
                <w:szCs w:val="18"/>
              </w:rPr>
            </w:pPr>
            <w:r>
              <w:rPr>
                <w:rFonts w:ascii="宋体" w:hAnsi="宋体" w:cs="宋体" w:eastAsia="宋体" w:hint="default"/>
                <w:sz w:val="18"/>
                <w:szCs w:val="18"/>
              </w:rPr>
              <w:t>苏州工业园区正则健康创业投资管理中 心（有限合伙）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苏州工业园区羊城壹号投资管理中心</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科升无线（苏州）股份有限公司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苏州工业园区科升信息技术有限公司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6" w:footer="1261" w:top="1120" w:bottom="1460" w:left="74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824"/>
        <w:gridCol w:w="3332"/>
        <w:gridCol w:w="1680"/>
        <w:gridCol w:w="1649"/>
        <w:gridCol w:w="1306"/>
        <w:gridCol w:w="1174"/>
      </w:tblGrid>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华圆管理咨询（香港）有限公司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凯瑞斯德生化（苏州）有限公司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6"/>
              <w:jc w:val="left"/>
              <w:rPr>
                <w:rFonts w:ascii="宋体" w:hAnsi="宋体" w:cs="宋体" w:eastAsia="宋体" w:hint="default"/>
                <w:sz w:val="18"/>
                <w:szCs w:val="18"/>
              </w:rPr>
            </w:pPr>
            <w:r>
              <w:rPr>
                <w:rFonts w:ascii="宋体" w:hAnsi="宋体" w:cs="宋体" w:eastAsia="宋体" w:hint="default"/>
                <w:sz w:val="18"/>
                <w:szCs w:val="18"/>
              </w:rPr>
              <w:t>苏州工业园区原点正则壹号创业投资企 业（有限合伙）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苏州工业园区原点正则贰号创业投资企 业（有限合伙）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北京元禾原点创业投资管理有限公司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305"/>
              <w:jc w:val="left"/>
              <w:rPr>
                <w:rFonts w:ascii="宋体" w:hAnsi="宋体" w:cs="宋体" w:eastAsia="宋体" w:hint="default"/>
                <w:sz w:val="18"/>
                <w:szCs w:val="18"/>
              </w:rPr>
            </w:pPr>
            <w:r>
              <w:rPr>
                <w:rFonts w:ascii="宋体" w:hAnsi="宋体" w:cs="宋体" w:eastAsia="宋体" w:hint="default"/>
                <w:sz w:val="18"/>
                <w:szCs w:val="18"/>
              </w:rPr>
              <w:t>法人代表，总经 理，执行董事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56"/>
              <w:jc w:val="left"/>
              <w:rPr>
                <w:rFonts w:ascii="宋体" w:hAnsi="宋体" w:cs="宋体" w:eastAsia="宋体" w:hint="default"/>
                <w:sz w:val="18"/>
                <w:szCs w:val="18"/>
              </w:rPr>
            </w:pPr>
            <w:r>
              <w:rPr>
                <w:rFonts w:ascii="宋体" w:hAnsi="宋体" w:cs="宋体" w:eastAsia="宋体" w:hint="default"/>
                <w:sz w:val="18"/>
                <w:szCs w:val="18"/>
              </w:rPr>
              <w:t>苏州工业园区智明创业投资企业（有限 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苏州工业园区智科胜讯创业投资企业</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苏州工业园区原点平则创业投资管理中 心（有限合伙）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6"/>
              <w:jc w:val="left"/>
              <w:rPr>
                <w:rFonts w:ascii="宋体" w:hAnsi="宋体" w:cs="宋体" w:eastAsia="宋体" w:hint="default"/>
                <w:sz w:val="18"/>
                <w:szCs w:val="18"/>
              </w:rPr>
            </w:pPr>
            <w:r>
              <w:rPr>
                <w:rFonts w:ascii="宋体" w:hAnsi="宋体" w:cs="宋体" w:eastAsia="宋体" w:hint="default"/>
                <w:sz w:val="18"/>
                <w:szCs w:val="18"/>
              </w:rPr>
              <w:t>苏州工业园区必要创业投资企业（有限 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苏州工业园区原点种子创业投资企业</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苏州工业园区原戊创业投资合伙企业</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苏州工业园区禾裕壹号创业投资企业</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首长四方（集团）有限公司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深圳市百米生活股份有限公司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苏州华亿安防科技有限公司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苏州嗨课网络科技有限公司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6"/>
              <w:jc w:val="left"/>
              <w:rPr>
                <w:rFonts w:ascii="宋体" w:hAnsi="宋体" w:cs="宋体" w:eastAsia="宋体" w:hint="default"/>
                <w:sz w:val="18"/>
                <w:szCs w:val="18"/>
              </w:rPr>
            </w:pPr>
            <w:r>
              <w:rPr>
                <w:rFonts w:ascii="宋体" w:hAnsi="宋体" w:cs="宋体" w:eastAsia="宋体" w:hint="default"/>
                <w:sz w:val="18"/>
                <w:szCs w:val="18"/>
              </w:rPr>
              <w:t>上海原戍商务信息咨询事务所（普通合 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苏州工业园区原点理则创业投资管理中 心（有限合伙）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6"/>
              <w:jc w:val="left"/>
              <w:rPr>
                <w:rFonts w:ascii="宋体" w:hAnsi="宋体" w:cs="宋体" w:eastAsia="宋体" w:hint="default"/>
                <w:sz w:val="18"/>
                <w:szCs w:val="18"/>
              </w:rPr>
            </w:pPr>
            <w:r>
              <w:rPr>
                <w:rFonts w:ascii="宋体" w:hAnsi="宋体" w:cs="宋体" w:eastAsia="宋体" w:hint="default"/>
                <w:sz w:val="18"/>
                <w:szCs w:val="18"/>
              </w:rPr>
              <w:t>苏州工业园区辉诺共赢创业投资合伙企 业（有限合伙）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6" w:footer="1261" w:top="1120" w:bottom="1460" w:left="74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824"/>
        <w:gridCol w:w="3332"/>
        <w:gridCol w:w="1680"/>
        <w:gridCol w:w="1649"/>
        <w:gridCol w:w="1306"/>
        <w:gridCol w:w="1174"/>
      </w:tblGrid>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苏州工业园区广科原易点现创业投资合 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广州元禾原点贰号创业投资合伙企业</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6"/>
              <w:jc w:val="left"/>
              <w:rPr>
                <w:rFonts w:ascii="宋体" w:hAnsi="宋体" w:cs="宋体" w:eastAsia="宋体" w:hint="default"/>
                <w:sz w:val="18"/>
                <w:szCs w:val="18"/>
              </w:rPr>
            </w:pPr>
            <w:r>
              <w:rPr>
                <w:rFonts w:ascii="宋体" w:hAnsi="宋体" w:cs="宋体" w:eastAsia="宋体" w:hint="default"/>
                <w:sz w:val="18"/>
                <w:szCs w:val="18"/>
              </w:rPr>
              <w:t>苏州工业园区原点治则创业投资管理中 心（有限合伙）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56"/>
              <w:jc w:val="left"/>
              <w:rPr>
                <w:rFonts w:ascii="宋体" w:hAnsi="宋体" w:cs="宋体" w:eastAsia="宋体" w:hint="default"/>
                <w:sz w:val="18"/>
                <w:szCs w:val="18"/>
              </w:rPr>
            </w:pPr>
            <w:r>
              <w:rPr>
                <w:rFonts w:ascii="宋体" w:hAnsi="宋体" w:cs="宋体" w:eastAsia="宋体" w:hint="default"/>
                <w:sz w:val="18"/>
                <w:szCs w:val="18"/>
              </w:rPr>
              <w:t>苏州工业园区元禾原点叁号创业投资企 业（有限合伙）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苏州工业园区奥陶纪创业投资合伙企业</w:t>
            </w:r>
          </w:p>
          <w:p>
            <w:pPr>
              <w:pStyle w:val="TableParagraph"/>
              <w:spacing w:line="240" w:lineRule="auto" w:before="7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北京元禾原点壹号创业投资合伙企业</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6"/>
              <w:jc w:val="left"/>
              <w:rPr>
                <w:rFonts w:ascii="宋体" w:hAnsi="宋体" w:cs="宋体" w:eastAsia="宋体" w:hint="default"/>
                <w:sz w:val="18"/>
                <w:szCs w:val="18"/>
              </w:rPr>
            </w:pPr>
            <w:r>
              <w:rPr>
                <w:rFonts w:ascii="宋体" w:hAnsi="宋体" w:cs="宋体" w:eastAsia="宋体" w:hint="default"/>
                <w:sz w:val="18"/>
                <w:szCs w:val="18"/>
              </w:rPr>
              <w:t>广州原科呈源创业投资合伙企业（有限 合伙）</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李鸿春</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天津国科量子科技有限公司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李鸿春</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深圳海联讯科技股份有限公司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6"/>
              <w:jc w:val="left"/>
              <w:rPr>
                <w:rFonts w:ascii="宋体" w:hAnsi="宋体" w:cs="宋体" w:eastAsia="宋体" w:hint="default"/>
                <w:sz w:val="18"/>
                <w:szCs w:val="18"/>
              </w:rPr>
            </w:pPr>
            <w:r>
              <w:rPr>
                <w:rFonts w:ascii="宋体" w:hAnsi="宋体" w:cs="宋体" w:eastAsia="宋体" w:hint="default"/>
                <w:sz w:val="18"/>
                <w:szCs w:val="18"/>
              </w:rPr>
              <w:t>北京三人行数字传播股份有限公司（前 称北京众成就数字传媒股份有限公司）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运营总监</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北京神州众腾科技发展有限公司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神州投资有限公司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神州数码金融服务（深圳）有限公司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深圳神州普惠信息有限公司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神州数码（上海）资产管理有限公司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深圳神州惠民科技有限公司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69"/>
          <w:pgSz w:w="11910" w:h="16840"/>
          <w:pgMar w:footer="1261" w:header="916" w:top="1120" w:bottom="1460" w:left="74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824"/>
        <w:gridCol w:w="3332"/>
        <w:gridCol w:w="1680"/>
        <w:gridCol w:w="1649"/>
        <w:gridCol w:w="1306"/>
        <w:gridCol w:w="1174"/>
      </w:tblGrid>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深圳神州惠众科技有限公司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神州数码科技产业投资有限责任公司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昆山神州数码科技产业发展有限公司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昆山鹿鸣置业有限公司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王永利</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中国船舶重工股份有限公司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王永利</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国任财产保险股份有限公司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王永利</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中国民生金融控股有限公司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王永利</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深圳海王集团股份有限公司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首席经济学家</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君联资本管理股份有限公司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北京君祺嘉睿企业管理有限公司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上海君祺股权投资管理有限公司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北京诚慧博文投资管理有限公司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中糠股份有限公司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LC Fund III GP</w:t>
            </w:r>
            <w:r>
              <w:rPr>
                <w:rFonts w:ascii="Times New Roman"/>
                <w:spacing w:val="-15"/>
                <w:sz w:val="18"/>
              </w:rPr>
              <w:t> </w:t>
            </w:r>
            <w:r>
              <w:rPr>
                <w:rFonts w:ascii="Times New Roman"/>
                <w:sz w:val="18"/>
              </w:rPr>
              <w:t>Limited</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LC Fund II</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董事（已辞职）</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LC </w:t>
            </w:r>
            <w:r>
              <w:rPr>
                <w:rFonts w:ascii="Times New Roman"/>
                <w:spacing w:val="-4"/>
                <w:sz w:val="18"/>
              </w:rPr>
              <w:t>Team </w:t>
            </w:r>
            <w:r>
              <w:rPr>
                <w:rFonts w:ascii="Times New Roman"/>
                <w:sz w:val="18"/>
              </w:rPr>
              <w:t>Management</w:t>
            </w:r>
            <w:r>
              <w:rPr>
                <w:rFonts w:ascii="Times New Roman"/>
                <w:spacing w:val="-7"/>
                <w:sz w:val="18"/>
              </w:rPr>
              <w:t> </w:t>
            </w:r>
            <w:r>
              <w:rPr>
                <w:rFonts w:ascii="Times New Roman"/>
                <w:sz w:val="18"/>
              </w:rPr>
              <w:t>Limited</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LC Fund IV GP</w:t>
            </w:r>
            <w:r>
              <w:rPr>
                <w:rFonts w:ascii="Times New Roman"/>
                <w:spacing w:val="-19"/>
                <w:sz w:val="18"/>
              </w:rPr>
              <w:t> </w:t>
            </w:r>
            <w:r>
              <w:rPr>
                <w:rFonts w:ascii="Times New Roman"/>
                <w:sz w:val="18"/>
              </w:rPr>
              <w:t>Limited</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pacing w:val="-4"/>
                <w:sz w:val="18"/>
              </w:rPr>
              <w:t>Wealth </w:t>
            </w:r>
            <w:r>
              <w:rPr>
                <w:rFonts w:ascii="Times New Roman"/>
                <w:spacing w:val="-3"/>
                <w:sz w:val="18"/>
              </w:rPr>
              <w:t>Trump </w:t>
            </w:r>
            <w:r>
              <w:rPr>
                <w:rFonts w:ascii="Times New Roman"/>
                <w:sz w:val="18"/>
              </w:rPr>
              <w:t>Investment</w:t>
            </w:r>
            <w:r>
              <w:rPr>
                <w:rFonts w:ascii="Times New Roman"/>
                <w:spacing w:val="9"/>
                <w:sz w:val="18"/>
              </w:rPr>
              <w:t> </w:t>
            </w:r>
            <w:r>
              <w:rPr>
                <w:rFonts w:ascii="Times New Roman"/>
                <w:sz w:val="18"/>
              </w:rPr>
              <w:t>Limited</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董事（已辞职）</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上海新四合木业有限公司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footerReference w:type="default" r:id="rId70"/>
          <w:pgSz w:w="11910" w:h="16840"/>
          <w:pgMar w:footer="1261" w:header="916" w:top="1120" w:bottom="1460" w:left="740" w:right="0"/>
          <w:pgNumType w:start="101"/>
        </w:sectPr>
      </w:pPr>
    </w:p>
    <w:p>
      <w:pPr>
        <w:spacing w:line="240" w:lineRule="auto" w:before="8"/>
        <w:rPr>
          <w:rFonts w:ascii="Times New Roman" w:hAnsi="Times New Roman" w:cs="Times New Roman" w:eastAsia="Times New Roman"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824"/>
        <w:gridCol w:w="3332"/>
        <w:gridCol w:w="1680"/>
        <w:gridCol w:w="1649"/>
        <w:gridCol w:w="1306"/>
        <w:gridCol w:w="1174"/>
      </w:tblGrid>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北京君联管理咨询有限公司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Legend Capital Management</w:t>
            </w:r>
            <w:r>
              <w:rPr>
                <w:rFonts w:ascii="Times New Roman"/>
                <w:spacing w:val="-13"/>
                <w:sz w:val="18"/>
              </w:rPr>
              <w:t> </w:t>
            </w:r>
            <w:r>
              <w:rPr>
                <w:rFonts w:ascii="Times New Roman"/>
                <w:sz w:val="18"/>
              </w:rPr>
              <w:t>Limited</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北京君慧创业投资中心</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中国和谐新能源汽车控股有限公司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独立非执行董事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中国科学院大学管理学院</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实验室主任</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诚志股份有限公司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西藏国路安科技股份有限公司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湖北美尔雅股份有限公司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北京富本财经传媒有限公司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305"/>
              <w:jc w:val="left"/>
              <w:rPr>
                <w:rFonts w:ascii="宋体" w:hAnsi="宋体" w:cs="宋体" w:eastAsia="宋体" w:hint="default"/>
                <w:sz w:val="18"/>
                <w:szCs w:val="18"/>
              </w:rPr>
            </w:pPr>
            <w:r>
              <w:rPr>
                <w:rFonts w:ascii="宋体" w:hAnsi="宋体" w:cs="宋体" w:eastAsia="宋体" w:hint="default"/>
                <w:sz w:val="18"/>
                <w:szCs w:val="18"/>
              </w:rPr>
              <w:t>监事（已申请辞 任）</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北京食空间网络科技有限公司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305"/>
              <w:jc w:val="left"/>
              <w:rPr>
                <w:rFonts w:ascii="宋体" w:hAnsi="宋体" w:cs="宋体" w:eastAsia="宋体" w:hint="default"/>
                <w:sz w:val="18"/>
                <w:szCs w:val="18"/>
              </w:rPr>
            </w:pPr>
            <w:r>
              <w:rPr>
                <w:rFonts w:ascii="宋体" w:hAnsi="宋体" w:cs="宋体" w:eastAsia="宋体" w:hint="default"/>
                <w:sz w:val="18"/>
                <w:szCs w:val="18"/>
              </w:rPr>
              <w:t>监事（已申请辞 任）</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科清智库（北京）科技研究院</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305"/>
              <w:jc w:val="left"/>
              <w:rPr>
                <w:rFonts w:ascii="宋体" w:hAnsi="宋体" w:cs="宋体" w:eastAsia="宋体" w:hint="default"/>
                <w:sz w:val="18"/>
                <w:szCs w:val="18"/>
              </w:rPr>
            </w:pPr>
            <w:r>
              <w:rPr>
                <w:rFonts w:ascii="宋体" w:hAnsi="宋体" w:cs="宋体" w:eastAsia="宋体" w:hint="default"/>
                <w:sz w:val="18"/>
                <w:szCs w:val="18"/>
              </w:rPr>
              <w:t>监事（已申请辞 任）</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阜阳颍泉农村商业银行股份有限公司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25"/>
              <w:jc w:val="left"/>
              <w:rPr>
                <w:rFonts w:ascii="宋体" w:hAnsi="宋体" w:cs="宋体" w:eastAsia="宋体" w:hint="default"/>
                <w:sz w:val="18"/>
                <w:szCs w:val="18"/>
              </w:rPr>
            </w:pPr>
            <w:r>
              <w:rPr>
                <w:rFonts w:ascii="宋体" w:hAnsi="宋体" w:cs="宋体" w:eastAsia="宋体" w:hint="default"/>
                <w:sz w:val="18"/>
                <w:szCs w:val="18"/>
              </w:rPr>
              <w:t>独立董事（任期届 满，已申请辞任）</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罗婷</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阿尔特汽车技术股份有限公司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罗婷</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北京基康仪器股份有限公司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神州数码控股有限公司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25"/>
              <w:jc w:val="left"/>
              <w:rPr>
                <w:rFonts w:ascii="宋体" w:hAnsi="宋体" w:cs="宋体" w:eastAsia="宋体" w:hint="default"/>
                <w:sz w:val="18"/>
                <w:szCs w:val="18"/>
              </w:rPr>
            </w:pPr>
            <w:r>
              <w:rPr>
                <w:rFonts w:ascii="宋体" w:hAnsi="宋体" w:cs="宋体" w:eastAsia="宋体" w:hint="default"/>
                <w:sz w:val="18"/>
                <w:szCs w:val="18"/>
              </w:rPr>
              <w:t>副总裁，兼任智慧 金融服务集团总 裁、投融资管理部 总经理</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慧聪集团有限公司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非执行董事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神州投资有限公司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深圳神州普惠信息有限公司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6" w:footer="1261" w:top="1120" w:bottom="1460" w:left="74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824"/>
        <w:gridCol w:w="3332"/>
        <w:gridCol w:w="1680"/>
        <w:gridCol w:w="1649"/>
        <w:gridCol w:w="1306"/>
        <w:gridCol w:w="1174"/>
      </w:tblGrid>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神州数码金融服务（深圳）有限公司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神州数码（上海）资产管理有限公司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西安神州数码网络小额贷款有限公司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北京神州众腾科技发展有限公司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hyperlink r:id="rId71">
              <w:r>
                <w:rPr>
                  <w:rFonts w:ascii="宋体" w:hAnsi="宋体" w:cs="宋体" w:eastAsia="宋体" w:hint="default"/>
                  <w:sz w:val="18"/>
                  <w:szCs w:val="18"/>
                </w:rPr>
                <w:t>西安神州数码实业有限公司</w:t>
              </w:r>
            </w:hyperlink>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神州数码信息服务股份有限公司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神州数码医疗科技股份有限公司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神州融金</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信息科技有限公司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济南神州数码投资有限公司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神州数码（南京）信息科技有限公司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神州数码（武汉）科技园有限公司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神州数码（武汉）供应链投资有限公司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昆山神州数码实业有限公司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神州数码（昆山）供应链投资有限公司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神州数码（重庆）信息科技有限公司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神州买卖提（北京）电子商务有限公司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神州数码（沈阳）科技园有限公司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量子数聚（北京）科技有限公司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北京融信创投投资管理有限公司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6" w:footer="1261" w:top="1120" w:bottom="1460" w:left="74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04" w:type="dxa"/>
        <w:tblLayout w:type="fixed"/>
        <w:tblCellMar>
          <w:top w:w="0" w:type="dxa"/>
          <w:left w:w="0" w:type="dxa"/>
          <w:bottom w:w="0" w:type="dxa"/>
          <w:right w:w="0" w:type="dxa"/>
        </w:tblCellMar>
        <w:tblLook w:val="01E0"/>
      </w:tblPr>
      <w:tblGrid>
        <w:gridCol w:w="824"/>
        <w:gridCol w:w="1277"/>
        <w:gridCol w:w="2055"/>
        <w:gridCol w:w="1680"/>
        <w:gridCol w:w="1649"/>
        <w:gridCol w:w="1306"/>
        <w:gridCol w:w="1174"/>
      </w:tblGrid>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重庆神州数码慧聪小额贷款有限公司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北京金丰裕瀛投资管理有限公司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北京金丰盛泰投资管理有限公司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3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衡阳佳恒商业管理有限公司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赵文甫</w:t>
            </w:r>
          </w:p>
        </w:tc>
        <w:tc>
          <w:tcPr>
            <w:tcW w:w="3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3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鼎捷软件股份有限公司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33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6"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21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185"/>
              <w:jc w:val="left"/>
              <w:rPr>
                <w:rFonts w:ascii="宋体" w:hAnsi="宋体" w:cs="宋体" w:eastAsia="宋体" w:hint="default"/>
                <w:sz w:val="18"/>
                <w:szCs w:val="18"/>
              </w:rPr>
            </w:pPr>
            <w:r>
              <w:rPr>
                <w:rFonts w:ascii="宋体" w:hAnsi="宋体" w:cs="宋体" w:eastAsia="宋体" w:hint="default"/>
                <w:sz w:val="18"/>
                <w:szCs w:val="18"/>
              </w:rPr>
              <w:t>在其他单位任职情况的 说明</w:t>
            </w:r>
          </w:p>
        </w:tc>
        <w:tc>
          <w:tcPr>
            <w:tcW w:w="7864" w:type="dxa"/>
            <w:gridSpan w:val="5"/>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89"/>
              <w:jc w:val="both"/>
              <w:rPr>
                <w:rFonts w:ascii="宋体" w:hAnsi="宋体" w:cs="宋体" w:eastAsia="宋体" w:hint="default"/>
                <w:sz w:val="18"/>
                <w:szCs w:val="18"/>
              </w:rPr>
            </w:pPr>
            <w:r>
              <w:rPr>
                <w:rFonts w:ascii="宋体" w:hAnsi="宋体" w:cs="宋体" w:eastAsia="宋体" w:hint="default"/>
                <w:sz w:val="18"/>
                <w:szCs w:val="18"/>
              </w:rPr>
              <w:t>公司董事费建江先生及独立董事王能光先生均在投资领域工作，因此费建江先生在多家投资公司 及苏州工业园区元禾原点创业投资管理有限公司管理的基金之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GP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中担任董事或执行事务合伙人 等职务，王能光先生在多家投资公司担任董事等职务。</w:t>
            </w:r>
          </w:p>
        </w:tc>
      </w:tr>
    </w:tbl>
    <w:p>
      <w:pPr>
        <w:pStyle w:val="BodyText"/>
        <w:spacing w:line="240" w:lineRule="auto" w:before="49"/>
        <w:ind w:left="393" w:right="1170"/>
        <w:jc w:val="left"/>
      </w:pPr>
      <w:r>
        <w:rPr/>
        <w:t>公司现任及报告期内离任董事、监事和高级管理人员近三年证券监管机构处罚的情况</w:t>
      </w:r>
    </w:p>
    <w:p>
      <w:pPr>
        <w:pStyle w:val="BodyText"/>
        <w:spacing w:line="240" w:lineRule="auto" w:before="115"/>
        <w:ind w:left="393" w:right="1170"/>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left="393" w:right="1170"/>
        <w:jc w:val="left"/>
        <w:rPr>
          <w:b w:val="0"/>
          <w:bCs w:val="0"/>
        </w:rPr>
      </w:pP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93" w:right="1170"/>
        <w:jc w:val="left"/>
      </w:pPr>
      <w:r>
        <w:rPr/>
        <w:t>董事、监事、高级管理人员报酬的决策程序、确定依据、实际支付情况</w:t>
      </w:r>
    </w:p>
    <w:p>
      <w:pPr>
        <w:spacing w:line="240" w:lineRule="auto" w:before="9"/>
        <w:rPr>
          <w:rFonts w:ascii="宋体" w:hAnsi="宋体" w:cs="宋体" w:eastAsia="宋体" w:hint="default"/>
          <w:sz w:val="16"/>
          <w:szCs w:val="16"/>
        </w:rPr>
      </w:pPr>
    </w:p>
    <w:p>
      <w:pPr>
        <w:pStyle w:val="BodyText"/>
        <w:spacing w:line="446" w:lineRule="auto"/>
        <w:ind w:left="818" w:right="1148"/>
        <w:jc w:val="left"/>
      </w:pPr>
      <w:r>
        <w:rPr/>
        <w:t>（一）薪酬的决策程序和确定依据 根据《神州数码信息服务股份有限公司董事、监事薪酬管理制度》规定，在公司担任具体管理职务的董事、监事依据</w:t>
      </w:r>
    </w:p>
    <w:p>
      <w:pPr>
        <w:pStyle w:val="BodyText"/>
        <w:spacing w:line="384" w:lineRule="auto" w:before="10"/>
        <w:ind w:left="393" w:right="1260"/>
        <w:jc w:val="left"/>
      </w:pPr>
      <w:r>
        <w:rPr/>
        <w:t>其在公司的任职岗位领取相应薪酬</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并经董事会薪酬与考核委员会考评；不在公司担任具体管理职务的外部董事、监事， 不在本公司领取薪酬；独立董事依据公司董事会或股东大会决议中的相关规定领取独立董事津贴。</w:t>
      </w:r>
    </w:p>
    <w:p>
      <w:pPr>
        <w:pStyle w:val="BodyText"/>
        <w:spacing w:line="396" w:lineRule="auto" w:before="98"/>
        <w:ind w:left="393" w:right="1149" w:firstLine="424"/>
        <w:jc w:val="left"/>
      </w:pPr>
      <w:r>
        <w:rPr/>
        <w:t>（二）根据《神州数码信息服务股份有限公司高级管理人员薪酬管理制度》，高管人员年度薪酬由两部分组成，即固 定年薪</w:t>
      </w:r>
      <w:r>
        <w:rPr>
          <w:rFonts w:ascii="Times New Roman" w:hAnsi="Times New Roman" w:cs="Times New Roman" w:eastAsia="Times New Roman" w:hint="default"/>
        </w:rPr>
        <w:t>+</w:t>
      </w:r>
      <w:r>
        <w:rPr/>
        <w:t>浮动年薪。固定年薪按月发放。浮动年薪，依据其年度绩效考核结果，每个会计年度结束后并在董事会审批通过 后进行发放。本年度在公司受薪的全体董事、监事和高级管理人员的年度薪酬总额为</w:t>
      </w:r>
      <w:r>
        <w:rPr>
          <w:spacing w:val="-44"/>
        </w:rPr>
        <w:t> </w:t>
      </w:r>
      <w:r>
        <w:rPr>
          <w:rFonts w:ascii="Times New Roman" w:hAnsi="Times New Roman" w:cs="Times New Roman" w:eastAsia="Times New Roman" w:hint="default"/>
        </w:rPr>
        <w:t>1,651.04</w:t>
      </w:r>
      <w:r>
        <w:rPr>
          <w:rFonts w:ascii="Times New Roman" w:hAnsi="Times New Roman" w:cs="Times New Roman" w:eastAsia="Times New Roman" w:hint="default"/>
          <w:spacing w:val="1"/>
        </w:rPr>
        <w:t> </w:t>
      </w:r>
      <w:r>
        <w:rPr/>
        <w:t>万元。</w:t>
      </w:r>
    </w:p>
    <w:p>
      <w:pPr>
        <w:spacing w:after="0" w:line="396" w:lineRule="auto"/>
        <w:jc w:val="left"/>
        <w:sectPr>
          <w:pgSz w:w="11910" w:h="16840"/>
          <w:pgMar w:header="916" w:footer="1261" w:top="1120" w:bottom="1460" w:left="740" w:right="0"/>
        </w:sectPr>
      </w:pPr>
    </w:p>
    <w:p>
      <w:pPr>
        <w:spacing w:line="240" w:lineRule="auto" w:before="9"/>
        <w:rPr>
          <w:rFonts w:ascii="宋体" w:hAnsi="宋体" w:cs="宋体" w:eastAsia="宋体" w:hint="default"/>
          <w:sz w:val="20"/>
          <w:szCs w:val="20"/>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1370"/>
        <w:gridCol w:w="1714"/>
        <w:gridCol w:w="1020"/>
        <w:gridCol w:w="1366"/>
        <w:gridCol w:w="1369"/>
        <w:gridCol w:w="1366"/>
        <w:gridCol w:w="1368"/>
      </w:tblGrid>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4"/>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35"/>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郭为</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费建江</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李鸿春</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354.25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杨晓樱</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2"/>
                <w:sz w:val="18"/>
              </w:rPr>
              <w:t>117.00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韩玉华</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left"/>
              <w:rPr>
                <w:rFonts w:ascii="宋体" w:hAnsi="宋体" w:cs="宋体" w:eastAsia="宋体" w:hint="default"/>
                <w:sz w:val="18"/>
                <w:szCs w:val="18"/>
              </w:rPr>
            </w:pPr>
            <w:r>
              <w:rPr>
                <w:rFonts w:ascii="宋体" w:hAnsi="宋体" w:cs="宋体" w:eastAsia="宋体" w:hint="default"/>
                <w:sz w:val="18"/>
                <w:szCs w:val="18"/>
              </w:rPr>
              <w:t>王永利</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6"/>
              <w:jc w:val="right"/>
              <w:rPr>
                <w:rFonts w:ascii="Times New Roman" w:hAnsi="Times New Roman" w:cs="Times New Roman" w:eastAsia="Times New Roman" w:hint="default"/>
                <w:sz w:val="18"/>
                <w:szCs w:val="18"/>
              </w:rPr>
            </w:pPr>
            <w:r>
              <w:rPr>
                <w:rFonts w:ascii="Times New Roman"/>
                <w:sz w:val="18"/>
              </w:rPr>
              <w:t>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8"/>
              <w:jc w:val="right"/>
              <w:rPr>
                <w:rFonts w:ascii="Times New Roman" w:hAnsi="Times New Roman" w:cs="Times New Roman" w:eastAsia="Times New Roman" w:hint="default"/>
                <w:sz w:val="18"/>
                <w:szCs w:val="18"/>
              </w:rPr>
            </w:pPr>
            <w:r>
              <w:rPr>
                <w:rFonts w:ascii="Times New Roman"/>
                <w:spacing w:val="-1"/>
                <w:sz w:val="18"/>
              </w:rPr>
              <w:t>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罗婷</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孙洋</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张民</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许克勤</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77.54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赵文甫</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2"/>
                <w:sz w:val="18"/>
              </w:rPr>
              <w:t>163.11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106.24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马洪杰</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81.10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郝晋瑞</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z w:val="18"/>
              </w:rPr>
              <w:t>89.39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李侃遐</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103.47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刘伟刚</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6"/>
              <w:jc w:val="right"/>
              <w:rPr>
                <w:rFonts w:ascii="Times New Roman" w:hAnsi="Times New Roman" w:cs="Times New Roman" w:eastAsia="Times New Roman" w:hint="default"/>
                <w:sz w:val="18"/>
                <w:szCs w:val="18"/>
              </w:rPr>
            </w:pPr>
            <w:r>
              <w:rPr>
                <w:rFonts w:ascii="Times New Roman"/>
                <w:sz w:val="18"/>
              </w:rPr>
              <w:t>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7"/>
              <w:jc w:val="right"/>
              <w:rPr>
                <w:rFonts w:ascii="Times New Roman" w:hAnsi="Times New Roman" w:cs="Times New Roman" w:eastAsia="Times New Roman" w:hint="default"/>
                <w:sz w:val="18"/>
                <w:szCs w:val="18"/>
              </w:rPr>
            </w:pPr>
            <w:r>
              <w:rPr>
                <w:rFonts w:ascii="Times New Roman"/>
                <w:sz w:val="18"/>
              </w:rPr>
              <w:t>86.10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崔晓天</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信创首席专家</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z w:val="18"/>
              </w:rPr>
              <w:t>83.84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牛卓</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6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left"/>
              <w:rPr>
                <w:rFonts w:ascii="宋体" w:hAnsi="宋体" w:cs="宋体" w:eastAsia="宋体" w:hint="default"/>
                <w:sz w:val="18"/>
                <w:szCs w:val="18"/>
              </w:rPr>
            </w:pPr>
            <w:r>
              <w:rPr>
                <w:rFonts w:ascii="宋体" w:hAnsi="宋体" w:cs="宋体" w:eastAsia="宋体" w:hint="default"/>
                <w:sz w:val="18"/>
                <w:szCs w:val="18"/>
              </w:rPr>
              <w:t>张丹丹</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6"/>
              <w:jc w:val="right"/>
              <w:rPr>
                <w:rFonts w:ascii="Times New Roman" w:hAnsi="Times New Roman" w:cs="Times New Roman" w:eastAsia="Times New Roman" w:hint="default"/>
                <w:sz w:val="18"/>
                <w:szCs w:val="18"/>
              </w:rPr>
            </w:pPr>
            <w:r>
              <w:rPr>
                <w:rFonts w:ascii="Times New Roman"/>
                <w:sz w:val="18"/>
              </w:rPr>
              <w:t>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97"/>
              <w:jc w:val="right"/>
              <w:rPr>
                <w:rFonts w:ascii="Times New Roman" w:hAnsi="Times New Roman" w:cs="Times New Roman" w:eastAsia="Times New Roman" w:hint="default"/>
                <w:sz w:val="18"/>
                <w:szCs w:val="18"/>
              </w:rPr>
            </w:pPr>
            <w:r>
              <w:rPr>
                <w:rFonts w:ascii="Times New Roman"/>
                <w:sz w:val="18"/>
              </w:rPr>
              <w:t>17.17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张大鹏</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z w:val="18"/>
              </w:rPr>
              <w:t>18.81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徐啸</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首席技术官</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CTO</w:t>
            </w:r>
            <w:r>
              <w:rPr>
                <w:rFonts w:ascii="宋体" w:hAnsi="宋体" w:cs="宋体" w:eastAsia="宋体" w:hint="default"/>
                <w:sz w:val="18"/>
                <w:szCs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25.11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关旭星</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z w:val="18"/>
              </w:rPr>
              <w:t>37.92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pacing w:val="-1"/>
                <w:sz w:val="18"/>
              </w:rPr>
              <w:t>9.60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任玉龙</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z w:val="18"/>
              </w:rPr>
              <w:t>93.49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261" w:type="dxa"/>
        <w:tblLayout w:type="fixed"/>
        <w:tblCellMar>
          <w:top w:w="0" w:type="dxa"/>
          <w:left w:w="0" w:type="dxa"/>
          <w:bottom w:w="0" w:type="dxa"/>
          <w:right w:w="0" w:type="dxa"/>
        </w:tblCellMar>
        <w:tblLook w:val="01E0"/>
      </w:tblPr>
      <w:tblGrid>
        <w:gridCol w:w="1370"/>
        <w:gridCol w:w="1714"/>
        <w:gridCol w:w="1020"/>
        <w:gridCol w:w="1366"/>
        <w:gridCol w:w="1369"/>
        <w:gridCol w:w="1366"/>
        <w:gridCol w:w="1368"/>
      </w:tblGrid>
      <w:tr>
        <w:trPr>
          <w:trHeight w:val="46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z w:val="18"/>
              </w:rPr>
              <w:t>52.00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郭新宝</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6"/>
              <w:jc w:val="right"/>
              <w:rPr>
                <w:rFonts w:ascii="Times New Roman" w:hAnsi="Times New Roman" w:cs="Times New Roman" w:eastAsia="Times New Roman" w:hint="default"/>
                <w:sz w:val="18"/>
                <w:szCs w:val="18"/>
              </w:rPr>
            </w:pPr>
            <w:r>
              <w:rPr>
                <w:rFonts w:ascii="Times New Roman"/>
                <w:sz w:val="18"/>
              </w:rPr>
              <w:t>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7"/>
              <w:jc w:val="right"/>
              <w:rPr>
                <w:rFonts w:ascii="Times New Roman" w:hAnsi="Times New Roman" w:cs="Times New Roman" w:eastAsia="Times New Roman" w:hint="default"/>
                <w:sz w:val="18"/>
                <w:szCs w:val="18"/>
              </w:rPr>
            </w:pPr>
            <w:r>
              <w:rPr>
                <w:rFonts w:ascii="Times New Roman"/>
                <w:sz w:val="18"/>
              </w:rPr>
              <w:t>96.50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sz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96"/>
              <w:jc w:val="right"/>
              <w:rPr>
                <w:rFonts w:ascii="宋体" w:hAnsi="宋体" w:cs="宋体" w:eastAsia="宋体" w:hint="default"/>
                <w:sz w:val="18"/>
                <w:szCs w:val="18"/>
              </w:rPr>
            </w:pPr>
            <w:r>
              <w:rPr>
                <w:rFonts w:ascii="宋体"/>
                <w:sz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w w:val="95"/>
                <w:sz w:val="18"/>
              </w:rPr>
              <w:t>1,651.04</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1261" w:top="1120" w:bottom="1460" w:left="980" w:right="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100" w:bottom="1460" w:left="980" w:right="0"/>
          <w:cols w:num="2" w:equalWidth="0">
            <w:col w:w="4654" w:space="4267"/>
            <w:col w:w="2009"/>
          </w:cols>
        </w:sectPr>
      </w:pPr>
    </w:p>
    <w:p>
      <w:pPr>
        <w:spacing w:line="240" w:lineRule="auto" w:before="4"/>
        <w:rPr>
          <w:rFonts w:ascii="宋体" w:hAnsi="宋体" w:cs="宋体" w:eastAsia="宋体" w:hint="default"/>
          <w:sz w:val="8"/>
          <w:szCs w:val="8"/>
        </w:rPr>
      </w:pPr>
    </w:p>
    <w:tbl>
      <w:tblPr>
        <w:tblW w:w="0" w:type="auto"/>
        <w:jc w:val="left"/>
        <w:tblInd w:w="261" w:type="dxa"/>
        <w:tblLayout w:type="fixed"/>
        <w:tblCellMar>
          <w:top w:w="0" w:type="dxa"/>
          <w:left w:w="0" w:type="dxa"/>
          <w:bottom w:w="0" w:type="dxa"/>
          <w:right w:w="0" w:type="dxa"/>
        </w:tblCellMar>
        <w:tblLook w:val="01E0"/>
      </w:tblPr>
      <w:tblGrid>
        <w:gridCol w:w="881"/>
        <w:gridCol w:w="1184"/>
        <w:gridCol w:w="674"/>
        <w:gridCol w:w="737"/>
        <w:gridCol w:w="869"/>
        <w:gridCol w:w="734"/>
        <w:gridCol w:w="809"/>
        <w:gridCol w:w="752"/>
        <w:gridCol w:w="1109"/>
        <w:gridCol w:w="871"/>
        <w:gridCol w:w="946"/>
      </w:tblGrid>
      <w:tr>
        <w:trPr>
          <w:trHeight w:val="1961"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5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
              <w:jc w:val="center"/>
              <w:rPr>
                <w:rFonts w:ascii="宋体" w:hAnsi="宋体" w:cs="宋体" w:eastAsia="宋体" w:hint="default"/>
                <w:sz w:val="18"/>
                <w:szCs w:val="18"/>
              </w:rPr>
            </w:pPr>
            <w:r>
              <w:rPr>
                <w:rFonts w:ascii="宋体" w:hAnsi="宋体" w:cs="宋体" w:eastAsia="宋体" w:hint="default"/>
                <w:sz w:val="18"/>
                <w:szCs w:val="18"/>
              </w:rPr>
              <w:t>职务</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51" w:right="151"/>
              <w:jc w:val="both"/>
              <w:rPr>
                <w:rFonts w:ascii="宋体" w:hAnsi="宋体" w:cs="宋体" w:eastAsia="宋体" w:hint="default"/>
                <w:sz w:val="18"/>
                <w:szCs w:val="18"/>
              </w:rPr>
            </w:pPr>
            <w:r>
              <w:rPr>
                <w:rFonts w:ascii="宋体" w:hAnsi="宋体" w:cs="宋体" w:eastAsia="宋体" w:hint="default"/>
                <w:sz w:val="18"/>
                <w:szCs w:val="18"/>
              </w:rPr>
              <w:t>报告 期内 可行 权股 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82" w:right="182"/>
              <w:jc w:val="both"/>
              <w:rPr>
                <w:rFonts w:ascii="宋体" w:hAnsi="宋体" w:cs="宋体" w:eastAsia="宋体" w:hint="default"/>
                <w:sz w:val="18"/>
                <w:szCs w:val="18"/>
              </w:rPr>
            </w:pPr>
            <w:r>
              <w:rPr>
                <w:rFonts w:ascii="宋体" w:hAnsi="宋体" w:cs="宋体" w:eastAsia="宋体" w:hint="default"/>
                <w:sz w:val="18"/>
                <w:szCs w:val="18"/>
              </w:rPr>
              <w:t>报告 期内 已行 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4" w:right="133" w:firstLine="24"/>
              <w:jc w:val="both"/>
              <w:rPr>
                <w:rFonts w:ascii="宋体" w:hAnsi="宋体" w:cs="宋体" w:eastAsia="宋体" w:hint="default"/>
                <w:sz w:val="18"/>
                <w:szCs w:val="18"/>
              </w:rPr>
            </w:pPr>
            <w:r>
              <w:rPr>
                <w:rFonts w:ascii="宋体" w:hAnsi="宋体" w:cs="宋体" w:eastAsia="宋体" w:hint="default"/>
                <w:sz w:val="18"/>
                <w:szCs w:val="18"/>
              </w:rPr>
              <w:t>报告期 内已行 权股数 行权价 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4" w:right="179"/>
              <w:jc w:val="both"/>
              <w:rPr>
                <w:rFonts w:ascii="宋体" w:hAnsi="宋体" w:cs="宋体" w:eastAsia="宋体" w:hint="default"/>
                <w:sz w:val="18"/>
                <w:szCs w:val="18"/>
              </w:rPr>
            </w:pPr>
            <w:r>
              <w:rPr>
                <w:rFonts w:ascii="宋体" w:hAnsi="宋体" w:cs="宋体" w:eastAsia="宋体" w:hint="default"/>
                <w:sz w:val="18"/>
                <w:szCs w:val="18"/>
              </w:rPr>
              <w:t>报告 期末 市价</w:t>
            </w:r>
          </w:p>
          <w:p>
            <w:pPr>
              <w:pStyle w:val="TableParagraph"/>
              <w:spacing w:line="300" w:lineRule="auto" w:before="19"/>
              <w:ind w:left="184" w:right="154" w:hanging="27"/>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29" w:right="127"/>
              <w:jc w:val="both"/>
              <w:rPr>
                <w:rFonts w:ascii="宋体" w:hAnsi="宋体" w:cs="宋体" w:eastAsia="宋体" w:hint="default"/>
                <w:sz w:val="18"/>
                <w:szCs w:val="18"/>
              </w:rPr>
            </w:pPr>
            <w:r>
              <w:rPr>
                <w:rFonts w:ascii="宋体" w:hAnsi="宋体" w:cs="宋体" w:eastAsia="宋体" w:hint="default"/>
                <w:sz w:val="18"/>
                <w:szCs w:val="18"/>
              </w:rPr>
              <w:t>期初持 有限制 性股票 数量</w:t>
            </w:r>
          </w:p>
        </w:tc>
        <w:tc>
          <w:tcPr>
            <w:tcW w:w="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92" w:right="188"/>
              <w:jc w:val="both"/>
              <w:rPr>
                <w:rFonts w:ascii="宋体" w:hAnsi="宋体" w:cs="宋体" w:eastAsia="宋体" w:hint="default"/>
                <w:sz w:val="18"/>
                <w:szCs w:val="18"/>
              </w:rPr>
            </w:pPr>
            <w:r>
              <w:rPr>
                <w:rFonts w:ascii="宋体" w:hAnsi="宋体" w:cs="宋体" w:eastAsia="宋体" w:hint="default"/>
                <w:sz w:val="18"/>
                <w:szCs w:val="18"/>
              </w:rPr>
              <w:t>本期 已解 锁股 份数 量</w:t>
            </w:r>
          </w:p>
        </w:tc>
        <w:tc>
          <w:tcPr>
            <w:tcW w:w="1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89" w:right="187"/>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36" w:right="132" w:firstLine="24"/>
              <w:jc w:val="both"/>
              <w:rPr>
                <w:rFonts w:ascii="宋体" w:hAnsi="宋体" w:cs="宋体" w:eastAsia="宋体" w:hint="default"/>
                <w:sz w:val="18"/>
                <w:szCs w:val="18"/>
              </w:rPr>
            </w:pPr>
            <w:r>
              <w:rPr>
                <w:rFonts w:ascii="宋体" w:hAnsi="宋体" w:cs="宋体" w:eastAsia="宋体" w:hint="default"/>
                <w:sz w:val="18"/>
                <w:szCs w:val="18"/>
              </w:rPr>
              <w:t>限制性 股票的 授予价 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08" w:right="107"/>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李鸿春</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14.81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6.345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赵文甫</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14.81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6.345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40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任玉龙</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14.81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6.345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1"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14.81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6.345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郭新宝</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14.81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6.345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401"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郝晋瑞</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14.81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6.345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张云飞</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14.81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6.345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401"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李侃遐</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14.81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6.345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403"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刘伟刚</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14.81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6.345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1"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马洪杰</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14.81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6.345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150,000</w:t>
            </w:r>
          </w:p>
        </w:tc>
      </w:tr>
      <w:tr>
        <w:trPr>
          <w:trHeight w:val="715"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崔晓天</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0"/>
              <w:jc w:val="left"/>
              <w:rPr>
                <w:rFonts w:ascii="宋体" w:hAnsi="宋体" w:cs="宋体" w:eastAsia="宋体" w:hint="default"/>
                <w:sz w:val="18"/>
                <w:szCs w:val="18"/>
              </w:rPr>
            </w:pPr>
            <w:r>
              <w:rPr>
                <w:rFonts w:ascii="宋体" w:hAnsi="宋体" w:cs="宋体" w:eastAsia="宋体" w:hint="default"/>
                <w:sz w:val="18"/>
                <w:szCs w:val="18"/>
              </w:rPr>
              <w:t>信创首席专 家</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14.81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6.345</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300,000</w:t>
            </w:r>
          </w:p>
        </w:tc>
      </w:tr>
      <w:tr>
        <w:trPr>
          <w:trHeight w:val="401"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于宏志</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CTO</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14.81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4,650,000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4,650,000</w:t>
            </w:r>
          </w:p>
        </w:tc>
      </w:tr>
      <w:tr>
        <w:trPr>
          <w:trHeight w:val="1419"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8685"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、报告期内，董事和高级管理人员共获得股权激励限售股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万股，均未解除限售；</w:t>
            </w:r>
          </w:p>
          <w:p>
            <w:pPr>
              <w:pStyle w:val="TableParagraph"/>
              <w:spacing w:line="240" w:lineRule="auto" w:before="10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、任玉龙、郭新宝、吴冬华已于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日辞去副总裁职务，其获得的限制性股票将根据公司</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年股票期权与限制性股票激励计划》相关规定执行；</w:t>
            </w:r>
          </w:p>
          <w:p>
            <w:pPr>
              <w:pStyle w:val="TableParagraph"/>
              <w:spacing w:line="240" w:lineRule="auto" w:before="10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、于宏志于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日起任公司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CTO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职务，其获得的股票期权为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万份，尚不具备行权条件。</w:t>
            </w:r>
          </w:p>
        </w:tc>
      </w:tr>
    </w:tbl>
    <w:p>
      <w:pPr>
        <w:spacing w:after="0" w:line="240" w:lineRule="auto"/>
        <w:jc w:val="left"/>
        <w:rPr>
          <w:rFonts w:ascii="宋体" w:hAnsi="宋体" w:cs="宋体" w:eastAsia="宋体" w:hint="default"/>
          <w:sz w:val="18"/>
          <w:szCs w:val="18"/>
        </w:rPr>
        <w:sectPr>
          <w:type w:val="continuous"/>
          <w:pgSz w:w="11910" w:h="16840"/>
          <w:pgMar w:top="1100" w:bottom="1460" w:left="980" w:right="0"/>
        </w:sectPr>
      </w:pPr>
    </w:p>
    <w:p>
      <w:pPr>
        <w:spacing w:line="240" w:lineRule="auto" w:before="8"/>
        <w:rPr>
          <w:rFonts w:ascii="宋体" w:hAnsi="宋体" w:cs="宋体" w:eastAsia="宋体" w:hint="default"/>
          <w:sz w:val="18"/>
          <w:szCs w:val="18"/>
        </w:rPr>
      </w:pPr>
    </w:p>
    <w:p>
      <w:pPr>
        <w:pStyle w:val="Heading2"/>
        <w:spacing w:line="240" w:lineRule="auto" w:before="26"/>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261" w:type="dxa"/>
        <w:tblLayout w:type="fixed"/>
        <w:tblCellMar>
          <w:top w:w="0" w:type="dxa"/>
          <w:left w:w="0" w:type="dxa"/>
          <w:bottom w:w="0" w:type="dxa"/>
          <w:right w:w="0" w:type="dxa"/>
        </w:tblCellMar>
        <w:tblLook w:val="01E0"/>
      </w:tblPr>
      <w:tblGrid>
        <w:gridCol w:w="4784"/>
        <w:gridCol w:w="4787"/>
      </w:tblGrid>
      <w:tr>
        <w:trPr>
          <w:trHeight w:val="46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55</w:t>
            </w:r>
          </w:p>
        </w:tc>
      </w:tr>
      <w:tr>
        <w:trPr>
          <w:trHeight w:val="46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10,154</w:t>
            </w:r>
          </w:p>
        </w:tc>
      </w:tr>
      <w:tr>
        <w:trPr>
          <w:trHeight w:val="46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10,209</w:t>
            </w:r>
          </w:p>
        </w:tc>
      </w:tr>
      <w:tr>
        <w:trPr>
          <w:trHeight w:val="46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pacing w:val="-1"/>
                <w:sz w:val="18"/>
              </w:rPr>
              <w:t>10,209</w:t>
            </w:r>
          </w:p>
        </w:tc>
      </w:tr>
      <w:tr>
        <w:trPr>
          <w:trHeight w:val="46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r>
      <w:tr>
        <w:trPr>
          <w:trHeight w:val="46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5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579"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6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5"/>
              <w:ind w:left="105"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Times New Roman" w:hAnsi="Times New Roman" w:cs="Times New Roman" w:eastAsia="Times New Roman" w:hint="default"/>
                <w:sz w:val="18"/>
                <w:szCs w:val="18"/>
              </w:rPr>
            </w:pPr>
            <w:r>
              <w:rPr>
                <w:rFonts w:ascii="Times New Roman"/>
                <w:sz w:val="18"/>
              </w:rPr>
              <w:t>0</w:t>
            </w:r>
          </w:p>
        </w:tc>
      </w:tr>
      <w:tr>
        <w:trPr>
          <w:trHeight w:val="46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768</w:t>
            </w:r>
          </w:p>
        </w:tc>
      </w:tr>
      <w:tr>
        <w:trPr>
          <w:trHeight w:val="46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8,553</w:t>
            </w:r>
          </w:p>
        </w:tc>
      </w:tr>
      <w:tr>
        <w:trPr>
          <w:trHeight w:val="46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99</w:t>
            </w:r>
          </w:p>
        </w:tc>
      </w:tr>
      <w:tr>
        <w:trPr>
          <w:trHeight w:val="46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8"/>
              <w:jc w:val="right"/>
              <w:rPr>
                <w:rFonts w:ascii="Times New Roman" w:hAnsi="Times New Roman" w:cs="Times New Roman" w:eastAsia="Times New Roman" w:hint="default"/>
                <w:sz w:val="18"/>
                <w:szCs w:val="18"/>
              </w:rPr>
            </w:pPr>
            <w:r>
              <w:rPr>
                <w:rFonts w:ascii="Times New Roman"/>
                <w:sz w:val="18"/>
              </w:rPr>
              <w:t>738</w:t>
            </w:r>
          </w:p>
        </w:tc>
      </w:tr>
      <w:tr>
        <w:trPr>
          <w:trHeight w:val="463"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51</w:t>
            </w:r>
          </w:p>
        </w:tc>
      </w:tr>
      <w:tr>
        <w:trPr>
          <w:trHeight w:val="46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10,209</w:t>
            </w:r>
          </w:p>
        </w:tc>
      </w:tr>
      <w:tr>
        <w:trPr>
          <w:trHeight w:val="46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5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68" w:hRule="exact"/>
        </w:trPr>
        <w:tc>
          <w:tcPr>
            <w:tcW w:w="478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博士</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z w:val="18"/>
              </w:rPr>
              <w:t>12</w:t>
            </w:r>
          </w:p>
        </w:tc>
      </w:tr>
      <w:tr>
        <w:trPr>
          <w:trHeight w:val="466" w:hRule="exact"/>
        </w:trPr>
        <w:tc>
          <w:tcPr>
            <w:tcW w:w="478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硕士</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98"/>
              <w:jc w:val="right"/>
              <w:rPr>
                <w:rFonts w:ascii="Times New Roman" w:hAnsi="Times New Roman" w:cs="Times New Roman" w:eastAsia="Times New Roman" w:hint="default"/>
                <w:sz w:val="18"/>
                <w:szCs w:val="18"/>
              </w:rPr>
            </w:pPr>
            <w:r>
              <w:rPr>
                <w:rFonts w:ascii="Times New Roman"/>
                <w:sz w:val="18"/>
              </w:rPr>
              <w:t>477</w:t>
            </w:r>
          </w:p>
        </w:tc>
      </w:tr>
      <w:tr>
        <w:trPr>
          <w:trHeight w:val="463" w:hRule="exact"/>
        </w:trPr>
        <w:tc>
          <w:tcPr>
            <w:tcW w:w="478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47"/>
              <w:ind w:left="105" w:right="0"/>
              <w:jc w:val="left"/>
              <w:rPr>
                <w:rFonts w:ascii="宋体" w:hAnsi="宋体" w:cs="宋体" w:eastAsia="宋体" w:hint="default"/>
                <w:sz w:val="18"/>
                <w:szCs w:val="18"/>
              </w:rPr>
            </w:pPr>
            <w:r>
              <w:rPr>
                <w:rFonts w:ascii="宋体" w:hAnsi="宋体" w:cs="宋体" w:eastAsia="宋体" w:hint="default"/>
                <w:sz w:val="18"/>
                <w:szCs w:val="18"/>
              </w:rPr>
              <w:t>大学本科</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6,545</w:t>
            </w:r>
          </w:p>
        </w:tc>
      </w:tr>
      <w:tr>
        <w:trPr>
          <w:trHeight w:val="463" w:hRule="exact"/>
        </w:trPr>
        <w:tc>
          <w:tcPr>
            <w:tcW w:w="478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149"/>
              <w:ind w:left="105" w:right="0"/>
              <w:jc w:val="left"/>
              <w:rPr>
                <w:rFonts w:ascii="宋体" w:hAnsi="宋体" w:cs="宋体" w:eastAsia="宋体" w:hint="default"/>
                <w:sz w:val="18"/>
                <w:szCs w:val="18"/>
              </w:rPr>
            </w:pPr>
            <w:r>
              <w:rPr>
                <w:rFonts w:ascii="宋体" w:hAnsi="宋体" w:cs="宋体" w:eastAsia="宋体" w:hint="default"/>
                <w:sz w:val="18"/>
                <w:szCs w:val="18"/>
              </w:rPr>
              <w:t>大专及以下</w:t>
            </w:r>
            <w:r>
              <w:rPr>
                <w:rFonts w:ascii="宋体" w:hAnsi="宋体" w:cs="宋体" w:eastAsia="宋体" w:hint="default"/>
                <w:sz w:val="18"/>
                <w:szCs w:val="18"/>
              </w:rPr>
              <w:t> </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3,175</w:t>
            </w:r>
          </w:p>
        </w:tc>
      </w:tr>
      <w:tr>
        <w:trPr>
          <w:trHeight w:val="466" w:hRule="exact"/>
        </w:trPr>
        <w:tc>
          <w:tcPr>
            <w:tcW w:w="4784" w:type="dxa"/>
            <w:tcBorders>
              <w:top w:val="single" w:sz="4" w:space="0" w:color="000000"/>
              <w:left w:val="single" w:sz="4" w:space="0" w:color="000000"/>
              <w:bottom w:val="single" w:sz="4" w:space="0" w:color="000000"/>
              <w:right w:val="single" w:sz="4" w:space="0" w:color="000000"/>
            </w:tcBorders>
            <w:shd w:val="clear" w:color="auto" w:fill="D7D7D7"/>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0"/>
              <w:jc w:val="right"/>
              <w:rPr>
                <w:rFonts w:ascii="Times New Roman" w:hAnsi="Times New Roman" w:cs="Times New Roman" w:eastAsia="Times New Roman" w:hint="default"/>
                <w:sz w:val="18"/>
                <w:szCs w:val="18"/>
              </w:rPr>
            </w:pPr>
            <w:r>
              <w:rPr>
                <w:rFonts w:ascii="Times New Roman"/>
                <w:spacing w:val="-1"/>
                <w:sz w:val="18"/>
              </w:rPr>
              <w:t>10,209</w:t>
            </w:r>
          </w:p>
        </w:tc>
      </w:tr>
    </w:tbl>
    <w:p>
      <w:pPr>
        <w:spacing w:line="240" w:lineRule="auto" w:before="1"/>
        <w:rPr>
          <w:rFonts w:ascii="宋体" w:hAnsi="宋体" w:cs="宋体" w:eastAsia="宋体" w:hint="default"/>
          <w:b/>
          <w:bCs/>
          <w:sz w:val="25"/>
          <w:szCs w:val="25"/>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32"/>
          <w:szCs w:val="32"/>
        </w:rPr>
      </w:pPr>
    </w:p>
    <w:p>
      <w:pPr>
        <w:pStyle w:val="BodyText"/>
        <w:spacing w:line="316" w:lineRule="auto"/>
        <w:ind w:right="1231" w:firstLine="360"/>
        <w:jc w:val="both"/>
      </w:pPr>
      <w:r>
        <w:rPr/>
        <w:t>通过对职位进行分析评价，参考公司业绩以及行业水平，制定岗位薪酬地图。公司定期参加外部薪酬调研，以确保薪 酬外部适当的竞争性。针对不同类别的人员设计不同的薪酬结构，依据员工岗位以及其适岗度，确定工薪，以达到薪酬内 部一致性和公平性。公司以“鼓励优秀、淘汰低绩效”为导向，定期对员工进行考核和梳理，提升人员的投入产出。</w:t>
      </w:r>
    </w:p>
    <w:p>
      <w:pPr>
        <w:pStyle w:val="BodyText"/>
        <w:spacing w:line="340" w:lineRule="auto" w:before="57"/>
        <w:ind w:left="513" w:right="1274" w:hanging="36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报告期内，职工薪酬总额（计入成本部分）占公司总成本的比例为 </w:t>
      </w:r>
      <w:r>
        <w:rPr>
          <w:rFonts w:ascii="Times New Roman" w:hAnsi="Times New Roman" w:cs="Times New Roman" w:eastAsia="Times New Roman" w:hint="default"/>
        </w:rPr>
        <w:t>19 %</w:t>
      </w:r>
      <w:r>
        <w:rPr/>
        <w:t>，去年同期为</w:t>
      </w:r>
      <w:r>
        <w:rPr>
          <w:spacing w:val="-46"/>
        </w:rPr>
        <w:t> </w:t>
      </w:r>
      <w:r>
        <w:rPr>
          <w:rFonts w:ascii="Times New Roman" w:hAnsi="Times New Roman" w:cs="Times New Roman" w:eastAsia="Times New Roman" w:hint="default"/>
        </w:rPr>
        <w:t>12%</w:t>
      </w:r>
      <w:r>
        <w:rPr/>
        <w:t>。公司利润对职工薪酬总</w:t>
      </w:r>
    </w:p>
    <w:p>
      <w:pPr>
        <w:spacing w:after="0" w:line="340" w:lineRule="auto"/>
        <w:jc w:val="left"/>
        <w:sectPr>
          <w:pgSz w:w="11910" w:h="16840"/>
          <w:pgMar w:header="916" w:footer="1261" w:top="1120" w:bottom="1460" w:left="980" w:right="0"/>
        </w:sectPr>
      </w:pPr>
    </w:p>
    <w:p>
      <w:pPr>
        <w:spacing w:line="240" w:lineRule="auto" w:before="9"/>
        <w:rPr>
          <w:rFonts w:ascii="宋体" w:hAnsi="宋体" w:cs="宋体" w:eastAsia="宋体" w:hint="default"/>
          <w:sz w:val="20"/>
          <w:szCs w:val="20"/>
        </w:rPr>
      </w:pPr>
    </w:p>
    <w:p>
      <w:pPr>
        <w:pStyle w:val="BodyText"/>
        <w:spacing w:line="300" w:lineRule="auto" w:before="44"/>
        <w:ind w:right="1398"/>
        <w:jc w:val="left"/>
      </w:pPr>
      <w:r>
        <w:rPr/>
        <w:t>额变化敏感度较低。报告期内，公司核心技术人员数量及薪酬占比分别为 </w:t>
      </w:r>
      <w:r>
        <w:rPr>
          <w:rFonts w:ascii="Times New Roman" w:hAnsi="Times New Roman" w:cs="Times New Roman" w:eastAsia="Times New Roman" w:hint="default"/>
        </w:rPr>
        <w:t>17.6 %</w:t>
      </w:r>
      <w:r>
        <w:rPr/>
        <w:t>、 </w:t>
      </w:r>
      <w:r>
        <w:rPr>
          <w:rFonts w:ascii="Times New Roman" w:hAnsi="Times New Roman" w:cs="Times New Roman" w:eastAsia="Times New Roman" w:hint="default"/>
        </w:rPr>
        <w:t>28.0%</w:t>
      </w:r>
      <w:r>
        <w:rPr/>
        <w:t>，去年同期分别为</w:t>
      </w:r>
      <w:r>
        <w:rPr>
          <w:spacing w:val="-5"/>
        </w:rPr>
        <w:t> </w:t>
      </w:r>
      <w:r>
        <w:rPr>
          <w:rFonts w:ascii="Times New Roman" w:hAnsi="Times New Roman" w:cs="Times New Roman" w:eastAsia="Times New Roman" w:hint="default"/>
        </w:rPr>
        <w:t>17.10%</w:t>
      </w:r>
      <w:r>
        <w:rPr/>
        <w:t>、 </w:t>
      </w:r>
      <w:r>
        <w:rPr>
          <w:rFonts w:ascii="Times New Roman" w:hAnsi="Times New Roman" w:cs="Times New Roman" w:eastAsia="Times New Roman" w:hint="default"/>
        </w:rPr>
        <w:t>27.7%</w:t>
      </w:r>
      <w:r>
        <w:rPr/>
        <w:t>，分别提升</w:t>
      </w:r>
      <w:r>
        <w:rPr>
          <w:spacing w:val="-47"/>
        </w:rPr>
        <w:t> </w:t>
      </w:r>
      <w:r>
        <w:rPr>
          <w:rFonts w:ascii="Times New Roman" w:hAnsi="Times New Roman" w:cs="Times New Roman" w:eastAsia="Times New Roman" w:hint="default"/>
        </w:rPr>
        <w:t>0.5</w:t>
      </w:r>
      <w:r>
        <w:rPr>
          <w:rFonts w:ascii="Times New Roman" w:hAnsi="Times New Roman" w:cs="Times New Roman" w:eastAsia="Times New Roman" w:hint="default"/>
          <w:spacing w:val="-1"/>
        </w:rPr>
        <w:t> </w:t>
      </w:r>
      <w:r>
        <w:rPr/>
        <w:t>个点、</w:t>
      </w:r>
      <w:r>
        <w:rPr>
          <w:rFonts w:ascii="Times New Roman" w:hAnsi="Times New Roman" w:cs="Times New Roman" w:eastAsia="Times New Roman" w:hint="default"/>
        </w:rPr>
        <w:t>0.3</w:t>
      </w:r>
      <w:r>
        <w:rPr>
          <w:rFonts w:ascii="Times New Roman" w:hAnsi="Times New Roman" w:cs="Times New Roman" w:eastAsia="Times New Roman" w:hint="default"/>
          <w:spacing w:val="-1"/>
        </w:rPr>
        <w:t> </w:t>
      </w:r>
      <w:r>
        <w:rPr/>
        <w:t>个点。</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服务于公司“聚焦金融科技，以大数据和人工智能赋能行业，打造产业融合新生态”的发展战略，人力资源部门持续从</w:t>
      </w:r>
      <w:r>
        <w:rPr/>
        <w:t> 管理能力、专业能力、通用能力和企业文化四个维度推动人才发展战略，推进培养项目在全国的落地。</w:t>
      </w:r>
    </w:p>
    <w:p>
      <w:pPr>
        <w:pStyle w:val="BodyText"/>
        <w:spacing w:line="240" w:lineRule="auto" w:before="57"/>
        <w:ind w:left="513"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年共开展新员工入职培训</w:t>
      </w:r>
      <w:r>
        <w:rPr>
          <w:spacing w:val="-51"/>
        </w:rPr>
        <w:t> </w:t>
      </w:r>
      <w:r>
        <w:rPr>
          <w:rFonts w:ascii="Times New Roman" w:hAnsi="Times New Roman" w:cs="Times New Roman" w:eastAsia="Times New Roman" w:hint="default"/>
        </w:rPr>
        <w:t>56</w:t>
      </w:r>
      <w:r>
        <w:rPr>
          <w:rFonts w:ascii="Times New Roman" w:hAnsi="Times New Roman" w:cs="Times New Roman" w:eastAsia="Times New Roman" w:hint="default"/>
          <w:spacing w:val="-3"/>
        </w:rPr>
        <w:t> </w:t>
      </w:r>
      <w:r>
        <w:rPr/>
        <w:t>期，累计覆盖</w:t>
      </w:r>
      <w:r>
        <w:rPr>
          <w:spacing w:val="-51"/>
        </w:rPr>
        <w:t> </w:t>
      </w:r>
      <w:r>
        <w:rPr>
          <w:rFonts w:ascii="Times New Roman" w:hAnsi="Times New Roman" w:cs="Times New Roman" w:eastAsia="Times New Roman" w:hint="default"/>
        </w:rPr>
        <w:t>1,610</w:t>
      </w:r>
      <w:r>
        <w:rPr>
          <w:rFonts w:ascii="Times New Roman" w:hAnsi="Times New Roman" w:cs="Times New Roman" w:eastAsia="Times New Roman" w:hint="default"/>
          <w:spacing w:val="-2"/>
        </w:rPr>
        <w:t> </w:t>
      </w:r>
      <w:r>
        <w:rPr/>
        <w:t>人次；开展新员工入模子培训</w:t>
      </w:r>
      <w:r>
        <w:rPr>
          <w:spacing w:val="-48"/>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spacing w:val="-3"/>
        </w:rPr>
        <w:t>期，累计覆盖</w:t>
      </w:r>
      <w:r>
        <w:rPr>
          <w:spacing w:val="-49"/>
        </w:rPr>
        <w:t> </w:t>
      </w:r>
      <w:r>
        <w:rPr>
          <w:rFonts w:ascii="Times New Roman" w:hAnsi="Times New Roman" w:cs="Times New Roman" w:eastAsia="Times New Roman" w:hint="default"/>
        </w:rPr>
        <w:t>1,483</w:t>
      </w:r>
      <w:r>
        <w:rPr>
          <w:rFonts w:ascii="Times New Roman" w:hAnsi="Times New Roman" w:cs="Times New Roman" w:eastAsia="Times New Roman" w:hint="default"/>
          <w:spacing w:val="-3"/>
        </w:rPr>
        <w:t> </w:t>
      </w:r>
      <w:r>
        <w:rPr/>
        <w:t>人次；管理</w:t>
      </w:r>
    </w:p>
    <w:p>
      <w:pPr>
        <w:pStyle w:val="BodyText"/>
        <w:spacing w:line="240" w:lineRule="auto" w:before="63"/>
        <w:ind w:right="0"/>
        <w:jc w:val="left"/>
      </w:pPr>
      <w:r>
        <w:rPr/>
        <w:t>条线针对高管团队、总经理团队、总监及经理团队以不同方式对管理能力进行提升，累计覆盖</w:t>
      </w:r>
      <w:r>
        <w:rPr>
          <w:spacing w:val="-67"/>
        </w:rPr>
        <w:t> </w:t>
      </w:r>
      <w:r>
        <w:rPr>
          <w:rFonts w:ascii="Times New Roman" w:hAnsi="Times New Roman" w:cs="Times New Roman" w:eastAsia="Times New Roman" w:hint="default"/>
        </w:rPr>
        <w:t>1,479</w:t>
      </w:r>
      <w:r>
        <w:rPr>
          <w:rFonts w:ascii="Times New Roman" w:hAnsi="Times New Roman" w:cs="Times New Roman" w:eastAsia="Times New Roman" w:hint="default"/>
          <w:spacing w:val="-22"/>
        </w:rPr>
        <w:t> </w:t>
      </w:r>
      <w:r>
        <w:rPr/>
        <w:t>人次；专业条线针对于</w:t>
      </w:r>
    </w:p>
    <w:p>
      <w:pPr>
        <w:pStyle w:val="BodyText"/>
        <w:spacing w:line="240" w:lineRule="auto" w:before="63"/>
        <w:ind w:right="0"/>
        <w:jc w:val="left"/>
      </w:pPr>
      <w:r>
        <w:rPr/>
        <w:t>项目管理序列人员、技术大咖团队、技术及销售新星团队以线上线下相结合的方式对专业能力进行提升，累计覆盖</w:t>
      </w:r>
      <w:r>
        <w:rPr>
          <w:spacing w:val="-64"/>
        </w:rPr>
        <w:t> </w:t>
      </w:r>
      <w:r>
        <w:rPr>
          <w:rFonts w:ascii="Times New Roman" w:hAnsi="Times New Roman" w:cs="Times New Roman" w:eastAsia="Times New Roman" w:hint="default"/>
        </w:rPr>
        <w:t>2,374</w:t>
      </w:r>
      <w:r>
        <w:rPr>
          <w:rFonts w:ascii="Times New Roman" w:hAnsi="Times New Roman" w:cs="Times New Roman" w:eastAsia="Times New Roman" w:hint="default"/>
          <w:spacing w:val="-20"/>
        </w:rPr>
        <w:t> </w:t>
      </w:r>
      <w:r>
        <w:rPr/>
        <w:t>人</w:t>
      </w:r>
    </w:p>
    <w:p>
      <w:pPr>
        <w:pStyle w:val="BodyText"/>
        <w:spacing w:line="340" w:lineRule="auto" w:before="63"/>
        <w:ind w:left="513" w:right="0" w:hanging="360"/>
        <w:jc w:val="left"/>
      </w:pPr>
      <w:r>
        <w:rPr/>
        <w:t>次；通用条线陆续开展</w:t>
      </w:r>
      <w:r>
        <w:rPr>
          <w:spacing w:val="-46"/>
        </w:rPr>
        <w:t> </w:t>
      </w:r>
      <w:r>
        <w:rPr>
          <w:rFonts w:ascii="Times New Roman" w:hAnsi="Times New Roman" w:cs="Times New Roman" w:eastAsia="Times New Roman" w:hint="default"/>
        </w:rPr>
        <w:t>17 </w:t>
      </w:r>
      <w:r>
        <w:rPr/>
        <w:t>期主题分享，累计覆盖</w:t>
      </w:r>
      <w:r>
        <w:rPr>
          <w:spacing w:val="-45"/>
        </w:rPr>
        <w:t> </w:t>
      </w:r>
      <w:r>
        <w:rPr>
          <w:rFonts w:ascii="Times New Roman" w:hAnsi="Times New Roman" w:cs="Times New Roman" w:eastAsia="Times New Roman" w:hint="default"/>
        </w:rPr>
        <w:t>1,240</w:t>
      </w:r>
      <w:r>
        <w:rPr>
          <w:rFonts w:ascii="Times New Roman" w:hAnsi="Times New Roman" w:cs="Times New Roman" w:eastAsia="Times New Roman" w:hint="default"/>
          <w:spacing w:val="1"/>
        </w:rPr>
        <w:t> </w:t>
      </w:r>
      <w:r>
        <w:rPr/>
        <w:t>人次。 </w:t>
      </w:r>
      <w:r>
        <w:rPr>
          <w:spacing w:val="-2"/>
        </w:rPr>
        <w:t>同时，人力资源部门围绕“百人培养计划”进行持续推动。通过搭建实验环境、内部培训沟通、外部参访交流等多种方</w:t>
      </w:r>
    </w:p>
    <w:p>
      <w:pPr>
        <w:pStyle w:val="BodyText"/>
        <w:spacing w:line="240" w:lineRule="auto" w:before="1"/>
        <w:ind w:right="0"/>
        <w:jc w:val="left"/>
      </w:pPr>
      <w:r>
        <w:rPr/>
        <w:t>式关注专业型人才的成长和提升。</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after="0" w:line="240" w:lineRule="auto"/>
        <w:jc w:val="left"/>
        <w:sectPr>
          <w:pgSz w:w="11910" w:h="16840"/>
          <w:pgMar w:header="916" w:footer="1261" w:top="112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right="975"/>
        <w:jc w:val="center"/>
        <w:rPr>
          <w:b w:val="0"/>
          <w:bCs w:val="0"/>
        </w:rPr>
      </w:pPr>
      <w:bookmarkStart w:name="_bookmark9" w:id="10"/>
      <w:bookmarkEnd w:id="10"/>
      <w:r>
        <w:rPr>
          <w:b w:val="0"/>
          <w:bCs w:val="0"/>
        </w:rPr>
      </w:r>
      <w:r>
        <w:rPr/>
        <w:t>第十节</w:t>
      </w:r>
      <w:r>
        <w:rPr>
          <w:spacing w:val="-1"/>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228" w:firstLine="360"/>
        <w:jc w:val="both"/>
        <w:rPr>
          <w:rFonts w:ascii="宋体" w:hAnsi="宋体" w:cs="宋体" w:eastAsia="宋体" w:hint="default"/>
        </w:rPr>
      </w:pPr>
      <w:r>
        <w:rPr/>
        <w:t>公司按照《公司法》、《证券法》、《上市公司治理准则》等相关法律、法规及规范文件要求，立足于全体股东的利 益，不断提高公司经营管理水平、公司诚信度和透明度，建立了以“三会一层”规范运作为基础的符合现代企业制度要求 的法人治理结构，健全公司内部控制制度，构建了与公司发展战略相匹配的内部管控体系，提高了公司规范运作水平。</w:t>
      </w:r>
      <w:r>
        <w:rPr>
          <w:rFonts w:ascii="宋体" w:hAnsi="宋体" w:cs="宋体" w:eastAsia="宋体" w:hint="default"/>
          <w:spacing w:val="1"/>
        </w:rPr>
        <w:t> </w:t>
      </w:r>
      <w:r>
        <w:rPr>
          <w:rFonts w:ascii="宋体" w:hAnsi="宋体" w:cs="宋体" w:eastAsia="宋体" w:hint="default"/>
        </w:rPr>
        <w:t> </w:t>
      </w:r>
    </w:p>
    <w:p>
      <w:pPr>
        <w:pStyle w:val="BodyText"/>
        <w:spacing w:line="319" w:lineRule="auto" w:before="59"/>
        <w:ind w:right="1123" w:firstLine="360"/>
        <w:jc w:val="left"/>
        <w:rPr>
          <w:rFonts w:ascii="宋体" w:hAnsi="宋体" w:cs="宋体" w:eastAsia="宋体" w:hint="default"/>
        </w:rPr>
      </w:pPr>
      <w:r>
        <w:rPr>
          <w:rFonts w:ascii="宋体" w:hAnsi="宋体" w:cs="宋体" w:eastAsia="宋体" w:hint="default"/>
        </w:rPr>
        <w:t>1</w:t>
      </w:r>
      <w:r>
        <w:rPr/>
        <w:t>、公司按照《公司章程》、《股东大会议事规则》等有关要求，不断规范和落实股东大会的召集、召开和议事程序， 确保所有股东享有平等地位并行使自己的权利，保证全体股东的信息对称。报告期内，公司修订了《公司章程》和《股东 大会议事规则》，公司股东大会的召集、召开及表决程序符合相关规定。</w:t>
      </w:r>
      <w:r>
        <w:rPr>
          <w:rFonts w:ascii="宋体" w:hAnsi="宋体" w:cs="宋体" w:eastAsia="宋体" w:hint="default"/>
        </w:rPr>
        <w:t> </w:t>
      </w:r>
    </w:p>
    <w:p>
      <w:pPr>
        <w:pStyle w:val="BodyText"/>
        <w:spacing w:line="316" w:lineRule="auto" w:before="55"/>
        <w:ind w:right="1213" w:firstLine="360"/>
        <w:jc w:val="left"/>
        <w:rPr>
          <w:rFonts w:ascii="宋体" w:hAnsi="宋体" w:cs="宋体" w:eastAsia="宋体" w:hint="default"/>
        </w:rPr>
      </w:pPr>
      <w:r>
        <w:rPr>
          <w:rFonts w:ascii="宋体" w:hAnsi="宋体" w:cs="宋体" w:eastAsia="宋体" w:hint="default"/>
        </w:rPr>
        <w:t>2</w:t>
      </w:r>
      <w:r>
        <w:rPr/>
        <w:t>、公司按照相关法律及《公司章程》规定的选聘程序选举董事，董事会由</w:t>
      </w:r>
      <w:r>
        <w:rPr>
          <w:rFonts w:ascii="宋体" w:hAnsi="宋体" w:cs="宋体" w:eastAsia="宋体" w:hint="default"/>
        </w:rPr>
        <w:t>9</w:t>
      </w:r>
      <w:r>
        <w:rPr/>
        <w:t>名董事组成，其中独立董事</w:t>
      </w:r>
      <w:r>
        <w:rPr>
          <w:rFonts w:ascii="宋体" w:hAnsi="宋体" w:cs="宋体" w:eastAsia="宋体" w:hint="default"/>
        </w:rPr>
        <w:t>4</w:t>
      </w:r>
      <w:r>
        <w:rPr/>
        <w:t>人，报告期 内，公司修订了《董事会议事规则》，各董事均能按照《公司章程》、《董事会议事规则》的规定，认真履行职责并行使 权利，以认真负责的态度出席公司董事会和股东大会。</w:t>
      </w:r>
      <w:r>
        <w:rPr>
          <w:rFonts w:ascii="宋体" w:hAnsi="宋体" w:cs="宋体" w:eastAsia="宋体" w:hint="default"/>
        </w:rPr>
        <w:t> </w:t>
      </w:r>
    </w:p>
    <w:p>
      <w:pPr>
        <w:pStyle w:val="BodyText"/>
        <w:spacing w:line="316" w:lineRule="auto" w:before="59"/>
        <w:ind w:right="1123" w:firstLine="360"/>
        <w:jc w:val="left"/>
        <w:rPr>
          <w:rFonts w:ascii="宋体" w:hAnsi="宋体" w:cs="宋体" w:eastAsia="宋体" w:hint="default"/>
        </w:rPr>
      </w:pPr>
      <w:r>
        <w:rPr>
          <w:rFonts w:ascii="宋体" w:hAnsi="宋体" w:cs="宋体" w:eastAsia="宋体" w:hint="default"/>
        </w:rPr>
        <w:t>3</w:t>
      </w:r>
      <w:r>
        <w:rPr/>
        <w:t>、公司按照相关法律及《公司章程》规定的选聘程序选举监事，监事会由</w:t>
      </w:r>
      <w:r>
        <w:rPr>
          <w:rFonts w:ascii="宋体" w:hAnsi="宋体" w:cs="宋体" w:eastAsia="宋体" w:hint="default"/>
        </w:rPr>
        <w:t>3</w:t>
      </w:r>
      <w:r>
        <w:rPr/>
        <w:t>名监事组成，其中职工代表监事</w:t>
      </w:r>
      <w:r>
        <w:rPr>
          <w:rFonts w:ascii="宋体" w:hAnsi="宋体" w:cs="宋体" w:eastAsia="宋体" w:hint="default"/>
        </w:rPr>
        <w:t>1</w:t>
      </w:r>
      <w:r>
        <w:rPr/>
        <w:t>人，监事 会的人数和人员构成符合法律、法规的要求。报告期内，监事会严格按照《公司章程》、《监事会议事规则》的规定，认 真履行职责，对公司经营管理、财务状况及公司董事、高级管理人员等履行职责的合法合规性进行有效监督。</w:t>
      </w:r>
      <w:r>
        <w:rPr>
          <w:rFonts w:ascii="宋体" w:hAnsi="宋体" w:cs="宋体" w:eastAsia="宋体" w:hint="default"/>
        </w:rPr>
        <w:t> </w:t>
      </w:r>
    </w:p>
    <w:p>
      <w:pPr>
        <w:pStyle w:val="BodyText"/>
        <w:spacing w:line="316" w:lineRule="auto" w:before="59"/>
        <w:ind w:right="1123" w:firstLine="360"/>
        <w:jc w:val="left"/>
        <w:rPr>
          <w:rFonts w:ascii="宋体" w:hAnsi="宋体" w:cs="宋体" w:eastAsia="宋体" w:hint="default"/>
        </w:rPr>
      </w:pPr>
      <w:r>
        <w:rPr>
          <w:rFonts w:ascii="宋体" w:hAnsi="宋体" w:cs="宋体" w:eastAsia="宋体" w:hint="default"/>
        </w:rPr>
        <w:t>4</w:t>
      </w:r>
      <w:r>
        <w:rPr/>
        <w:t>、公司按照相关法律及《公司章程》规定的选聘程序聘任高级管理人员，公司管理层遵守诚信原则，谨慎、勤勉的履 行职责并按照董事会决策开展经营管理。</w:t>
      </w:r>
      <w:r>
        <w:rPr>
          <w:rFonts w:ascii="宋体" w:hAnsi="宋体" w:cs="宋体" w:eastAsia="宋体" w:hint="default"/>
        </w:rPr>
        <w:t> </w:t>
      </w:r>
    </w:p>
    <w:p>
      <w:pPr>
        <w:pStyle w:val="BodyText"/>
        <w:spacing w:line="338" w:lineRule="auto" w:before="57"/>
        <w:ind w:right="1123" w:firstLine="360"/>
        <w:jc w:val="left"/>
      </w:pPr>
      <w:r>
        <w:rPr>
          <w:rFonts w:ascii="宋体" w:hAnsi="宋体" w:cs="宋体" w:eastAsia="宋体" w:hint="default"/>
        </w:rPr>
        <w:t>5</w:t>
      </w:r>
      <w:r>
        <w:rPr/>
        <w:t>、报告期内，公司不存在向控股股东或实际控制人提供未公开信息等公司治理非规范情况；公司大股东或实际控制人 也不存在干预上市公司生产、经营、管理等公司治理非规范情况。 公司治理的实际状况与中国证监会发布的有关上市公司治理的规范性文件是否存在重大差异</w:t>
      </w:r>
    </w:p>
    <w:p>
      <w:pPr>
        <w:pStyle w:val="BodyText"/>
        <w:spacing w:line="357" w:lineRule="auto" w:before="43"/>
        <w:ind w:right="3553"/>
        <w:jc w:val="left"/>
      </w:pPr>
      <w:r>
        <w:rPr/>
        <w:t>□ 是 √</w:t>
      </w:r>
      <w:r>
        <w:rPr>
          <w:spacing w:val="3"/>
        </w:rPr>
        <w:t> </w:t>
      </w:r>
      <w:r>
        <w:rPr/>
        <w:t>否</w:t>
      </w:r>
      <w:r>
        <w:rPr/>
        <w:t> 公司治理的实际状况与中国证监会发布的有关上市公司治理的规范性文件不存在重大差异。</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rPr>
          <w:rFonts w:ascii="宋体" w:hAnsi="宋体" w:cs="宋体" w:eastAsia="宋体" w:hint="default"/>
        </w:rPr>
      </w:pPr>
      <w:r>
        <w:rPr>
          <w:spacing w:val="-2"/>
        </w:rPr>
        <w:t>本公司法人治理结构比较健全，公司与控股股东在业务、人员、资产、机构和财务上完全独立，具有较为独立完整的业</w:t>
      </w:r>
      <w:r>
        <w:rPr/>
        <w:t> 务及自主经营能力。具体情况如下：</w:t>
      </w:r>
      <w:r>
        <w:rPr>
          <w:rFonts w:ascii="宋体" w:hAnsi="宋体" w:cs="宋体" w:eastAsia="宋体" w:hint="default"/>
        </w:rPr>
        <w:t> </w:t>
      </w:r>
    </w:p>
    <w:p>
      <w:pPr>
        <w:pStyle w:val="BodyText"/>
        <w:spacing w:line="316" w:lineRule="auto" w:before="59"/>
        <w:ind w:right="1123" w:firstLine="360"/>
        <w:jc w:val="left"/>
        <w:rPr>
          <w:rFonts w:ascii="宋体" w:hAnsi="宋体" w:cs="宋体" w:eastAsia="宋体" w:hint="default"/>
        </w:rPr>
      </w:pPr>
      <w:r>
        <w:rPr>
          <w:rFonts w:ascii="宋体" w:hAnsi="宋体" w:cs="宋体" w:eastAsia="宋体" w:hint="default"/>
        </w:rPr>
        <w:t>1</w:t>
      </w:r>
      <w:r>
        <w:rPr/>
        <w:t>、业务独立性：公司在业务方面独立于控股股东及其关联方，拥有独立管理的研发、采购、销售系统，拥有自身独立 的业务和自主经营权，与控股股东不存在同业竞争或者潜在的同业竞争；</w:t>
      </w:r>
      <w:r>
        <w:rPr>
          <w:rFonts w:ascii="宋体" w:hAnsi="宋体" w:cs="宋体" w:eastAsia="宋体" w:hint="default"/>
        </w:rPr>
        <w:t> </w:t>
      </w:r>
    </w:p>
    <w:p>
      <w:pPr>
        <w:pStyle w:val="BodyText"/>
        <w:spacing w:line="319" w:lineRule="auto" w:before="57"/>
        <w:ind w:right="1130" w:firstLine="360"/>
        <w:jc w:val="both"/>
        <w:rPr>
          <w:rFonts w:ascii="宋体" w:hAnsi="宋体" w:cs="宋体" w:eastAsia="宋体" w:hint="default"/>
        </w:rPr>
      </w:pPr>
      <w:r>
        <w:rPr>
          <w:rFonts w:ascii="宋体" w:hAnsi="宋体" w:cs="宋体" w:eastAsia="宋体" w:hint="default"/>
        </w:rPr>
        <w:t>2</w:t>
      </w:r>
      <w:r>
        <w:rPr/>
        <w:t>、人员独立性：董事韩玉华女士及监事会主席孙洋先生在控股股东担任职务外，公司其他董事、监事及高级管理人员 </w:t>
      </w:r>
      <w:r>
        <w:rPr>
          <w:spacing w:val="-2"/>
        </w:rPr>
        <w:t>在控股股东均无任职，没有在控股股东单位领取报酬。公司人员独立于控股股东，具有独立的劳动人事管理部门，制定独立</w:t>
      </w:r>
      <w:r>
        <w:rPr>
          <w:spacing w:val="-65"/>
        </w:rPr>
        <w:t> </w:t>
      </w:r>
      <w:r>
        <w:rPr>
          <w:spacing w:val="-65"/>
        </w:rPr>
      </w:r>
      <w:r>
        <w:rPr>
          <w:spacing w:val="-2"/>
        </w:rPr>
        <w:t>的劳动、人事及薪酬管理制度。公司的董事、监事及高级管理人员均通过合法程序选聘，无控股股东干预公司董事会和股东</w:t>
      </w:r>
      <w:r>
        <w:rPr>
          <w:spacing w:val="-64"/>
        </w:rPr>
        <w:t> </w:t>
      </w:r>
      <w:r>
        <w:rPr>
          <w:spacing w:val="-64"/>
        </w:rPr>
      </w:r>
      <w:r>
        <w:rPr/>
        <w:t>大会已做出的人事任免决定的情况；</w:t>
      </w:r>
      <w:r>
        <w:rPr>
          <w:rFonts w:ascii="宋体" w:hAnsi="宋体" w:cs="宋体" w:eastAsia="宋体" w:hint="default"/>
        </w:rPr>
        <w:t> </w:t>
      </w:r>
    </w:p>
    <w:p>
      <w:pPr>
        <w:pStyle w:val="BodyText"/>
        <w:spacing w:line="316" w:lineRule="auto" w:before="58"/>
        <w:ind w:right="1131" w:firstLine="360"/>
        <w:jc w:val="both"/>
        <w:rPr>
          <w:rFonts w:ascii="宋体" w:hAnsi="宋体" w:cs="宋体" w:eastAsia="宋体" w:hint="default"/>
        </w:rPr>
      </w:pPr>
      <w:r>
        <w:rPr>
          <w:rFonts w:ascii="宋体" w:hAnsi="宋体" w:cs="宋体" w:eastAsia="宋体" w:hint="default"/>
        </w:rPr>
        <w:t>3</w:t>
      </w:r>
      <w:r>
        <w:rPr/>
        <w:t>、资产独立性：公司与控股股东资产产权清晰，拥有完整的与生产经营有关的生产系统、辅助生产系统和配套设施； </w:t>
      </w:r>
      <w:r>
        <w:rPr>
          <w:spacing w:val="-2"/>
        </w:rPr>
        <w:t>对与经营相关的办公场所、土地、设备以及商标、非专利技术等资产均合法拥有权利。公司不存在控股股东占用公司资金的</w:t>
      </w:r>
      <w:r>
        <w:rPr>
          <w:spacing w:val="-64"/>
        </w:rPr>
        <w:t> </w:t>
      </w:r>
      <w:r>
        <w:rPr>
          <w:spacing w:val="-64"/>
        </w:rPr>
      </w:r>
      <w:r>
        <w:rPr/>
        <w:t>情形，也未向控股股东提供任何担保；</w:t>
      </w:r>
      <w:r>
        <w:rPr>
          <w:rFonts w:ascii="宋体" w:hAnsi="宋体" w:cs="宋体" w:eastAsia="宋体" w:hint="default"/>
        </w:rPr>
        <w:t> </w:t>
      </w:r>
    </w:p>
    <w:p>
      <w:pPr>
        <w:pStyle w:val="BodyText"/>
        <w:spacing w:line="316" w:lineRule="auto" w:before="59"/>
        <w:ind w:right="1130" w:firstLine="360"/>
        <w:jc w:val="both"/>
        <w:rPr>
          <w:rFonts w:ascii="宋体" w:hAnsi="宋体" w:cs="宋体" w:eastAsia="宋体" w:hint="default"/>
        </w:rPr>
      </w:pPr>
      <w:r>
        <w:rPr>
          <w:rFonts w:ascii="宋体" w:hAnsi="宋体" w:cs="宋体" w:eastAsia="宋体" w:hint="default"/>
        </w:rPr>
        <w:t>4</w:t>
      </w:r>
      <w:r>
        <w:rPr/>
        <w:t>、机构独立性：公司设立了完全独立于控股股东的组织机构体系，公司董事会、监事会及其他内部机构独立运作，公 </w:t>
      </w:r>
      <w:r>
        <w:rPr>
          <w:spacing w:val="-2"/>
        </w:rPr>
        <w:t>司控股股东按法定程序参与公司决策，不存在与控股股东职能部门之间的从属关系。公司具有独立的办公机构，所有职能部</w:t>
      </w:r>
      <w:r>
        <w:rPr>
          <w:spacing w:val="-63"/>
        </w:rPr>
        <w:t> </w:t>
      </w:r>
      <w:r>
        <w:rPr>
          <w:spacing w:val="-63"/>
        </w:rPr>
      </w:r>
      <w:r>
        <w:rPr/>
        <w:t>门均独立行使职权，独立开展经营活动，不存在混合经营、合署办公情形；</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916" w:footer="1261" w:top="1120" w:bottom="1460" w:left="980" w:right="0"/>
        </w:sectPr>
      </w:pPr>
    </w:p>
    <w:p>
      <w:pPr>
        <w:spacing w:line="240" w:lineRule="auto" w:before="9"/>
        <w:rPr>
          <w:rFonts w:ascii="宋体" w:hAnsi="宋体" w:cs="宋体" w:eastAsia="宋体" w:hint="default"/>
          <w:sz w:val="20"/>
          <w:szCs w:val="20"/>
        </w:rPr>
      </w:pPr>
    </w:p>
    <w:p>
      <w:pPr>
        <w:pStyle w:val="BodyText"/>
        <w:spacing w:line="319" w:lineRule="auto" w:before="44"/>
        <w:ind w:right="1130" w:firstLine="360"/>
        <w:jc w:val="both"/>
        <w:rPr>
          <w:rFonts w:ascii="宋体" w:hAnsi="宋体" w:cs="宋体" w:eastAsia="宋体" w:hint="default"/>
        </w:rPr>
      </w:pPr>
      <w:r>
        <w:rPr>
          <w:rFonts w:ascii="宋体" w:hAnsi="宋体" w:cs="宋体" w:eastAsia="宋体" w:hint="default"/>
        </w:rPr>
        <w:t>5</w:t>
      </w:r>
      <w:r>
        <w:rPr/>
        <w:t>、财务独立性：公司设有独立的财务管理部门和财务人员，建立了独立的会计核算体系和财务管理制度，独立开展财 </w:t>
      </w:r>
      <w:r>
        <w:rPr>
          <w:spacing w:val="-5"/>
        </w:rPr>
        <w:t>务工作和进行财务决策，独立管理公司财务档案；独立在银行开户，没有与控股股东共用一个银行账户；独立进行税务登记，</w:t>
      </w:r>
      <w:r>
        <w:rPr>
          <w:spacing w:val="-75"/>
        </w:rPr>
        <w:t> </w:t>
      </w:r>
      <w:r>
        <w:rPr>
          <w:spacing w:val="-75"/>
        </w:rPr>
      </w:r>
      <w:r>
        <w:rPr/>
        <w:t>独立依法纳税。</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261" w:type="dxa"/>
        <w:tblLayout w:type="fixed"/>
        <w:tblCellMar>
          <w:top w:w="0" w:type="dxa"/>
          <w:left w:w="0" w:type="dxa"/>
          <w:bottom w:w="0" w:type="dxa"/>
          <w:right w:w="0" w:type="dxa"/>
        </w:tblCellMar>
        <w:tblLook w:val="01E0"/>
      </w:tblPr>
      <w:tblGrid>
        <w:gridCol w:w="1589"/>
        <w:gridCol w:w="994"/>
        <w:gridCol w:w="991"/>
        <w:gridCol w:w="1844"/>
        <w:gridCol w:w="1841"/>
        <w:gridCol w:w="2578"/>
      </w:tblGrid>
      <w:tr>
        <w:trPr>
          <w:trHeight w:val="713" w:hRule="exact"/>
        </w:trPr>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0" w:right="131"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年度第一次 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9"/>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48.25%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5"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年度第二次 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59"/>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56.32%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9"/>
              <w:jc w:val="left"/>
              <w:rPr>
                <w:rFonts w:ascii="宋体" w:hAnsi="宋体" w:cs="宋体" w:eastAsia="宋体" w:hint="default"/>
                <w:sz w:val="18"/>
                <w:szCs w:val="18"/>
              </w:rPr>
            </w:pPr>
            <w:r>
              <w:rPr>
                <w:rFonts w:ascii="宋体" w:hAnsi="宋体" w:cs="宋体" w:eastAsia="宋体" w:hint="default"/>
                <w:sz w:val="18"/>
                <w:szCs w:val="18"/>
              </w:rPr>
              <w:t>年度股东 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60.83%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3"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5"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年度第三次 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59"/>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59.13%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105"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6"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年度第四次 临时股东大会</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9"/>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8"/>
        <w:rPr>
          <w:rFonts w:ascii="宋体" w:hAnsi="宋体" w:cs="宋体" w:eastAsia="宋体" w:hint="default"/>
          <w:b/>
          <w:bCs/>
          <w:sz w:val="25"/>
          <w:szCs w:val="25"/>
        </w:rPr>
      </w:pPr>
    </w:p>
    <w:tbl>
      <w:tblPr>
        <w:tblW w:w="0" w:type="auto"/>
        <w:jc w:val="left"/>
        <w:tblInd w:w="261" w:type="dxa"/>
        <w:tblLayout w:type="fixed"/>
        <w:tblCellMar>
          <w:top w:w="0" w:type="dxa"/>
          <w:left w:w="0" w:type="dxa"/>
          <w:bottom w:w="0" w:type="dxa"/>
          <w:right w:w="0" w:type="dxa"/>
        </w:tblCellMar>
        <w:tblLook w:val="01E0"/>
      </w:tblPr>
      <w:tblGrid>
        <w:gridCol w:w="895"/>
        <w:gridCol w:w="1395"/>
        <w:gridCol w:w="1186"/>
        <w:gridCol w:w="1349"/>
        <w:gridCol w:w="1140"/>
        <w:gridCol w:w="946"/>
        <w:gridCol w:w="1666"/>
        <w:gridCol w:w="996"/>
      </w:tblGrid>
      <w:tr>
        <w:trPr>
          <w:trHeight w:val="465"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3" w:hRule="exact"/>
        </w:trPr>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2" w:right="170"/>
              <w:jc w:val="left"/>
              <w:rPr>
                <w:rFonts w:ascii="宋体" w:hAnsi="宋体" w:cs="宋体" w:eastAsia="宋体" w:hint="default"/>
                <w:sz w:val="18"/>
                <w:szCs w:val="18"/>
              </w:rPr>
            </w:pPr>
            <w:r>
              <w:rPr>
                <w:rFonts w:ascii="宋体" w:hAnsi="宋体" w:cs="宋体" w:eastAsia="宋体" w:hint="default"/>
                <w:sz w:val="18"/>
                <w:szCs w:val="18"/>
              </w:rPr>
              <w:t>独立董 事姓名</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152"/>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137" w:hanging="92"/>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129"/>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110" w:hanging="89"/>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9" w:right="104" w:hanging="89"/>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6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 w:right="107"/>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2" w:right="132"/>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66" w:hRule="exact"/>
        </w:trPr>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罗振邦</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7"/>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3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王永利</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z w:val="18"/>
              </w:rPr>
              <w:t>12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4</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3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王能光</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z w:val="18"/>
              </w:rPr>
              <w:t>12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3</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3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4</w:t>
            </w:r>
          </w:p>
        </w:tc>
      </w:tr>
      <w:tr>
        <w:trPr>
          <w:trHeight w:val="466" w:hRule="exact"/>
        </w:trPr>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吕本富</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99"/>
              <w:jc w:val="right"/>
              <w:rPr>
                <w:rFonts w:ascii="Times New Roman" w:hAnsi="Times New Roman" w:cs="Times New Roman" w:eastAsia="Times New Roman" w:hint="default"/>
                <w:sz w:val="18"/>
                <w:szCs w:val="18"/>
              </w:rPr>
            </w:pPr>
            <w:r>
              <w:rPr>
                <w:rFonts w:ascii="Times New Roman"/>
                <w:sz w:val="18"/>
              </w:rPr>
              <w:t>12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3</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1</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73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footerReference w:type="default" r:id="rId72"/>
          <w:pgSz w:w="11910" w:h="16840"/>
          <w:pgMar w:footer="1261" w:header="916" w:top="1120" w:bottom="1460" w:left="980" w:right="0"/>
          <w:pgNumType w:start="110"/>
        </w:sectPr>
      </w:pPr>
    </w:p>
    <w:p>
      <w:pPr>
        <w:spacing w:line="240" w:lineRule="auto" w:before="6"/>
        <w:rPr>
          <w:rFonts w:ascii="宋体" w:hAnsi="宋体" w:cs="宋体" w:eastAsia="宋体" w:hint="default"/>
          <w:b/>
          <w:bCs/>
          <w:sz w:val="23"/>
          <w:szCs w:val="23"/>
        </w:rPr>
      </w:pPr>
    </w:p>
    <w:tbl>
      <w:tblPr>
        <w:tblW w:w="0" w:type="auto"/>
        <w:jc w:val="left"/>
        <w:tblInd w:w="261" w:type="dxa"/>
        <w:tblLayout w:type="fixed"/>
        <w:tblCellMar>
          <w:top w:w="0" w:type="dxa"/>
          <w:left w:w="0" w:type="dxa"/>
          <w:bottom w:w="0" w:type="dxa"/>
          <w:right w:w="0" w:type="dxa"/>
        </w:tblCellMar>
        <w:tblLook w:val="01E0"/>
      </w:tblPr>
      <w:tblGrid>
        <w:gridCol w:w="895"/>
        <w:gridCol w:w="1395"/>
        <w:gridCol w:w="1186"/>
        <w:gridCol w:w="1349"/>
        <w:gridCol w:w="1140"/>
        <w:gridCol w:w="946"/>
        <w:gridCol w:w="1666"/>
        <w:gridCol w:w="996"/>
      </w:tblGrid>
      <w:tr>
        <w:trPr>
          <w:trHeight w:val="464" w:hRule="exact"/>
        </w:trPr>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5" w:right="0"/>
              <w:jc w:val="left"/>
              <w:rPr>
                <w:rFonts w:ascii="宋体" w:hAnsi="宋体" w:cs="宋体" w:eastAsia="宋体" w:hint="default"/>
                <w:sz w:val="18"/>
                <w:szCs w:val="18"/>
              </w:rPr>
            </w:pPr>
            <w:r>
              <w:rPr>
                <w:rFonts w:ascii="宋体" w:hAnsi="宋体" w:cs="宋体" w:eastAsia="宋体" w:hint="default"/>
                <w:sz w:val="18"/>
                <w:szCs w:val="18"/>
              </w:rPr>
              <w:t>罗婷</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18"/>
                <w:szCs w:val="18"/>
              </w:rPr>
            </w:pPr>
            <w:r>
              <w:rPr>
                <w:rFonts w:ascii="Times New Roman"/>
                <w:sz w:val="18"/>
              </w:rPr>
              <w:t>0</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2"/>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0"/>
        <w:jc w:val="left"/>
      </w:pPr>
      <w:r>
        <w:rPr/>
        <w:t>连续两次未亲自出席董事会的说明：无</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60" w:lineRule="auto" w:before="115"/>
        <w:ind w:right="6973"/>
        <w:jc w:val="left"/>
      </w:pPr>
      <w:r>
        <w:rPr/>
        <w:t>□ 是 √</w:t>
      </w:r>
      <w:r>
        <w:rPr>
          <w:spacing w:val="3"/>
        </w:rPr>
        <w:t> </w:t>
      </w:r>
      <w:r>
        <w:rPr/>
        <w:t>否</w:t>
      </w:r>
      <w:r>
        <w:rPr/>
        <w:t> 报告期内独立董事对公司有关事项未提出异议。</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60" w:lineRule="auto" w:before="115"/>
        <w:ind w:right="6793"/>
        <w:jc w:val="left"/>
      </w:pPr>
      <w:r>
        <w:rPr/>
        <w:t>√ 是 □</w:t>
      </w:r>
      <w:r>
        <w:rPr>
          <w:spacing w:val="3"/>
        </w:rPr>
        <w:t> </w:t>
      </w:r>
      <w:r>
        <w:rPr/>
        <w:t>否</w:t>
      </w:r>
      <w:r>
        <w:rPr/>
        <w:t> 独立董事对公司有关建议被采纳或未被采纳的说明</w:t>
      </w:r>
    </w:p>
    <w:p>
      <w:pPr>
        <w:pStyle w:val="BodyText"/>
        <w:spacing w:line="316" w:lineRule="auto" w:before="27"/>
        <w:ind w:right="1230" w:firstLine="360"/>
        <w:jc w:val="both"/>
        <w:rPr>
          <w:rFonts w:ascii="宋体" w:hAnsi="宋体" w:cs="宋体" w:eastAsia="宋体" w:hint="default"/>
        </w:rPr>
      </w:pPr>
      <w:r>
        <w:rPr/>
        <w:t>公司独立董事在</w:t>
      </w:r>
      <w:r>
        <w:rPr>
          <w:rFonts w:ascii="宋体" w:hAnsi="宋体" w:cs="宋体" w:eastAsia="宋体" w:hint="default"/>
        </w:rPr>
        <w:t>2019</w:t>
      </w:r>
      <w:r>
        <w:rPr/>
        <w:t>年度勤勉尽责，密切关注公司经营状况、管理和内控制度的建立及运行情况，积极参加报告期内 的历次会议，对公司信息披露情况、董事会决议的执行情况等进行监督和核查；关注国家政策、行业趋势、市场变化等外 部环境对公司的影响，运用专业知识，对公司的发展战略、重大决策和规范化运作等方面提供专业性的建议和指导意见， 对报告期内公司发生的续聘审计机构、关联交易、股权激励等事项及其他需要独立董事发表意见的事项出具了独立、公正 的独立意见，促进了董事会决策的科学性及高效性，维护了公司和全体股东的合法权益。</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3"/>
        <w:rPr>
          <w:rFonts w:ascii="宋体" w:hAnsi="宋体" w:cs="宋体" w:eastAsia="宋体" w:hint="default"/>
          <w:b/>
          <w:bCs/>
          <w:sz w:val="34"/>
          <w:szCs w:val="34"/>
        </w:rPr>
      </w:pPr>
    </w:p>
    <w:p>
      <w:pPr>
        <w:spacing w:line="446" w:lineRule="auto" w:before="0"/>
        <w:ind w:left="513" w:right="2653" w:hanging="92"/>
        <w:jc w:val="left"/>
        <w:rPr>
          <w:rFonts w:ascii="宋体" w:hAnsi="宋体" w:cs="宋体" w:eastAsia="宋体" w:hint="default"/>
          <w:sz w:val="18"/>
          <w:szCs w:val="18"/>
        </w:rPr>
      </w:pPr>
      <w:r>
        <w:rPr>
          <w:rFonts w:ascii="宋体" w:hAnsi="宋体" w:cs="宋体" w:eastAsia="宋体" w:hint="default"/>
          <w:b/>
          <w:bCs/>
          <w:sz w:val="18"/>
          <w:szCs w:val="18"/>
        </w:rPr>
        <w:t>（一）独立董事在审计委员会履职情况</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、报告期内，董事会审计委员会共召开</w:t>
      </w:r>
      <w:r>
        <w:rPr>
          <w:rFonts w:ascii="宋体" w:hAnsi="宋体" w:cs="宋体" w:eastAsia="宋体" w:hint="default"/>
          <w:sz w:val="18"/>
          <w:szCs w:val="18"/>
        </w:rPr>
        <w:t>6</w:t>
      </w:r>
      <w:r>
        <w:rPr>
          <w:rFonts w:ascii="宋体" w:hAnsi="宋体" w:cs="宋体" w:eastAsia="宋体" w:hint="default"/>
          <w:sz w:val="18"/>
          <w:szCs w:val="18"/>
        </w:rPr>
        <w:t>次会议，主要工作情况如下：</w:t>
      </w:r>
      <w:r>
        <w:rPr>
          <w:rFonts w:ascii="宋体" w:hAnsi="宋体" w:cs="宋体" w:eastAsia="宋体" w:hint="default"/>
          <w:sz w:val="18"/>
          <w:szCs w:val="18"/>
        </w:rPr>
        <w:t> </w:t>
      </w:r>
    </w:p>
    <w:p>
      <w:pPr>
        <w:pStyle w:val="BodyText"/>
        <w:spacing w:line="405" w:lineRule="auto" w:before="51"/>
        <w:ind w:right="1040" w:firstLine="268"/>
        <w:jc w:val="both"/>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10</w:t>
      </w:r>
      <w:r>
        <w:rPr/>
        <w:t>日，审计委员会召开</w:t>
      </w:r>
      <w:r>
        <w:rPr>
          <w:rFonts w:ascii="宋体" w:hAnsi="宋体" w:cs="宋体" w:eastAsia="宋体" w:hint="default"/>
        </w:rPr>
        <w:t>2019</w:t>
      </w:r>
      <w:r>
        <w:rPr/>
        <w:t>年第一次会议，听取了公司</w:t>
      </w:r>
      <w:r>
        <w:rPr>
          <w:rFonts w:ascii="宋体" w:hAnsi="宋体" w:cs="宋体" w:eastAsia="宋体" w:hint="default"/>
        </w:rPr>
        <w:t>2018</w:t>
      </w:r>
      <w:r>
        <w:rPr/>
        <w:t>年度生产经营情况和重大事项进展情况的全 </w:t>
      </w:r>
      <w:r>
        <w:rPr>
          <w:spacing w:val="-2"/>
        </w:rPr>
        <w:t>面汇报，审议通过了《</w:t>
      </w:r>
      <w:r>
        <w:rPr>
          <w:rFonts w:ascii="宋体" w:hAnsi="宋体" w:cs="宋体" w:eastAsia="宋体" w:hint="default"/>
          <w:spacing w:val="-2"/>
        </w:rPr>
        <w:t>2018</w:t>
      </w:r>
      <w:r>
        <w:rPr>
          <w:spacing w:val="-2"/>
        </w:rPr>
        <w:t>年度财务报表》和《关于审计委员会与年审会计师协商确定</w:t>
      </w:r>
      <w:r>
        <w:rPr>
          <w:rFonts w:ascii="宋体" w:hAnsi="宋体" w:cs="宋体" w:eastAsia="宋体" w:hint="default"/>
          <w:spacing w:val="-2"/>
        </w:rPr>
        <w:t>2018</w:t>
      </w:r>
      <w:r>
        <w:rPr>
          <w:spacing w:val="-2"/>
        </w:rPr>
        <w:t>年年报审计工作安排的议案》。</w:t>
      </w:r>
      <w:r>
        <w:rPr>
          <w:rFonts w:ascii="宋体" w:hAnsi="宋体" w:cs="宋体" w:eastAsia="宋体" w:hint="default"/>
        </w:rPr>
        <w:t> </w:t>
      </w:r>
    </w:p>
    <w:p>
      <w:pPr>
        <w:pStyle w:val="BodyText"/>
        <w:spacing w:line="405" w:lineRule="auto" w:before="82"/>
        <w:ind w:right="1126" w:firstLine="268"/>
        <w:jc w:val="both"/>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19</w:t>
      </w:r>
      <w:r>
        <w:rPr/>
        <w:t>日，审计委员会召开</w:t>
      </w:r>
      <w:r>
        <w:rPr>
          <w:rFonts w:ascii="宋体" w:hAnsi="宋体" w:cs="宋体" w:eastAsia="宋体" w:hint="default"/>
        </w:rPr>
        <w:t>2019</w:t>
      </w:r>
      <w:r>
        <w:rPr/>
        <w:t>年第二次会议，审议通过了《</w:t>
      </w:r>
      <w:r>
        <w:rPr>
          <w:rFonts w:ascii="宋体" w:hAnsi="宋体" w:cs="宋体" w:eastAsia="宋体" w:hint="default"/>
        </w:rPr>
        <w:t>2018</w:t>
      </w:r>
      <w:r>
        <w:rPr/>
        <w:t>年度财务报告》（初稿）和《</w:t>
      </w:r>
      <w:r>
        <w:rPr>
          <w:rFonts w:ascii="宋体" w:hAnsi="宋体" w:cs="宋体" w:eastAsia="宋体" w:hint="default"/>
        </w:rPr>
        <w:t>2018</w:t>
      </w:r>
      <w:r>
        <w:rPr/>
        <w:t>年度内 部审计工作报告》。</w:t>
      </w:r>
      <w:r>
        <w:rPr>
          <w:rFonts w:ascii="宋体" w:hAnsi="宋体" w:cs="宋体" w:eastAsia="宋体" w:hint="default"/>
        </w:rPr>
        <w:t> </w:t>
      </w:r>
    </w:p>
    <w:p>
      <w:pPr>
        <w:pStyle w:val="BodyText"/>
        <w:spacing w:line="408" w:lineRule="auto" w:before="82"/>
        <w:ind w:right="1132" w:firstLine="268"/>
        <w:jc w:val="both"/>
        <w:rPr>
          <w:rFonts w:ascii="宋体" w:hAnsi="宋体" w:cs="宋体" w:eastAsia="宋体" w:hint="default"/>
        </w:rPr>
      </w:pPr>
      <w:r>
        <w:rPr>
          <w:spacing w:val="-2"/>
        </w:rPr>
        <w:t>（</w:t>
      </w:r>
      <w:r>
        <w:rPr>
          <w:rFonts w:ascii="宋体" w:hAnsi="宋体" w:cs="宋体" w:eastAsia="宋体" w:hint="default"/>
          <w:spacing w:val="-2"/>
        </w:rPr>
        <w:t>3</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22</w:t>
      </w:r>
      <w:r>
        <w:rPr>
          <w:spacing w:val="-2"/>
        </w:rPr>
        <w:t>日，审计委员会召开</w:t>
      </w:r>
      <w:r>
        <w:rPr>
          <w:rFonts w:ascii="宋体" w:hAnsi="宋体" w:cs="宋体" w:eastAsia="宋体" w:hint="default"/>
          <w:spacing w:val="-2"/>
        </w:rPr>
        <w:t>2019</w:t>
      </w:r>
      <w:r>
        <w:rPr>
          <w:spacing w:val="-2"/>
        </w:rPr>
        <w:t>年第三次会议，审议通过了《</w:t>
      </w:r>
      <w:r>
        <w:rPr>
          <w:rFonts w:ascii="宋体" w:hAnsi="宋体" w:cs="宋体" w:eastAsia="宋体" w:hint="default"/>
          <w:spacing w:val="-2"/>
        </w:rPr>
        <w:t>2018</w:t>
      </w:r>
      <w:r>
        <w:rPr>
          <w:spacing w:val="-2"/>
        </w:rPr>
        <w:t>年度财务报告》（定稿）、《关于</w:t>
      </w:r>
      <w:r>
        <w:rPr>
          <w:rFonts w:ascii="宋体" w:hAnsi="宋体" w:cs="宋体" w:eastAsia="宋体" w:hint="default"/>
          <w:spacing w:val="-2"/>
        </w:rPr>
        <w:t>&lt;</w:t>
      </w:r>
      <w:r>
        <w:rPr>
          <w:spacing w:val="-2"/>
        </w:rPr>
        <w:t>审计委</w:t>
      </w:r>
      <w:r>
        <w:rPr/>
        <w:t> 员会履职情况报告暨关于会计师事务所</w:t>
      </w:r>
      <w:r>
        <w:rPr>
          <w:rFonts w:ascii="宋体" w:hAnsi="宋体" w:cs="宋体" w:eastAsia="宋体" w:hint="default"/>
        </w:rPr>
        <w:t>2018</w:t>
      </w:r>
      <w:r>
        <w:rPr/>
        <w:t>年度审计工作的总结报告</w:t>
      </w:r>
      <w:r>
        <w:rPr>
          <w:rFonts w:ascii="宋体" w:hAnsi="宋体" w:cs="宋体" w:eastAsia="宋体" w:hint="default"/>
        </w:rPr>
        <w:t>&gt;</w:t>
      </w:r>
      <w:r>
        <w:rPr/>
        <w:t>的议案》、《关于</w:t>
      </w:r>
      <w:r>
        <w:rPr>
          <w:rFonts w:ascii="宋体" w:hAnsi="宋体" w:cs="宋体" w:eastAsia="宋体" w:hint="default"/>
        </w:rPr>
        <w:t>&lt;2018</w:t>
      </w:r>
      <w:r>
        <w:rPr/>
        <w:t>年度内部控制自我评价报告</w:t>
      </w:r>
      <w:r>
        <w:rPr>
          <w:rFonts w:ascii="宋体" w:hAnsi="宋体" w:cs="宋体" w:eastAsia="宋体" w:hint="default"/>
        </w:rPr>
        <w:t>&gt;</w:t>
      </w:r>
      <w:r>
        <w:rPr>
          <w:rFonts w:ascii="宋体" w:hAnsi="宋体" w:cs="宋体" w:eastAsia="宋体" w:hint="default"/>
          <w:spacing w:val="-86"/>
        </w:rPr>
        <w:t> </w:t>
      </w:r>
      <w:r>
        <w:rPr/>
        <w:t>的议案》、《关于聘请公司</w:t>
      </w:r>
      <w:r>
        <w:rPr>
          <w:rFonts w:ascii="宋体" w:hAnsi="宋体" w:cs="宋体" w:eastAsia="宋体" w:hint="default"/>
        </w:rPr>
        <w:t>2019</w:t>
      </w:r>
      <w:r>
        <w:rPr/>
        <w:t>年度审计机构的议案》和《关于修订</w:t>
      </w:r>
      <w:r>
        <w:rPr>
          <w:rFonts w:ascii="宋体" w:hAnsi="宋体" w:cs="宋体" w:eastAsia="宋体" w:hint="default"/>
        </w:rPr>
        <w:t>&lt;</w:t>
      </w:r>
      <w:r>
        <w:rPr/>
        <w:t>资产损失确认与核销管理制度</w:t>
      </w:r>
      <w:r>
        <w:rPr>
          <w:rFonts w:ascii="宋体" w:hAnsi="宋体" w:cs="宋体" w:eastAsia="宋体" w:hint="default"/>
        </w:rPr>
        <w:t>&gt;</w:t>
      </w:r>
      <w:r>
        <w:rPr/>
        <w:t>的议案》。</w:t>
      </w:r>
      <w:r>
        <w:rPr>
          <w:rFonts w:ascii="宋体" w:hAnsi="宋体" w:cs="宋体" w:eastAsia="宋体" w:hint="default"/>
        </w:rPr>
        <w:t> </w:t>
      </w:r>
    </w:p>
    <w:p>
      <w:pPr>
        <w:pStyle w:val="BodyText"/>
        <w:spacing w:line="408" w:lineRule="auto" w:before="78"/>
        <w:ind w:right="1128" w:firstLine="268"/>
        <w:jc w:val="both"/>
        <w:rPr>
          <w:rFonts w:ascii="宋体" w:hAnsi="宋体" w:cs="宋体" w:eastAsia="宋体" w:hint="default"/>
        </w:rPr>
      </w:pPr>
      <w:r>
        <w:rPr/>
        <w:t>（</w:t>
      </w:r>
      <w:r>
        <w:rPr>
          <w:rFonts w:ascii="宋体" w:hAnsi="宋体" w:cs="宋体" w:eastAsia="宋体" w:hint="default"/>
        </w:rPr>
        <w:t>4</w:t>
      </w:r>
      <w:r>
        <w:rPr/>
        <w:t>）</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10</w:t>
      </w:r>
      <w:r>
        <w:rPr/>
        <w:t>日，审计委员会召开</w:t>
      </w:r>
      <w:r>
        <w:rPr>
          <w:rFonts w:ascii="宋体" w:hAnsi="宋体" w:cs="宋体" w:eastAsia="宋体" w:hint="default"/>
        </w:rPr>
        <w:t>2019</w:t>
      </w:r>
      <w:r>
        <w:rPr/>
        <w:t>年第四次会议，审议通过了《</w:t>
      </w:r>
      <w:r>
        <w:rPr>
          <w:rFonts w:ascii="宋体" w:hAnsi="宋体" w:cs="宋体" w:eastAsia="宋体" w:hint="default"/>
        </w:rPr>
        <w:t>2019</w:t>
      </w:r>
      <w:r>
        <w:rPr/>
        <w:t>年第一季度报告》和《</w:t>
      </w:r>
      <w:r>
        <w:rPr>
          <w:rFonts w:ascii="宋体" w:hAnsi="宋体" w:cs="宋体" w:eastAsia="宋体" w:hint="default"/>
        </w:rPr>
        <w:t>2019</w:t>
      </w:r>
      <w:r>
        <w:rPr/>
        <w:t>年第一季度内 部审计工作报告》。</w:t>
      </w:r>
      <w:r>
        <w:rPr>
          <w:rFonts w:ascii="宋体" w:hAnsi="宋体" w:cs="宋体" w:eastAsia="宋体" w:hint="default"/>
        </w:rPr>
        <w:t> </w:t>
      </w:r>
    </w:p>
    <w:p>
      <w:pPr>
        <w:pStyle w:val="BodyText"/>
        <w:spacing w:line="408" w:lineRule="auto" w:before="77"/>
        <w:ind w:right="1128" w:firstLine="268"/>
        <w:jc w:val="both"/>
        <w:rPr>
          <w:rFonts w:ascii="宋体" w:hAnsi="宋体" w:cs="宋体" w:eastAsia="宋体" w:hint="default"/>
        </w:rPr>
      </w:pPr>
      <w:r>
        <w:rPr>
          <w:spacing w:val="-2"/>
        </w:rPr>
        <w:t>（</w:t>
      </w:r>
      <w:r>
        <w:rPr>
          <w:rFonts w:ascii="宋体" w:hAnsi="宋体" w:cs="宋体" w:eastAsia="宋体" w:hint="default"/>
          <w:spacing w:val="-2"/>
        </w:rPr>
        <w:t>5</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27</w:t>
      </w:r>
      <w:r>
        <w:rPr>
          <w:spacing w:val="-2"/>
        </w:rPr>
        <w:t>日，审计委员会召开</w:t>
      </w:r>
      <w:r>
        <w:rPr>
          <w:rFonts w:ascii="宋体" w:hAnsi="宋体" w:cs="宋体" w:eastAsia="宋体" w:hint="default"/>
          <w:spacing w:val="-2"/>
        </w:rPr>
        <w:t>2019</w:t>
      </w:r>
      <w:r>
        <w:rPr>
          <w:spacing w:val="-2"/>
        </w:rPr>
        <w:t>年第五次会议，审议通过了《关于</w:t>
      </w:r>
      <w:r>
        <w:rPr>
          <w:rFonts w:ascii="宋体" w:hAnsi="宋体" w:cs="宋体" w:eastAsia="宋体" w:hint="default"/>
          <w:spacing w:val="-2"/>
        </w:rPr>
        <w:t>&lt;2019</w:t>
      </w:r>
      <w:r>
        <w:rPr>
          <w:spacing w:val="-2"/>
        </w:rPr>
        <w:t>年半年度报告</w:t>
      </w:r>
      <w:r>
        <w:rPr>
          <w:rFonts w:ascii="宋体" w:hAnsi="宋体" w:cs="宋体" w:eastAsia="宋体" w:hint="default"/>
          <w:spacing w:val="-2"/>
        </w:rPr>
        <w:t>&gt;</w:t>
      </w:r>
      <w:r>
        <w:rPr>
          <w:spacing w:val="-2"/>
        </w:rPr>
        <w:t>及</w:t>
      </w:r>
      <w:r>
        <w:rPr>
          <w:rFonts w:ascii="宋体" w:hAnsi="宋体" w:cs="宋体" w:eastAsia="宋体" w:hint="default"/>
          <w:spacing w:val="-2"/>
        </w:rPr>
        <w:t>&lt;2019</w:t>
      </w:r>
      <w:r>
        <w:rPr>
          <w:spacing w:val="-2"/>
        </w:rPr>
        <w:t>年半年度报告</w:t>
      </w:r>
      <w:r>
        <w:rPr/>
        <w:t> </w:t>
      </w:r>
      <w:r>
        <w:rPr>
          <w:spacing w:val="-2"/>
        </w:rPr>
        <w:t>摘要</w:t>
      </w:r>
      <w:r>
        <w:rPr>
          <w:rFonts w:ascii="宋体" w:hAnsi="宋体" w:cs="宋体" w:eastAsia="宋体" w:hint="default"/>
          <w:spacing w:val="-2"/>
        </w:rPr>
        <w:t>&gt;</w:t>
      </w:r>
      <w:r>
        <w:rPr>
          <w:spacing w:val="-2"/>
        </w:rPr>
        <w:t>的议案》、《关于</w:t>
      </w:r>
      <w:r>
        <w:rPr>
          <w:rFonts w:ascii="宋体" w:hAnsi="宋体" w:cs="宋体" w:eastAsia="宋体" w:hint="default"/>
          <w:spacing w:val="-2"/>
        </w:rPr>
        <w:t>2019</w:t>
      </w:r>
      <w:r>
        <w:rPr>
          <w:spacing w:val="-2"/>
        </w:rPr>
        <w:t>年半年度募集资金存放与使用情况专项报告的议案》、《关于</w:t>
      </w:r>
      <w:r>
        <w:rPr>
          <w:rFonts w:ascii="宋体" w:hAnsi="宋体" w:cs="宋体" w:eastAsia="宋体" w:hint="default"/>
          <w:spacing w:val="-2"/>
        </w:rPr>
        <w:t>&lt;2019</w:t>
      </w:r>
      <w:r>
        <w:rPr>
          <w:spacing w:val="-2"/>
        </w:rPr>
        <w:t>年上半年度内部审计工作报</w:t>
      </w:r>
      <w:r>
        <w:rPr>
          <w:spacing w:val="-62"/>
        </w:rPr>
        <w:t> </w:t>
      </w:r>
      <w:r>
        <w:rPr>
          <w:spacing w:val="-62"/>
        </w:rPr>
      </w:r>
      <w:r>
        <w:rPr/>
        <w:t>告</w:t>
      </w:r>
      <w:r>
        <w:rPr>
          <w:rFonts w:ascii="宋体" w:hAnsi="宋体" w:cs="宋体" w:eastAsia="宋体" w:hint="default"/>
        </w:rPr>
        <w:t>&gt;</w:t>
      </w:r>
      <w:r>
        <w:rPr/>
        <w:t>的议案》。</w:t>
      </w:r>
      <w:r>
        <w:rPr>
          <w:rFonts w:ascii="宋体" w:hAnsi="宋体" w:cs="宋体" w:eastAsia="宋体" w:hint="default"/>
        </w:rPr>
        <w:t> </w:t>
      </w:r>
    </w:p>
    <w:p>
      <w:pPr>
        <w:pStyle w:val="BodyText"/>
        <w:spacing w:line="240" w:lineRule="auto" w:before="77"/>
        <w:ind w:left="422" w:right="0"/>
        <w:jc w:val="left"/>
      </w:pPr>
      <w:r>
        <w:rPr/>
        <w:t>（</w:t>
      </w:r>
      <w:r>
        <w:rPr>
          <w:rFonts w:ascii="宋体" w:hAnsi="宋体" w:cs="宋体" w:eastAsia="宋体" w:hint="default"/>
        </w:rPr>
        <w:t>6</w:t>
      </w:r>
      <w:r>
        <w:rPr/>
        <w:t>）</w:t>
      </w: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18</w:t>
      </w:r>
      <w:r>
        <w:rPr/>
        <w:t>日，审计委员会召开</w:t>
      </w:r>
      <w:r>
        <w:rPr>
          <w:rFonts w:ascii="宋体" w:hAnsi="宋体" w:cs="宋体" w:eastAsia="宋体" w:hint="default"/>
        </w:rPr>
        <w:t>2019</w:t>
      </w:r>
      <w:r>
        <w:rPr/>
        <w:t>年第六次会议，审议通过了《关于</w:t>
      </w:r>
      <w:r>
        <w:rPr>
          <w:rFonts w:ascii="宋体" w:hAnsi="宋体" w:cs="宋体" w:eastAsia="宋体" w:hint="default"/>
        </w:rPr>
        <w:t>&lt;2019</w:t>
      </w:r>
      <w:r>
        <w:rPr/>
        <w:t>年第三季度报告</w:t>
      </w:r>
      <w:r>
        <w:rPr>
          <w:rFonts w:ascii="宋体" w:hAnsi="宋体" w:cs="宋体" w:eastAsia="宋体" w:hint="default"/>
        </w:rPr>
        <w:t>&gt;</w:t>
      </w:r>
      <w:r>
        <w:rPr/>
        <w:t>的议案》和《关于</w:t>
      </w:r>
    </w:p>
    <w:p>
      <w:pPr>
        <w:spacing w:line="240" w:lineRule="auto" w:before="8"/>
        <w:rPr>
          <w:rFonts w:ascii="宋体" w:hAnsi="宋体" w:cs="宋体" w:eastAsia="宋体" w:hint="default"/>
          <w:sz w:val="12"/>
          <w:szCs w:val="12"/>
        </w:rPr>
      </w:pPr>
    </w:p>
    <w:p>
      <w:pPr>
        <w:pStyle w:val="BodyText"/>
        <w:spacing w:line="240" w:lineRule="auto"/>
        <w:ind w:right="0"/>
        <w:jc w:val="left"/>
        <w:rPr>
          <w:rFonts w:ascii="宋体" w:hAnsi="宋体" w:cs="宋体" w:eastAsia="宋体" w:hint="default"/>
        </w:rPr>
      </w:pPr>
      <w:r>
        <w:rPr>
          <w:rFonts w:ascii="宋体" w:hAnsi="宋体" w:cs="宋体" w:eastAsia="宋体" w:hint="default"/>
        </w:rPr>
        <w:t>&lt;2019</w:t>
      </w:r>
      <w:r>
        <w:rPr/>
        <w:t>年第三季度内部审计工作报告</w:t>
      </w:r>
      <w:r>
        <w:rPr>
          <w:rFonts w:ascii="宋体" w:hAnsi="宋体" w:cs="宋体" w:eastAsia="宋体" w:hint="default"/>
        </w:rPr>
        <w:t>&gt;</w:t>
      </w:r>
      <w:r>
        <w:rPr/>
        <w:t>的议案》。</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916" w:footer="1261" w:top="1120" w:bottom="1460" w:left="980" w:right="0"/>
        </w:sectPr>
      </w:pPr>
    </w:p>
    <w:p>
      <w:pPr>
        <w:spacing w:line="240" w:lineRule="auto" w:before="6"/>
        <w:rPr>
          <w:rFonts w:ascii="宋体" w:hAnsi="宋体" w:cs="宋体" w:eastAsia="宋体" w:hint="default"/>
          <w:sz w:val="28"/>
          <w:szCs w:val="28"/>
        </w:rPr>
      </w:pPr>
    </w:p>
    <w:p>
      <w:pPr>
        <w:pStyle w:val="BodyText"/>
        <w:spacing w:line="240" w:lineRule="auto" w:before="44"/>
        <w:ind w:left="513" w:right="0"/>
        <w:jc w:val="left"/>
        <w:rPr>
          <w:rFonts w:ascii="宋体" w:hAnsi="宋体" w:cs="宋体" w:eastAsia="宋体" w:hint="default"/>
        </w:rPr>
      </w:pPr>
      <w:r>
        <w:rPr>
          <w:rFonts w:ascii="宋体" w:hAnsi="宋体" w:cs="宋体" w:eastAsia="宋体" w:hint="default"/>
        </w:rPr>
        <w:t>2</w:t>
      </w:r>
      <w:r>
        <w:rPr/>
        <w:t>、审计委员会在公司</w:t>
      </w:r>
      <w:r>
        <w:rPr>
          <w:rFonts w:ascii="宋体" w:hAnsi="宋体" w:cs="宋体" w:eastAsia="宋体" w:hint="default"/>
        </w:rPr>
        <w:t>2019</w:t>
      </w:r>
      <w:r>
        <w:rPr/>
        <w:t>年度财务报告编制过程中，主要履行了以下工作职责：</w:t>
      </w:r>
      <w:r>
        <w:rPr>
          <w:rFonts w:ascii="宋体" w:hAnsi="宋体" w:cs="宋体" w:eastAsia="宋体" w:hint="default"/>
        </w:rPr>
        <w:t> </w:t>
      </w:r>
    </w:p>
    <w:p>
      <w:pPr>
        <w:spacing w:line="240" w:lineRule="auto" w:before="7"/>
        <w:rPr>
          <w:rFonts w:ascii="宋体" w:hAnsi="宋体" w:cs="宋体" w:eastAsia="宋体" w:hint="default"/>
          <w:sz w:val="15"/>
          <w:szCs w:val="15"/>
        </w:rPr>
      </w:pPr>
    </w:p>
    <w:p>
      <w:pPr>
        <w:pStyle w:val="BodyText"/>
        <w:spacing w:line="448" w:lineRule="auto"/>
        <w:ind w:left="513" w:right="0"/>
        <w:jc w:val="left"/>
      </w:pPr>
      <w:r>
        <w:rPr/>
        <w:t>①与负责公司的年审注册会计师协商确定了</w:t>
      </w:r>
      <w:r>
        <w:rPr>
          <w:rFonts w:ascii="宋体" w:hAnsi="宋体" w:cs="宋体" w:eastAsia="宋体" w:hint="default"/>
        </w:rPr>
        <w:t>2019</w:t>
      </w:r>
      <w:r>
        <w:rPr/>
        <w:t>年度财务报告审计工作的时间安排；</w:t>
      </w:r>
      <w:r>
        <w:rPr>
          <w:rFonts w:ascii="宋体" w:hAnsi="宋体" w:cs="宋体" w:eastAsia="宋体" w:hint="default"/>
        </w:rPr>
        <w:t> </w:t>
      </w:r>
      <w:r>
        <w:rPr>
          <w:spacing w:val="-2"/>
        </w:rPr>
        <w:t>会计师进场前，审计委员会按照相关规定开展年报审计相关工作，提前对年审计划进行全面部署，与年审注册会计师沟</w:t>
      </w:r>
    </w:p>
    <w:p>
      <w:pPr>
        <w:pStyle w:val="BodyText"/>
        <w:spacing w:line="240" w:lineRule="auto" w:before="6"/>
        <w:ind w:right="0"/>
        <w:jc w:val="both"/>
        <w:rPr>
          <w:rFonts w:ascii="宋体" w:hAnsi="宋体" w:cs="宋体" w:eastAsia="宋体" w:hint="default"/>
        </w:rPr>
      </w:pPr>
      <w:r>
        <w:rPr/>
        <w:t>通确定了公司</w:t>
      </w:r>
      <w:r>
        <w:rPr>
          <w:rFonts w:ascii="宋体" w:hAnsi="宋体" w:cs="宋体" w:eastAsia="宋体" w:hint="default"/>
        </w:rPr>
        <w:t>2019</w:t>
      </w:r>
      <w:r>
        <w:rPr/>
        <w:t>年度审计工作的时间安排等事宜。</w:t>
      </w:r>
      <w:r>
        <w:rPr>
          <w:rFonts w:ascii="宋体" w:hAnsi="宋体" w:cs="宋体" w:eastAsia="宋体" w:hint="default"/>
        </w:rPr>
        <w:t> </w:t>
      </w:r>
    </w:p>
    <w:p>
      <w:pPr>
        <w:spacing w:line="240" w:lineRule="auto" w:before="10"/>
        <w:rPr>
          <w:rFonts w:ascii="宋体" w:hAnsi="宋体" w:cs="宋体" w:eastAsia="宋体" w:hint="default"/>
          <w:sz w:val="15"/>
          <w:szCs w:val="15"/>
        </w:rPr>
      </w:pPr>
    </w:p>
    <w:p>
      <w:pPr>
        <w:pStyle w:val="BodyText"/>
        <w:spacing w:line="446" w:lineRule="auto"/>
        <w:ind w:left="513" w:right="0"/>
        <w:jc w:val="left"/>
      </w:pPr>
      <w:r>
        <w:rPr/>
        <w:t>②在年审注册会计师进场前，认真审阅了公司初步编制的</w:t>
      </w:r>
      <w:r>
        <w:rPr>
          <w:rFonts w:ascii="宋体" w:hAnsi="宋体" w:cs="宋体" w:eastAsia="宋体" w:hint="default"/>
        </w:rPr>
        <w:t>2019</w:t>
      </w:r>
      <w:r>
        <w:rPr/>
        <w:t>年度财务会计报表，并形成书面审阅意见；</w:t>
      </w:r>
      <w:r>
        <w:rPr>
          <w:rFonts w:ascii="宋体" w:hAnsi="宋体" w:cs="宋体" w:eastAsia="宋体" w:hint="default"/>
        </w:rPr>
        <w:t> </w:t>
      </w:r>
      <w:r>
        <w:rPr>
          <w:spacing w:val="-2"/>
        </w:rPr>
        <w:t>在年审注册会计师进场前，审计委员会初步审阅了公司财务部编制的</w:t>
      </w:r>
      <w:r>
        <w:rPr>
          <w:rFonts w:ascii="宋体" w:hAnsi="宋体" w:cs="宋体" w:eastAsia="宋体" w:hint="default"/>
          <w:spacing w:val="-2"/>
        </w:rPr>
        <w:t>2019</w:t>
      </w:r>
      <w:r>
        <w:rPr>
          <w:spacing w:val="-2"/>
        </w:rPr>
        <w:t>年度财务报告（初稿），对公司编制的未经审</w:t>
      </w:r>
    </w:p>
    <w:p>
      <w:pPr>
        <w:pStyle w:val="BodyText"/>
        <w:spacing w:line="408" w:lineRule="auto" w:before="10"/>
        <w:ind w:right="1130"/>
        <w:jc w:val="both"/>
        <w:rPr>
          <w:rFonts w:ascii="宋体" w:hAnsi="宋体" w:cs="宋体" w:eastAsia="宋体" w:hint="default"/>
        </w:rPr>
      </w:pPr>
      <w:r>
        <w:rPr>
          <w:spacing w:val="-2"/>
        </w:rPr>
        <w:t>计的财务会计报表了发表首次书面意见。审计委员会认为，公司编制的</w:t>
      </w:r>
      <w:r>
        <w:rPr>
          <w:rFonts w:ascii="宋体" w:hAnsi="宋体" w:cs="宋体" w:eastAsia="宋体" w:hint="default"/>
          <w:spacing w:val="-2"/>
        </w:rPr>
        <w:t>2019</w:t>
      </w:r>
      <w:r>
        <w:rPr>
          <w:spacing w:val="-2"/>
        </w:rPr>
        <w:t>年度财务报告（初稿）有关数据基本反映了公司</w:t>
      </w:r>
      <w:r>
        <w:rPr>
          <w:spacing w:val="-63"/>
        </w:rPr>
        <w:t> </w:t>
      </w:r>
      <w:r>
        <w:rPr>
          <w:spacing w:val="-63"/>
        </w:rPr>
      </w:r>
      <w:r>
        <w:rPr>
          <w:rFonts w:ascii="宋体" w:hAnsi="宋体" w:cs="宋体" w:eastAsia="宋体" w:hint="default"/>
          <w:spacing w:val="-2"/>
        </w:rPr>
        <w:t>2019</w:t>
      </w:r>
      <w:r>
        <w:rPr>
          <w:spacing w:val="-2"/>
        </w:rPr>
        <w:t>年度的资产负债情况和经营业绩，财务会计报表信息客观、全面、真实，同意以此财务会计报表为基础开展</w:t>
      </w:r>
      <w:r>
        <w:rPr>
          <w:rFonts w:ascii="宋体" w:hAnsi="宋体" w:cs="宋体" w:eastAsia="宋体" w:hint="default"/>
          <w:spacing w:val="-2"/>
        </w:rPr>
        <w:t>2019</w:t>
      </w:r>
      <w:r>
        <w:rPr>
          <w:spacing w:val="-2"/>
        </w:rPr>
        <w:t>年度的</w:t>
      </w:r>
      <w:r>
        <w:rPr>
          <w:spacing w:val="-61"/>
        </w:rPr>
        <w:t> </w:t>
      </w:r>
      <w:r>
        <w:rPr>
          <w:spacing w:val="-61"/>
        </w:rPr>
      </w:r>
      <w:r>
        <w:rPr/>
        <w:t>财务审计工作。</w:t>
      </w:r>
      <w:r>
        <w:rPr>
          <w:rFonts w:ascii="宋体" w:hAnsi="宋体" w:cs="宋体" w:eastAsia="宋体" w:hint="default"/>
        </w:rPr>
        <w:t> </w:t>
      </w:r>
    </w:p>
    <w:p>
      <w:pPr>
        <w:pStyle w:val="BodyText"/>
        <w:spacing w:line="408" w:lineRule="auto" w:before="78"/>
        <w:ind w:right="1132" w:firstLine="360"/>
        <w:jc w:val="both"/>
        <w:rPr>
          <w:rFonts w:ascii="宋体" w:hAnsi="宋体" w:cs="宋体" w:eastAsia="宋体" w:hint="default"/>
        </w:rPr>
      </w:pPr>
      <w:r>
        <w:rPr>
          <w:spacing w:val="-2"/>
        </w:rPr>
        <w:t>③年审注册会计师进场后，加强与年审注册会计师的沟通，在年审注册会计师出具初步审计意见后再一次审阅公司财务</w:t>
      </w:r>
      <w:r>
        <w:rPr/>
        <w:t> 报表，并形成书面意见；</w:t>
      </w:r>
      <w:r>
        <w:rPr>
          <w:rFonts w:ascii="宋体" w:hAnsi="宋体" w:cs="宋体" w:eastAsia="宋体" w:hint="default"/>
        </w:rPr>
        <w:t> </w:t>
      </w:r>
    </w:p>
    <w:p>
      <w:pPr>
        <w:pStyle w:val="BodyText"/>
        <w:spacing w:line="408" w:lineRule="auto" w:before="77"/>
        <w:ind w:right="1125" w:firstLine="360"/>
        <w:jc w:val="both"/>
        <w:rPr>
          <w:rFonts w:ascii="宋体" w:hAnsi="宋体" w:cs="宋体" w:eastAsia="宋体" w:hint="default"/>
        </w:rPr>
      </w:pPr>
      <w:r>
        <w:rPr/>
        <w:t>在年审注册会计师完成现场审计，并出具初步审计意见后，审计委员会再次审阅了财务会计报告并发表第二次书面意</w:t>
      </w:r>
      <w:r>
        <w:rPr>
          <w:spacing w:val="2"/>
        </w:rPr>
        <w:t> </w:t>
      </w:r>
      <w:r>
        <w:rPr>
          <w:spacing w:val="-2"/>
        </w:rPr>
        <w:t>见。审计委员会认为，初步审计的</w:t>
      </w:r>
      <w:r>
        <w:rPr>
          <w:rFonts w:ascii="宋体" w:hAnsi="宋体" w:cs="宋体" w:eastAsia="宋体" w:hint="default"/>
          <w:spacing w:val="-2"/>
        </w:rPr>
        <w:t>2019</w:t>
      </w:r>
      <w:r>
        <w:rPr>
          <w:spacing w:val="-2"/>
        </w:rPr>
        <w:t>年度财务报告已经按照新企业会计准则及公司有关财务制度进行编制，财务报告的编</w:t>
      </w:r>
      <w:r>
        <w:rPr>
          <w:spacing w:val="-64"/>
        </w:rPr>
        <w:t> </w:t>
      </w:r>
      <w:r>
        <w:rPr>
          <w:spacing w:val="-64"/>
        </w:rPr>
      </w:r>
      <w:r>
        <w:rPr>
          <w:spacing w:val="-2"/>
        </w:rPr>
        <w:t>制基础、依据、原则和方法符合相关法律、法规和《公司章程》，所包含的信息在重大方面公允地反映了公司截至</w:t>
      </w:r>
      <w:r>
        <w:rPr>
          <w:rFonts w:ascii="宋体" w:hAnsi="宋体" w:cs="宋体" w:eastAsia="宋体" w:hint="default"/>
          <w:spacing w:val="-2"/>
        </w:rPr>
        <w:t>2019</w:t>
      </w:r>
      <w:r>
        <w:rPr>
          <w:spacing w:val="-2"/>
        </w:rPr>
        <w:t>年</w:t>
      </w:r>
      <w:r>
        <w:rPr>
          <w:rFonts w:ascii="宋体" w:hAnsi="宋体" w:cs="宋体" w:eastAsia="宋体" w:hint="default"/>
          <w:spacing w:val="-2"/>
        </w:rPr>
        <w:t>12</w:t>
      </w:r>
      <w:r>
        <w:rPr>
          <w:rFonts w:ascii="宋体" w:hAnsi="宋体" w:cs="宋体" w:eastAsia="宋体" w:hint="default"/>
          <w:spacing w:val="-59"/>
        </w:rPr>
        <w:t> </w:t>
      </w:r>
      <w:r>
        <w:rPr>
          <w:spacing w:val="-2"/>
        </w:rPr>
        <w:t>月</w:t>
      </w:r>
      <w:r>
        <w:rPr>
          <w:rFonts w:ascii="宋体" w:hAnsi="宋体" w:cs="宋体" w:eastAsia="宋体" w:hint="default"/>
          <w:spacing w:val="-2"/>
        </w:rPr>
        <w:t>31</w:t>
      </w:r>
      <w:r>
        <w:rPr>
          <w:spacing w:val="-2"/>
        </w:rPr>
        <w:t>日的财务状况以和经营成果及现金流量，并同意以此数据为基础编制</w:t>
      </w:r>
      <w:r>
        <w:rPr>
          <w:rFonts w:ascii="宋体" w:hAnsi="宋体" w:cs="宋体" w:eastAsia="宋体" w:hint="default"/>
          <w:spacing w:val="-2"/>
        </w:rPr>
        <w:t>2019</w:t>
      </w:r>
      <w:r>
        <w:rPr>
          <w:spacing w:val="-2"/>
        </w:rPr>
        <w:t>年年度报告及摘要，并提交公司董事会进行审</w:t>
      </w:r>
      <w:r>
        <w:rPr>
          <w:spacing w:val="-61"/>
        </w:rPr>
        <w:t> </w:t>
      </w:r>
      <w:r>
        <w:rPr>
          <w:spacing w:val="-61"/>
        </w:rPr>
      </w:r>
      <w:r>
        <w:rPr/>
        <w:t>议。同时，要求会计师事务所按照计划尽快完成审计工作，以保证公司如期披露</w:t>
      </w:r>
      <w:r>
        <w:rPr>
          <w:rFonts w:ascii="宋体" w:hAnsi="宋体" w:cs="宋体" w:eastAsia="宋体" w:hint="default"/>
        </w:rPr>
        <w:t>2019</w:t>
      </w:r>
      <w:r>
        <w:rPr/>
        <w:t>年年度报告及摘要。</w:t>
      </w:r>
      <w:r>
        <w:rPr>
          <w:rFonts w:ascii="宋体" w:hAnsi="宋体" w:cs="宋体" w:eastAsia="宋体" w:hint="default"/>
        </w:rPr>
        <w:t> </w:t>
      </w:r>
    </w:p>
    <w:p>
      <w:pPr>
        <w:pStyle w:val="BodyText"/>
        <w:spacing w:line="451" w:lineRule="auto" w:before="77"/>
        <w:ind w:left="513" w:right="0"/>
        <w:jc w:val="left"/>
      </w:pPr>
      <w:r>
        <w:rPr/>
        <w:t>④在审计过程中注重与年审注册会计师的沟通，积极督促会计师事务所在约定时限内提交审计报告；</w:t>
      </w:r>
      <w:r>
        <w:rPr>
          <w:rFonts w:ascii="宋体" w:hAnsi="宋体" w:cs="宋体" w:eastAsia="宋体" w:hint="default"/>
        </w:rPr>
        <w:t> </w:t>
      </w:r>
      <w:r>
        <w:rPr>
          <w:spacing w:val="-2"/>
        </w:rPr>
        <w:t>在审计团队进场以后，审计委员会始终保持与财务部门负责人、内控内审部负责人、主要项目负责人员的沟通，密切关</w:t>
      </w:r>
    </w:p>
    <w:p>
      <w:pPr>
        <w:pStyle w:val="BodyText"/>
        <w:spacing w:line="408" w:lineRule="auto" w:before="4"/>
        <w:ind w:right="1131"/>
        <w:jc w:val="both"/>
        <w:rPr>
          <w:rFonts w:ascii="宋体" w:hAnsi="宋体" w:cs="宋体" w:eastAsia="宋体" w:hint="default"/>
        </w:rPr>
      </w:pPr>
      <w:r>
        <w:rPr>
          <w:spacing w:val="-2"/>
        </w:rPr>
        <w:t>注审计工作进展情况。在审计过程中，审计委员会分别于</w:t>
      </w:r>
      <w:r>
        <w:rPr>
          <w:rFonts w:ascii="宋体" w:hAnsi="宋体" w:cs="宋体" w:eastAsia="宋体" w:hint="default"/>
          <w:spacing w:val="-2"/>
        </w:rPr>
        <w:t>2020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12</w:t>
      </w:r>
      <w:r>
        <w:rPr>
          <w:spacing w:val="-2"/>
        </w:rPr>
        <w:t>日、</w:t>
      </w:r>
      <w:r>
        <w:rPr>
          <w:rFonts w:ascii="宋体" w:hAnsi="宋体" w:cs="宋体" w:eastAsia="宋体" w:hint="default"/>
          <w:spacing w:val="-2"/>
        </w:rPr>
        <w:t>2020</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20</w:t>
      </w:r>
      <w:r>
        <w:rPr>
          <w:spacing w:val="-2"/>
        </w:rPr>
        <w:t>日先后二次发出《督促函》，要求会</w:t>
      </w:r>
      <w:r>
        <w:rPr>
          <w:spacing w:val="-59"/>
        </w:rPr>
        <w:t> </w:t>
      </w:r>
      <w:r>
        <w:rPr>
          <w:spacing w:val="-59"/>
        </w:rPr>
      </w:r>
      <w:r>
        <w:rPr/>
        <w:t>计师事务所按照审计时间完成审计工作，确保公司</w:t>
      </w:r>
      <w:r>
        <w:rPr>
          <w:rFonts w:ascii="宋体" w:hAnsi="宋体" w:cs="宋体" w:eastAsia="宋体" w:hint="default"/>
        </w:rPr>
        <w:t>2019</w:t>
      </w:r>
      <w:r>
        <w:rPr/>
        <w:t>年度报告及相关文件按时披露。</w:t>
      </w:r>
      <w:r>
        <w:rPr>
          <w:rFonts w:ascii="宋体" w:hAnsi="宋体" w:cs="宋体" w:eastAsia="宋体" w:hint="default"/>
        </w:rPr>
        <w:t> </w:t>
      </w:r>
    </w:p>
    <w:p>
      <w:pPr>
        <w:pStyle w:val="BodyText"/>
        <w:spacing w:line="408" w:lineRule="auto" w:before="77"/>
        <w:ind w:right="1131" w:firstLine="360"/>
        <w:jc w:val="both"/>
        <w:rPr>
          <w:rFonts w:ascii="宋体" w:hAnsi="宋体" w:cs="宋体" w:eastAsia="宋体" w:hint="default"/>
        </w:rPr>
      </w:pPr>
      <w:r>
        <w:rPr>
          <w:spacing w:val="-2"/>
        </w:rPr>
        <w:t>⑤年审注册会计师出具审计报告后，审计委员会召开会议对公司</w:t>
      </w:r>
      <w:r>
        <w:rPr>
          <w:rFonts w:ascii="宋体" w:hAnsi="宋体" w:cs="宋体" w:eastAsia="宋体" w:hint="default"/>
          <w:spacing w:val="-2"/>
        </w:rPr>
        <w:t>2019</w:t>
      </w:r>
      <w:r>
        <w:rPr>
          <w:spacing w:val="-2"/>
        </w:rPr>
        <w:t>年度财务报告、董事会审计委员会履职情况报告暨</w:t>
      </w:r>
      <w:r>
        <w:rPr/>
        <w:t> </w:t>
      </w:r>
      <w:r>
        <w:rPr>
          <w:spacing w:val="-2"/>
        </w:rPr>
        <w:t>关于会计师事务所</w:t>
      </w:r>
      <w:r>
        <w:rPr>
          <w:rFonts w:ascii="宋体" w:hAnsi="宋体" w:cs="宋体" w:eastAsia="宋体" w:hint="default"/>
          <w:spacing w:val="-2"/>
        </w:rPr>
        <w:t>2019</w:t>
      </w:r>
      <w:r>
        <w:rPr>
          <w:spacing w:val="-2"/>
        </w:rPr>
        <w:t>年度审计工作的总结报告、</w:t>
      </w:r>
      <w:r>
        <w:rPr>
          <w:rFonts w:ascii="宋体" w:hAnsi="宋体" w:cs="宋体" w:eastAsia="宋体" w:hint="default"/>
          <w:spacing w:val="-2"/>
        </w:rPr>
        <w:t>2019</w:t>
      </w:r>
      <w:r>
        <w:rPr>
          <w:spacing w:val="-2"/>
        </w:rPr>
        <w:t>年度内部控制自我评价报告、聘请公司</w:t>
      </w:r>
      <w:r>
        <w:rPr>
          <w:rFonts w:ascii="宋体" w:hAnsi="宋体" w:cs="宋体" w:eastAsia="宋体" w:hint="default"/>
          <w:spacing w:val="-2"/>
        </w:rPr>
        <w:t>2020</w:t>
      </w:r>
      <w:r>
        <w:rPr>
          <w:spacing w:val="-2"/>
        </w:rPr>
        <w:t>年度审计机构等事项进行</w:t>
      </w:r>
      <w:r>
        <w:rPr>
          <w:spacing w:val="-58"/>
        </w:rPr>
        <w:t> </w:t>
      </w:r>
      <w:r>
        <w:rPr>
          <w:spacing w:val="-58"/>
        </w:rPr>
      </w:r>
      <w:r>
        <w:rPr/>
        <w:t>了审议，形成决议后提交董事会进行审核。</w:t>
      </w:r>
      <w:r>
        <w:rPr>
          <w:rFonts w:ascii="宋体" w:hAnsi="宋体" w:cs="宋体" w:eastAsia="宋体" w:hint="default"/>
        </w:rPr>
        <w:t> </w:t>
      </w:r>
    </w:p>
    <w:p>
      <w:pPr>
        <w:pStyle w:val="BodyText"/>
        <w:spacing w:line="446" w:lineRule="auto" w:before="77"/>
        <w:ind w:left="513" w:right="0"/>
        <w:jc w:val="left"/>
      </w:pPr>
      <w:r>
        <w:rPr>
          <w:rFonts w:ascii="宋体" w:hAnsi="宋体" w:cs="宋体" w:eastAsia="宋体" w:hint="default"/>
        </w:rPr>
        <w:t>3</w:t>
      </w:r>
      <w:r>
        <w:rPr/>
        <w:t>、审计委员会关于年审注册会计师从事</w:t>
      </w:r>
      <w:r>
        <w:rPr>
          <w:rFonts w:ascii="宋体" w:hAnsi="宋体" w:cs="宋体" w:eastAsia="宋体" w:hint="default"/>
        </w:rPr>
        <w:t>2019</w:t>
      </w:r>
      <w:r>
        <w:rPr/>
        <w:t>年度审计工作的总结报告</w:t>
      </w:r>
      <w:r>
        <w:rPr>
          <w:rFonts w:ascii="宋体" w:hAnsi="宋体" w:cs="宋体" w:eastAsia="宋体" w:hint="default"/>
        </w:rPr>
        <w:t> </w:t>
      </w:r>
      <w:r>
        <w:rPr/>
        <w:t>审计委员会对</w:t>
      </w:r>
      <w:r>
        <w:rPr>
          <w:rFonts w:ascii="宋体" w:hAnsi="宋体" w:cs="宋体" w:eastAsia="宋体" w:hint="default"/>
        </w:rPr>
        <w:t>2019</w:t>
      </w:r>
      <w:r>
        <w:rPr/>
        <w:t>年度会计师事务所的审计工作进行了总结报告，认为年审注册会计师已按照中国注册会计师审计准</w:t>
      </w:r>
    </w:p>
    <w:p>
      <w:pPr>
        <w:pStyle w:val="BodyText"/>
        <w:spacing w:line="408" w:lineRule="auto" w:before="10"/>
        <w:ind w:right="1131"/>
        <w:jc w:val="both"/>
        <w:rPr>
          <w:rFonts w:ascii="宋体" w:hAnsi="宋体" w:cs="宋体" w:eastAsia="宋体" w:hint="default"/>
        </w:rPr>
      </w:pPr>
      <w:r>
        <w:rPr>
          <w:spacing w:val="-2"/>
        </w:rPr>
        <w:t>则的规定执行了审计工作，审计时间充分，审计人员配置合理、执业能力胜任，出具的审计报告从重大方面公允地反映了公</w:t>
      </w:r>
      <w:r>
        <w:rPr>
          <w:spacing w:val="-64"/>
        </w:rPr>
        <w:t> </w:t>
      </w:r>
      <w:r>
        <w:rPr>
          <w:spacing w:val="-64"/>
        </w:rPr>
      </w:r>
      <w:r>
        <w:rPr/>
        <w:t>司</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日的财务状况以及</w:t>
      </w:r>
      <w:r>
        <w:rPr>
          <w:rFonts w:ascii="宋体" w:hAnsi="宋体" w:cs="宋体" w:eastAsia="宋体" w:hint="default"/>
        </w:rPr>
        <w:t>2019</w:t>
      </w:r>
      <w:r>
        <w:rPr/>
        <w:t>年度的经营成果和现金流量，出具的审计结论符合公司的实际情况。</w:t>
      </w:r>
      <w:r>
        <w:rPr>
          <w:rFonts w:ascii="宋体" w:hAnsi="宋体" w:cs="宋体" w:eastAsia="宋体" w:hint="default"/>
        </w:rPr>
        <w:t> </w:t>
      </w:r>
    </w:p>
    <w:p>
      <w:pPr>
        <w:pStyle w:val="BodyText"/>
        <w:spacing w:line="448" w:lineRule="auto" w:before="77"/>
        <w:ind w:left="513" w:right="1125" w:hanging="92"/>
        <w:jc w:val="left"/>
      </w:pPr>
      <w:r>
        <w:rPr>
          <w:rFonts w:ascii="宋体" w:hAnsi="宋体" w:cs="宋体" w:eastAsia="宋体" w:hint="default"/>
          <w:b/>
          <w:bCs/>
        </w:rPr>
        <w:t>（二）独立董事在薪酬与考核委员会履职情况</w:t>
      </w:r>
      <w:r>
        <w:rPr>
          <w:rFonts w:ascii="宋体" w:hAnsi="宋体" w:cs="宋体" w:eastAsia="宋体" w:hint="default"/>
          <w:b/>
          <w:bCs/>
          <w:w w:val="99"/>
        </w:rPr>
        <w:t> </w:t>
      </w:r>
      <w:r>
        <w:rPr/>
        <w:t>报告期内，公司薪酬与考核委员会共召开了二次会议，主要工作情况如下：</w:t>
      </w:r>
      <w:r>
        <w:rPr>
          <w:rFonts w:ascii="宋体" w:hAnsi="宋体" w:cs="宋体" w:eastAsia="宋体" w:hint="default"/>
        </w:rPr>
        <w:t> </w:t>
      </w:r>
      <w:r>
        <w:rPr>
          <w:rFonts w:ascii="宋体" w:hAnsi="宋体" w:cs="宋体" w:eastAsia="宋体" w:hint="default"/>
          <w:spacing w:val="-2"/>
        </w:rPr>
        <w:t>1</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23</w:t>
      </w:r>
      <w:r>
        <w:rPr>
          <w:spacing w:val="-2"/>
        </w:rPr>
        <w:t>日，薪酬与考核委员会召开</w:t>
      </w:r>
      <w:r>
        <w:rPr>
          <w:rFonts w:ascii="宋体" w:hAnsi="宋体" w:cs="宋体" w:eastAsia="宋体" w:hint="default"/>
          <w:spacing w:val="-2"/>
        </w:rPr>
        <w:t>2019</w:t>
      </w:r>
      <w:r>
        <w:rPr>
          <w:spacing w:val="-2"/>
        </w:rPr>
        <w:t>年第一次会议，审议通过了《关于公司董事、监事及高管人员</w:t>
      </w:r>
      <w:r>
        <w:rPr>
          <w:rFonts w:ascii="宋体" w:hAnsi="宋体" w:cs="宋体" w:eastAsia="宋体" w:hint="default"/>
          <w:spacing w:val="-2"/>
        </w:rPr>
        <w:t>2018</w:t>
      </w:r>
      <w:r>
        <w:rPr>
          <w:spacing w:val="-2"/>
        </w:rPr>
        <w:t>年度</w:t>
      </w:r>
    </w:p>
    <w:p>
      <w:pPr>
        <w:pStyle w:val="BodyText"/>
        <w:spacing w:line="408" w:lineRule="auto" w:before="6"/>
        <w:ind w:right="1131"/>
        <w:jc w:val="both"/>
        <w:rPr>
          <w:rFonts w:ascii="宋体" w:hAnsi="宋体" w:cs="宋体" w:eastAsia="宋体" w:hint="default"/>
        </w:rPr>
      </w:pPr>
      <w:r>
        <w:rPr>
          <w:spacing w:val="-2"/>
        </w:rPr>
        <w:t>薪酬考核及</w:t>
      </w:r>
      <w:r>
        <w:rPr>
          <w:rFonts w:ascii="宋体" w:hAnsi="宋体" w:cs="宋体" w:eastAsia="宋体" w:hint="default"/>
          <w:spacing w:val="-2"/>
        </w:rPr>
        <w:t>2019</w:t>
      </w:r>
      <w:r>
        <w:rPr>
          <w:spacing w:val="-2"/>
        </w:rPr>
        <w:t>年度薪酬情况的议案》，对董事、监事及高管人员</w:t>
      </w:r>
      <w:r>
        <w:rPr>
          <w:rFonts w:ascii="宋体" w:hAnsi="宋体" w:cs="宋体" w:eastAsia="宋体" w:hint="default"/>
          <w:spacing w:val="-2"/>
        </w:rPr>
        <w:t>2018</w:t>
      </w:r>
      <w:r>
        <w:rPr>
          <w:spacing w:val="-2"/>
        </w:rPr>
        <w:t>年度薪酬考核及</w:t>
      </w:r>
      <w:r>
        <w:rPr>
          <w:rFonts w:ascii="宋体" w:hAnsi="宋体" w:cs="宋体" w:eastAsia="宋体" w:hint="default"/>
          <w:spacing w:val="-2"/>
        </w:rPr>
        <w:t>2019</w:t>
      </w:r>
      <w:r>
        <w:rPr>
          <w:spacing w:val="-2"/>
        </w:rPr>
        <w:t>年度薪酬情况进行了审核，并发</w:t>
      </w:r>
      <w:r>
        <w:rPr>
          <w:spacing w:val="-59"/>
        </w:rPr>
        <w:t> </w:t>
      </w:r>
      <w:r>
        <w:rPr>
          <w:spacing w:val="-59"/>
        </w:rPr>
      </w:r>
      <w:r>
        <w:rPr/>
        <w:t>表了如下审核意见：</w:t>
      </w:r>
      <w:r>
        <w:rPr>
          <w:rFonts w:ascii="宋体" w:hAnsi="宋体" w:cs="宋体" w:eastAsia="宋体" w:hint="default"/>
        </w:rPr>
        <w:t> </w:t>
      </w:r>
    </w:p>
    <w:p>
      <w:pPr>
        <w:pStyle w:val="BodyText"/>
        <w:spacing w:line="240" w:lineRule="auto" w:before="77"/>
        <w:ind w:left="422" w:right="0"/>
        <w:jc w:val="left"/>
      </w:pPr>
      <w:r>
        <w:rPr/>
        <w:t>（</w:t>
      </w:r>
      <w:r>
        <w:rPr>
          <w:rFonts w:ascii="宋体" w:hAnsi="宋体" w:cs="宋体" w:eastAsia="宋体" w:hint="default"/>
        </w:rPr>
        <w:t>1</w:t>
      </w:r>
      <w:r>
        <w:rPr/>
        <w:t>）公司董事、监事、高级管理人员</w:t>
      </w:r>
      <w:r>
        <w:rPr>
          <w:rFonts w:ascii="宋体" w:hAnsi="宋体" w:cs="宋体" w:eastAsia="宋体" w:hint="default"/>
        </w:rPr>
        <w:t>2018</w:t>
      </w:r>
      <w:r>
        <w:rPr/>
        <w:t>年度津贴（薪酬）的水平、考核及发放情况符合公司薪酬管理制度，薪酬的决</w:t>
      </w:r>
    </w:p>
    <w:p>
      <w:pPr>
        <w:spacing w:after="0" w:line="240" w:lineRule="auto"/>
        <w:jc w:val="left"/>
        <w:sectPr>
          <w:pgSz w:w="11910" w:h="16840"/>
          <w:pgMar w:header="916" w:footer="1261" w:top="1120" w:bottom="1460" w:left="980" w:right="0"/>
        </w:sectPr>
      </w:pPr>
    </w:p>
    <w:p>
      <w:pPr>
        <w:spacing w:line="240" w:lineRule="auto" w:before="6"/>
        <w:rPr>
          <w:rFonts w:ascii="宋体" w:hAnsi="宋体" w:cs="宋体" w:eastAsia="宋体" w:hint="default"/>
          <w:sz w:val="28"/>
          <w:szCs w:val="28"/>
        </w:rPr>
      </w:pPr>
    </w:p>
    <w:p>
      <w:pPr>
        <w:pStyle w:val="BodyText"/>
        <w:spacing w:line="408" w:lineRule="auto" w:before="44"/>
        <w:ind w:right="0"/>
        <w:jc w:val="left"/>
        <w:rPr>
          <w:rFonts w:ascii="宋体" w:hAnsi="宋体" w:cs="宋体" w:eastAsia="宋体" w:hint="default"/>
        </w:rPr>
      </w:pPr>
      <w:r>
        <w:rPr>
          <w:spacing w:val="-2"/>
        </w:rPr>
        <w:t>策程序符合相关法律、法规等有关规定。公司能严格按照公司董事、监事及高级管理人员薪酬和有关考核制度执行，经营业</w:t>
      </w:r>
      <w:r>
        <w:rPr>
          <w:spacing w:val="-63"/>
        </w:rPr>
        <w:t> </w:t>
      </w:r>
      <w:r>
        <w:rPr>
          <w:spacing w:val="-63"/>
        </w:rPr>
      </w:r>
      <w:r>
        <w:rPr/>
        <w:t>绩考核和薪酬发放的程序符合有关法律法规和《公司章程》的规定。</w:t>
      </w:r>
      <w:r>
        <w:rPr>
          <w:rFonts w:ascii="宋体" w:hAnsi="宋体" w:cs="宋体" w:eastAsia="宋体" w:hint="default"/>
        </w:rPr>
        <w:t> </w:t>
      </w:r>
    </w:p>
    <w:p>
      <w:pPr>
        <w:pStyle w:val="BodyText"/>
        <w:spacing w:line="408" w:lineRule="auto" w:before="77"/>
        <w:ind w:right="1033" w:firstLine="268"/>
        <w:jc w:val="left"/>
        <w:rPr>
          <w:rFonts w:ascii="宋体" w:hAnsi="宋体" w:cs="宋体" w:eastAsia="宋体" w:hint="default"/>
        </w:rPr>
      </w:pPr>
      <w:r>
        <w:rPr>
          <w:spacing w:val="-2"/>
        </w:rPr>
        <w:t>（</w:t>
      </w:r>
      <w:r>
        <w:rPr>
          <w:rFonts w:ascii="宋体" w:hAnsi="宋体" w:cs="宋体" w:eastAsia="宋体" w:hint="default"/>
          <w:spacing w:val="-2"/>
        </w:rPr>
        <w:t>2</w:t>
      </w:r>
      <w:r>
        <w:rPr>
          <w:spacing w:val="-2"/>
        </w:rPr>
        <w:t>）公司董事、监事、高级管理人员</w:t>
      </w:r>
      <w:r>
        <w:rPr>
          <w:rFonts w:ascii="宋体" w:hAnsi="宋体" w:cs="宋体" w:eastAsia="宋体" w:hint="default"/>
          <w:spacing w:val="-2"/>
        </w:rPr>
        <w:t>2019</w:t>
      </w:r>
      <w:r>
        <w:rPr>
          <w:spacing w:val="-2"/>
        </w:rPr>
        <w:t>年度津贴（薪酬）方案是结合公司的实际经营情况制定的，能建立激励与约束</w:t>
      </w:r>
      <w:r>
        <w:rPr/>
        <w:t> 相结合、风险与收益相对称的激励机制，有利于调动公司董事、监事、高级管理人员的工作积极性，强化其勤勉尽责意识，</w:t>
      </w:r>
      <w:r>
        <w:rPr>
          <w:spacing w:val="-83"/>
        </w:rPr>
        <w:t> </w:t>
      </w:r>
      <w:r>
        <w:rPr>
          <w:spacing w:val="-83"/>
        </w:rPr>
      </w:r>
      <w:r>
        <w:rPr/>
        <w:t>有利于公司的长远发展。</w:t>
      </w:r>
      <w:r>
        <w:rPr>
          <w:rFonts w:ascii="宋体" w:hAnsi="宋体" w:cs="宋体" w:eastAsia="宋体" w:hint="default"/>
        </w:rPr>
        <w:t> </w:t>
      </w:r>
    </w:p>
    <w:p>
      <w:pPr>
        <w:pStyle w:val="BodyText"/>
        <w:spacing w:line="446" w:lineRule="auto" w:before="80"/>
        <w:ind w:left="513" w:right="1123" w:hanging="92"/>
        <w:jc w:val="left"/>
      </w:pPr>
      <w:r>
        <w:rPr/>
        <w:t>（</w:t>
      </w:r>
      <w:r>
        <w:rPr>
          <w:rFonts w:ascii="宋体" w:hAnsi="宋体" w:cs="宋体" w:eastAsia="宋体" w:hint="default"/>
        </w:rPr>
        <w:t>3</w:t>
      </w:r>
      <w:r>
        <w:rPr/>
        <w:t>）公司没有实施股权激励。</w:t>
      </w:r>
      <w:r>
        <w:rPr>
          <w:rFonts w:ascii="宋体" w:hAnsi="宋体" w:cs="宋体" w:eastAsia="宋体" w:hint="default"/>
        </w:rPr>
        <w:t> 2</w:t>
      </w:r>
      <w:r>
        <w:rPr/>
        <w:t>、</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11</w:t>
      </w:r>
      <w:r>
        <w:rPr/>
        <w:t>日，董事会薪酬与考核委员召开</w:t>
      </w:r>
      <w:r>
        <w:rPr>
          <w:rFonts w:ascii="宋体" w:hAnsi="宋体" w:cs="宋体" w:eastAsia="宋体" w:hint="default"/>
        </w:rPr>
        <w:t>2019</w:t>
      </w:r>
      <w:r>
        <w:rPr/>
        <w:t>年第二次会议，审议通过了《关于公司</w:t>
      </w:r>
      <w:r>
        <w:rPr>
          <w:rFonts w:ascii="宋体" w:hAnsi="宋体" w:cs="宋体" w:eastAsia="宋体" w:hint="default"/>
        </w:rPr>
        <w:t>&lt;2019</w:t>
      </w:r>
      <w:r>
        <w:rPr/>
        <w:t>年股票期权与限制性</w:t>
      </w:r>
    </w:p>
    <w:p>
      <w:pPr>
        <w:pStyle w:val="BodyText"/>
        <w:spacing w:line="240" w:lineRule="auto" w:before="10"/>
        <w:ind w:right="0"/>
        <w:jc w:val="left"/>
        <w:rPr>
          <w:rFonts w:ascii="宋体" w:hAnsi="宋体" w:cs="宋体" w:eastAsia="宋体" w:hint="default"/>
        </w:rPr>
      </w:pPr>
      <w:r>
        <w:rPr/>
        <w:t>股票激励计</w:t>
      </w:r>
      <w:r>
        <w:rPr>
          <w:spacing w:val="-58"/>
        </w:rPr>
        <w:t>划</w:t>
      </w:r>
      <w:r>
        <w:rPr/>
        <w:t>（草案</w:t>
      </w:r>
      <w:r>
        <w:rPr>
          <w:spacing w:val="-58"/>
        </w:rPr>
        <w:t>）</w:t>
      </w:r>
      <w:r>
        <w:rPr>
          <w:rFonts w:ascii="宋体" w:hAnsi="宋体" w:cs="宋体" w:eastAsia="宋体" w:hint="default"/>
          <w:spacing w:val="1"/>
        </w:rPr>
        <w:t>&gt;</w:t>
      </w:r>
      <w:r>
        <w:rPr/>
        <w:t>及其</w:t>
      </w:r>
      <w:r>
        <w:rPr>
          <w:spacing w:val="-3"/>
        </w:rPr>
        <w:t>摘</w:t>
      </w:r>
      <w:r>
        <w:rPr/>
        <w:t>要的议案</w:t>
      </w:r>
      <w:r>
        <w:rPr>
          <w:spacing w:val="-58"/>
        </w:rPr>
        <w:t>》</w:t>
      </w:r>
      <w:r>
        <w:rPr>
          <w:spacing w:val="-115"/>
        </w:rPr>
        <w:t>、</w:t>
      </w:r>
      <w:r>
        <w:rPr/>
        <w:t>《关于公</w:t>
      </w:r>
      <w:r>
        <w:rPr>
          <w:spacing w:val="-3"/>
        </w:rPr>
        <w:t>司</w:t>
      </w:r>
      <w:r>
        <w:rPr>
          <w:rFonts w:ascii="宋体" w:hAnsi="宋体" w:cs="宋体" w:eastAsia="宋体" w:hint="default"/>
          <w:spacing w:val="1"/>
        </w:rPr>
        <w:t>&lt;</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spacing w:val="-3"/>
        </w:rPr>
        <w:t>年</w:t>
      </w:r>
      <w:r>
        <w:rPr/>
        <w:t>股票期权与限制性股票激励计划实施考核管理办法</w:t>
      </w:r>
      <w:r>
        <w:rPr>
          <w:rFonts w:ascii="宋体" w:hAnsi="宋体" w:cs="宋体" w:eastAsia="宋体" w:hint="default"/>
          <w:spacing w:val="1"/>
        </w:rPr>
        <w:t>&gt;</w:t>
      </w:r>
      <w:r>
        <w:rPr/>
        <w:t>的议案</w:t>
      </w:r>
      <w:r>
        <w:rPr>
          <w:spacing w:val="-60"/>
        </w:rPr>
        <w:t>》</w:t>
      </w:r>
      <w:r>
        <w:rPr>
          <w:spacing w:val="-1"/>
        </w:rPr>
        <w:t>。</w:t>
      </w:r>
      <w:r>
        <w:rPr>
          <w:rFonts w:ascii="宋体" w:hAnsi="宋体" w:cs="宋体" w:eastAsia="宋体" w:hint="default"/>
        </w:rPr>
        <w:t> </w:t>
      </w:r>
    </w:p>
    <w:p>
      <w:pPr>
        <w:spacing w:line="240" w:lineRule="auto" w:before="7"/>
        <w:rPr>
          <w:rFonts w:ascii="宋体" w:hAnsi="宋体" w:cs="宋体" w:eastAsia="宋体" w:hint="default"/>
          <w:sz w:val="15"/>
          <w:szCs w:val="15"/>
        </w:rPr>
      </w:pPr>
    </w:p>
    <w:p>
      <w:pPr>
        <w:spacing w:line="448" w:lineRule="auto" w:before="0"/>
        <w:ind w:left="513" w:right="2653" w:hanging="92"/>
        <w:jc w:val="left"/>
        <w:rPr>
          <w:rFonts w:ascii="宋体" w:hAnsi="宋体" w:cs="宋体" w:eastAsia="宋体" w:hint="default"/>
          <w:sz w:val="18"/>
          <w:szCs w:val="18"/>
        </w:rPr>
      </w:pPr>
      <w:r>
        <w:rPr>
          <w:rFonts w:ascii="宋体" w:hAnsi="宋体" w:cs="宋体" w:eastAsia="宋体" w:hint="default"/>
          <w:b/>
          <w:bCs/>
          <w:sz w:val="18"/>
          <w:szCs w:val="18"/>
        </w:rPr>
        <w:t>（三）独立董事在提名委员会履职情况</w:t>
      </w:r>
      <w:r>
        <w:rPr>
          <w:rFonts w:ascii="宋体" w:hAnsi="宋体" w:cs="宋体" w:eastAsia="宋体" w:hint="default"/>
          <w:b/>
          <w:bCs/>
          <w:w w:val="99"/>
          <w:sz w:val="18"/>
          <w:szCs w:val="18"/>
        </w:rPr>
        <w:t> </w:t>
      </w:r>
      <w:r>
        <w:rPr>
          <w:rFonts w:ascii="宋体" w:hAnsi="宋体" w:cs="宋体" w:eastAsia="宋体" w:hint="default"/>
          <w:sz w:val="18"/>
          <w:szCs w:val="18"/>
        </w:rPr>
        <w:t>报告期内，董事会提名委员会共召开四次会议，主要工作情况如下：</w:t>
      </w:r>
      <w:r>
        <w:rPr>
          <w:rFonts w:ascii="宋体" w:hAnsi="宋体" w:cs="宋体" w:eastAsia="宋体" w:hint="default"/>
          <w:sz w:val="18"/>
          <w:szCs w:val="18"/>
        </w:rPr>
        <w:t> </w:t>
      </w:r>
    </w:p>
    <w:p>
      <w:pPr>
        <w:pStyle w:val="BodyText"/>
        <w:spacing w:line="405" w:lineRule="auto" w:before="49"/>
        <w:ind w:right="1123" w:firstLine="360"/>
        <w:jc w:val="left"/>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w:t>
      </w:r>
      <w:r>
        <w:rPr/>
        <w:t>日，提名委员会召开</w:t>
      </w:r>
      <w:r>
        <w:rPr>
          <w:rFonts w:ascii="宋体" w:hAnsi="宋体" w:cs="宋体" w:eastAsia="宋体" w:hint="default"/>
        </w:rPr>
        <w:t>2019</w:t>
      </w:r>
      <w:r>
        <w:rPr/>
        <w:t>年第一次会议，审议通过了《关于提名李鸿春先生为公司总裁的议案》、《关 于提名张云飞女士为公司财务总监的议案》、《关于提名刘伟刚先生为公司董事会秘书的议案》。</w:t>
      </w:r>
      <w:r>
        <w:rPr>
          <w:rFonts w:ascii="宋体" w:hAnsi="宋体" w:cs="宋体" w:eastAsia="宋体" w:hint="default"/>
        </w:rPr>
        <w:t> </w:t>
      </w:r>
    </w:p>
    <w:p>
      <w:pPr>
        <w:pStyle w:val="BodyText"/>
        <w:spacing w:line="240" w:lineRule="auto" w:before="82"/>
        <w:ind w:left="513" w:right="0"/>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26</w:t>
      </w:r>
      <w:r>
        <w:rPr/>
        <w:t>日，提名委员会召开</w:t>
      </w:r>
      <w:r>
        <w:rPr>
          <w:rFonts w:ascii="宋体" w:hAnsi="宋体" w:cs="宋体" w:eastAsia="宋体" w:hint="default"/>
        </w:rPr>
        <w:t>2019</w:t>
      </w:r>
      <w:r>
        <w:rPr/>
        <w:t>年第二次会议，审议通过了《关于提名公司部分高级管理人员的议案》。</w:t>
      </w:r>
      <w:r>
        <w:rPr>
          <w:rFonts w:ascii="宋体" w:hAnsi="宋体" w:cs="宋体" w:eastAsia="宋体" w:hint="default"/>
        </w:rPr>
        <w:t> </w:t>
      </w:r>
    </w:p>
    <w:p>
      <w:pPr>
        <w:spacing w:line="240" w:lineRule="auto" w:before="7"/>
        <w:rPr>
          <w:rFonts w:ascii="宋体" w:hAnsi="宋体" w:cs="宋体" w:eastAsia="宋体" w:hint="default"/>
          <w:sz w:val="15"/>
          <w:szCs w:val="15"/>
        </w:rPr>
      </w:pPr>
    </w:p>
    <w:p>
      <w:pPr>
        <w:pStyle w:val="BodyText"/>
        <w:spacing w:line="408" w:lineRule="auto"/>
        <w:ind w:right="0" w:firstLine="360"/>
        <w:jc w:val="left"/>
        <w:rPr>
          <w:rFonts w:ascii="宋体" w:hAnsi="宋体" w:cs="宋体" w:eastAsia="宋体" w:hint="default"/>
        </w:rPr>
      </w:pPr>
      <w:r>
        <w:rPr>
          <w:rFonts w:ascii="宋体" w:hAnsi="宋体" w:cs="宋体" w:eastAsia="宋体" w:hint="default"/>
          <w:spacing w:val="-2"/>
        </w:rPr>
        <w:t>3</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11</w:t>
      </w:r>
      <w:r>
        <w:rPr>
          <w:spacing w:val="-2"/>
        </w:rPr>
        <w:t>日，提名委员会召开</w:t>
      </w:r>
      <w:r>
        <w:rPr>
          <w:rFonts w:ascii="宋体" w:hAnsi="宋体" w:cs="宋体" w:eastAsia="宋体" w:hint="default"/>
          <w:spacing w:val="-2"/>
        </w:rPr>
        <w:t>2019</w:t>
      </w:r>
      <w:r>
        <w:rPr>
          <w:spacing w:val="-2"/>
        </w:rPr>
        <w:t>年第三次会议，审议通过了《关于提名韩玉华女士为公司第八届董事会董事候</w:t>
      </w:r>
      <w:r>
        <w:rPr/>
        <w:t> 选人的议案》。</w:t>
      </w:r>
      <w:r>
        <w:rPr>
          <w:rFonts w:ascii="宋体" w:hAnsi="宋体" w:cs="宋体" w:eastAsia="宋体" w:hint="default"/>
        </w:rPr>
        <w:t> </w:t>
      </w:r>
    </w:p>
    <w:p>
      <w:pPr>
        <w:pStyle w:val="BodyText"/>
        <w:spacing w:line="408" w:lineRule="auto" w:before="77"/>
        <w:ind w:right="0" w:firstLine="360"/>
        <w:jc w:val="left"/>
        <w:rPr>
          <w:rFonts w:ascii="宋体" w:hAnsi="宋体" w:cs="宋体" w:eastAsia="宋体" w:hint="default"/>
        </w:rPr>
      </w:pPr>
      <w:r>
        <w:rPr>
          <w:rFonts w:ascii="宋体" w:hAnsi="宋体" w:cs="宋体" w:eastAsia="宋体" w:hint="default"/>
          <w:spacing w:val="-2"/>
        </w:rPr>
        <w:t>4</w:t>
      </w:r>
      <w:r>
        <w:rPr>
          <w:spacing w:val="-2"/>
        </w:rPr>
        <w:t>、</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w:t>
      </w:r>
      <w:r>
        <w:rPr>
          <w:spacing w:val="-2"/>
        </w:rPr>
        <w:t>日，提名委员会召开</w:t>
      </w:r>
      <w:r>
        <w:rPr>
          <w:rFonts w:ascii="宋体" w:hAnsi="宋体" w:cs="宋体" w:eastAsia="宋体" w:hint="default"/>
          <w:spacing w:val="-2"/>
        </w:rPr>
        <w:t>2019</w:t>
      </w:r>
      <w:r>
        <w:rPr>
          <w:spacing w:val="-2"/>
        </w:rPr>
        <w:t>年第四次会议，审议通过了《关于提名罗婷女士为公司第八届董事会独立董事</w:t>
      </w:r>
      <w:r>
        <w:rPr/>
        <w:t> 候选人的议案》。</w:t>
      </w:r>
      <w:r>
        <w:rPr>
          <w:rFonts w:ascii="宋体" w:hAnsi="宋体" w:cs="宋体" w:eastAsia="宋体" w:hint="default"/>
        </w:rPr>
        <w:t> </w:t>
      </w:r>
    </w:p>
    <w:p>
      <w:pPr>
        <w:spacing w:line="446" w:lineRule="auto" w:before="78"/>
        <w:ind w:left="513" w:right="2653" w:hanging="92"/>
        <w:jc w:val="left"/>
        <w:rPr>
          <w:rFonts w:ascii="宋体" w:hAnsi="宋体" w:cs="宋体" w:eastAsia="宋体" w:hint="default"/>
          <w:sz w:val="18"/>
          <w:szCs w:val="18"/>
        </w:rPr>
      </w:pPr>
      <w:r>
        <w:rPr>
          <w:rFonts w:ascii="宋体" w:hAnsi="宋体" w:cs="宋体" w:eastAsia="宋体" w:hint="default"/>
          <w:b/>
          <w:bCs/>
          <w:sz w:val="18"/>
          <w:szCs w:val="18"/>
        </w:rPr>
        <w:t>（四）独立董事在战略委员会履职情况</w:t>
      </w:r>
      <w:r>
        <w:rPr>
          <w:rFonts w:ascii="宋体" w:hAnsi="宋体" w:cs="宋体" w:eastAsia="宋体" w:hint="default"/>
          <w:b/>
          <w:bCs/>
          <w:w w:val="99"/>
          <w:sz w:val="18"/>
          <w:szCs w:val="18"/>
        </w:rPr>
        <w:t> </w:t>
      </w:r>
      <w:r>
        <w:rPr>
          <w:rFonts w:ascii="宋体" w:hAnsi="宋体" w:cs="宋体" w:eastAsia="宋体" w:hint="default"/>
          <w:sz w:val="18"/>
          <w:szCs w:val="18"/>
        </w:rPr>
        <w:t>报告期内，董事会提名委员会共召开一次会议，主要工作情况如下：</w:t>
      </w:r>
      <w:r>
        <w:rPr>
          <w:rFonts w:ascii="宋体" w:hAnsi="宋体" w:cs="宋体" w:eastAsia="宋体" w:hint="default"/>
          <w:sz w:val="18"/>
          <w:szCs w:val="18"/>
        </w:rPr>
        <w:t> </w:t>
      </w:r>
    </w:p>
    <w:p>
      <w:pPr>
        <w:pStyle w:val="BodyText"/>
        <w:spacing w:line="405" w:lineRule="auto" w:before="51"/>
        <w:ind w:right="1123" w:firstLine="360"/>
        <w:jc w:val="left"/>
        <w:rPr>
          <w:rFonts w:ascii="宋体" w:hAnsi="宋体" w:cs="宋体" w:eastAsia="宋体" w:hint="default"/>
        </w:rPr>
      </w:pP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26</w:t>
      </w:r>
      <w:r>
        <w:rPr/>
        <w:t>日，董事会战略委员会召开</w:t>
      </w:r>
      <w:r>
        <w:rPr>
          <w:rFonts w:ascii="宋体" w:hAnsi="宋体" w:cs="宋体" w:eastAsia="宋体" w:hint="default"/>
        </w:rPr>
        <w:t>2019</w:t>
      </w:r>
      <w:r>
        <w:rPr/>
        <w:t>年第一次会议，审议通过了《关于</w:t>
      </w:r>
      <w:r>
        <w:rPr>
          <w:rFonts w:ascii="宋体" w:hAnsi="宋体" w:cs="宋体" w:eastAsia="宋体" w:hint="default"/>
        </w:rPr>
        <w:t>2018</w:t>
      </w:r>
      <w:r>
        <w:rPr/>
        <w:t>年经营情况及</w:t>
      </w:r>
      <w:r>
        <w:rPr>
          <w:rFonts w:ascii="宋体" w:hAnsi="宋体" w:cs="宋体" w:eastAsia="宋体" w:hint="default"/>
        </w:rPr>
        <w:t>2019</w:t>
      </w:r>
      <w:r>
        <w:rPr/>
        <w:t>年发展展望的议 案》。</w:t>
      </w:r>
      <w:r>
        <w:rPr>
          <w:rFonts w:ascii="宋体" w:hAnsi="宋体" w:cs="宋体" w:eastAsia="宋体" w:hint="default"/>
        </w:rPr>
        <w:t> </w:t>
      </w:r>
    </w:p>
    <w:p>
      <w:pPr>
        <w:spacing w:line="240" w:lineRule="auto" w:before="11"/>
        <w:rPr>
          <w:rFonts w:ascii="宋体" w:hAnsi="宋体" w:cs="宋体" w:eastAsia="宋体" w:hint="default"/>
          <w:sz w:val="14"/>
          <w:szCs w:val="14"/>
        </w:rPr>
      </w:pPr>
    </w:p>
    <w:p>
      <w:pPr>
        <w:pStyle w:val="Heading2"/>
        <w:spacing w:line="240" w:lineRule="auto"/>
        <w:ind w:right="0"/>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60" w:lineRule="auto" w:before="115"/>
        <w:ind w:right="7693"/>
        <w:jc w:val="left"/>
      </w:pPr>
      <w:r>
        <w:rPr/>
        <w:t>□ 是 √</w:t>
      </w:r>
      <w:r>
        <w:rPr>
          <w:spacing w:val="3"/>
        </w:rPr>
        <w:t> </w:t>
      </w:r>
      <w:r>
        <w:rPr/>
        <w:t>否</w:t>
      </w:r>
      <w:r>
        <w:rPr/>
        <w:t> 监事会对报告期内的监督事项无异议。</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231" w:firstLine="360"/>
        <w:jc w:val="both"/>
      </w:pPr>
      <w:r>
        <w:rPr/>
        <w:t>报告期内，公司高级管理人员严格按照《公司法》、《公司章程》及有关法律法规认真履行职责，积极落实公司股东 大会和董事会各项决议。公司高级管理人员依据其在公司的任职岗位、经营业绩等因素领取相应薪酬</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并经董事会薪酬与 考核委员会考评。</w:t>
      </w:r>
    </w:p>
    <w:p>
      <w:pPr>
        <w:pStyle w:val="BodyText"/>
        <w:spacing w:line="309" w:lineRule="auto" w:before="65"/>
        <w:ind w:right="1120" w:firstLine="360"/>
        <w:jc w:val="left"/>
      </w:pPr>
      <w:r>
        <w:rPr/>
        <w:t>公司在激励方面，通过长中短期激励相结合方式，持续地完善高级管理人员的激励机制。公司于</w:t>
      </w:r>
      <w:r>
        <w:rPr>
          <w:spacing w:val="-4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年实施了股权激 励计划，最大限度调动高级管理人员的积极性和创造性，确保公司业务持续稳定的发展，更好的维护广大投资者的利益。 高级管理人员的股权激励情况请参见“第九节董事、监事、高级管理人员和员工情况”相关内容。</w:t>
      </w:r>
    </w:p>
    <w:p>
      <w:pPr>
        <w:spacing w:after="0" w:line="309" w:lineRule="auto"/>
        <w:jc w:val="left"/>
        <w:sectPr>
          <w:pgSz w:w="11910" w:h="16840"/>
          <w:pgMar w:header="916" w:footer="1261" w:top="1120" w:bottom="1460" w:left="980" w:right="0"/>
        </w:sectPr>
      </w:pPr>
    </w:p>
    <w:p>
      <w:pPr>
        <w:spacing w:line="240" w:lineRule="auto" w:before="8"/>
        <w:rPr>
          <w:rFonts w:ascii="宋体" w:hAnsi="宋体" w:cs="宋体" w:eastAsia="宋体" w:hint="default"/>
          <w:sz w:val="18"/>
          <w:szCs w:val="18"/>
        </w:rPr>
      </w:pPr>
      <w:r>
        <w:rPr/>
        <w:pict>
          <v:shape style="position:absolute;margin-left:224.210007pt;margin-top:656.259949pt;width:153.65pt;height:94.7pt;mso-position-horizontal-relative:page;mso-position-vertical-relative:page;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50"/>
                    <w:gridCol w:w="1908"/>
                  </w:tblGrid>
                  <w:tr>
                    <w:trPr>
                      <w:trHeight w:val="466"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19"/>
                          <w:jc w:val="right"/>
                          <w:rPr>
                            <w:rFonts w:ascii="宋体" w:hAnsi="宋体" w:cs="宋体" w:eastAsia="宋体" w:hint="default"/>
                            <w:sz w:val="18"/>
                            <w:szCs w:val="18"/>
                          </w:rPr>
                        </w:pPr>
                        <w:r>
                          <w:rPr>
                            <w:rFonts w:ascii="宋体" w:hAnsi="宋体" w:cs="宋体" w:eastAsia="宋体" w:hint="default"/>
                            <w:sz w:val="18"/>
                            <w:szCs w:val="18"/>
                          </w:rPr>
                          <w:t>缺陷类别</w:t>
                        </w:r>
                        <w:r>
                          <w:rPr>
                            <w:rFonts w:ascii="宋体" w:hAnsi="宋体" w:cs="宋体" w:eastAsia="宋体" w:hint="default"/>
                            <w:sz w:val="18"/>
                            <w:szCs w:val="18"/>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8"/>
                          <w:jc w:val="right"/>
                          <w:rPr>
                            <w:rFonts w:ascii="宋体" w:hAnsi="宋体" w:cs="宋体" w:eastAsia="宋体" w:hint="default"/>
                            <w:sz w:val="18"/>
                            <w:szCs w:val="18"/>
                          </w:rPr>
                        </w:pPr>
                        <w:r>
                          <w:rPr>
                            <w:rFonts w:ascii="宋体" w:hAnsi="宋体" w:cs="宋体" w:eastAsia="宋体" w:hint="default"/>
                            <w:sz w:val="18"/>
                            <w:szCs w:val="18"/>
                          </w:rPr>
                          <w:t>重大缺陷</w:t>
                        </w:r>
                        <w:r>
                          <w:rPr>
                            <w:rFonts w:ascii="宋体" w:hAnsi="宋体" w:cs="宋体" w:eastAsia="宋体" w:hint="default"/>
                            <w:sz w:val="18"/>
                            <w:szCs w:val="18"/>
                          </w:rPr>
                          <w:t> </w:t>
                        </w:r>
                      </w:p>
                    </w:tc>
                  </w:tr>
                  <w:tr>
                    <w:trPr>
                      <w:trHeight w:val="47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错报≥营业收入总额</w:t>
                        </w:r>
                        <w:r>
                          <w:rPr>
                            <w:rFonts w:ascii="宋体" w:hAnsi="宋体" w:cs="宋体" w:eastAsia="宋体" w:hint="default"/>
                            <w:sz w:val="18"/>
                            <w:szCs w:val="18"/>
                          </w:rPr>
                          <w:t> </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0.5% </w:t>
                        </w:r>
                      </w:p>
                    </w:tc>
                  </w:tr>
                  <w:tr>
                    <w:trPr>
                      <w:trHeight w:val="475"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9"/>
                          <w:jc w:val="right"/>
                          <w:rPr>
                            <w:rFonts w:ascii="宋体" w:hAnsi="宋体" w:cs="宋体" w:eastAsia="宋体" w:hint="default"/>
                            <w:sz w:val="18"/>
                            <w:szCs w:val="18"/>
                          </w:rPr>
                        </w:pPr>
                        <w:r>
                          <w:rPr>
                            <w:rFonts w:ascii="宋体" w:hAnsi="宋体" w:cs="宋体" w:eastAsia="宋体" w:hint="default"/>
                            <w:sz w:val="18"/>
                            <w:szCs w:val="18"/>
                          </w:rPr>
                          <w:t>资产总额</w:t>
                        </w:r>
                        <w:r>
                          <w:rPr>
                            <w:rFonts w:ascii="宋体" w:hAnsi="宋体" w:cs="宋体" w:eastAsia="宋体" w:hint="default"/>
                            <w:sz w:val="18"/>
                            <w:szCs w:val="18"/>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错报≥资产总额的</w:t>
                        </w:r>
                        <w:r>
                          <w:rPr>
                            <w:rFonts w:ascii="宋体" w:hAnsi="宋体" w:cs="宋体" w:eastAsia="宋体" w:hint="default"/>
                            <w:sz w:val="18"/>
                            <w:szCs w:val="18"/>
                          </w:rPr>
                          <w:t> </w:t>
                        </w:r>
                      </w:p>
                      <w:p>
                        <w:pPr>
                          <w:pStyle w:val="TableParagraph"/>
                          <w:spacing w:line="234" w:lineRule="exact"/>
                          <w:ind w:left="100" w:right="0"/>
                          <w:jc w:val="left"/>
                          <w:rPr>
                            <w:rFonts w:ascii="宋体" w:hAnsi="宋体" w:cs="宋体" w:eastAsia="宋体" w:hint="default"/>
                            <w:sz w:val="18"/>
                            <w:szCs w:val="18"/>
                          </w:rPr>
                        </w:pPr>
                        <w:r>
                          <w:rPr>
                            <w:rFonts w:ascii="宋体"/>
                            <w:sz w:val="18"/>
                          </w:rPr>
                          <w:t>0.5% </w:t>
                        </w:r>
                      </w:p>
                    </w:tc>
                  </w:tr>
                  <w:tr>
                    <w:trPr>
                      <w:trHeight w:val="466"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9"/>
                          <w:jc w:val="right"/>
                          <w:rPr>
                            <w:rFonts w:ascii="宋体" w:hAnsi="宋体" w:cs="宋体" w:eastAsia="宋体" w:hint="default"/>
                            <w:sz w:val="18"/>
                            <w:szCs w:val="18"/>
                          </w:rPr>
                        </w:pPr>
                        <w:r>
                          <w:rPr>
                            <w:rFonts w:ascii="宋体" w:hAnsi="宋体" w:cs="宋体" w:eastAsia="宋体" w:hint="default"/>
                            <w:sz w:val="18"/>
                            <w:szCs w:val="18"/>
                          </w:rPr>
                          <w:t>缺陷类别</w:t>
                        </w:r>
                        <w:r>
                          <w:rPr>
                            <w:rFonts w:ascii="宋体" w:hAnsi="宋体" w:cs="宋体" w:eastAsia="宋体" w:hint="default"/>
                            <w:sz w:val="18"/>
                            <w:szCs w:val="18"/>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98"/>
                          <w:jc w:val="right"/>
                          <w:rPr>
                            <w:rFonts w:ascii="宋体" w:hAnsi="宋体" w:cs="宋体" w:eastAsia="宋体" w:hint="default"/>
                            <w:sz w:val="18"/>
                            <w:szCs w:val="18"/>
                          </w:rPr>
                        </w:pPr>
                        <w:r>
                          <w:rPr>
                            <w:rFonts w:ascii="宋体" w:hAnsi="宋体" w:cs="宋体" w:eastAsia="宋体" w:hint="default"/>
                            <w:sz w:val="18"/>
                            <w:szCs w:val="18"/>
                          </w:rPr>
                          <w:t>重要缺陷</w:t>
                        </w:r>
                        <w:r>
                          <w:rPr>
                            <w:rFonts w:ascii="宋体" w:hAnsi="宋体" w:cs="宋体" w:eastAsia="宋体" w:hint="default"/>
                            <w:sz w:val="18"/>
                            <w:szCs w:val="18"/>
                          </w:rPr>
                          <w:t> </w:t>
                        </w:r>
                      </w:p>
                    </w:tc>
                  </w:tr>
                </w:tbl>
                <w:p>
                  <w:pPr/>
                </w:p>
              </w:txbxContent>
            </v:textbox>
            <w10:wrap type="none"/>
          </v:shape>
        </w:pict>
      </w:r>
    </w:p>
    <w:p>
      <w:pPr>
        <w:pStyle w:val="Heading2"/>
        <w:spacing w:line="240" w:lineRule="auto" w:before="26"/>
        <w:ind w:right="0"/>
        <w:jc w:val="left"/>
        <w:rPr>
          <w:b w:val="0"/>
          <w:bCs w:val="0"/>
        </w:rPr>
      </w:pPr>
      <w:r>
        <w:rPr/>
        <w:t>九、内部控制情况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3189"/>
        <w:gridCol w:w="3328"/>
        <w:gridCol w:w="603"/>
        <w:gridCol w:w="1246"/>
        <w:gridCol w:w="1203"/>
      </w:tblGrid>
      <w:tr>
        <w:trPr>
          <w:trHeight w:val="46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6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）：内部控制自我评价报告</w:t>
            </w:r>
          </w:p>
        </w:tc>
      </w:tr>
      <w:tr>
        <w:trPr>
          <w:trHeight w:val="716"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90.00%</w:t>
            </w:r>
          </w:p>
        </w:tc>
      </w:tr>
      <w:tr>
        <w:trPr>
          <w:trHeight w:val="728"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4"/>
            <w:tcBorders>
              <w:top w:val="single" w:sz="4" w:space="0" w:color="000000"/>
              <w:left w:val="single" w:sz="13" w:space="0" w:color="D2D2D2"/>
              <w:bottom w:val="single" w:sz="16"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90.00%</w:t>
            </w:r>
          </w:p>
        </w:tc>
      </w:tr>
      <w:tr>
        <w:trPr>
          <w:trHeight w:val="434" w:hRule="exact"/>
        </w:trPr>
        <w:tc>
          <w:tcPr>
            <w:tcW w:w="956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6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52" w:hRule="exact"/>
        </w:trPr>
        <w:tc>
          <w:tcPr>
            <w:tcW w:w="3189" w:type="dxa"/>
            <w:vMerge w:val="restart"/>
            <w:tcBorders>
              <w:top w:val="single" w:sz="4" w:space="0" w:color="000000"/>
              <w:left w:val="single" w:sz="4" w:space="0" w:color="000000"/>
              <w:right w:val="single" w:sz="4" w:space="0" w:color="000000"/>
            </w:tcBorders>
            <w:shd w:val="clear" w:color="auto" w:fill="D2D2D2"/>
          </w:tcPr>
          <w:p>
            <w:pPr/>
          </w:p>
        </w:tc>
        <w:tc>
          <w:tcPr>
            <w:tcW w:w="3328" w:type="dxa"/>
            <w:tcBorders>
              <w:top w:val="single" w:sz="12" w:space="0" w:color="D2D2D2"/>
              <w:left w:val="single" w:sz="4" w:space="0" w:color="000000"/>
              <w:bottom w:val="nil" w:sz="6" w:space="0" w:color="auto"/>
              <w:right w:val="single" w:sz="4" w:space="0" w:color="000000"/>
            </w:tcBorders>
          </w:tcPr>
          <w:p>
            <w:pPr>
              <w:pStyle w:val="TableParagraph"/>
              <w:spacing w:line="210" w:lineRule="exact"/>
              <w:ind w:left="30" w:right="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w:t>
            </w:r>
          </w:p>
        </w:tc>
        <w:tc>
          <w:tcPr>
            <w:tcW w:w="3051" w:type="dxa"/>
            <w:gridSpan w:val="3"/>
            <w:tcBorders>
              <w:top w:val="single" w:sz="12" w:space="0" w:color="D2D2D2"/>
              <w:left w:val="single" w:sz="4" w:space="0" w:color="000000"/>
              <w:bottom w:val="nil" w:sz="6" w:space="0" w:color="auto"/>
              <w:right w:val="single" w:sz="4" w:space="0" w:color="000000"/>
            </w:tcBorders>
          </w:tcPr>
          <w:p>
            <w:pPr/>
          </w:p>
        </w:tc>
      </w:tr>
      <w:tr>
        <w:trPr>
          <w:trHeight w:val="234" w:hRule="exact"/>
        </w:trPr>
        <w:tc>
          <w:tcPr>
            <w:tcW w:w="3189" w:type="dxa"/>
            <w:vMerge/>
            <w:tcBorders>
              <w:left w:val="single" w:sz="4" w:space="0" w:color="000000"/>
              <w:right w:val="single" w:sz="4" w:space="0" w:color="000000"/>
            </w:tcBorders>
            <w:shd w:val="clear" w:color="auto" w:fill="D2D2D2"/>
          </w:tcPr>
          <w:p>
            <w:pPr/>
          </w:p>
        </w:tc>
        <w:tc>
          <w:tcPr>
            <w:tcW w:w="33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30" w:right="0"/>
              <w:jc w:val="left"/>
              <w:rPr>
                <w:rFonts w:ascii="宋体" w:hAnsi="宋体" w:cs="宋体" w:eastAsia="宋体" w:hint="default"/>
                <w:sz w:val="18"/>
                <w:szCs w:val="18"/>
              </w:rPr>
            </w:pPr>
            <w:r>
              <w:rPr>
                <w:rFonts w:ascii="宋体" w:hAnsi="宋体" w:cs="宋体" w:eastAsia="宋体" w:hint="default"/>
                <w:sz w:val="18"/>
                <w:szCs w:val="18"/>
              </w:rPr>
              <w:t>定性标准如下：</w:t>
            </w:r>
            <w:r>
              <w:rPr>
                <w:rFonts w:ascii="宋体" w:hAnsi="宋体" w:cs="宋体" w:eastAsia="宋体" w:hint="default"/>
                <w:sz w:val="18"/>
                <w:szCs w:val="18"/>
              </w:rPr>
              <w:t> </w:t>
            </w:r>
          </w:p>
        </w:tc>
        <w:tc>
          <w:tcPr>
            <w:tcW w:w="3051" w:type="dxa"/>
            <w:gridSpan w:val="3"/>
            <w:tcBorders>
              <w:top w:val="nil" w:sz="6" w:space="0" w:color="auto"/>
              <w:left w:val="single" w:sz="4" w:space="0" w:color="000000"/>
              <w:bottom w:val="nil" w:sz="6" w:space="0" w:color="auto"/>
              <w:right w:val="single" w:sz="4" w:space="0" w:color="000000"/>
            </w:tcBorders>
          </w:tcPr>
          <w:p>
            <w:pPr/>
          </w:p>
        </w:tc>
      </w:tr>
      <w:tr>
        <w:trPr>
          <w:trHeight w:val="234" w:hRule="exact"/>
        </w:trPr>
        <w:tc>
          <w:tcPr>
            <w:tcW w:w="3189" w:type="dxa"/>
            <w:vMerge/>
            <w:tcBorders>
              <w:left w:val="single" w:sz="4" w:space="0" w:color="000000"/>
              <w:right w:val="single" w:sz="4" w:space="0" w:color="000000"/>
            </w:tcBorders>
            <w:shd w:val="clear" w:color="auto" w:fill="D2D2D2"/>
          </w:tcPr>
          <w:p>
            <w:pPr/>
          </w:p>
        </w:tc>
        <w:tc>
          <w:tcPr>
            <w:tcW w:w="3328" w:type="dxa"/>
            <w:tcBorders>
              <w:top w:val="nil" w:sz="6" w:space="0" w:color="auto"/>
              <w:left w:val="single" w:sz="4" w:space="0" w:color="000000"/>
              <w:bottom w:val="nil" w:sz="6" w:space="0" w:color="auto"/>
              <w:right w:val="single" w:sz="4" w:space="0" w:color="000000"/>
            </w:tcBorders>
          </w:tcPr>
          <w:p>
            <w:pPr>
              <w:pStyle w:val="TableParagraph"/>
              <w:spacing w:line="208" w:lineRule="exact"/>
              <w:ind w:right="46"/>
              <w:jc w:val="right"/>
              <w:rPr>
                <w:rFonts w:ascii="宋体" w:hAnsi="宋体" w:cs="宋体" w:eastAsia="宋体" w:hint="default"/>
                <w:sz w:val="18"/>
                <w:szCs w:val="18"/>
              </w:rPr>
            </w:pPr>
            <w:r>
              <w:rPr>
                <w:rFonts w:ascii="宋体" w:hAnsi="宋体" w:cs="宋体" w:eastAsia="宋体" w:hint="default"/>
                <w:sz w:val="18"/>
                <w:szCs w:val="18"/>
              </w:rPr>
              <w:t>出现以下或类似情形的，认定为重大</w:t>
            </w:r>
          </w:p>
        </w:tc>
        <w:tc>
          <w:tcPr>
            <w:tcW w:w="3051" w:type="dxa"/>
            <w:gridSpan w:val="3"/>
            <w:tcBorders>
              <w:top w:val="nil" w:sz="6" w:space="0" w:color="auto"/>
              <w:left w:val="single" w:sz="4" w:space="0" w:color="000000"/>
              <w:bottom w:val="nil" w:sz="6" w:space="0" w:color="auto"/>
              <w:right w:val="single" w:sz="4" w:space="0" w:color="000000"/>
            </w:tcBorders>
          </w:tcPr>
          <w:p>
            <w:pPr/>
          </w:p>
        </w:tc>
      </w:tr>
      <w:tr>
        <w:trPr>
          <w:trHeight w:val="1557" w:hRule="exact"/>
        </w:trPr>
        <w:tc>
          <w:tcPr>
            <w:tcW w:w="3189" w:type="dxa"/>
            <w:vMerge/>
            <w:tcBorders>
              <w:left w:val="single" w:sz="4" w:space="0" w:color="000000"/>
              <w:bottom w:val="nil" w:sz="6" w:space="0" w:color="auto"/>
              <w:right w:val="single" w:sz="4" w:space="0" w:color="000000"/>
            </w:tcBorders>
            <w:shd w:val="clear" w:color="auto" w:fill="D2D2D2"/>
          </w:tcPr>
          <w:p>
            <w:pPr/>
          </w:p>
        </w:tc>
        <w:tc>
          <w:tcPr>
            <w:tcW w:w="3328" w:type="dxa"/>
            <w:vMerge w:val="restart"/>
            <w:tcBorders>
              <w:top w:val="nil" w:sz="6" w:space="0" w:color="auto"/>
              <w:left w:val="single" w:sz="4" w:space="0" w:color="000000"/>
              <w:right w:val="single" w:sz="4" w:space="0" w:color="000000"/>
            </w:tcBorders>
          </w:tcPr>
          <w:p>
            <w:pPr>
              <w:pStyle w:val="TableParagraph"/>
              <w:spacing w:line="205" w:lineRule="exact"/>
              <w:ind w:left="30" w:right="0"/>
              <w:jc w:val="left"/>
              <w:rPr>
                <w:rFonts w:ascii="宋体" w:hAnsi="宋体" w:cs="宋体" w:eastAsia="宋体" w:hint="default"/>
                <w:sz w:val="18"/>
                <w:szCs w:val="18"/>
              </w:rPr>
            </w:pPr>
            <w:r>
              <w:rPr>
                <w:rFonts w:ascii="宋体" w:hAnsi="宋体" w:cs="宋体" w:eastAsia="宋体" w:hint="default"/>
                <w:sz w:val="18"/>
                <w:szCs w:val="18"/>
              </w:rPr>
              <w:t>缺陷：</w:t>
            </w:r>
            <w:r>
              <w:rPr>
                <w:rFonts w:ascii="宋体" w:hAnsi="宋体" w:cs="宋体" w:eastAsia="宋体" w:hint="default"/>
                <w:sz w:val="18"/>
                <w:szCs w:val="18"/>
              </w:rPr>
              <w:t> </w:t>
            </w:r>
          </w:p>
          <w:p>
            <w:pPr>
              <w:pStyle w:val="TableParagraph"/>
              <w:spacing w:line="233" w:lineRule="exact"/>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 </w:t>
            </w:r>
            <w:r>
              <w:rPr>
                <w:rFonts w:ascii="宋体" w:hAnsi="宋体" w:cs="宋体" w:eastAsia="宋体" w:hint="default"/>
                <w:sz w:val="18"/>
                <w:szCs w:val="18"/>
              </w:rPr>
              <w:t>与财务报告相关控制环境无效；</w:t>
            </w:r>
            <w:r>
              <w:rPr>
                <w:rFonts w:ascii="宋体" w:hAnsi="宋体" w:cs="宋体" w:eastAsia="宋体" w:hint="default"/>
                <w:sz w:val="18"/>
                <w:szCs w:val="18"/>
              </w:rPr>
              <w:t> </w:t>
            </w:r>
          </w:p>
          <w:p>
            <w:pPr>
              <w:pStyle w:val="TableParagraph"/>
              <w:spacing w:line="240" w:lineRule="auto"/>
              <w:ind w:left="30" w:right="13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 </w:t>
            </w:r>
            <w:r>
              <w:rPr>
                <w:rFonts w:ascii="宋体" w:hAnsi="宋体" w:cs="宋体" w:eastAsia="宋体" w:hint="default"/>
                <w:sz w:val="18"/>
                <w:szCs w:val="18"/>
              </w:rPr>
              <w:t>董事、监事和高级管理人员与财务 报告相关舞弊行为；</w:t>
            </w:r>
            <w:r>
              <w:rPr>
                <w:rFonts w:ascii="宋体" w:hAnsi="宋体" w:cs="宋体" w:eastAsia="宋体" w:hint="default"/>
                <w:sz w:val="18"/>
                <w:szCs w:val="18"/>
              </w:rPr>
              <w:t> </w:t>
            </w:r>
          </w:p>
          <w:p>
            <w:pPr>
              <w:pStyle w:val="TableParagraph"/>
              <w:spacing w:line="237" w:lineRule="auto"/>
              <w:ind w:left="30" w:right="46"/>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 </w:t>
            </w:r>
            <w:r>
              <w:rPr>
                <w:rFonts w:ascii="宋体" w:hAnsi="宋体" w:cs="宋体" w:eastAsia="宋体" w:hint="default"/>
                <w:sz w:val="18"/>
                <w:szCs w:val="18"/>
              </w:rPr>
              <w:t>外部审计发现当期财务报告存在重 大错报，公司在运行过程中未能发现该错 报；</w:t>
            </w:r>
            <w:r>
              <w:rPr>
                <w:rFonts w:ascii="宋体" w:hAnsi="宋体" w:cs="宋体" w:eastAsia="宋体" w:hint="default"/>
                <w:sz w:val="18"/>
                <w:szCs w:val="18"/>
              </w:rPr>
              <w:t> </w:t>
            </w:r>
          </w:p>
          <w:p>
            <w:pPr>
              <w:pStyle w:val="TableParagraph"/>
              <w:spacing w:line="232" w:lineRule="exact" w:before="22"/>
              <w:ind w:left="30" w:right="13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 </w:t>
            </w:r>
            <w:r>
              <w:rPr>
                <w:rFonts w:ascii="宋体" w:hAnsi="宋体" w:cs="宋体" w:eastAsia="宋体" w:hint="default"/>
                <w:sz w:val="18"/>
                <w:szCs w:val="18"/>
              </w:rPr>
              <w:t>重述以前公布的财务报告，以更正 由于舞弊或错误导致的重大错误；</w:t>
            </w:r>
            <w:r>
              <w:rPr>
                <w:rFonts w:ascii="宋体" w:hAnsi="宋体" w:cs="宋体" w:eastAsia="宋体" w:hint="default"/>
                <w:sz w:val="18"/>
                <w:szCs w:val="18"/>
              </w:rPr>
              <w:t> </w:t>
            </w:r>
          </w:p>
          <w:p>
            <w:pPr>
              <w:pStyle w:val="TableParagraph"/>
              <w:spacing w:line="212" w:lineRule="exact"/>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 </w:t>
            </w:r>
            <w:r>
              <w:rPr>
                <w:rFonts w:ascii="宋体" w:hAnsi="宋体" w:cs="宋体" w:eastAsia="宋体" w:hint="default"/>
                <w:sz w:val="18"/>
                <w:szCs w:val="18"/>
              </w:rPr>
              <w:t>已经发现并报告给管理层的重大缺</w:t>
            </w:r>
          </w:p>
          <w:p>
            <w:pPr>
              <w:pStyle w:val="TableParagraph"/>
              <w:spacing w:line="234" w:lineRule="exact"/>
              <w:ind w:left="30" w:right="0"/>
              <w:jc w:val="left"/>
              <w:rPr>
                <w:rFonts w:ascii="宋体" w:hAnsi="宋体" w:cs="宋体" w:eastAsia="宋体" w:hint="default"/>
                <w:sz w:val="18"/>
                <w:szCs w:val="18"/>
              </w:rPr>
            </w:pPr>
            <w:r>
              <w:rPr>
                <w:rFonts w:ascii="宋体" w:hAnsi="宋体" w:cs="宋体" w:eastAsia="宋体" w:hint="default"/>
                <w:sz w:val="18"/>
                <w:szCs w:val="18"/>
              </w:rPr>
              <w:t>陷在合理的时间内未予改正；</w:t>
            </w:r>
            <w:r>
              <w:rPr>
                <w:rFonts w:ascii="宋体" w:hAnsi="宋体" w:cs="宋体" w:eastAsia="宋体" w:hint="default"/>
                <w:sz w:val="18"/>
                <w:szCs w:val="18"/>
              </w:rPr>
              <w:t> </w:t>
            </w:r>
          </w:p>
          <w:p>
            <w:pPr>
              <w:pStyle w:val="TableParagraph"/>
              <w:spacing w:line="233" w:lineRule="exact"/>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pacing w:val="1"/>
                <w:sz w:val="18"/>
                <w:szCs w:val="18"/>
              </w:rPr>
              <w:t> </w:t>
            </w:r>
            <w:r>
              <w:rPr>
                <w:rFonts w:ascii="宋体" w:hAnsi="宋体" w:cs="宋体" w:eastAsia="宋体" w:hint="default"/>
                <w:sz w:val="18"/>
                <w:szCs w:val="18"/>
              </w:rPr>
              <w:t>公司风险评估职能无效；</w:t>
            </w:r>
            <w:r>
              <w:rPr>
                <w:rFonts w:ascii="宋体" w:hAnsi="宋体" w:cs="宋体" w:eastAsia="宋体" w:hint="default"/>
                <w:sz w:val="18"/>
                <w:szCs w:val="18"/>
              </w:rPr>
              <w:t> </w:t>
            </w:r>
          </w:p>
          <w:p>
            <w:pPr>
              <w:pStyle w:val="TableParagraph"/>
              <w:spacing w:line="232" w:lineRule="exact" w:before="23"/>
              <w:ind w:left="30" w:right="13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7) </w:t>
            </w:r>
            <w:r>
              <w:rPr>
                <w:rFonts w:ascii="宋体" w:hAnsi="宋体" w:cs="宋体" w:eastAsia="宋体" w:hint="default"/>
                <w:sz w:val="18"/>
                <w:szCs w:val="18"/>
              </w:rPr>
              <w:t>公司审计委员会和审计部门对内部 控制的监督无效；</w:t>
            </w:r>
            <w:r>
              <w:rPr>
                <w:rFonts w:ascii="宋体" w:hAnsi="宋体" w:cs="宋体" w:eastAsia="宋体" w:hint="default"/>
                <w:sz w:val="18"/>
                <w:szCs w:val="18"/>
              </w:rPr>
              <w:t> </w:t>
            </w:r>
          </w:p>
          <w:p>
            <w:pPr>
              <w:pStyle w:val="TableParagraph"/>
              <w:spacing w:line="214" w:lineRule="exact"/>
              <w:ind w:left="30"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 </w:t>
            </w:r>
            <w:r>
              <w:rPr>
                <w:rFonts w:ascii="宋体" w:hAnsi="宋体" w:cs="宋体" w:eastAsia="宋体" w:hint="default"/>
                <w:sz w:val="18"/>
                <w:szCs w:val="18"/>
              </w:rPr>
              <w:t>其他对财务报告使用者作出正确判</w:t>
            </w:r>
          </w:p>
        </w:tc>
        <w:tc>
          <w:tcPr>
            <w:tcW w:w="3051" w:type="dxa"/>
            <w:gridSpan w:val="3"/>
            <w:vMerge w:val="restart"/>
            <w:tcBorders>
              <w:top w:val="nil" w:sz="6" w:space="0" w:color="auto"/>
              <w:left w:val="single" w:sz="4" w:space="0" w:color="000000"/>
              <w:right w:val="single" w:sz="4" w:space="0" w:color="000000"/>
            </w:tcBorders>
          </w:tcPr>
          <w:p>
            <w:pPr>
              <w:pStyle w:val="TableParagraph"/>
              <w:spacing w:line="232" w:lineRule="exact" w:before="113"/>
              <w:ind w:left="24" w:right="135"/>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评价的定性标准如下：</w:t>
            </w:r>
            <w:r>
              <w:rPr>
                <w:rFonts w:ascii="宋体" w:hAnsi="宋体" w:cs="宋体" w:eastAsia="宋体" w:hint="default"/>
                <w:sz w:val="18"/>
                <w:szCs w:val="18"/>
              </w:rPr>
              <w:t> </w:t>
            </w:r>
          </w:p>
          <w:p>
            <w:pPr>
              <w:pStyle w:val="TableParagraph"/>
              <w:spacing w:line="234" w:lineRule="exact"/>
              <w:ind w:left="24" w:right="135" w:firstLine="360"/>
              <w:jc w:val="left"/>
              <w:rPr>
                <w:rFonts w:ascii="宋体" w:hAnsi="宋体" w:cs="宋体" w:eastAsia="宋体" w:hint="default"/>
                <w:sz w:val="18"/>
                <w:szCs w:val="18"/>
              </w:rPr>
            </w:pPr>
            <w:r>
              <w:rPr>
                <w:rFonts w:ascii="宋体" w:hAnsi="宋体" w:cs="宋体" w:eastAsia="宋体" w:hint="default"/>
                <w:sz w:val="18"/>
                <w:szCs w:val="18"/>
              </w:rPr>
              <w:t>出现以下或类似情形的，认定为 重大缺陷：</w:t>
            </w:r>
            <w:r>
              <w:rPr>
                <w:rFonts w:ascii="宋体" w:hAnsi="宋体" w:cs="宋体" w:eastAsia="宋体" w:hint="default"/>
                <w:sz w:val="18"/>
                <w:szCs w:val="18"/>
              </w:rPr>
              <w:t> </w:t>
            </w:r>
          </w:p>
          <w:p>
            <w:pPr>
              <w:pStyle w:val="TableParagraph"/>
              <w:spacing w:line="232" w:lineRule="exact" w:before="3"/>
              <w:ind w:left="24" w:right="4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 </w:t>
            </w:r>
            <w:r>
              <w:rPr>
                <w:rFonts w:ascii="宋体" w:hAnsi="宋体" w:cs="宋体" w:eastAsia="宋体" w:hint="default"/>
                <w:sz w:val="18"/>
                <w:szCs w:val="18"/>
              </w:rPr>
              <w:t>违犯国家法律、法规或规范性文 件；</w:t>
            </w:r>
            <w:r>
              <w:rPr>
                <w:rFonts w:ascii="宋体" w:hAnsi="宋体" w:cs="宋体" w:eastAsia="宋体" w:hint="default"/>
                <w:sz w:val="18"/>
                <w:szCs w:val="18"/>
              </w:rPr>
              <w:t> </w:t>
            </w:r>
          </w:p>
          <w:p>
            <w:pPr>
              <w:pStyle w:val="TableParagraph"/>
              <w:spacing w:line="210" w:lineRule="exact"/>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重大决策程序不科学；</w:t>
            </w:r>
            <w:r>
              <w:rPr>
                <w:rFonts w:ascii="宋体" w:hAnsi="宋体" w:cs="宋体" w:eastAsia="宋体" w:hint="default"/>
                <w:sz w:val="18"/>
                <w:szCs w:val="18"/>
              </w:rPr>
              <w:t> </w:t>
            </w:r>
          </w:p>
          <w:p>
            <w:pPr>
              <w:pStyle w:val="TableParagraph"/>
              <w:spacing w:line="234" w:lineRule="exact"/>
              <w:ind w:left="24" w:right="-4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 </w:t>
            </w:r>
            <w:r>
              <w:rPr>
                <w:rFonts w:ascii="宋体" w:hAnsi="宋体" w:cs="宋体" w:eastAsia="宋体" w:hint="default"/>
                <w:sz w:val="18"/>
                <w:szCs w:val="18"/>
              </w:rPr>
              <w:t>制度缺失可能导致系统性失效；</w:t>
            </w:r>
            <w:r>
              <w:rPr>
                <w:rFonts w:ascii="宋体" w:hAnsi="宋体" w:cs="宋体" w:eastAsia="宋体" w:hint="default"/>
                <w:sz w:val="18"/>
                <w:szCs w:val="18"/>
              </w:rPr>
              <w:t> </w:t>
            </w:r>
          </w:p>
          <w:p>
            <w:pPr>
              <w:pStyle w:val="TableParagraph"/>
              <w:spacing w:line="234" w:lineRule="exact"/>
              <w:ind w:left="24" w:right="-4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 </w:t>
            </w:r>
            <w:r>
              <w:rPr>
                <w:rFonts w:ascii="宋体" w:hAnsi="宋体" w:cs="宋体" w:eastAsia="宋体" w:hint="default"/>
                <w:sz w:val="18"/>
                <w:szCs w:val="18"/>
              </w:rPr>
              <w:t>重大或重要缺陷不能得到整改；</w:t>
            </w:r>
            <w:r>
              <w:rPr>
                <w:rFonts w:ascii="宋体" w:hAnsi="宋体" w:cs="宋体" w:eastAsia="宋体" w:hint="default"/>
                <w:sz w:val="18"/>
                <w:szCs w:val="18"/>
              </w:rPr>
              <w:t> </w:t>
            </w:r>
          </w:p>
          <w:p>
            <w:pPr>
              <w:pStyle w:val="TableParagraph"/>
              <w:spacing w:line="233" w:lineRule="exact"/>
              <w:ind w:left="24" w:right="-4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 </w:t>
            </w:r>
            <w:r>
              <w:rPr>
                <w:rFonts w:ascii="宋体" w:hAnsi="宋体" w:cs="宋体" w:eastAsia="宋体" w:hint="default"/>
                <w:sz w:val="18"/>
                <w:szCs w:val="18"/>
              </w:rPr>
              <w:t>公司声誉造成难以弥补的损害；</w:t>
            </w:r>
            <w:r>
              <w:rPr>
                <w:rFonts w:ascii="宋体" w:hAnsi="宋体" w:cs="宋体" w:eastAsia="宋体" w:hint="default"/>
                <w:sz w:val="18"/>
                <w:szCs w:val="18"/>
              </w:rPr>
              <w:t> </w:t>
            </w:r>
          </w:p>
          <w:p>
            <w:pPr>
              <w:pStyle w:val="TableParagraph"/>
              <w:spacing w:line="232" w:lineRule="exact" w:before="23"/>
              <w:ind w:left="24" w:right="4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6) </w:t>
            </w:r>
            <w:r>
              <w:rPr>
                <w:rFonts w:ascii="宋体" w:hAnsi="宋体" w:cs="宋体" w:eastAsia="宋体" w:hint="default"/>
                <w:sz w:val="18"/>
                <w:szCs w:val="18"/>
              </w:rPr>
              <w:t>其他可能对公司造成重大影响的 情形。</w:t>
            </w:r>
            <w:r>
              <w:rPr>
                <w:rFonts w:ascii="宋体" w:hAnsi="宋体" w:cs="宋体" w:eastAsia="宋体" w:hint="default"/>
                <w:sz w:val="18"/>
                <w:szCs w:val="18"/>
              </w:rPr>
              <w:t> </w:t>
            </w:r>
          </w:p>
          <w:p>
            <w:pPr>
              <w:pStyle w:val="TableParagraph"/>
              <w:spacing w:line="232" w:lineRule="exact" w:before="3"/>
              <w:ind w:left="24" w:right="45" w:firstLine="271"/>
              <w:jc w:val="left"/>
              <w:rPr>
                <w:rFonts w:ascii="宋体" w:hAnsi="宋体" w:cs="宋体" w:eastAsia="宋体" w:hint="default"/>
                <w:sz w:val="18"/>
                <w:szCs w:val="18"/>
              </w:rPr>
            </w:pPr>
            <w:r>
              <w:rPr>
                <w:rFonts w:ascii="宋体" w:hAnsi="宋体" w:cs="宋体" w:eastAsia="宋体" w:hint="default"/>
                <w:sz w:val="18"/>
                <w:szCs w:val="18"/>
              </w:rPr>
              <w:t>其他情形按影响程度分别确定为重 要缺陷或一般缺陷。</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vMerge/>
            <w:tcBorders>
              <w:left w:val="single" w:sz="4" w:space="0" w:color="000000"/>
              <w:right w:val="single" w:sz="4" w:space="0" w:color="000000"/>
            </w:tcBorders>
          </w:tcPr>
          <w:p>
            <w:pPr/>
          </w:p>
        </w:tc>
        <w:tc>
          <w:tcPr>
            <w:tcW w:w="3051" w:type="dxa"/>
            <w:gridSpan w:val="3"/>
            <w:vMerge/>
            <w:tcBorders>
              <w:left w:val="single" w:sz="4" w:space="0" w:color="000000"/>
              <w:right w:val="single" w:sz="4" w:space="0" w:color="000000"/>
            </w:tcBorders>
          </w:tcPr>
          <w:p>
            <w:pPr/>
          </w:p>
        </w:tc>
      </w:tr>
      <w:tr>
        <w:trPr>
          <w:trHeight w:val="1554" w:hRule="exact"/>
        </w:trPr>
        <w:tc>
          <w:tcPr>
            <w:tcW w:w="3189" w:type="dxa"/>
            <w:vMerge w:val="restart"/>
            <w:tcBorders>
              <w:top w:val="nil" w:sz="6" w:space="0" w:color="auto"/>
              <w:left w:val="single" w:sz="4" w:space="0" w:color="000000"/>
              <w:right w:val="single" w:sz="4" w:space="0" w:color="000000"/>
            </w:tcBorders>
            <w:shd w:val="clear" w:color="auto" w:fill="D2D2D2"/>
          </w:tcPr>
          <w:p>
            <w:pPr/>
          </w:p>
        </w:tc>
        <w:tc>
          <w:tcPr>
            <w:tcW w:w="3328" w:type="dxa"/>
            <w:vMerge/>
            <w:tcBorders>
              <w:left w:val="single" w:sz="4" w:space="0" w:color="000000"/>
              <w:bottom w:val="nil" w:sz="6" w:space="0" w:color="auto"/>
              <w:right w:val="single" w:sz="4" w:space="0" w:color="000000"/>
            </w:tcBorders>
          </w:tcPr>
          <w:p>
            <w:pPr/>
          </w:p>
        </w:tc>
        <w:tc>
          <w:tcPr>
            <w:tcW w:w="3051" w:type="dxa"/>
            <w:gridSpan w:val="3"/>
            <w:vMerge/>
            <w:tcBorders>
              <w:left w:val="single" w:sz="4" w:space="0" w:color="000000"/>
              <w:bottom w:val="nil" w:sz="6" w:space="0" w:color="auto"/>
              <w:right w:val="single" w:sz="4" w:space="0" w:color="000000"/>
            </w:tcBorders>
          </w:tcPr>
          <w:p>
            <w:pPr/>
          </w:p>
        </w:tc>
      </w:tr>
      <w:tr>
        <w:trPr>
          <w:trHeight w:val="233" w:hRule="exact"/>
        </w:trPr>
        <w:tc>
          <w:tcPr>
            <w:tcW w:w="3189" w:type="dxa"/>
            <w:vMerge/>
            <w:tcBorders>
              <w:left w:val="single" w:sz="4" w:space="0" w:color="000000"/>
              <w:right w:val="single" w:sz="4" w:space="0" w:color="000000"/>
            </w:tcBorders>
            <w:shd w:val="clear" w:color="auto" w:fill="D2D2D2"/>
          </w:tcPr>
          <w:p>
            <w:pPr/>
          </w:p>
        </w:tc>
        <w:tc>
          <w:tcPr>
            <w:tcW w:w="3328"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30" w:right="0"/>
              <w:jc w:val="left"/>
              <w:rPr>
                <w:rFonts w:ascii="宋体" w:hAnsi="宋体" w:cs="宋体" w:eastAsia="宋体" w:hint="default"/>
                <w:sz w:val="18"/>
                <w:szCs w:val="18"/>
              </w:rPr>
            </w:pPr>
            <w:r>
              <w:rPr>
                <w:rFonts w:ascii="宋体" w:hAnsi="宋体" w:cs="宋体" w:eastAsia="宋体" w:hint="default"/>
                <w:sz w:val="18"/>
                <w:szCs w:val="18"/>
              </w:rPr>
              <w:t>断产生重大影响的缺陷。</w:t>
            </w:r>
            <w:r>
              <w:rPr>
                <w:rFonts w:ascii="宋体" w:hAnsi="宋体" w:cs="宋体" w:eastAsia="宋体" w:hint="default"/>
                <w:sz w:val="18"/>
                <w:szCs w:val="18"/>
              </w:rPr>
              <w:t> </w:t>
            </w:r>
          </w:p>
        </w:tc>
        <w:tc>
          <w:tcPr>
            <w:tcW w:w="3051" w:type="dxa"/>
            <w:gridSpan w:val="3"/>
            <w:tcBorders>
              <w:top w:val="nil" w:sz="6" w:space="0" w:color="auto"/>
              <w:left w:val="single" w:sz="4" w:space="0" w:color="000000"/>
              <w:bottom w:val="nil" w:sz="6" w:space="0" w:color="auto"/>
              <w:right w:val="single" w:sz="4" w:space="0" w:color="000000"/>
            </w:tcBorders>
          </w:tcPr>
          <w:p>
            <w:pPr/>
          </w:p>
        </w:tc>
      </w:tr>
      <w:tr>
        <w:trPr>
          <w:trHeight w:val="233" w:hRule="exact"/>
        </w:trPr>
        <w:tc>
          <w:tcPr>
            <w:tcW w:w="3189" w:type="dxa"/>
            <w:vMerge/>
            <w:tcBorders>
              <w:left w:val="single" w:sz="4" w:space="0" w:color="000000"/>
              <w:right w:val="single" w:sz="4" w:space="0" w:color="000000"/>
            </w:tcBorders>
            <w:shd w:val="clear" w:color="auto" w:fill="D2D2D2"/>
          </w:tcPr>
          <w:p>
            <w:pPr/>
          </w:p>
        </w:tc>
        <w:tc>
          <w:tcPr>
            <w:tcW w:w="3328"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46"/>
              <w:jc w:val="right"/>
              <w:rPr>
                <w:rFonts w:ascii="宋体" w:hAnsi="宋体" w:cs="宋体" w:eastAsia="宋体" w:hint="default"/>
                <w:sz w:val="18"/>
                <w:szCs w:val="18"/>
              </w:rPr>
            </w:pPr>
            <w:r>
              <w:rPr>
                <w:rFonts w:ascii="宋体" w:hAnsi="宋体" w:cs="宋体" w:eastAsia="宋体" w:hint="default"/>
                <w:sz w:val="18"/>
                <w:szCs w:val="18"/>
              </w:rPr>
              <w:t>其他情形按影响程度分别确定为重要缺</w:t>
            </w:r>
          </w:p>
        </w:tc>
        <w:tc>
          <w:tcPr>
            <w:tcW w:w="3051" w:type="dxa"/>
            <w:gridSpan w:val="3"/>
            <w:tcBorders>
              <w:top w:val="nil" w:sz="6" w:space="0" w:color="auto"/>
              <w:left w:val="single" w:sz="4" w:space="0" w:color="000000"/>
              <w:bottom w:val="nil" w:sz="6" w:space="0" w:color="auto"/>
              <w:right w:val="single" w:sz="4" w:space="0" w:color="000000"/>
            </w:tcBorders>
          </w:tcPr>
          <w:p>
            <w:pPr/>
          </w:p>
        </w:tc>
      </w:tr>
      <w:tr>
        <w:trPr>
          <w:trHeight w:val="241" w:hRule="exact"/>
        </w:trPr>
        <w:tc>
          <w:tcPr>
            <w:tcW w:w="3189" w:type="dxa"/>
            <w:vMerge/>
            <w:tcBorders>
              <w:left w:val="single" w:sz="4" w:space="0" w:color="000000"/>
              <w:bottom w:val="single" w:sz="4" w:space="0" w:color="000000"/>
              <w:right w:val="single" w:sz="4" w:space="0" w:color="000000"/>
            </w:tcBorders>
            <w:shd w:val="clear" w:color="auto" w:fill="D2D2D2"/>
          </w:tcPr>
          <w:p>
            <w:pPr/>
          </w:p>
        </w:tc>
        <w:tc>
          <w:tcPr>
            <w:tcW w:w="332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30" w:right="0"/>
              <w:jc w:val="left"/>
              <w:rPr>
                <w:rFonts w:ascii="宋体" w:hAnsi="宋体" w:cs="宋体" w:eastAsia="宋体" w:hint="default"/>
                <w:sz w:val="18"/>
                <w:szCs w:val="18"/>
              </w:rPr>
            </w:pPr>
            <w:r>
              <w:rPr>
                <w:rFonts w:ascii="宋体" w:hAnsi="宋体" w:cs="宋体" w:eastAsia="宋体" w:hint="default"/>
                <w:sz w:val="18"/>
                <w:szCs w:val="18"/>
              </w:rPr>
              <w:t>陷或一般缺陷。</w:t>
            </w:r>
          </w:p>
        </w:tc>
        <w:tc>
          <w:tcPr>
            <w:tcW w:w="3051" w:type="dxa"/>
            <w:gridSpan w:val="3"/>
            <w:tcBorders>
              <w:top w:val="nil" w:sz="6" w:space="0" w:color="auto"/>
              <w:left w:val="single" w:sz="4" w:space="0" w:color="000000"/>
              <w:bottom w:val="single" w:sz="4" w:space="0" w:color="000000"/>
              <w:right w:val="single" w:sz="4" w:space="0" w:color="000000"/>
            </w:tcBorders>
          </w:tcPr>
          <w:p>
            <w:pPr/>
          </w:p>
        </w:tc>
      </w:tr>
      <w:tr>
        <w:trPr>
          <w:trHeight w:val="414" w:hRule="exact"/>
        </w:trPr>
        <w:tc>
          <w:tcPr>
            <w:tcW w:w="3189" w:type="dxa"/>
            <w:vMerge w:val="restart"/>
            <w:tcBorders>
              <w:top w:val="single" w:sz="4" w:space="0" w:color="000000"/>
              <w:left w:val="single" w:sz="4" w:space="0" w:color="000000"/>
              <w:right w:val="single" w:sz="4" w:space="0" w:color="000000"/>
            </w:tcBorders>
            <w:shd w:val="clear" w:color="auto" w:fill="D2D2D2"/>
          </w:tcPr>
          <w:p>
            <w:pPr/>
          </w:p>
        </w:tc>
        <w:tc>
          <w:tcPr>
            <w:tcW w:w="3328" w:type="dxa"/>
            <w:tcBorders>
              <w:top w:val="single" w:sz="4" w:space="0" w:color="000000"/>
              <w:left w:val="single" w:sz="4" w:space="0" w:color="000000"/>
              <w:bottom w:val="nil" w:sz="6" w:space="0" w:color="auto"/>
              <w:right w:val="single" w:sz="4" w:space="0" w:color="000000"/>
            </w:tcBorders>
          </w:tcPr>
          <w:p>
            <w:pPr/>
          </w:p>
        </w:tc>
        <w:tc>
          <w:tcPr>
            <w:tcW w:w="3051"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w:t>
            </w:r>
          </w:p>
        </w:tc>
      </w:tr>
      <w:tr>
        <w:trPr>
          <w:trHeight w:val="336" w:hRule="exact"/>
        </w:trPr>
        <w:tc>
          <w:tcPr>
            <w:tcW w:w="3189" w:type="dxa"/>
            <w:vMerge/>
            <w:tcBorders>
              <w:left w:val="single" w:sz="4" w:space="0" w:color="000000"/>
              <w:right w:val="single" w:sz="4" w:space="0" w:color="000000"/>
            </w:tcBorders>
            <w:shd w:val="clear" w:color="auto" w:fill="D2D2D2"/>
          </w:tcPr>
          <w:p>
            <w:pPr/>
          </w:p>
        </w:tc>
        <w:tc>
          <w:tcPr>
            <w:tcW w:w="332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30" w:right="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w:t>
            </w:r>
          </w:p>
        </w:tc>
        <w:tc>
          <w:tcPr>
            <w:tcW w:w="3051"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评价的定量标准如下：</w:t>
            </w:r>
            <w:r>
              <w:rPr>
                <w:rFonts w:ascii="宋体" w:hAnsi="宋体" w:cs="宋体" w:eastAsia="宋体" w:hint="default"/>
                <w:sz w:val="18"/>
                <w:szCs w:val="18"/>
              </w:rPr>
              <w:t> </w:t>
            </w:r>
          </w:p>
        </w:tc>
      </w:tr>
      <w:tr>
        <w:trPr>
          <w:trHeight w:val="60" w:hRule="exact"/>
        </w:trPr>
        <w:tc>
          <w:tcPr>
            <w:tcW w:w="3189" w:type="dxa"/>
            <w:vMerge/>
            <w:tcBorders>
              <w:left w:val="single" w:sz="4" w:space="0" w:color="000000"/>
              <w:right w:val="single" w:sz="4" w:space="0" w:color="000000"/>
            </w:tcBorders>
            <w:shd w:val="clear" w:color="auto" w:fill="D2D2D2"/>
          </w:tcPr>
          <w:p>
            <w:pPr/>
          </w:p>
        </w:tc>
        <w:tc>
          <w:tcPr>
            <w:tcW w:w="3328" w:type="dxa"/>
            <w:vMerge w:val="restart"/>
            <w:tcBorders>
              <w:top w:val="nil" w:sz="6" w:space="0" w:color="auto"/>
              <w:left w:val="single" w:sz="4" w:space="0" w:color="000000"/>
              <w:right w:val="single" w:sz="18" w:space="0" w:color="000000"/>
            </w:tcBorders>
          </w:tcPr>
          <w:p>
            <w:pPr>
              <w:pStyle w:val="TableParagraph"/>
              <w:spacing w:line="212" w:lineRule="exact"/>
              <w:ind w:left="30" w:right="0"/>
              <w:jc w:val="left"/>
              <w:rPr>
                <w:rFonts w:ascii="宋体" w:hAnsi="宋体" w:cs="宋体" w:eastAsia="宋体" w:hint="default"/>
                <w:sz w:val="18"/>
                <w:szCs w:val="18"/>
              </w:rPr>
            </w:pPr>
            <w:r>
              <w:rPr>
                <w:rFonts w:ascii="宋体" w:hAnsi="宋体" w:cs="宋体" w:eastAsia="宋体" w:hint="default"/>
                <w:sz w:val="18"/>
                <w:szCs w:val="18"/>
              </w:rPr>
              <w:t>定量标准如下：</w:t>
            </w:r>
            <w:r>
              <w:rPr>
                <w:rFonts w:ascii="宋体" w:hAnsi="宋体" w:cs="宋体" w:eastAsia="宋体" w:hint="default"/>
                <w:sz w:val="18"/>
                <w:szCs w:val="18"/>
              </w:rPr>
              <w:t> </w:t>
            </w:r>
          </w:p>
        </w:tc>
        <w:tc>
          <w:tcPr>
            <w:tcW w:w="3051" w:type="dxa"/>
            <w:gridSpan w:val="3"/>
            <w:tcBorders>
              <w:top w:val="nil" w:sz="6" w:space="0" w:color="auto"/>
              <w:left w:val="single" w:sz="4" w:space="0" w:color="000000"/>
              <w:bottom w:val="single" w:sz="4" w:space="0" w:color="000000"/>
              <w:right w:val="single" w:sz="4" w:space="0" w:color="000000"/>
            </w:tcBorders>
          </w:tcPr>
          <w:p>
            <w:pPr/>
          </w:p>
        </w:tc>
      </w:tr>
      <w:tr>
        <w:trPr>
          <w:trHeight w:val="238" w:hRule="exact"/>
        </w:trPr>
        <w:tc>
          <w:tcPr>
            <w:tcW w:w="3189" w:type="dxa"/>
            <w:vMerge/>
            <w:tcBorders>
              <w:left w:val="single" w:sz="4" w:space="0" w:color="000000"/>
              <w:right w:val="single" w:sz="4" w:space="0" w:color="000000"/>
            </w:tcBorders>
            <w:shd w:val="clear" w:color="auto" w:fill="D2D2D2"/>
          </w:tcPr>
          <w:p>
            <w:pPr/>
          </w:p>
        </w:tc>
        <w:tc>
          <w:tcPr>
            <w:tcW w:w="3328" w:type="dxa"/>
            <w:vMerge/>
            <w:tcBorders>
              <w:left w:val="single" w:sz="4" w:space="0" w:color="000000"/>
              <w:bottom w:val="nil" w:sz="6" w:space="0" w:color="auto"/>
              <w:right w:val="single" w:sz="18" w:space="0" w:color="000000"/>
            </w:tcBorders>
          </w:tcPr>
          <w:p>
            <w:pPr/>
          </w:p>
        </w:tc>
        <w:tc>
          <w:tcPr>
            <w:tcW w:w="603" w:type="dxa"/>
            <w:tcBorders>
              <w:top w:val="single" w:sz="4" w:space="0" w:color="000000"/>
              <w:left w:val="single" w:sz="18" w:space="0" w:color="000000"/>
              <w:bottom w:val="nil" w:sz="6" w:space="0" w:color="auto"/>
              <w:right w:val="single" w:sz="4" w:space="0" w:color="000000"/>
            </w:tcBorders>
          </w:tcPr>
          <w:p>
            <w:pPr>
              <w:pStyle w:val="TableParagraph"/>
              <w:spacing w:line="205" w:lineRule="exact"/>
              <w:ind w:left="206" w:right="0"/>
              <w:jc w:val="left"/>
              <w:rPr>
                <w:rFonts w:ascii="宋体" w:hAnsi="宋体" w:cs="宋体" w:eastAsia="宋体" w:hint="default"/>
                <w:sz w:val="18"/>
                <w:szCs w:val="18"/>
              </w:rPr>
            </w:pPr>
            <w:r>
              <w:rPr>
                <w:rFonts w:ascii="宋体" w:hAnsi="宋体" w:cs="宋体" w:eastAsia="宋体" w:hint="default"/>
                <w:sz w:val="18"/>
                <w:szCs w:val="18"/>
              </w:rPr>
              <w:t>缺</w:t>
            </w:r>
          </w:p>
        </w:tc>
        <w:tc>
          <w:tcPr>
            <w:tcW w:w="1246" w:type="dxa"/>
            <w:tcBorders>
              <w:top w:val="single" w:sz="4" w:space="0" w:color="000000"/>
              <w:left w:val="single" w:sz="4" w:space="0" w:color="000000"/>
              <w:bottom w:val="nil" w:sz="6" w:space="0" w:color="auto"/>
              <w:right w:val="single" w:sz="4" w:space="0" w:color="000000"/>
            </w:tcBorders>
          </w:tcPr>
          <w:p>
            <w:pPr/>
          </w:p>
        </w:tc>
        <w:tc>
          <w:tcPr>
            <w:tcW w:w="1203" w:type="dxa"/>
            <w:tcBorders>
              <w:top w:val="single" w:sz="4" w:space="0" w:color="000000"/>
              <w:left w:val="single" w:sz="4" w:space="0" w:color="000000"/>
              <w:bottom w:val="nil" w:sz="6" w:space="0" w:color="auto"/>
              <w:right w:val="single" w:sz="32" w:space="0" w:color="000000"/>
            </w:tcBorders>
          </w:tcPr>
          <w:p>
            <w:pPr/>
          </w:p>
        </w:tc>
      </w:tr>
      <w:tr>
        <w:trPr>
          <w:trHeight w:val="234" w:hRule="exact"/>
        </w:trPr>
        <w:tc>
          <w:tcPr>
            <w:tcW w:w="3189" w:type="dxa"/>
            <w:vMerge/>
            <w:tcBorders>
              <w:left w:val="single" w:sz="4" w:space="0" w:color="000000"/>
              <w:right w:val="single" w:sz="4" w:space="0" w:color="000000"/>
            </w:tcBorders>
            <w:shd w:val="clear" w:color="auto" w:fill="D2D2D2"/>
          </w:tcPr>
          <w:p>
            <w:pPr/>
          </w:p>
        </w:tc>
        <w:tc>
          <w:tcPr>
            <w:tcW w:w="3328" w:type="dxa"/>
            <w:tcBorders>
              <w:top w:val="nil" w:sz="6" w:space="0" w:color="auto"/>
              <w:left w:val="single" w:sz="4" w:space="0" w:color="000000"/>
              <w:bottom w:val="nil" w:sz="6" w:space="0" w:color="auto"/>
              <w:right w:val="single" w:sz="18" w:space="0" w:color="000000"/>
            </w:tcBorders>
          </w:tcPr>
          <w:p>
            <w:pPr/>
          </w:p>
        </w:tc>
        <w:tc>
          <w:tcPr>
            <w:tcW w:w="603" w:type="dxa"/>
            <w:tcBorders>
              <w:top w:val="nil" w:sz="6" w:space="0" w:color="auto"/>
              <w:left w:val="single" w:sz="18" w:space="0" w:color="000000"/>
              <w:bottom w:val="nil" w:sz="6" w:space="0" w:color="auto"/>
              <w:right w:val="single" w:sz="4" w:space="0" w:color="000000"/>
            </w:tcBorders>
          </w:tcPr>
          <w:p>
            <w:pPr>
              <w:pStyle w:val="TableParagraph"/>
              <w:spacing w:line="208" w:lineRule="exact"/>
              <w:ind w:left="206" w:right="0"/>
              <w:jc w:val="left"/>
              <w:rPr>
                <w:rFonts w:ascii="宋体" w:hAnsi="宋体" w:cs="宋体" w:eastAsia="宋体" w:hint="default"/>
                <w:sz w:val="18"/>
                <w:szCs w:val="18"/>
              </w:rPr>
            </w:pPr>
            <w:r>
              <w:rPr>
                <w:rFonts w:ascii="宋体" w:hAnsi="宋体" w:cs="宋体" w:eastAsia="宋体" w:hint="default"/>
                <w:sz w:val="18"/>
                <w:szCs w:val="18"/>
              </w:rPr>
              <w:t>陷</w:t>
            </w:r>
          </w:p>
        </w:tc>
        <w:tc>
          <w:tcPr>
            <w:tcW w:w="1246"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pacing w:val="1"/>
                <w:sz w:val="18"/>
                <w:szCs w:val="18"/>
              </w:rPr>
              <w:t> </w:t>
            </w:r>
            <w:r>
              <w:rPr>
                <w:rFonts w:ascii="宋体" w:hAnsi="宋体" w:cs="宋体" w:eastAsia="宋体" w:hint="default"/>
                <w:sz w:val="18"/>
                <w:szCs w:val="18"/>
              </w:rPr>
              <w:t>直接财产损</w:t>
            </w:r>
          </w:p>
        </w:tc>
        <w:tc>
          <w:tcPr>
            <w:tcW w:w="1203" w:type="dxa"/>
            <w:tcBorders>
              <w:top w:val="nil" w:sz="6" w:space="0" w:color="auto"/>
              <w:left w:val="single" w:sz="4" w:space="0" w:color="000000"/>
              <w:bottom w:val="nil" w:sz="6" w:space="0" w:color="auto"/>
              <w:right w:val="single" w:sz="32"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重大负面影</w:t>
            </w:r>
          </w:p>
        </w:tc>
      </w:tr>
      <w:tr>
        <w:trPr>
          <w:trHeight w:val="109" w:hRule="exact"/>
        </w:trPr>
        <w:tc>
          <w:tcPr>
            <w:tcW w:w="3189" w:type="dxa"/>
            <w:vMerge/>
            <w:tcBorders>
              <w:left w:val="single" w:sz="4" w:space="0" w:color="000000"/>
              <w:bottom w:val="nil" w:sz="6" w:space="0" w:color="auto"/>
              <w:right w:val="single" w:sz="4" w:space="0" w:color="000000"/>
            </w:tcBorders>
            <w:shd w:val="clear" w:color="auto" w:fill="D2D2D2"/>
          </w:tcPr>
          <w:p>
            <w:pPr/>
          </w:p>
        </w:tc>
        <w:tc>
          <w:tcPr>
            <w:tcW w:w="3328" w:type="dxa"/>
            <w:vMerge w:val="restart"/>
            <w:tcBorders>
              <w:top w:val="nil" w:sz="6" w:space="0" w:color="auto"/>
              <w:left w:val="single" w:sz="4" w:space="0" w:color="000000"/>
              <w:right w:val="single" w:sz="18" w:space="0" w:color="000000"/>
            </w:tcBorders>
          </w:tcPr>
          <w:p>
            <w:pPr/>
          </w:p>
        </w:tc>
        <w:tc>
          <w:tcPr>
            <w:tcW w:w="603" w:type="dxa"/>
            <w:vMerge w:val="restart"/>
            <w:tcBorders>
              <w:top w:val="nil" w:sz="6" w:space="0" w:color="auto"/>
              <w:left w:val="single" w:sz="18" w:space="0" w:color="000000"/>
              <w:right w:val="single" w:sz="4" w:space="0" w:color="000000"/>
            </w:tcBorders>
          </w:tcPr>
          <w:p>
            <w:pPr>
              <w:pStyle w:val="TableParagraph"/>
              <w:spacing w:line="206" w:lineRule="exact"/>
              <w:ind w:left="206" w:right="0"/>
              <w:jc w:val="left"/>
              <w:rPr>
                <w:rFonts w:ascii="宋体" w:hAnsi="宋体" w:cs="宋体" w:eastAsia="宋体" w:hint="default"/>
                <w:sz w:val="18"/>
                <w:szCs w:val="18"/>
              </w:rPr>
            </w:pPr>
            <w:r>
              <w:rPr>
                <w:rFonts w:ascii="宋体" w:hAnsi="宋体" w:cs="宋体" w:eastAsia="宋体" w:hint="default"/>
                <w:sz w:val="18"/>
                <w:szCs w:val="18"/>
              </w:rPr>
              <w:t>认</w:t>
            </w:r>
          </w:p>
        </w:tc>
        <w:tc>
          <w:tcPr>
            <w:tcW w:w="1246" w:type="dxa"/>
            <w:vMerge w:val="restart"/>
            <w:tcBorders>
              <w:top w:val="nil" w:sz="6" w:space="0" w:color="auto"/>
              <w:left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失金额</w:t>
            </w:r>
            <w:r>
              <w:rPr>
                <w:rFonts w:ascii="宋体" w:hAnsi="宋体" w:cs="宋体" w:eastAsia="宋体" w:hint="default"/>
                <w:sz w:val="18"/>
                <w:szCs w:val="18"/>
              </w:rPr>
              <w:t> </w:t>
            </w:r>
          </w:p>
        </w:tc>
        <w:tc>
          <w:tcPr>
            <w:tcW w:w="1203" w:type="dxa"/>
            <w:vMerge w:val="restart"/>
            <w:tcBorders>
              <w:top w:val="nil" w:sz="6" w:space="0" w:color="auto"/>
              <w:left w:val="single" w:sz="4" w:space="0" w:color="000000"/>
              <w:right w:val="single" w:sz="32"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响</w:t>
            </w:r>
            <w:r>
              <w:rPr>
                <w:rFonts w:ascii="宋体" w:hAnsi="宋体" w:cs="宋体" w:eastAsia="宋体" w:hint="default"/>
                <w:sz w:val="18"/>
                <w:szCs w:val="18"/>
              </w:rPr>
              <w:t> </w:t>
            </w:r>
          </w:p>
        </w:tc>
      </w:tr>
      <w:tr>
        <w:trPr>
          <w:trHeight w:val="124" w:hRule="exact"/>
        </w:trPr>
        <w:tc>
          <w:tcPr>
            <w:tcW w:w="31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8" w:type="dxa"/>
            <w:vMerge/>
            <w:tcBorders>
              <w:left w:val="single" w:sz="4" w:space="0" w:color="000000"/>
              <w:bottom w:val="nil" w:sz="6" w:space="0" w:color="auto"/>
              <w:right w:val="single" w:sz="18" w:space="0" w:color="000000"/>
            </w:tcBorders>
          </w:tcPr>
          <w:p>
            <w:pPr/>
          </w:p>
        </w:tc>
        <w:tc>
          <w:tcPr>
            <w:tcW w:w="603" w:type="dxa"/>
            <w:vMerge/>
            <w:tcBorders>
              <w:left w:val="single" w:sz="18" w:space="0" w:color="000000"/>
              <w:bottom w:val="nil" w:sz="6" w:space="0" w:color="auto"/>
              <w:right w:val="single" w:sz="4" w:space="0" w:color="000000"/>
            </w:tcBorders>
          </w:tcPr>
          <w:p>
            <w:pPr/>
          </w:p>
        </w:tc>
        <w:tc>
          <w:tcPr>
            <w:tcW w:w="1246" w:type="dxa"/>
            <w:vMerge/>
            <w:tcBorders>
              <w:left w:val="single" w:sz="4" w:space="0" w:color="000000"/>
              <w:bottom w:val="nil" w:sz="6" w:space="0" w:color="auto"/>
              <w:right w:val="single" w:sz="4" w:space="0" w:color="000000"/>
            </w:tcBorders>
          </w:tcPr>
          <w:p>
            <w:pPr/>
          </w:p>
        </w:tc>
        <w:tc>
          <w:tcPr>
            <w:tcW w:w="1203" w:type="dxa"/>
            <w:vMerge/>
            <w:tcBorders>
              <w:left w:val="single" w:sz="4" w:space="0" w:color="000000"/>
              <w:bottom w:val="nil" w:sz="6" w:space="0" w:color="auto"/>
              <w:right w:val="single" w:sz="32" w:space="0" w:color="000000"/>
            </w:tcBorders>
          </w:tcPr>
          <w:p>
            <w:pPr/>
          </w:p>
        </w:tc>
      </w:tr>
      <w:tr>
        <w:trPr>
          <w:trHeight w:val="254" w:hRule="exact"/>
        </w:trPr>
        <w:tc>
          <w:tcPr>
            <w:tcW w:w="3189" w:type="dxa"/>
            <w:vMerge/>
            <w:tcBorders>
              <w:left w:val="single" w:sz="4" w:space="0" w:color="000000"/>
              <w:bottom w:val="nil" w:sz="6" w:space="0" w:color="auto"/>
              <w:right w:val="single" w:sz="4" w:space="0" w:color="000000"/>
            </w:tcBorders>
            <w:shd w:val="clear" w:color="auto" w:fill="D2D2D2"/>
          </w:tcPr>
          <w:p>
            <w:pPr/>
          </w:p>
        </w:tc>
        <w:tc>
          <w:tcPr>
            <w:tcW w:w="3328" w:type="dxa"/>
            <w:tcBorders>
              <w:top w:val="nil" w:sz="6" w:space="0" w:color="auto"/>
              <w:left w:val="single" w:sz="4" w:space="0" w:color="000000"/>
              <w:bottom w:val="nil" w:sz="6" w:space="0" w:color="auto"/>
              <w:right w:val="single" w:sz="18" w:space="0" w:color="000000"/>
            </w:tcBorders>
          </w:tcPr>
          <w:p>
            <w:pPr/>
          </w:p>
        </w:tc>
        <w:tc>
          <w:tcPr>
            <w:tcW w:w="603" w:type="dxa"/>
            <w:tcBorders>
              <w:top w:val="nil" w:sz="6" w:space="0" w:color="auto"/>
              <w:left w:val="single" w:sz="18" w:space="0" w:color="000000"/>
              <w:bottom w:val="single" w:sz="4" w:space="0" w:color="000000"/>
              <w:right w:val="single" w:sz="4" w:space="0" w:color="000000"/>
            </w:tcBorders>
          </w:tcPr>
          <w:p>
            <w:pPr>
              <w:pStyle w:val="TableParagraph"/>
              <w:spacing w:line="206" w:lineRule="exact"/>
              <w:ind w:left="206" w:right="0"/>
              <w:jc w:val="left"/>
              <w:rPr>
                <w:rFonts w:ascii="宋体" w:hAnsi="宋体" w:cs="宋体" w:eastAsia="宋体" w:hint="default"/>
                <w:sz w:val="18"/>
                <w:szCs w:val="18"/>
              </w:rPr>
            </w:pPr>
            <w:r>
              <w:rPr>
                <w:rFonts w:ascii="宋体" w:hAnsi="宋体" w:cs="宋体" w:eastAsia="宋体" w:hint="default"/>
                <w:sz w:val="18"/>
                <w:szCs w:val="18"/>
              </w:rPr>
              <w:t>定</w:t>
            </w:r>
            <w:r>
              <w:rPr>
                <w:rFonts w:ascii="宋体" w:hAnsi="宋体" w:cs="宋体" w:eastAsia="宋体" w:hint="default"/>
                <w:sz w:val="18"/>
                <w:szCs w:val="18"/>
              </w:rPr>
              <w:t> </w:t>
            </w:r>
          </w:p>
        </w:tc>
        <w:tc>
          <w:tcPr>
            <w:tcW w:w="1246" w:type="dxa"/>
            <w:tcBorders>
              <w:top w:val="nil" w:sz="6" w:space="0" w:color="auto"/>
              <w:left w:val="single" w:sz="4" w:space="0" w:color="000000"/>
              <w:bottom w:val="single" w:sz="4" w:space="0" w:color="000000"/>
              <w:right w:val="single" w:sz="4" w:space="0" w:color="000000"/>
            </w:tcBorders>
          </w:tcPr>
          <w:p>
            <w:pPr/>
          </w:p>
        </w:tc>
        <w:tc>
          <w:tcPr>
            <w:tcW w:w="1203" w:type="dxa"/>
            <w:tcBorders>
              <w:top w:val="nil" w:sz="6" w:space="0" w:color="auto"/>
              <w:left w:val="single" w:sz="4" w:space="0" w:color="000000"/>
              <w:bottom w:val="single" w:sz="4" w:space="0" w:color="000000"/>
              <w:right w:val="single" w:sz="32" w:space="0" w:color="000000"/>
            </w:tcBorders>
          </w:tcPr>
          <w:p>
            <w:pPr/>
          </w:p>
        </w:tc>
      </w:tr>
      <w:tr>
        <w:trPr>
          <w:trHeight w:val="1408"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8" w:type="dxa"/>
            <w:tcBorders>
              <w:top w:val="nil" w:sz="6" w:space="0" w:color="auto"/>
              <w:left w:val="single" w:sz="4" w:space="0" w:color="000000"/>
              <w:bottom w:val="single" w:sz="4" w:space="0" w:color="000000"/>
              <w:right w:val="single" w:sz="18" w:space="0" w:color="000000"/>
            </w:tcBorders>
          </w:tcPr>
          <w:p>
            <w:pPr/>
          </w:p>
        </w:tc>
        <w:tc>
          <w:tcPr>
            <w:tcW w:w="603" w:type="dxa"/>
            <w:tcBorders>
              <w:top w:val="single" w:sz="4" w:space="0" w:color="000000"/>
              <w:left w:val="single" w:sz="18" w:space="0" w:color="000000"/>
              <w:bottom w:val="single" w:sz="9"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37" w:lineRule="auto"/>
              <w:ind w:left="206" w:right="97"/>
              <w:jc w:val="both"/>
              <w:rPr>
                <w:rFonts w:ascii="宋体" w:hAnsi="宋体" w:cs="宋体" w:eastAsia="宋体" w:hint="default"/>
                <w:sz w:val="18"/>
                <w:szCs w:val="18"/>
              </w:rPr>
            </w:pPr>
            <w:r>
              <w:rPr>
                <w:rFonts w:ascii="宋体" w:hAnsi="宋体" w:cs="宋体" w:eastAsia="宋体" w:hint="default"/>
                <w:sz w:val="18"/>
                <w:szCs w:val="18"/>
              </w:rPr>
              <w:t>重 大 缺 陷</w:t>
            </w:r>
            <w:r>
              <w:rPr>
                <w:rFonts w:ascii="宋体" w:hAnsi="宋体" w:cs="宋体" w:eastAsia="宋体" w:hint="default"/>
                <w:sz w:val="18"/>
                <w:szCs w:val="18"/>
              </w:rPr>
              <w:t> </w:t>
            </w:r>
          </w:p>
        </w:tc>
        <w:tc>
          <w:tcPr>
            <w:tcW w:w="1246" w:type="dxa"/>
            <w:tcBorders>
              <w:top w:val="single" w:sz="4" w:space="0" w:color="000000"/>
              <w:left w:val="single" w:sz="4" w:space="0" w:color="000000"/>
              <w:bottom w:val="single" w:sz="9" w:space="0" w:color="000000"/>
              <w:right w:val="single" w:sz="4" w:space="0" w:color="000000"/>
            </w:tcBorders>
          </w:tcPr>
          <w:p>
            <w:pPr>
              <w:pStyle w:val="TableParagraph"/>
              <w:spacing w:line="191" w:lineRule="exact"/>
              <w:ind w:left="103" w:right="0"/>
              <w:jc w:val="left"/>
              <w:rPr>
                <w:rFonts w:ascii="宋体" w:hAnsi="宋体" w:cs="宋体" w:eastAsia="宋体" w:hint="default"/>
                <w:sz w:val="18"/>
                <w:szCs w:val="18"/>
              </w:rPr>
            </w:pPr>
            <w:r>
              <w:rPr>
                <w:rFonts w:ascii="宋体" w:hAnsi="宋体" w:cs="宋体" w:eastAsia="宋体" w:hint="default"/>
                <w:sz w:val="18"/>
                <w:szCs w:val="18"/>
              </w:rPr>
              <w:t>直接财产损</w:t>
            </w:r>
          </w:p>
          <w:p>
            <w:pPr>
              <w:pStyle w:val="TableParagraph"/>
              <w:spacing w:line="237" w:lineRule="auto"/>
              <w:ind w:left="103" w:right="140"/>
              <w:jc w:val="left"/>
              <w:rPr>
                <w:rFonts w:ascii="宋体" w:hAnsi="宋体" w:cs="宋体" w:eastAsia="宋体" w:hint="default"/>
                <w:sz w:val="18"/>
                <w:szCs w:val="18"/>
              </w:rPr>
            </w:pPr>
            <w:r>
              <w:rPr>
                <w:rFonts w:ascii="宋体" w:hAnsi="宋体" w:cs="宋体" w:eastAsia="宋体" w:hint="default"/>
                <w:sz w:val="18"/>
                <w:szCs w:val="18"/>
              </w:rPr>
              <w:t>失金额≥营 业收入总额</w:t>
            </w:r>
            <w:r>
              <w:rPr>
                <w:rFonts w:ascii="宋体" w:hAnsi="宋体" w:cs="宋体" w:eastAsia="宋体" w:hint="default"/>
                <w:sz w:val="18"/>
                <w:szCs w:val="18"/>
              </w:rPr>
              <w:t> </w:t>
            </w:r>
            <w:r>
              <w:rPr>
                <w:rFonts w:ascii="宋体" w:hAnsi="宋体" w:cs="宋体" w:eastAsia="宋体" w:hint="default"/>
                <w:sz w:val="18"/>
                <w:szCs w:val="18"/>
              </w:rPr>
              <w:t>的</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z w:val="18"/>
                <w:szCs w:val="18"/>
              </w:rPr>
              <w:t>与资 产总额的</w:t>
            </w:r>
            <w:r>
              <w:rPr>
                <w:rFonts w:ascii="宋体" w:hAnsi="宋体" w:cs="宋体" w:eastAsia="宋体" w:hint="default"/>
                <w:sz w:val="18"/>
                <w:szCs w:val="18"/>
              </w:rPr>
              <w:t> 0.5%</w:t>
            </w:r>
            <w:r>
              <w:rPr>
                <w:rFonts w:ascii="宋体" w:hAnsi="宋体" w:cs="宋体" w:eastAsia="宋体" w:hint="default"/>
                <w:sz w:val="18"/>
                <w:szCs w:val="18"/>
              </w:rPr>
              <w:t>孰低者</w:t>
            </w:r>
            <w:r>
              <w:rPr>
                <w:rFonts w:ascii="宋体" w:hAnsi="宋体" w:cs="宋体" w:eastAsia="宋体" w:hint="default"/>
                <w:sz w:val="18"/>
                <w:szCs w:val="18"/>
              </w:rPr>
              <w:t> </w:t>
            </w:r>
          </w:p>
        </w:tc>
        <w:tc>
          <w:tcPr>
            <w:tcW w:w="1203" w:type="dxa"/>
            <w:tcBorders>
              <w:top w:val="single" w:sz="4" w:space="0" w:color="000000"/>
              <w:left w:val="single" w:sz="4" w:space="0" w:color="000000"/>
              <w:bottom w:val="single" w:sz="9" w:space="0" w:color="000000"/>
              <w:right w:val="single" w:sz="32" w:space="0" w:color="000000"/>
            </w:tcBorders>
          </w:tcPr>
          <w:p>
            <w:pPr>
              <w:pStyle w:val="TableParagraph"/>
              <w:spacing w:line="237" w:lineRule="auto" w:before="74"/>
              <w:ind w:left="103" w:right="153"/>
              <w:jc w:val="both"/>
              <w:rPr>
                <w:rFonts w:ascii="宋体" w:hAnsi="宋体" w:cs="宋体" w:eastAsia="宋体" w:hint="default"/>
                <w:sz w:val="18"/>
                <w:szCs w:val="18"/>
              </w:rPr>
            </w:pPr>
            <w:r>
              <w:rPr>
                <w:rFonts w:ascii="宋体" w:hAnsi="宋体" w:cs="宋体" w:eastAsia="宋体" w:hint="default"/>
                <w:sz w:val="18"/>
                <w:szCs w:val="18"/>
              </w:rPr>
              <w:t>对公司造成 较大负面影 响并以公告 形式对外披 露</w:t>
            </w:r>
            <w:r>
              <w:rPr>
                <w:rFonts w:ascii="宋体" w:hAnsi="宋体" w:cs="宋体" w:eastAsia="宋体" w:hint="default"/>
                <w:sz w:val="18"/>
                <w:szCs w:val="18"/>
              </w:rPr>
              <w:t> </w:t>
            </w:r>
          </w:p>
        </w:tc>
      </w:tr>
    </w:tbl>
    <w:p>
      <w:pPr>
        <w:spacing w:after="0" w:line="237" w:lineRule="auto"/>
        <w:jc w:val="both"/>
        <w:rPr>
          <w:rFonts w:ascii="宋体" w:hAnsi="宋体" w:cs="宋体" w:eastAsia="宋体" w:hint="default"/>
          <w:sz w:val="18"/>
          <w:szCs w:val="18"/>
        </w:rPr>
        <w:sectPr>
          <w:pgSz w:w="11910" w:h="16840"/>
          <w:pgMar w:header="916" w:footer="1261" w:top="1120" w:bottom="1460" w:left="980" w:right="0"/>
        </w:sectPr>
      </w:pPr>
    </w:p>
    <w:p>
      <w:pPr>
        <w:spacing w:line="240" w:lineRule="auto" w:before="1"/>
        <w:rPr>
          <w:rFonts w:ascii="宋体" w:hAnsi="宋体" w:cs="宋体" w:eastAsia="宋体" w:hint="default"/>
          <w:b/>
          <w:bCs/>
          <w:sz w:val="23"/>
          <w:szCs w:val="23"/>
        </w:rPr>
      </w:pPr>
    </w:p>
    <w:tbl>
      <w:tblPr>
        <w:tblW w:w="0" w:type="auto"/>
        <w:jc w:val="left"/>
        <w:tblInd w:w="182" w:type="dxa"/>
        <w:tblLayout w:type="fixed"/>
        <w:tblCellMar>
          <w:top w:w="0" w:type="dxa"/>
          <w:left w:w="0" w:type="dxa"/>
          <w:bottom w:w="0" w:type="dxa"/>
          <w:right w:w="0" w:type="dxa"/>
        </w:tblCellMar>
        <w:tblLook w:val="01E0"/>
      </w:tblPr>
      <w:tblGrid>
        <w:gridCol w:w="3195"/>
        <w:gridCol w:w="127"/>
        <w:gridCol w:w="1150"/>
        <w:gridCol w:w="1908"/>
        <w:gridCol w:w="154"/>
        <w:gridCol w:w="586"/>
        <w:gridCol w:w="1246"/>
        <w:gridCol w:w="1168"/>
      </w:tblGrid>
      <w:tr>
        <w:trPr>
          <w:trHeight w:val="711" w:hRule="exact"/>
        </w:trPr>
        <w:tc>
          <w:tcPr>
            <w:tcW w:w="3195" w:type="dxa"/>
            <w:vMerge w:val="restart"/>
            <w:tcBorders>
              <w:top w:val="single" w:sz="4" w:space="0" w:color="000000"/>
              <w:left w:val="single" w:sz="4" w:space="0" w:color="000000"/>
              <w:right w:val="single" w:sz="4" w:space="0" w:color="000000"/>
            </w:tcBorders>
            <w:shd w:val="clear" w:color="auto" w:fill="D2D2D2"/>
          </w:tcPr>
          <w:p>
            <w:pPr/>
          </w:p>
        </w:tc>
        <w:tc>
          <w:tcPr>
            <w:tcW w:w="127" w:type="dxa"/>
            <w:vMerge w:val="restart"/>
            <w:tcBorders>
              <w:top w:val="single" w:sz="4" w:space="0" w:color="000000"/>
              <w:left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z w:val="18"/>
                <w:szCs w:val="18"/>
              </w:rPr>
              <w:t> </w:t>
            </w:r>
          </w:p>
          <w:p>
            <w:pPr>
              <w:pStyle w:val="TableParagraph"/>
              <w:spacing w:line="240" w:lineRule="auto"/>
              <w:ind w:left="100" w:right="263"/>
              <w:jc w:val="left"/>
              <w:rPr>
                <w:rFonts w:ascii="宋体" w:hAnsi="宋体" w:cs="宋体" w:eastAsia="宋体" w:hint="default"/>
                <w:sz w:val="18"/>
                <w:szCs w:val="18"/>
              </w:rPr>
            </w:pPr>
            <w:r>
              <w:rPr>
                <w:rFonts w:ascii="宋体" w:hAnsi="宋体" w:cs="宋体" w:eastAsia="宋体" w:hint="default"/>
                <w:sz w:val="18"/>
                <w:szCs w:val="18"/>
              </w:rPr>
              <w:t>0.2%</w:t>
            </w:r>
            <w:r>
              <w:rPr>
                <w:rFonts w:ascii="宋体" w:hAnsi="宋体" w:cs="宋体" w:eastAsia="宋体" w:hint="default"/>
                <w:sz w:val="18"/>
                <w:szCs w:val="18"/>
              </w:rPr>
              <w:t>≤错报</w:t>
            </w:r>
            <w:r>
              <w:rPr>
                <w:rFonts w:ascii="宋体" w:hAnsi="宋体" w:cs="宋体" w:eastAsia="宋体" w:hint="default"/>
                <w:sz w:val="18"/>
                <w:szCs w:val="18"/>
              </w:rPr>
              <w:t>&lt;</w:t>
            </w:r>
            <w:r>
              <w:rPr>
                <w:rFonts w:ascii="宋体" w:hAnsi="宋体" w:cs="宋体" w:eastAsia="宋体" w:hint="default"/>
                <w:sz w:val="18"/>
                <w:szCs w:val="18"/>
              </w:rPr>
              <w:t>营业收 入总额的</w:t>
            </w:r>
            <w:r>
              <w:rPr>
                <w:rFonts w:ascii="宋体" w:hAnsi="宋体" w:cs="宋体" w:eastAsia="宋体" w:hint="default"/>
                <w:spacing w:val="-46"/>
                <w:sz w:val="18"/>
                <w:szCs w:val="18"/>
              </w:rPr>
              <w:t> </w:t>
            </w:r>
            <w:r>
              <w:rPr>
                <w:rFonts w:ascii="宋体" w:hAnsi="宋体" w:cs="宋体" w:eastAsia="宋体" w:hint="default"/>
                <w:sz w:val="18"/>
                <w:szCs w:val="18"/>
              </w:rPr>
              <w:t>0.5% </w:t>
            </w:r>
          </w:p>
        </w:tc>
        <w:tc>
          <w:tcPr>
            <w:tcW w:w="154" w:type="dxa"/>
            <w:vMerge w:val="restart"/>
            <w:tcBorders>
              <w:top w:val="single" w:sz="4" w:space="0" w:color="000000"/>
              <w:left w:val="single" w:sz="4" w:space="0" w:color="000000"/>
              <w:right w:val="single" w:sz="18" w:space="0" w:color="000000"/>
            </w:tcBorders>
          </w:tcPr>
          <w:p>
            <w:pPr/>
          </w:p>
        </w:tc>
        <w:tc>
          <w:tcPr>
            <w:tcW w:w="586" w:type="dxa"/>
            <w:vMerge w:val="restart"/>
            <w:tcBorders>
              <w:top w:val="single" w:sz="8" w:space="0" w:color="000000"/>
              <w:left w:val="single" w:sz="18"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37" w:lineRule="auto"/>
              <w:ind w:left="189" w:right="97"/>
              <w:jc w:val="both"/>
              <w:rPr>
                <w:rFonts w:ascii="宋体" w:hAnsi="宋体" w:cs="宋体" w:eastAsia="宋体" w:hint="default"/>
                <w:sz w:val="18"/>
                <w:szCs w:val="18"/>
              </w:rPr>
            </w:pPr>
            <w:r>
              <w:rPr>
                <w:rFonts w:ascii="宋体" w:hAnsi="宋体" w:cs="宋体" w:eastAsia="宋体" w:hint="default"/>
                <w:sz w:val="18"/>
                <w:szCs w:val="18"/>
              </w:rPr>
              <w:t>重 要 缺 陷</w:t>
            </w:r>
            <w:r>
              <w:rPr>
                <w:rFonts w:ascii="宋体" w:hAnsi="宋体" w:cs="宋体" w:eastAsia="宋体" w:hint="default"/>
                <w:sz w:val="18"/>
                <w:szCs w:val="18"/>
              </w:rPr>
              <w:t> </w:t>
            </w:r>
          </w:p>
        </w:tc>
        <w:tc>
          <w:tcPr>
            <w:tcW w:w="1246" w:type="dxa"/>
            <w:vMerge w:val="restart"/>
            <w:tcBorders>
              <w:top w:val="single" w:sz="8" w:space="0" w:color="000000"/>
              <w:left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营业收入总</w:t>
            </w:r>
          </w:p>
          <w:p>
            <w:pPr>
              <w:pStyle w:val="TableParagraph"/>
              <w:spacing w:line="232" w:lineRule="exact" w:before="24"/>
              <w:ind w:left="103" w:right="182"/>
              <w:jc w:val="both"/>
              <w:rPr>
                <w:rFonts w:ascii="宋体" w:hAnsi="宋体" w:cs="宋体" w:eastAsia="宋体" w:hint="default"/>
                <w:sz w:val="18"/>
                <w:szCs w:val="18"/>
              </w:rPr>
            </w:pPr>
            <w:r>
              <w:rPr>
                <w:rFonts w:ascii="宋体" w:hAnsi="宋体" w:cs="宋体" w:eastAsia="宋体" w:hint="default"/>
                <w:sz w:val="18"/>
                <w:szCs w:val="18"/>
              </w:rPr>
              <w:t>额的</w:t>
            </w:r>
            <w:r>
              <w:rPr>
                <w:rFonts w:ascii="宋体" w:hAnsi="宋体" w:cs="宋体" w:eastAsia="宋体" w:hint="default"/>
                <w:spacing w:val="-45"/>
                <w:sz w:val="18"/>
                <w:szCs w:val="18"/>
              </w:rPr>
              <w:t> </w:t>
            </w:r>
            <w:r>
              <w:rPr>
                <w:rFonts w:ascii="宋体" w:hAnsi="宋体" w:cs="宋体" w:eastAsia="宋体" w:hint="default"/>
                <w:sz w:val="18"/>
                <w:szCs w:val="18"/>
              </w:rPr>
              <w:t>0.2%</w:t>
            </w:r>
            <w:r>
              <w:rPr>
                <w:rFonts w:ascii="宋体" w:hAnsi="宋体" w:cs="宋体" w:eastAsia="宋体" w:hint="default"/>
                <w:sz w:val="18"/>
                <w:szCs w:val="18"/>
              </w:rPr>
              <w:t>与 资产总额的 </w:t>
            </w:r>
            <w:r>
              <w:rPr>
                <w:rFonts w:ascii="宋体" w:hAnsi="宋体" w:cs="宋体" w:eastAsia="宋体" w:hint="default"/>
                <w:sz w:val="18"/>
                <w:szCs w:val="18"/>
              </w:rPr>
              <w:t>0.2%</w:t>
            </w:r>
            <w:r>
              <w:rPr>
                <w:rFonts w:ascii="宋体" w:hAnsi="宋体" w:cs="宋体" w:eastAsia="宋体" w:hint="default"/>
                <w:sz w:val="18"/>
                <w:szCs w:val="18"/>
              </w:rPr>
              <w:t>孰低者</w:t>
            </w:r>
          </w:p>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≤直接财产</w:t>
            </w:r>
          </w:p>
          <w:p>
            <w:pPr>
              <w:pStyle w:val="TableParagraph"/>
              <w:spacing w:line="237" w:lineRule="auto" w:before="2"/>
              <w:ind w:left="103" w:right="139"/>
              <w:jc w:val="left"/>
              <w:rPr>
                <w:rFonts w:ascii="宋体" w:hAnsi="宋体" w:cs="宋体" w:eastAsia="宋体" w:hint="default"/>
                <w:sz w:val="18"/>
                <w:szCs w:val="18"/>
              </w:rPr>
            </w:pPr>
            <w:r>
              <w:rPr>
                <w:rFonts w:ascii="宋体" w:hAnsi="宋体" w:cs="宋体" w:eastAsia="宋体" w:hint="default"/>
                <w:sz w:val="18"/>
                <w:szCs w:val="18"/>
              </w:rPr>
              <w:t>损失金额</w:t>
            </w:r>
            <w:r>
              <w:rPr>
                <w:rFonts w:ascii="宋体" w:hAnsi="宋体" w:cs="宋体" w:eastAsia="宋体" w:hint="default"/>
                <w:sz w:val="18"/>
                <w:szCs w:val="18"/>
              </w:rPr>
              <w:t>&lt;</w:t>
            </w:r>
            <w:r>
              <w:rPr>
                <w:rFonts w:ascii="宋体" w:hAnsi="宋体" w:cs="宋体" w:eastAsia="宋体" w:hint="default"/>
                <w:sz w:val="18"/>
                <w:szCs w:val="18"/>
              </w:rPr>
              <w:t>营 业收入总额 的</w:t>
            </w:r>
            <w:r>
              <w:rPr>
                <w:rFonts w:ascii="宋体" w:hAnsi="宋体" w:cs="宋体" w:eastAsia="宋体" w:hint="default"/>
                <w:spacing w:val="-45"/>
                <w:sz w:val="18"/>
                <w:szCs w:val="18"/>
              </w:rPr>
              <w:t> </w:t>
            </w:r>
            <w:r>
              <w:rPr>
                <w:rFonts w:ascii="宋体" w:hAnsi="宋体" w:cs="宋体" w:eastAsia="宋体" w:hint="default"/>
                <w:sz w:val="18"/>
                <w:szCs w:val="18"/>
              </w:rPr>
              <w:t>0.5%</w:t>
            </w:r>
            <w:r>
              <w:rPr>
                <w:rFonts w:ascii="宋体" w:hAnsi="宋体" w:cs="宋体" w:eastAsia="宋体" w:hint="default"/>
                <w:sz w:val="18"/>
                <w:szCs w:val="18"/>
              </w:rPr>
              <w:t>与资 产总额的 </w:t>
            </w:r>
            <w:r>
              <w:rPr>
                <w:rFonts w:ascii="宋体" w:hAnsi="宋体" w:cs="宋体" w:eastAsia="宋体" w:hint="default"/>
                <w:sz w:val="18"/>
                <w:szCs w:val="18"/>
              </w:rPr>
              <w:t>0.5%</w:t>
            </w:r>
            <w:r>
              <w:rPr>
                <w:rFonts w:ascii="宋体" w:hAnsi="宋体" w:cs="宋体" w:eastAsia="宋体" w:hint="default"/>
                <w:sz w:val="18"/>
                <w:szCs w:val="18"/>
              </w:rPr>
              <w:t>孰低者</w:t>
            </w:r>
            <w:r>
              <w:rPr>
                <w:rFonts w:ascii="宋体" w:hAnsi="宋体" w:cs="宋体" w:eastAsia="宋体" w:hint="default"/>
                <w:sz w:val="18"/>
                <w:szCs w:val="18"/>
              </w:rPr>
              <w:t> </w:t>
            </w:r>
          </w:p>
        </w:tc>
        <w:tc>
          <w:tcPr>
            <w:tcW w:w="1168" w:type="dxa"/>
            <w:vMerge w:val="restart"/>
            <w:tcBorders>
              <w:top w:val="single" w:sz="8" w:space="0" w:color="000000"/>
              <w:left w:val="single" w:sz="4" w:space="0" w:color="000000"/>
              <w:right w:val="single" w:sz="3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37" w:lineRule="auto"/>
              <w:ind w:left="103" w:right="118"/>
              <w:jc w:val="both"/>
              <w:rPr>
                <w:rFonts w:ascii="宋体" w:hAnsi="宋体" w:cs="宋体" w:eastAsia="宋体" w:hint="default"/>
                <w:sz w:val="18"/>
                <w:szCs w:val="18"/>
              </w:rPr>
            </w:pPr>
            <w:r>
              <w:rPr>
                <w:rFonts w:ascii="宋体" w:hAnsi="宋体" w:cs="宋体" w:eastAsia="宋体" w:hint="default"/>
                <w:sz w:val="18"/>
                <w:szCs w:val="18"/>
              </w:rPr>
              <w:t>或受到国家 政府部门处 罚但未对公 司造成负面 影响</w:t>
            </w:r>
            <w:r>
              <w:rPr>
                <w:rFonts w:ascii="宋体" w:hAnsi="宋体" w:cs="宋体" w:eastAsia="宋体" w:hint="default"/>
                <w:sz w:val="18"/>
                <w:szCs w:val="18"/>
              </w:rPr>
              <w:t> </w:t>
            </w:r>
          </w:p>
        </w:tc>
      </w:tr>
      <w:tr>
        <w:trPr>
          <w:trHeight w:val="478" w:hRule="exact"/>
        </w:trPr>
        <w:tc>
          <w:tcPr>
            <w:tcW w:w="3195" w:type="dxa"/>
            <w:vMerge/>
            <w:tcBorders>
              <w:left w:val="single" w:sz="4" w:space="0" w:color="000000"/>
              <w:right w:val="single" w:sz="4" w:space="0" w:color="000000"/>
            </w:tcBorders>
            <w:shd w:val="clear" w:color="auto" w:fill="D2D2D2"/>
          </w:tcPr>
          <w:p>
            <w:pPr/>
          </w:p>
        </w:tc>
        <w:tc>
          <w:tcPr>
            <w:tcW w:w="127" w:type="dxa"/>
            <w:vMerge/>
            <w:tcBorders>
              <w:left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资产总额</w:t>
            </w:r>
            <w:r>
              <w:rPr>
                <w:rFonts w:ascii="宋体" w:hAnsi="宋体" w:cs="宋体" w:eastAsia="宋体" w:hint="default"/>
                <w:sz w:val="18"/>
                <w:szCs w:val="18"/>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宋体" w:hAnsi="宋体" w:cs="宋体" w:eastAsia="宋体" w:hint="default"/>
                <w:sz w:val="18"/>
                <w:szCs w:val="18"/>
              </w:rPr>
              <w:t>0.2%</w:t>
            </w:r>
            <w:r>
              <w:rPr>
                <w:rFonts w:ascii="宋体" w:hAnsi="宋体" w:cs="宋体" w:eastAsia="宋体" w:hint="default"/>
                <w:sz w:val="18"/>
                <w:szCs w:val="18"/>
              </w:rPr>
              <w:t>≤错</w:t>
            </w:r>
            <w:r>
              <w:rPr>
                <w:rFonts w:ascii="宋体" w:hAnsi="宋体" w:cs="宋体" w:eastAsia="宋体" w:hint="default"/>
                <w:sz w:val="18"/>
                <w:szCs w:val="18"/>
              </w:rPr>
              <w:t> </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z w:val="18"/>
                <w:szCs w:val="18"/>
              </w:rPr>
              <w:t>&lt;</w:t>
            </w:r>
            <w:r>
              <w:rPr>
                <w:rFonts w:ascii="宋体" w:hAnsi="宋体" w:cs="宋体" w:eastAsia="宋体" w:hint="default"/>
                <w:sz w:val="18"/>
                <w:szCs w:val="18"/>
              </w:rPr>
              <w:t>资产总额的</w:t>
            </w:r>
            <w:r>
              <w:rPr>
                <w:rFonts w:ascii="宋体" w:hAnsi="宋体" w:cs="宋体" w:eastAsia="宋体" w:hint="default"/>
                <w:spacing w:val="-48"/>
                <w:sz w:val="18"/>
                <w:szCs w:val="18"/>
              </w:rPr>
              <w:t> </w:t>
            </w:r>
            <w:r>
              <w:rPr>
                <w:rFonts w:ascii="宋体" w:hAnsi="宋体" w:cs="宋体" w:eastAsia="宋体" w:hint="default"/>
                <w:sz w:val="18"/>
                <w:szCs w:val="18"/>
              </w:rPr>
              <w:t>0.5% </w:t>
            </w:r>
          </w:p>
        </w:tc>
        <w:tc>
          <w:tcPr>
            <w:tcW w:w="154" w:type="dxa"/>
            <w:vMerge/>
            <w:tcBorders>
              <w:left w:val="single" w:sz="4" w:space="0" w:color="000000"/>
              <w:right w:val="single" w:sz="18" w:space="0" w:color="000000"/>
            </w:tcBorders>
          </w:tcPr>
          <w:p>
            <w:pPr/>
          </w:p>
        </w:tc>
        <w:tc>
          <w:tcPr>
            <w:tcW w:w="586" w:type="dxa"/>
            <w:vMerge/>
            <w:tcBorders>
              <w:left w:val="single" w:sz="18" w:space="0" w:color="000000"/>
              <w:right w:val="single" w:sz="4" w:space="0" w:color="000000"/>
            </w:tcBorders>
          </w:tcPr>
          <w:p>
            <w:pPr/>
          </w:p>
        </w:tc>
        <w:tc>
          <w:tcPr>
            <w:tcW w:w="1246" w:type="dxa"/>
            <w:vMerge/>
            <w:tcBorders>
              <w:left w:val="single" w:sz="4" w:space="0" w:color="000000"/>
              <w:right w:val="single" w:sz="4" w:space="0" w:color="000000"/>
            </w:tcBorders>
          </w:tcPr>
          <w:p>
            <w:pPr/>
          </w:p>
        </w:tc>
        <w:tc>
          <w:tcPr>
            <w:tcW w:w="1168" w:type="dxa"/>
            <w:vMerge/>
            <w:tcBorders>
              <w:left w:val="single" w:sz="4" w:space="0" w:color="000000"/>
              <w:right w:val="single" w:sz="32" w:space="0" w:color="000000"/>
            </w:tcBorders>
          </w:tcPr>
          <w:p>
            <w:pPr/>
          </w:p>
        </w:tc>
      </w:tr>
      <w:tr>
        <w:trPr>
          <w:trHeight w:val="463" w:hRule="exact"/>
        </w:trPr>
        <w:tc>
          <w:tcPr>
            <w:tcW w:w="3195" w:type="dxa"/>
            <w:vMerge/>
            <w:tcBorders>
              <w:left w:val="single" w:sz="4" w:space="0" w:color="000000"/>
              <w:right w:val="single" w:sz="4" w:space="0" w:color="000000"/>
            </w:tcBorders>
            <w:shd w:val="clear" w:color="auto" w:fill="D2D2D2"/>
          </w:tcPr>
          <w:p>
            <w:pPr/>
          </w:p>
        </w:tc>
        <w:tc>
          <w:tcPr>
            <w:tcW w:w="127" w:type="dxa"/>
            <w:vMerge/>
            <w:tcBorders>
              <w:left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19"/>
              <w:jc w:val="right"/>
              <w:rPr>
                <w:rFonts w:ascii="宋体" w:hAnsi="宋体" w:cs="宋体" w:eastAsia="宋体" w:hint="default"/>
                <w:sz w:val="18"/>
                <w:szCs w:val="18"/>
              </w:rPr>
            </w:pPr>
            <w:r>
              <w:rPr>
                <w:rFonts w:ascii="宋体" w:hAnsi="宋体" w:cs="宋体" w:eastAsia="宋体" w:hint="default"/>
                <w:sz w:val="18"/>
                <w:szCs w:val="18"/>
              </w:rPr>
              <w:t>缺陷类别</w:t>
            </w:r>
            <w:r>
              <w:rPr>
                <w:rFonts w:ascii="宋体" w:hAnsi="宋体" w:cs="宋体" w:eastAsia="宋体" w:hint="default"/>
                <w:sz w:val="18"/>
                <w:szCs w:val="18"/>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587" w:right="0"/>
              <w:jc w:val="left"/>
              <w:rPr>
                <w:rFonts w:ascii="宋体" w:hAnsi="宋体" w:cs="宋体" w:eastAsia="宋体" w:hint="default"/>
                <w:sz w:val="18"/>
                <w:szCs w:val="18"/>
              </w:rPr>
            </w:pPr>
            <w:r>
              <w:rPr>
                <w:rFonts w:ascii="宋体" w:hAnsi="宋体" w:cs="宋体" w:eastAsia="宋体" w:hint="default"/>
                <w:sz w:val="18"/>
                <w:szCs w:val="18"/>
              </w:rPr>
              <w:t>一般缺陷</w:t>
            </w:r>
            <w:r>
              <w:rPr>
                <w:rFonts w:ascii="宋体" w:hAnsi="宋体" w:cs="宋体" w:eastAsia="宋体" w:hint="default"/>
                <w:sz w:val="18"/>
                <w:szCs w:val="18"/>
              </w:rPr>
              <w:t> </w:t>
            </w:r>
          </w:p>
        </w:tc>
        <w:tc>
          <w:tcPr>
            <w:tcW w:w="154" w:type="dxa"/>
            <w:vMerge/>
            <w:tcBorders>
              <w:left w:val="single" w:sz="4" w:space="0" w:color="000000"/>
              <w:right w:val="single" w:sz="18" w:space="0" w:color="000000"/>
            </w:tcBorders>
          </w:tcPr>
          <w:p>
            <w:pPr/>
          </w:p>
        </w:tc>
        <w:tc>
          <w:tcPr>
            <w:tcW w:w="586" w:type="dxa"/>
            <w:vMerge/>
            <w:tcBorders>
              <w:left w:val="single" w:sz="18" w:space="0" w:color="000000"/>
              <w:right w:val="single" w:sz="4" w:space="0" w:color="000000"/>
            </w:tcBorders>
          </w:tcPr>
          <w:p>
            <w:pPr/>
          </w:p>
        </w:tc>
        <w:tc>
          <w:tcPr>
            <w:tcW w:w="1246" w:type="dxa"/>
            <w:vMerge/>
            <w:tcBorders>
              <w:left w:val="single" w:sz="4" w:space="0" w:color="000000"/>
              <w:right w:val="single" w:sz="4" w:space="0" w:color="000000"/>
            </w:tcBorders>
          </w:tcPr>
          <w:p>
            <w:pPr/>
          </w:p>
        </w:tc>
        <w:tc>
          <w:tcPr>
            <w:tcW w:w="1168" w:type="dxa"/>
            <w:vMerge/>
            <w:tcBorders>
              <w:left w:val="single" w:sz="4" w:space="0" w:color="000000"/>
              <w:right w:val="single" w:sz="32" w:space="0" w:color="000000"/>
            </w:tcBorders>
          </w:tcPr>
          <w:p>
            <w:pPr/>
          </w:p>
        </w:tc>
      </w:tr>
      <w:tr>
        <w:trPr>
          <w:trHeight w:val="478" w:hRule="exact"/>
        </w:trPr>
        <w:tc>
          <w:tcPr>
            <w:tcW w:w="3195" w:type="dxa"/>
            <w:vMerge/>
            <w:tcBorders>
              <w:left w:val="single" w:sz="4" w:space="0" w:color="000000"/>
              <w:right w:val="single" w:sz="4" w:space="0" w:color="000000"/>
            </w:tcBorders>
            <w:shd w:val="clear" w:color="auto" w:fill="D2D2D2"/>
          </w:tcPr>
          <w:p>
            <w:pPr/>
          </w:p>
        </w:tc>
        <w:tc>
          <w:tcPr>
            <w:tcW w:w="127" w:type="dxa"/>
            <w:vMerge/>
            <w:tcBorders>
              <w:left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9"/>
              <w:jc w:val="right"/>
              <w:rPr>
                <w:rFonts w:ascii="宋体" w:hAnsi="宋体" w:cs="宋体" w:eastAsia="宋体" w:hint="default"/>
                <w:sz w:val="18"/>
                <w:szCs w:val="18"/>
              </w:rPr>
            </w:pPr>
            <w:r>
              <w:rPr>
                <w:rFonts w:ascii="宋体" w:hAnsi="宋体" w:cs="宋体" w:eastAsia="宋体" w:hint="default"/>
                <w:sz w:val="18"/>
                <w:szCs w:val="18"/>
              </w:rPr>
              <w:t>营业收入</w:t>
            </w:r>
            <w:r>
              <w:rPr>
                <w:rFonts w:ascii="宋体" w:hAnsi="宋体" w:cs="宋体" w:eastAsia="宋体" w:hint="default"/>
                <w:sz w:val="18"/>
                <w:szCs w:val="18"/>
              </w:rPr>
              <w:t> </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错报</w:t>
            </w:r>
            <w:r>
              <w:rPr>
                <w:rFonts w:ascii="宋体" w:hAnsi="宋体" w:cs="宋体" w:eastAsia="宋体" w:hint="default"/>
                <w:sz w:val="18"/>
                <w:szCs w:val="18"/>
              </w:rPr>
              <w:t>&lt;</w:t>
            </w:r>
            <w:r>
              <w:rPr>
                <w:rFonts w:ascii="宋体" w:hAnsi="宋体" w:cs="宋体" w:eastAsia="宋体" w:hint="default"/>
                <w:sz w:val="18"/>
                <w:szCs w:val="18"/>
              </w:rPr>
              <w:t>营业收入总额</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 </w:t>
            </w:r>
            <w:r>
              <w:rPr>
                <w:rFonts w:ascii="宋体" w:hAnsi="宋体" w:cs="宋体" w:eastAsia="宋体" w:hint="default"/>
                <w:sz w:val="18"/>
                <w:szCs w:val="18"/>
              </w:rPr>
              <w:t>0.2% </w:t>
            </w:r>
          </w:p>
        </w:tc>
        <w:tc>
          <w:tcPr>
            <w:tcW w:w="154" w:type="dxa"/>
            <w:vMerge/>
            <w:tcBorders>
              <w:left w:val="single" w:sz="4" w:space="0" w:color="000000"/>
              <w:right w:val="single" w:sz="18" w:space="0" w:color="000000"/>
            </w:tcBorders>
          </w:tcPr>
          <w:p>
            <w:pPr/>
          </w:p>
        </w:tc>
        <w:tc>
          <w:tcPr>
            <w:tcW w:w="586" w:type="dxa"/>
            <w:vMerge/>
            <w:tcBorders>
              <w:left w:val="single" w:sz="18" w:space="0" w:color="000000"/>
              <w:right w:val="single" w:sz="4" w:space="0" w:color="000000"/>
            </w:tcBorders>
          </w:tcPr>
          <w:p>
            <w:pPr/>
          </w:p>
        </w:tc>
        <w:tc>
          <w:tcPr>
            <w:tcW w:w="1246" w:type="dxa"/>
            <w:vMerge/>
            <w:tcBorders>
              <w:left w:val="single" w:sz="4" w:space="0" w:color="000000"/>
              <w:right w:val="single" w:sz="4" w:space="0" w:color="000000"/>
            </w:tcBorders>
          </w:tcPr>
          <w:p>
            <w:pPr/>
          </w:p>
        </w:tc>
        <w:tc>
          <w:tcPr>
            <w:tcW w:w="1168" w:type="dxa"/>
            <w:vMerge/>
            <w:tcBorders>
              <w:left w:val="single" w:sz="4" w:space="0" w:color="000000"/>
              <w:right w:val="single" w:sz="32" w:space="0" w:color="000000"/>
            </w:tcBorders>
          </w:tcPr>
          <w:p>
            <w:pPr/>
          </w:p>
        </w:tc>
      </w:tr>
      <w:tr>
        <w:trPr>
          <w:trHeight w:val="226" w:hRule="exact"/>
        </w:trPr>
        <w:tc>
          <w:tcPr>
            <w:tcW w:w="3195" w:type="dxa"/>
            <w:vMerge/>
            <w:tcBorders>
              <w:left w:val="single" w:sz="4" w:space="0" w:color="000000"/>
              <w:right w:val="single" w:sz="4" w:space="0" w:color="000000"/>
            </w:tcBorders>
            <w:shd w:val="clear" w:color="auto" w:fill="D2D2D2"/>
          </w:tcPr>
          <w:p>
            <w:pPr/>
          </w:p>
        </w:tc>
        <w:tc>
          <w:tcPr>
            <w:tcW w:w="127" w:type="dxa"/>
            <w:vMerge/>
            <w:tcBorders>
              <w:left w:val="single" w:sz="4" w:space="0" w:color="000000"/>
              <w:right w:val="single" w:sz="4" w:space="0" w:color="000000"/>
            </w:tcBorders>
          </w:tcPr>
          <w:p>
            <w:pPr/>
          </w:p>
        </w:tc>
        <w:tc>
          <w:tcPr>
            <w:tcW w:w="1150" w:type="dxa"/>
            <w:vMerge w:val="restart"/>
            <w:tcBorders>
              <w:top w:val="single" w:sz="4" w:space="0" w:color="000000"/>
              <w:left w:val="single" w:sz="4" w:space="0" w:color="000000"/>
              <w:right w:val="single" w:sz="4" w:space="0" w:color="000000"/>
            </w:tcBorders>
          </w:tcPr>
          <w:p>
            <w:pPr>
              <w:pStyle w:val="TableParagraph"/>
              <w:spacing w:line="240" w:lineRule="auto" w:before="85"/>
              <w:ind w:left="208" w:right="0"/>
              <w:jc w:val="left"/>
              <w:rPr>
                <w:rFonts w:ascii="宋体" w:hAnsi="宋体" w:cs="宋体" w:eastAsia="宋体" w:hint="default"/>
                <w:sz w:val="18"/>
                <w:szCs w:val="18"/>
              </w:rPr>
            </w:pPr>
            <w:r>
              <w:rPr>
                <w:rFonts w:ascii="宋体" w:hAnsi="宋体" w:cs="宋体" w:eastAsia="宋体" w:hint="default"/>
                <w:sz w:val="18"/>
                <w:szCs w:val="18"/>
              </w:rPr>
              <w:t>资产总额</w:t>
            </w:r>
            <w:r>
              <w:rPr>
                <w:rFonts w:ascii="宋体" w:hAnsi="宋体" w:cs="宋体" w:eastAsia="宋体" w:hint="default"/>
                <w:sz w:val="18"/>
                <w:szCs w:val="18"/>
              </w:rPr>
              <w:t> </w:t>
            </w:r>
          </w:p>
        </w:tc>
        <w:tc>
          <w:tcPr>
            <w:tcW w:w="1908" w:type="dxa"/>
            <w:vMerge w:val="restart"/>
            <w:tcBorders>
              <w:top w:val="single" w:sz="4" w:space="0" w:color="000000"/>
              <w:left w:val="single" w:sz="4" w:space="0" w:color="000000"/>
              <w:right w:val="single" w:sz="4"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错报</w:t>
            </w:r>
            <w:r>
              <w:rPr>
                <w:rFonts w:ascii="宋体" w:hAnsi="宋体" w:cs="宋体" w:eastAsia="宋体" w:hint="default"/>
                <w:sz w:val="18"/>
                <w:szCs w:val="18"/>
              </w:rPr>
              <w:t>&lt;</w:t>
            </w:r>
            <w:r>
              <w:rPr>
                <w:rFonts w:ascii="宋体" w:hAnsi="宋体" w:cs="宋体" w:eastAsia="宋体" w:hint="default"/>
                <w:sz w:val="18"/>
                <w:szCs w:val="18"/>
              </w:rPr>
              <w:t>资产总额的</w:t>
            </w:r>
          </w:p>
          <w:p>
            <w:pPr>
              <w:pStyle w:val="TableParagraph"/>
              <w:spacing w:line="234" w:lineRule="exact"/>
              <w:ind w:left="100" w:right="0"/>
              <w:jc w:val="left"/>
              <w:rPr>
                <w:rFonts w:ascii="宋体" w:hAnsi="宋体" w:cs="宋体" w:eastAsia="宋体" w:hint="default"/>
                <w:sz w:val="18"/>
                <w:szCs w:val="18"/>
              </w:rPr>
            </w:pPr>
            <w:r>
              <w:rPr>
                <w:rFonts w:ascii="宋体"/>
                <w:sz w:val="18"/>
              </w:rPr>
              <w:t>0.2% </w:t>
            </w:r>
          </w:p>
        </w:tc>
        <w:tc>
          <w:tcPr>
            <w:tcW w:w="154" w:type="dxa"/>
            <w:vMerge/>
            <w:tcBorders>
              <w:left w:val="single" w:sz="4" w:space="0" w:color="000000"/>
              <w:right w:val="single" w:sz="18" w:space="0" w:color="000000"/>
            </w:tcBorders>
          </w:tcPr>
          <w:p>
            <w:pPr/>
          </w:p>
        </w:tc>
        <w:tc>
          <w:tcPr>
            <w:tcW w:w="586" w:type="dxa"/>
            <w:vMerge/>
            <w:tcBorders>
              <w:left w:val="single" w:sz="18" w:space="0" w:color="000000"/>
              <w:bottom w:val="single" w:sz="4" w:space="0" w:color="000000"/>
              <w:right w:val="single" w:sz="4" w:space="0" w:color="000000"/>
            </w:tcBorders>
          </w:tcPr>
          <w:p>
            <w:pPr/>
          </w:p>
        </w:tc>
        <w:tc>
          <w:tcPr>
            <w:tcW w:w="1246"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32" w:space="0" w:color="000000"/>
            </w:tcBorders>
          </w:tcPr>
          <w:p>
            <w:pPr/>
          </w:p>
        </w:tc>
      </w:tr>
      <w:tr>
        <w:trPr>
          <w:trHeight w:val="252" w:hRule="exact"/>
        </w:trPr>
        <w:tc>
          <w:tcPr>
            <w:tcW w:w="3195" w:type="dxa"/>
            <w:vMerge/>
            <w:tcBorders>
              <w:left w:val="single" w:sz="4" w:space="0" w:color="000000"/>
              <w:right w:val="single" w:sz="4" w:space="0" w:color="000000"/>
            </w:tcBorders>
            <w:shd w:val="clear" w:color="auto" w:fill="D2D2D2"/>
          </w:tcPr>
          <w:p>
            <w:pPr/>
          </w:p>
        </w:tc>
        <w:tc>
          <w:tcPr>
            <w:tcW w:w="127" w:type="dxa"/>
            <w:vMerge/>
            <w:tcBorders>
              <w:left w:val="single" w:sz="4" w:space="0" w:color="000000"/>
              <w:bottom w:val="nil" w:sz="6" w:space="0" w:color="auto"/>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c>
          <w:tcPr>
            <w:tcW w:w="1908" w:type="dxa"/>
            <w:vMerge/>
            <w:tcBorders>
              <w:left w:val="single" w:sz="4" w:space="0" w:color="000000"/>
              <w:bottom w:val="single" w:sz="4" w:space="0" w:color="000000"/>
              <w:right w:val="single" w:sz="4" w:space="0" w:color="000000"/>
            </w:tcBorders>
          </w:tcPr>
          <w:p>
            <w:pPr/>
          </w:p>
        </w:tc>
        <w:tc>
          <w:tcPr>
            <w:tcW w:w="154" w:type="dxa"/>
            <w:vMerge/>
            <w:tcBorders>
              <w:left w:val="single" w:sz="4" w:space="0" w:color="000000"/>
              <w:bottom w:val="nil" w:sz="6" w:space="0" w:color="auto"/>
              <w:right w:val="single" w:sz="18" w:space="0" w:color="000000"/>
            </w:tcBorders>
          </w:tcPr>
          <w:p>
            <w:pPr/>
          </w:p>
        </w:tc>
        <w:tc>
          <w:tcPr>
            <w:tcW w:w="586" w:type="dxa"/>
            <w:vMerge w:val="restart"/>
            <w:tcBorders>
              <w:top w:val="single" w:sz="4" w:space="0" w:color="000000"/>
              <w:left w:val="single" w:sz="18"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37" w:lineRule="auto"/>
              <w:ind w:left="189" w:right="97"/>
              <w:jc w:val="both"/>
              <w:rPr>
                <w:rFonts w:ascii="宋体" w:hAnsi="宋体" w:cs="宋体" w:eastAsia="宋体" w:hint="default"/>
                <w:sz w:val="18"/>
                <w:szCs w:val="18"/>
              </w:rPr>
            </w:pPr>
            <w:r>
              <w:rPr>
                <w:rFonts w:ascii="宋体" w:hAnsi="宋体" w:cs="宋体" w:eastAsia="宋体" w:hint="default"/>
                <w:sz w:val="18"/>
                <w:szCs w:val="18"/>
              </w:rPr>
              <w:t>一 般 缺 陷</w:t>
            </w:r>
            <w:r>
              <w:rPr>
                <w:rFonts w:ascii="宋体" w:hAnsi="宋体" w:cs="宋体" w:eastAsia="宋体" w:hint="default"/>
                <w:sz w:val="18"/>
                <w:szCs w:val="18"/>
              </w:rPr>
              <w:t> </w:t>
            </w:r>
          </w:p>
        </w:tc>
        <w:tc>
          <w:tcPr>
            <w:tcW w:w="1246" w:type="dxa"/>
            <w:vMerge w:val="restart"/>
            <w:tcBorders>
              <w:top w:val="single" w:sz="4" w:space="0" w:color="000000"/>
              <w:left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直接财产损</w:t>
            </w:r>
          </w:p>
          <w:p>
            <w:pPr>
              <w:pStyle w:val="TableParagraph"/>
              <w:spacing w:line="237" w:lineRule="auto"/>
              <w:ind w:left="103" w:right="139"/>
              <w:jc w:val="left"/>
              <w:rPr>
                <w:rFonts w:ascii="宋体" w:hAnsi="宋体" w:cs="宋体" w:eastAsia="宋体" w:hint="default"/>
                <w:sz w:val="18"/>
                <w:szCs w:val="18"/>
              </w:rPr>
            </w:pPr>
            <w:r>
              <w:rPr>
                <w:rFonts w:ascii="宋体" w:hAnsi="宋体" w:cs="宋体" w:eastAsia="宋体" w:hint="default"/>
                <w:sz w:val="18"/>
                <w:szCs w:val="18"/>
              </w:rPr>
              <w:t>失金额</w:t>
            </w:r>
            <w:r>
              <w:rPr>
                <w:rFonts w:ascii="宋体" w:hAnsi="宋体" w:cs="宋体" w:eastAsia="宋体" w:hint="default"/>
                <w:sz w:val="18"/>
                <w:szCs w:val="18"/>
              </w:rPr>
              <w:t>&lt;</w:t>
            </w:r>
            <w:r>
              <w:rPr>
                <w:rFonts w:ascii="宋体" w:hAnsi="宋体" w:cs="宋体" w:eastAsia="宋体" w:hint="default"/>
                <w:sz w:val="18"/>
                <w:szCs w:val="18"/>
              </w:rPr>
              <w:t>营业 收入总额的 </w:t>
            </w:r>
            <w:r>
              <w:rPr>
                <w:rFonts w:ascii="宋体" w:hAnsi="宋体" w:cs="宋体" w:eastAsia="宋体" w:hint="default"/>
                <w:sz w:val="18"/>
                <w:szCs w:val="18"/>
              </w:rPr>
              <w:t>0.2%</w:t>
            </w:r>
            <w:r>
              <w:rPr>
                <w:rFonts w:ascii="宋体" w:hAnsi="宋体" w:cs="宋体" w:eastAsia="宋体" w:hint="default"/>
                <w:sz w:val="18"/>
                <w:szCs w:val="18"/>
              </w:rPr>
              <w:t>与资产 总额的</w:t>
            </w:r>
            <w:r>
              <w:rPr>
                <w:rFonts w:ascii="宋体" w:hAnsi="宋体" w:cs="宋体" w:eastAsia="宋体" w:hint="default"/>
                <w:spacing w:val="-45"/>
                <w:sz w:val="18"/>
                <w:szCs w:val="18"/>
              </w:rPr>
              <w:t> </w:t>
            </w:r>
            <w:r>
              <w:rPr>
                <w:rFonts w:ascii="宋体" w:hAnsi="宋体" w:cs="宋体" w:eastAsia="宋体" w:hint="default"/>
                <w:sz w:val="18"/>
                <w:szCs w:val="18"/>
              </w:rPr>
              <w:t>0.2% </w:t>
            </w:r>
            <w:r>
              <w:rPr>
                <w:rFonts w:ascii="宋体" w:hAnsi="宋体" w:cs="宋体" w:eastAsia="宋体" w:hint="default"/>
                <w:sz w:val="18"/>
                <w:szCs w:val="18"/>
              </w:rPr>
              <w:t>的孰低者</w:t>
            </w:r>
            <w:r>
              <w:rPr>
                <w:rFonts w:ascii="宋体" w:hAnsi="宋体" w:cs="宋体" w:eastAsia="宋体" w:hint="default"/>
                <w:sz w:val="18"/>
                <w:szCs w:val="18"/>
              </w:rPr>
              <w:t> </w:t>
            </w:r>
          </w:p>
        </w:tc>
        <w:tc>
          <w:tcPr>
            <w:tcW w:w="1168" w:type="dxa"/>
            <w:vMerge w:val="restart"/>
            <w:tcBorders>
              <w:top w:val="single" w:sz="4" w:space="0" w:color="000000"/>
              <w:left w:val="single" w:sz="4" w:space="0" w:color="000000"/>
              <w:right w:val="single" w:sz="32"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受到省级</w:t>
            </w:r>
          </w:p>
          <w:p>
            <w:pPr>
              <w:pStyle w:val="TableParagraph"/>
              <w:spacing w:line="237" w:lineRule="auto"/>
              <w:ind w:left="103" w:right="115"/>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含省级</w:t>
            </w:r>
            <w:r>
              <w:rPr>
                <w:rFonts w:ascii="宋体" w:hAnsi="宋体" w:cs="宋体" w:eastAsia="宋体" w:hint="default"/>
                <w:sz w:val="18"/>
                <w:szCs w:val="18"/>
              </w:rPr>
              <w:t>)</w:t>
            </w:r>
            <w:r>
              <w:rPr>
                <w:rFonts w:ascii="宋体" w:hAnsi="宋体" w:cs="宋体" w:eastAsia="宋体" w:hint="default"/>
                <w:sz w:val="18"/>
                <w:szCs w:val="18"/>
              </w:rPr>
              <w:t>以 下政府部门 处罚但</w:t>
            </w:r>
            <w:r>
              <w:rPr>
                <w:rFonts w:ascii="宋体" w:hAnsi="宋体" w:cs="宋体" w:eastAsia="宋体" w:hint="default"/>
                <w:spacing w:val="1"/>
                <w:sz w:val="18"/>
                <w:szCs w:val="18"/>
              </w:rPr>
              <w:t> </w:t>
            </w:r>
            <w:r>
              <w:rPr>
                <w:rFonts w:ascii="宋体" w:hAnsi="宋体" w:cs="宋体" w:eastAsia="宋体" w:hint="default"/>
                <w:spacing w:val="1"/>
                <w:sz w:val="18"/>
                <w:szCs w:val="18"/>
              </w:rPr>
            </w:r>
            <w:r>
              <w:rPr>
                <w:rFonts w:ascii="宋体" w:hAnsi="宋体" w:cs="宋体" w:eastAsia="宋体" w:hint="default"/>
                <w:sz w:val="18"/>
                <w:szCs w:val="18"/>
              </w:rPr>
              <w:t>未 对公司造成 负面影响</w:t>
            </w:r>
            <w:r>
              <w:rPr>
                <w:rFonts w:ascii="宋体" w:hAnsi="宋体" w:cs="宋体" w:eastAsia="宋体" w:hint="default"/>
                <w:sz w:val="18"/>
                <w:szCs w:val="18"/>
              </w:rPr>
              <w:t> </w:t>
            </w:r>
          </w:p>
        </w:tc>
      </w:tr>
      <w:tr>
        <w:trPr>
          <w:trHeight w:val="1169" w:hRule="exact"/>
        </w:trPr>
        <w:tc>
          <w:tcPr>
            <w:tcW w:w="3195" w:type="dxa"/>
            <w:vMerge/>
            <w:tcBorders>
              <w:left w:val="single" w:sz="4" w:space="0" w:color="000000"/>
              <w:bottom w:val="single" w:sz="4" w:space="0" w:color="000000"/>
              <w:right w:val="single" w:sz="4" w:space="0" w:color="000000"/>
            </w:tcBorders>
            <w:shd w:val="clear" w:color="auto" w:fill="D2D2D2"/>
          </w:tcPr>
          <w:p>
            <w:pPr/>
          </w:p>
        </w:tc>
        <w:tc>
          <w:tcPr>
            <w:tcW w:w="3339" w:type="dxa"/>
            <w:gridSpan w:val="4"/>
            <w:tcBorders>
              <w:top w:val="single" w:sz="4" w:space="0" w:color="000000"/>
              <w:left w:val="single" w:sz="4" w:space="0" w:color="000000"/>
              <w:bottom w:val="single" w:sz="4" w:space="0" w:color="000000"/>
              <w:right w:val="single" w:sz="18" w:space="0" w:color="000000"/>
            </w:tcBorders>
          </w:tcPr>
          <w:p>
            <w:pPr/>
          </w:p>
        </w:tc>
        <w:tc>
          <w:tcPr>
            <w:tcW w:w="586" w:type="dxa"/>
            <w:vMerge/>
            <w:tcBorders>
              <w:left w:val="single" w:sz="18" w:space="0" w:color="000000"/>
              <w:bottom w:val="single" w:sz="4" w:space="0" w:color="000000"/>
              <w:right w:val="single" w:sz="4" w:space="0" w:color="000000"/>
            </w:tcBorders>
          </w:tcPr>
          <w:p>
            <w:pPr/>
          </w:p>
        </w:tc>
        <w:tc>
          <w:tcPr>
            <w:tcW w:w="1246"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32" w:space="0" w:color="000000"/>
            </w:tcBorders>
          </w:tcPr>
          <w:p>
            <w:pPr/>
          </w:p>
        </w:tc>
      </w:tr>
      <w:tr>
        <w:trPr>
          <w:trHeight w:val="46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66"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0</w:t>
            </w:r>
          </w:p>
        </w:tc>
      </w:tr>
      <w:tr>
        <w:trPr>
          <w:trHeight w:val="46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3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十、内部控制审计报告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662"/>
        <w:gridCol w:w="6906"/>
      </w:tblGrid>
      <w:tr>
        <w:trPr>
          <w:trHeight w:val="448"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1705" w:hRule="exact"/>
        </w:trPr>
        <w:tc>
          <w:tcPr>
            <w:tcW w:w="9568" w:type="dxa"/>
            <w:gridSpan w:val="2"/>
            <w:tcBorders>
              <w:top w:val="single" w:sz="16" w:space="0" w:color="D2D2D2"/>
              <w:left w:val="single" w:sz="4" w:space="0" w:color="000000"/>
              <w:bottom w:val="single" w:sz="4" w:space="0" w:color="000000"/>
              <w:right w:val="single" w:sz="4" w:space="0" w:color="000000"/>
            </w:tcBorders>
          </w:tcPr>
          <w:p>
            <w:pPr>
              <w:pStyle w:val="TableParagraph"/>
              <w:spacing w:line="309" w:lineRule="auto" w:before="49"/>
              <w:ind w:left="24" w:right="172"/>
              <w:jc w:val="left"/>
              <w:rPr>
                <w:rFonts w:ascii="宋体" w:hAnsi="宋体" w:cs="宋体" w:eastAsia="宋体" w:hint="default"/>
                <w:sz w:val="18"/>
                <w:szCs w:val="18"/>
              </w:rPr>
            </w:pPr>
            <w:r>
              <w:rPr>
                <w:rFonts w:ascii="宋体" w:hAnsi="宋体" w:cs="宋体" w:eastAsia="宋体" w:hint="default"/>
                <w:sz w:val="18"/>
                <w:szCs w:val="18"/>
              </w:rPr>
              <w:t>按照《企业内部控制审计指引》及中国注册会计师执业准则的相关要求，信永中和会计师事务所（特殊普通合伙）（以 下简称“信永中和”）对公司截止</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日的财务报告内部控制的有效性进行了审计，出具了信永中和 </w:t>
            </w:r>
            <w:r>
              <w:rPr>
                <w:rFonts w:ascii="宋体" w:hAnsi="宋体" w:cs="宋体" w:eastAsia="宋体" w:hint="default"/>
                <w:sz w:val="18"/>
                <w:szCs w:val="18"/>
              </w:rPr>
              <w:t>XYZH/2020BJA11018</w:t>
            </w:r>
            <w:r>
              <w:rPr>
                <w:rFonts w:ascii="宋体" w:hAnsi="宋体" w:cs="宋体" w:eastAsia="宋体" w:hint="default"/>
                <w:sz w:val="18"/>
                <w:szCs w:val="18"/>
              </w:rPr>
              <w:t>号《内部控制审计报告》，并发表如下意见：</w:t>
            </w:r>
            <w:r>
              <w:rPr>
                <w:rFonts w:ascii="宋体" w:hAnsi="宋体" w:cs="宋体" w:eastAsia="宋体" w:hint="default"/>
                <w:sz w:val="18"/>
                <w:szCs w:val="18"/>
              </w:rPr>
              <w:t> </w:t>
            </w:r>
          </w:p>
          <w:p>
            <w:pPr>
              <w:pStyle w:val="TableParagraph"/>
              <w:spacing w:line="300" w:lineRule="auto" w:before="62"/>
              <w:ind w:left="24" w:right="80"/>
              <w:jc w:val="left"/>
              <w:rPr>
                <w:rFonts w:ascii="宋体" w:hAnsi="宋体" w:cs="宋体" w:eastAsia="宋体" w:hint="default"/>
                <w:sz w:val="18"/>
                <w:szCs w:val="18"/>
              </w:rPr>
            </w:pPr>
            <w:r>
              <w:rPr>
                <w:rFonts w:ascii="宋体" w:hAnsi="宋体" w:cs="宋体" w:eastAsia="宋体" w:hint="default"/>
                <w:sz w:val="18"/>
                <w:szCs w:val="18"/>
              </w:rPr>
              <w:t>信永中和认为，神州数码信息服务股份有限公司于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日按照《企业内部控制基本规范》和相关规定在所有 重大方面保持了有效的财务报告内部控制。</w:t>
            </w:r>
          </w:p>
        </w:tc>
      </w:tr>
      <w:tr>
        <w:trPr>
          <w:trHeight w:val="46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66"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6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）：内部控制审计报告</w:t>
            </w:r>
          </w:p>
        </w:tc>
      </w:tr>
      <w:tr>
        <w:trPr>
          <w:trHeight w:val="46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66"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会计师事务所是否出具非标准意见的内部控制审计报告</w:t>
      </w:r>
    </w:p>
    <w:p>
      <w:pPr>
        <w:pStyle w:val="BodyText"/>
        <w:spacing w:line="360" w:lineRule="auto" w:before="115"/>
        <w:ind w:right="4633"/>
        <w:jc w:val="left"/>
      </w:pPr>
      <w:r>
        <w:rPr/>
        <w:t>□ 是 √</w:t>
      </w:r>
      <w:r>
        <w:rPr>
          <w:spacing w:val="3"/>
        </w:rPr>
        <w:t> </w:t>
      </w:r>
      <w:r>
        <w:rPr/>
        <w:t>否</w:t>
      </w:r>
      <w:r>
        <w:rPr/>
        <w:t> 会计师事务所出具的内部控制审计报告与董事会的自我评价报告意见是否一致</w:t>
      </w:r>
    </w:p>
    <w:p>
      <w:pPr>
        <w:pStyle w:val="BodyText"/>
        <w:spacing w:line="240" w:lineRule="auto" w:before="27"/>
        <w:ind w:right="0"/>
        <w:jc w:val="left"/>
      </w:pPr>
      <w:r>
        <w:rPr/>
        <w:t>√ 是 □</w:t>
      </w:r>
      <w:r>
        <w:rPr>
          <w:spacing w:val="3"/>
        </w:rPr>
        <w:t> </w:t>
      </w:r>
      <w:r>
        <w:rPr/>
        <w:t>否</w:t>
      </w:r>
    </w:p>
    <w:p>
      <w:pPr>
        <w:spacing w:after="0" w:line="240" w:lineRule="auto"/>
        <w:jc w:val="left"/>
        <w:sectPr>
          <w:pgSz w:w="11910" w:h="16840"/>
          <w:pgMar w:header="916" w:footer="1261" w:top="112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left="2964" w:right="0"/>
        <w:jc w:val="left"/>
        <w:rPr>
          <w:b w:val="0"/>
          <w:bCs w:val="0"/>
        </w:rPr>
      </w:pPr>
      <w:bookmarkStart w:name="_bookmark10" w:id="11"/>
      <w:bookmarkEnd w:id="11"/>
      <w:r>
        <w:rPr>
          <w:b w:val="0"/>
          <w:bCs w:val="0"/>
        </w:rPr>
      </w:r>
      <w:r>
        <w:rPr/>
        <w:t>第十一节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916" w:footer="1261" w:top="112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1"/>
        <w:spacing w:line="240" w:lineRule="auto"/>
        <w:ind w:left="3607" w:right="0"/>
        <w:jc w:val="left"/>
        <w:rPr>
          <w:b w:val="0"/>
          <w:bCs w:val="0"/>
        </w:rPr>
      </w:pPr>
      <w:bookmarkStart w:name="_bookmark11" w:id="12"/>
      <w:bookmarkEnd w:id="12"/>
      <w:r>
        <w:rPr>
          <w:b w:val="0"/>
          <w:bCs w:val="0"/>
        </w:rPr>
      </w:r>
      <w:r>
        <w:rPr/>
        <w:t>第十二节</w:t>
      </w:r>
      <w:r>
        <w:rPr>
          <w:spacing w:val="-5"/>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4"/>
        <w:gridCol w:w="4784"/>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XYZH/2020BJA11017</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唐炫、唐静</w:t>
            </w:r>
          </w:p>
        </w:tc>
      </w:tr>
    </w:tbl>
    <w:p>
      <w:pPr>
        <w:spacing w:line="240" w:lineRule="auto" w:before="10"/>
        <w:rPr>
          <w:rFonts w:ascii="宋体" w:hAnsi="宋体" w:cs="宋体" w:eastAsia="宋体" w:hint="default"/>
          <w:b/>
          <w:bCs/>
          <w:sz w:val="25"/>
          <w:szCs w:val="25"/>
        </w:rPr>
      </w:pPr>
    </w:p>
    <w:p>
      <w:pPr>
        <w:pStyle w:val="Heading3"/>
        <w:spacing w:line="554" w:lineRule="auto" w:before="32"/>
        <w:ind w:left="153" w:right="5271" w:firstLine="4157"/>
        <w:jc w:val="left"/>
        <w:rPr>
          <w:b w:val="0"/>
          <w:bCs w:val="0"/>
        </w:rPr>
      </w:pPr>
      <w:r>
        <w:rPr/>
        <w:t>审计报告正文</w:t>
      </w:r>
      <w:r>
        <w:rPr>
          <w:w w:val="99"/>
        </w:rPr>
        <w:t> </w:t>
      </w:r>
      <w:r>
        <w:rPr/>
        <w:t>神州数码信息服务股份有限公司全体股东：</w:t>
      </w:r>
      <w:r>
        <w:rPr>
          <w:b w:val="0"/>
          <w:bCs w:val="0"/>
        </w:rPr>
      </w:r>
    </w:p>
    <w:p>
      <w:pPr>
        <w:pStyle w:val="Heading3"/>
        <w:spacing w:line="240" w:lineRule="auto" w:before="48"/>
        <w:ind w:left="714" w:right="0"/>
        <w:jc w:val="left"/>
        <w:rPr>
          <w:b w:val="0"/>
          <w:bCs w:val="0"/>
        </w:rPr>
      </w:pPr>
      <w:r>
        <w:rPr/>
        <w:t>一、审计意见</w:t>
      </w:r>
      <w:r>
        <w:rPr>
          <w:b w:val="0"/>
          <w:bCs w:val="0"/>
        </w:rPr>
      </w:r>
    </w:p>
    <w:p>
      <w:pPr>
        <w:pStyle w:val="BodyText"/>
        <w:spacing w:line="451" w:lineRule="auto" w:before="133"/>
        <w:ind w:right="1136" w:firstLine="360"/>
        <w:jc w:val="both"/>
      </w:pPr>
      <w:r>
        <w:rPr/>
        <w:t>我们审计了神州数码信息服务股份有限公司（以下简称神州信息）财务报表，包括</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日的合并及母公司 资产负债表，</w:t>
      </w:r>
      <w:r>
        <w:rPr>
          <w:rFonts w:ascii="Times New Roman" w:hAnsi="Times New Roman" w:cs="Times New Roman" w:eastAsia="Times New Roman" w:hint="default"/>
        </w:rPr>
        <w:t>2019 </w:t>
      </w:r>
      <w:r>
        <w:rPr/>
        <w:t>年度的合并及母公司利润表、合并及母公司现金流量表、合并及母公司股东权益变动表以及相关财务报 表附注。</w:t>
      </w:r>
    </w:p>
    <w:p>
      <w:pPr>
        <w:pStyle w:val="BodyText"/>
        <w:spacing w:line="240" w:lineRule="auto" w:before="74"/>
        <w:ind w:left="513" w:right="0"/>
        <w:jc w:val="left"/>
      </w:pPr>
      <w:r>
        <w:rPr/>
        <w:t>我们认为，后附的财务报表在所有重大方面按照企业会计准则的规定编制，公允反映了神州信息</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 </w:t>
      </w:r>
      <w:r>
        <w:rPr/>
        <w:t>日的</w:t>
      </w:r>
    </w:p>
    <w:p>
      <w:pPr>
        <w:spacing w:line="240" w:lineRule="auto" w:before="9"/>
        <w:rPr>
          <w:rFonts w:ascii="宋体" w:hAnsi="宋体" w:cs="宋体" w:eastAsia="宋体" w:hint="default"/>
          <w:sz w:val="16"/>
          <w:szCs w:val="16"/>
        </w:rPr>
      </w:pPr>
    </w:p>
    <w:p>
      <w:pPr>
        <w:pStyle w:val="BodyText"/>
        <w:spacing w:line="240" w:lineRule="auto"/>
        <w:ind w:right="0"/>
        <w:jc w:val="left"/>
      </w:pPr>
      <w:r>
        <w:rPr/>
        <w:t>合并及母公司财务状况以及</w:t>
      </w:r>
      <w:r>
        <w:rPr>
          <w:spacing w:val="-46"/>
        </w:rPr>
        <w:t> </w:t>
      </w:r>
      <w:r>
        <w:rPr>
          <w:rFonts w:ascii="Times New Roman" w:hAnsi="Times New Roman" w:cs="Times New Roman" w:eastAsia="Times New Roman" w:hint="default"/>
        </w:rPr>
        <w:t>2019 </w:t>
      </w:r>
      <w:r>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Heading3"/>
        <w:spacing w:line="240" w:lineRule="auto"/>
        <w:ind w:left="714" w:right="0"/>
        <w:jc w:val="left"/>
        <w:rPr>
          <w:b w:val="0"/>
          <w:bCs w:val="0"/>
        </w:rPr>
      </w:pPr>
      <w:r>
        <w:rPr/>
        <w:t>二、形成审计意见的基础</w:t>
      </w:r>
      <w:r>
        <w:rPr>
          <w:b w:val="0"/>
          <w:bCs w:val="0"/>
        </w:rPr>
      </w:r>
    </w:p>
    <w:p>
      <w:pPr>
        <w:pStyle w:val="BodyText"/>
        <w:spacing w:line="463" w:lineRule="auto" w:before="133"/>
        <w:ind w:right="1231" w:firstLine="360"/>
        <w:jc w:val="both"/>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 步阐述了我们在这些准则下的责任。按照中国注册会计师职业道德守则，我们独立于神州信息，并履行了职业道德方面的 其他责任。我们相信，我们获取的审计证据是充分、适当的，为发表审计意见提供了基础。</w:t>
      </w:r>
    </w:p>
    <w:p>
      <w:pPr>
        <w:spacing w:line="240" w:lineRule="auto" w:before="7"/>
        <w:rPr>
          <w:rFonts w:ascii="宋体" w:hAnsi="宋体" w:cs="宋体" w:eastAsia="宋体" w:hint="default"/>
          <w:sz w:val="20"/>
          <w:szCs w:val="20"/>
        </w:rPr>
      </w:pPr>
    </w:p>
    <w:p>
      <w:pPr>
        <w:pStyle w:val="Heading3"/>
        <w:spacing w:line="240" w:lineRule="auto"/>
        <w:ind w:left="594" w:right="0"/>
        <w:jc w:val="left"/>
        <w:rPr>
          <w:b w:val="0"/>
          <w:bCs w:val="0"/>
        </w:rPr>
      </w:pPr>
      <w:r>
        <w:rPr/>
        <w:t>三、关键审计事项</w:t>
      </w:r>
      <w:r>
        <w:rPr>
          <w:b w:val="0"/>
          <w:bCs w:val="0"/>
        </w:rPr>
      </w:r>
    </w:p>
    <w:p>
      <w:pPr>
        <w:pStyle w:val="BodyText"/>
        <w:spacing w:line="477" w:lineRule="auto" w:before="133"/>
        <w:ind w:right="1231" w:firstLine="360"/>
        <w:jc w:val="both"/>
      </w:pPr>
      <w:r>
        <w:rPr/>
        <w:pict>
          <v:shape style="position:absolute;margin-left:57.264pt;margin-top:49.081745pt;width:426.35pt;height:84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83"/>
                    <w:gridCol w:w="4121"/>
                  </w:tblGrid>
                  <w:tr>
                    <w:trPr>
                      <w:trHeight w:val="346" w:hRule="exact"/>
                    </w:trPr>
                    <w:tc>
                      <w:tcPr>
                        <w:tcW w:w="85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1.</w:t>
                        </w:r>
                        <w:r>
                          <w:rPr>
                            <w:rFonts w:ascii="宋体" w:hAnsi="宋体" w:cs="宋体" w:eastAsia="宋体" w:hint="default"/>
                            <w:b/>
                            <w:bCs/>
                            <w:sz w:val="22"/>
                            <w:szCs w:val="22"/>
                          </w:rPr>
                          <w:t>应收账款坏账准备事项</w:t>
                        </w:r>
                        <w:r>
                          <w:rPr>
                            <w:rFonts w:ascii="宋体" w:hAnsi="宋体" w:cs="宋体" w:eastAsia="宋体" w:hint="default"/>
                            <w:sz w:val="22"/>
                            <w:szCs w:val="22"/>
                          </w:rPr>
                        </w:r>
                      </w:p>
                    </w:tc>
                  </w:tr>
                  <w:tr>
                    <w:trPr>
                      <w:trHeight w:val="348"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right="1"/>
                          <w:jc w:val="center"/>
                          <w:rPr>
                            <w:rFonts w:ascii="宋体" w:hAnsi="宋体" w:cs="宋体" w:eastAsia="宋体" w:hint="default"/>
                            <w:sz w:val="22"/>
                            <w:szCs w:val="22"/>
                          </w:rPr>
                        </w:pPr>
                        <w:r>
                          <w:rPr>
                            <w:rFonts w:ascii="宋体" w:hAnsi="宋体" w:cs="宋体" w:eastAsia="宋体" w:hint="default"/>
                            <w:b/>
                            <w:bCs/>
                            <w:sz w:val="22"/>
                            <w:szCs w:val="22"/>
                          </w:rPr>
                          <w:t>关键审计事项</w:t>
                        </w:r>
                        <w:r>
                          <w:rPr>
                            <w:rFonts w:ascii="宋体" w:hAnsi="宋体" w:cs="宋体" w:eastAsia="宋体" w:hint="default"/>
                            <w:sz w:val="22"/>
                            <w:szCs w:val="22"/>
                          </w:rPr>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right="2"/>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972"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7"/>
                          <w:ind w:left="13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如附注七、</w:t>
                        </w:r>
                        <w:r>
                          <w:rPr>
                            <w:rFonts w:ascii="Times New Roman" w:hAnsi="Times New Roman" w:cs="Times New Roman" w:eastAsia="Times New Roman" w:hint="default"/>
                            <w:sz w:val="18"/>
                            <w:szCs w:val="18"/>
                          </w:rPr>
                          <w:t>4 </w:t>
                        </w:r>
                        <w:r>
                          <w:rPr>
                            <w:rFonts w:ascii="宋体" w:hAnsi="宋体" w:cs="宋体" w:eastAsia="宋体" w:hint="default"/>
                            <w:sz w:val="18"/>
                            <w:szCs w:val="18"/>
                          </w:rPr>
                          <w:t>所述，应收账款于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6"/>
                          <w:jc w:val="center"/>
                          <w:rPr>
                            <w:rFonts w:ascii="宋体" w:hAnsi="宋体" w:cs="宋体" w:eastAsia="宋体" w:hint="default"/>
                            <w:sz w:val="18"/>
                            <w:szCs w:val="18"/>
                          </w:rPr>
                        </w:pPr>
                        <w:r>
                          <w:rPr>
                            <w:rFonts w:ascii="宋体" w:hAnsi="宋体" w:cs="宋体" w:eastAsia="宋体" w:hint="default"/>
                            <w:sz w:val="18"/>
                            <w:szCs w:val="18"/>
                          </w:rPr>
                          <w:t>日的账面价值为人民币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330,430.30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万元，占合并财务报</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451" w:lineRule="auto" w:before="97"/>
                          <w:ind w:left="2" w:right="5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）了解计提坏账准备的流程并评价其内部控 制。</w:t>
                        </w:r>
                      </w:p>
                    </w:tc>
                  </w:tr>
                </w:tbl>
                <w:p>
                  <w:pPr/>
                </w:p>
              </w:txbxContent>
            </v:textbox>
            <w10:wrap type="none"/>
          </v:shape>
        </w:pict>
      </w:r>
      <w:r>
        <w:rPr/>
        <w:t>关键审计事项是我们根据职业判断，认为对本期财务报表审计最为重要的事项。这些事项的应对以对财务报表整体进 行审计并形成审计意见为背景，我们不对这些事项单独发表意见。</w:t>
      </w:r>
    </w:p>
    <w:p>
      <w:pPr>
        <w:spacing w:after="0" w:line="477" w:lineRule="auto"/>
        <w:jc w:val="both"/>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65" w:type="dxa"/>
        <w:tblLayout w:type="fixed"/>
        <w:tblCellMar>
          <w:top w:w="0" w:type="dxa"/>
          <w:left w:w="0" w:type="dxa"/>
          <w:bottom w:w="0" w:type="dxa"/>
          <w:right w:w="0" w:type="dxa"/>
        </w:tblCellMar>
        <w:tblLook w:val="01E0"/>
      </w:tblPr>
      <w:tblGrid>
        <w:gridCol w:w="4383"/>
        <w:gridCol w:w="4121"/>
      </w:tblGrid>
      <w:tr>
        <w:trPr>
          <w:trHeight w:val="7525"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472" w:lineRule="auto" w:before="97"/>
              <w:ind w:left="2" w:right="44"/>
              <w:jc w:val="left"/>
              <w:rPr>
                <w:rFonts w:ascii="宋体" w:hAnsi="宋体" w:cs="宋体" w:eastAsia="宋体" w:hint="default"/>
                <w:sz w:val="18"/>
                <w:szCs w:val="18"/>
              </w:rPr>
            </w:pPr>
            <w:r>
              <w:rPr>
                <w:rFonts w:ascii="宋体" w:hAnsi="宋体" w:cs="宋体" w:eastAsia="宋体" w:hint="default"/>
                <w:sz w:val="18"/>
                <w:szCs w:val="18"/>
              </w:rPr>
              <w:t>表资产总额的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30.72%</w:t>
            </w:r>
            <w:r>
              <w:rPr>
                <w:rFonts w:ascii="宋体" w:hAnsi="宋体" w:cs="宋体" w:eastAsia="宋体" w:hint="default"/>
                <w:sz w:val="18"/>
                <w:szCs w:val="18"/>
              </w:rPr>
              <w:t>。管理层依据账期、账龄及业务 类型等信用风险特征将应收款项划分为若干组合，在组 合基础上计算预期信用损失。对于划分为组合的应收款 项，管理层参考历史信用损失经验，结合当前状况以及 对未来经济状况的预测，编制应收账款账期或账龄与整 个存续期预期信用损失率对照表，计算预期信用损失。 因此，我们将应收账款坏账准备事项作为关键审计事 项。</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463" w:lineRule="auto" w:before="97"/>
              <w:ind w:left="2" w:right="5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）了解管理层评估应收账款坏账准备时的判 断及考虑因素，并考虑是否存在对应收账款可回收 性产生任何影响的情况。</w:t>
            </w:r>
          </w:p>
          <w:p>
            <w:pPr>
              <w:pStyle w:val="TableParagraph"/>
              <w:spacing w:line="451" w:lineRule="auto" w:before="65"/>
              <w:ind w:left="2" w:right="50"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）对预期信用损失率的计算过程进行复核； 对坏账准备金额进行重新计算。</w:t>
            </w:r>
          </w:p>
          <w:p>
            <w:pPr>
              <w:pStyle w:val="TableParagraph"/>
              <w:spacing w:line="470" w:lineRule="auto" w:before="74"/>
              <w:ind w:left="2" w:right="5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）了解并检查表明应收款项发生减值的相关 客观证据；查看与应收账款坏账准备计提及核销相 关的审批文件；了解并检查是否存在客观证据表明 应收款项价值已恢复的情况；检查资产负债表日后 是否收回款项。</w:t>
            </w:r>
          </w:p>
          <w:p>
            <w:pPr>
              <w:pStyle w:val="TableParagraph"/>
              <w:spacing w:line="472" w:lineRule="auto" w:before="59"/>
              <w:ind w:left="2" w:right="5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）通过检查销售合同、客户明细账及验收证 据测试应收账款账期划分的准确性；分析应收账款 账龄的合理性；检查长账龄应收账款的回款情况； 测试资产负债表日后收到的回款；选择样本发送应 收账款函证；以及分析无法收回而需要核销的应收 账款金额。</w:t>
            </w:r>
          </w:p>
        </w:tc>
      </w:tr>
      <w:tr>
        <w:trPr>
          <w:trHeight w:val="346" w:hRule="exact"/>
        </w:trPr>
        <w:tc>
          <w:tcPr>
            <w:tcW w:w="85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92" w:lineRule="exact"/>
              <w:ind w:left="2"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2.</w:t>
            </w:r>
            <w:r>
              <w:rPr>
                <w:rFonts w:ascii="宋体" w:hAnsi="宋体" w:cs="宋体" w:eastAsia="宋体" w:hint="default"/>
                <w:b/>
                <w:bCs/>
                <w:sz w:val="22"/>
                <w:szCs w:val="22"/>
              </w:rPr>
              <w:t>存货跌价准备事项</w:t>
            </w:r>
            <w:r>
              <w:rPr>
                <w:rFonts w:ascii="宋体" w:hAnsi="宋体" w:cs="宋体" w:eastAsia="宋体" w:hint="default"/>
                <w:sz w:val="22"/>
                <w:szCs w:val="22"/>
              </w:rPr>
            </w:r>
          </w:p>
        </w:tc>
      </w:tr>
      <w:tr>
        <w:trPr>
          <w:trHeight w:val="348"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right="1520"/>
              <w:jc w:val="right"/>
              <w:rPr>
                <w:rFonts w:ascii="宋体" w:hAnsi="宋体" w:cs="宋体" w:eastAsia="宋体" w:hint="default"/>
                <w:sz w:val="22"/>
                <w:szCs w:val="22"/>
              </w:rPr>
            </w:pPr>
            <w:r>
              <w:rPr>
                <w:rFonts w:ascii="宋体" w:hAnsi="宋体" w:cs="宋体" w:eastAsia="宋体" w:hint="default"/>
                <w:b/>
                <w:bCs/>
                <w:w w:val="95"/>
                <w:sz w:val="22"/>
                <w:szCs w:val="22"/>
              </w:rPr>
              <w:t>关键审计事项</w:t>
            </w:r>
            <w:r>
              <w:rPr>
                <w:rFonts w:ascii="宋体" w:hAnsi="宋体" w:cs="宋体" w:eastAsia="宋体" w:hint="default"/>
                <w:sz w:val="22"/>
                <w:szCs w:val="22"/>
              </w:rPr>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right="2"/>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r>
        <w:trPr>
          <w:trHeight w:val="4246"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463" w:lineRule="auto" w:before="97"/>
              <w:ind w:left="2" w:right="39" w:firstLine="360"/>
              <w:jc w:val="left"/>
              <w:rPr>
                <w:rFonts w:ascii="宋体" w:hAnsi="宋体" w:cs="宋体" w:eastAsia="宋体" w:hint="default"/>
                <w:sz w:val="18"/>
                <w:szCs w:val="18"/>
              </w:rPr>
            </w:pPr>
            <w:r>
              <w:rPr>
                <w:rFonts w:ascii="宋体" w:hAnsi="宋体" w:cs="宋体" w:eastAsia="宋体" w:hint="default"/>
                <w:sz w:val="18"/>
                <w:szCs w:val="18"/>
              </w:rPr>
              <w:t>如附注七、</w:t>
            </w:r>
            <w:r>
              <w:rPr>
                <w:rFonts w:ascii="Times New Roman" w:hAnsi="Times New Roman" w:cs="Times New Roman" w:eastAsia="Times New Roman" w:hint="default"/>
                <w:sz w:val="18"/>
                <w:szCs w:val="18"/>
              </w:rPr>
              <w:t>7 </w:t>
            </w:r>
            <w:r>
              <w:rPr>
                <w:rFonts w:ascii="宋体" w:hAnsi="宋体" w:cs="宋体" w:eastAsia="宋体" w:hint="default"/>
                <w:sz w:val="18"/>
                <w:szCs w:val="18"/>
              </w:rPr>
              <w:t>所述，</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日，存货账面 价值为人民币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188,873.90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万元，占合并财务报表资产总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17.56%</w:t>
            </w:r>
            <w:r>
              <w:rPr>
                <w:rFonts w:ascii="宋体" w:hAnsi="宋体" w:cs="宋体" w:eastAsia="宋体" w:hint="default"/>
                <w:sz w:val="18"/>
                <w:szCs w:val="18"/>
              </w:rPr>
              <w:t>。存货跌价准备的提取，取决于对存货可 变现净值的估计。存货的可变现净值的确定，要求管理 层对存货的售价，至销售时将要发生的销售费用以及相 关税费的金额进行估计。因此，我们将存货跌价准备事 项作为关键审计事项。</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451" w:lineRule="auto" w:before="97"/>
              <w:ind w:left="2" w:right="5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）了解计提存货跌价准备的流程并评价其内 部控制。</w:t>
            </w:r>
          </w:p>
          <w:p>
            <w:pPr>
              <w:pStyle w:val="TableParagraph"/>
              <w:spacing w:line="451" w:lineRule="auto" w:before="74"/>
              <w:ind w:left="2" w:right="5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）对存货盘点进行监盘并关注残次冷背的存 货是否被识别。</w:t>
            </w:r>
          </w:p>
          <w:p>
            <w:pPr>
              <w:pStyle w:val="TableParagraph"/>
              <w:spacing w:line="451" w:lineRule="auto" w:before="74"/>
              <w:ind w:left="2" w:right="5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）通过检查原始凭证对于存货库龄的划分进 行测试。</w:t>
            </w:r>
          </w:p>
          <w:p>
            <w:pPr>
              <w:pStyle w:val="TableParagraph"/>
              <w:spacing w:line="463" w:lineRule="auto" w:before="74"/>
              <w:ind w:left="2" w:right="5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）对管理层计算的可变现净值所涉及的重要 假设进行评价，例如检查销售价格和至销售时发生 的销售费用以及相关税金。</w:t>
            </w:r>
          </w:p>
        </w:tc>
      </w:tr>
      <w:tr>
        <w:trPr>
          <w:trHeight w:val="348" w:hRule="exact"/>
        </w:trPr>
        <w:tc>
          <w:tcPr>
            <w:tcW w:w="85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95" w:lineRule="exact"/>
              <w:ind w:left="2" w:right="0"/>
              <w:jc w:val="left"/>
              <w:rPr>
                <w:rFonts w:ascii="宋体" w:hAnsi="宋体" w:cs="宋体" w:eastAsia="宋体" w:hint="default"/>
                <w:sz w:val="22"/>
                <w:szCs w:val="22"/>
              </w:rPr>
            </w:pPr>
            <w:r>
              <w:rPr>
                <w:rFonts w:ascii="Times New Roman" w:hAnsi="Times New Roman" w:cs="Times New Roman" w:eastAsia="Times New Roman" w:hint="default"/>
                <w:b/>
                <w:bCs/>
                <w:sz w:val="22"/>
                <w:szCs w:val="22"/>
              </w:rPr>
              <w:t>3.</w:t>
            </w:r>
            <w:r>
              <w:rPr>
                <w:rFonts w:ascii="宋体" w:hAnsi="宋体" w:cs="宋体" w:eastAsia="宋体" w:hint="default"/>
                <w:b/>
                <w:bCs/>
                <w:sz w:val="22"/>
                <w:szCs w:val="22"/>
              </w:rPr>
              <w:t>商誉减值准备事项</w:t>
            </w:r>
            <w:r>
              <w:rPr>
                <w:rFonts w:ascii="宋体" w:hAnsi="宋体" w:cs="宋体" w:eastAsia="宋体" w:hint="default"/>
                <w:sz w:val="22"/>
                <w:szCs w:val="22"/>
              </w:rPr>
            </w:r>
          </w:p>
        </w:tc>
      </w:tr>
      <w:tr>
        <w:trPr>
          <w:trHeight w:val="348"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1520"/>
              <w:jc w:val="right"/>
              <w:rPr>
                <w:rFonts w:ascii="宋体" w:hAnsi="宋体" w:cs="宋体" w:eastAsia="宋体" w:hint="default"/>
                <w:sz w:val="22"/>
                <w:szCs w:val="22"/>
              </w:rPr>
            </w:pPr>
            <w:r>
              <w:rPr>
                <w:rFonts w:ascii="宋体" w:hAnsi="宋体" w:cs="宋体" w:eastAsia="宋体" w:hint="default"/>
                <w:b/>
                <w:bCs/>
                <w:w w:val="95"/>
                <w:sz w:val="22"/>
                <w:szCs w:val="22"/>
              </w:rPr>
              <w:t>关键审计事项</w:t>
            </w:r>
            <w:r>
              <w:rPr>
                <w:rFonts w:ascii="宋体" w:hAnsi="宋体" w:cs="宋体" w:eastAsia="宋体" w:hint="default"/>
                <w:sz w:val="22"/>
                <w:szCs w:val="22"/>
              </w:rPr>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276" w:lineRule="exact"/>
              <w:ind w:right="2"/>
              <w:jc w:val="center"/>
              <w:rPr>
                <w:rFonts w:ascii="宋体" w:hAnsi="宋体" w:cs="宋体" w:eastAsia="宋体" w:hint="default"/>
                <w:sz w:val="22"/>
                <w:szCs w:val="22"/>
              </w:rPr>
            </w:pPr>
            <w:r>
              <w:rPr>
                <w:rFonts w:ascii="宋体" w:hAnsi="宋体" w:cs="宋体" w:eastAsia="宋体" w:hint="default"/>
                <w:b/>
                <w:bCs/>
                <w:sz w:val="22"/>
                <w:szCs w:val="22"/>
              </w:rPr>
              <w:t>审计中的应对</w:t>
            </w:r>
            <w:r>
              <w:rPr>
                <w:rFonts w:ascii="宋体" w:hAnsi="宋体" w:cs="宋体" w:eastAsia="宋体" w:hint="default"/>
                <w:sz w:val="22"/>
                <w:szCs w:val="22"/>
              </w:rPr>
            </w:r>
          </w:p>
        </w:tc>
      </w:tr>
    </w:tbl>
    <w:p>
      <w:pPr>
        <w:spacing w:after="0" w:line="276" w:lineRule="exact"/>
        <w:jc w:val="center"/>
        <w:rPr>
          <w:rFonts w:ascii="宋体" w:hAnsi="宋体" w:cs="宋体" w:eastAsia="宋体" w:hint="default"/>
          <w:sz w:val="22"/>
          <w:szCs w:val="22"/>
        </w:rPr>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65" w:type="dxa"/>
        <w:tblLayout w:type="fixed"/>
        <w:tblCellMar>
          <w:top w:w="0" w:type="dxa"/>
          <w:left w:w="0" w:type="dxa"/>
          <w:bottom w:w="0" w:type="dxa"/>
          <w:right w:w="0" w:type="dxa"/>
        </w:tblCellMar>
        <w:tblLook w:val="01E0"/>
      </w:tblPr>
      <w:tblGrid>
        <w:gridCol w:w="4383"/>
        <w:gridCol w:w="4121"/>
      </w:tblGrid>
      <w:tr>
        <w:trPr>
          <w:trHeight w:val="5185" w:hRule="exact"/>
        </w:trPr>
        <w:tc>
          <w:tcPr>
            <w:tcW w:w="4383" w:type="dxa"/>
            <w:tcBorders>
              <w:top w:val="single" w:sz="6" w:space="0" w:color="000000"/>
              <w:left w:val="single" w:sz="6" w:space="0" w:color="000000"/>
              <w:bottom w:val="single" w:sz="6" w:space="0" w:color="000000"/>
              <w:right w:val="single" w:sz="6" w:space="0" w:color="000000"/>
            </w:tcBorders>
          </w:tcPr>
          <w:p>
            <w:pPr>
              <w:pStyle w:val="TableParagraph"/>
              <w:spacing w:line="468" w:lineRule="auto" w:before="97"/>
              <w:ind w:left="2" w:right="44" w:firstLine="360"/>
              <w:jc w:val="left"/>
              <w:rPr>
                <w:rFonts w:ascii="宋体" w:hAnsi="宋体" w:cs="宋体" w:eastAsia="宋体" w:hint="default"/>
                <w:sz w:val="18"/>
                <w:szCs w:val="18"/>
              </w:rPr>
            </w:pPr>
            <w:r>
              <w:rPr>
                <w:rFonts w:ascii="宋体" w:hAnsi="宋体" w:cs="宋体" w:eastAsia="宋体" w:hint="default"/>
                <w:sz w:val="18"/>
                <w:szCs w:val="18"/>
              </w:rPr>
              <w:t>如附注七、</w:t>
            </w:r>
            <w:r>
              <w:rPr>
                <w:rFonts w:ascii="Times New Roman" w:hAnsi="Times New Roman" w:cs="Times New Roman" w:eastAsia="Times New Roman" w:hint="default"/>
                <w:sz w:val="18"/>
                <w:szCs w:val="18"/>
              </w:rPr>
              <w:t>15 </w:t>
            </w:r>
            <w:r>
              <w:rPr>
                <w:rFonts w:ascii="宋体" w:hAnsi="宋体" w:cs="宋体" w:eastAsia="宋体" w:hint="default"/>
                <w:sz w:val="18"/>
                <w:szCs w:val="18"/>
              </w:rPr>
              <w:t>所示，</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日，商誉账 面价值人民币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160,380.55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万元，占合并财务报表资产总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14.91%</w:t>
            </w:r>
            <w:r>
              <w:rPr>
                <w:rFonts w:ascii="宋体" w:hAnsi="宋体" w:cs="宋体" w:eastAsia="宋体" w:hint="default"/>
                <w:sz w:val="18"/>
                <w:szCs w:val="18"/>
              </w:rPr>
              <w:t>。根据准则规定，商誉无论有无减值迹 象，公司至少应当在每年年度终了进行减值测试。管理 层通过比较被分摊商誉的相关资产组的可收回金额与该 资产组及商誉的账面价值，对商誉进行减值测试。预测 可收回金额涉及对资产组未来现金流量现值的预测，管 理层在预测中需要做出重大判断和假设，特别是对于未 来收入增长率、毛利率、经营费用以及折现率等。由于 减值测试过程较为复杂，同时涉及重大判断，因此我们 将商誉减值准备事项作为关键审计事项。</w:t>
            </w:r>
          </w:p>
        </w:tc>
        <w:tc>
          <w:tcPr>
            <w:tcW w:w="4121" w:type="dxa"/>
            <w:tcBorders>
              <w:top w:val="single" w:sz="6" w:space="0" w:color="000000"/>
              <w:left w:val="single" w:sz="6" w:space="0" w:color="000000"/>
              <w:bottom w:val="single" w:sz="6" w:space="0" w:color="000000"/>
              <w:right w:val="single" w:sz="6" w:space="0" w:color="000000"/>
            </w:tcBorders>
          </w:tcPr>
          <w:p>
            <w:pPr>
              <w:pStyle w:val="TableParagraph"/>
              <w:spacing w:line="451" w:lineRule="auto" w:before="97"/>
              <w:ind w:left="2" w:right="5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）我们测试了商誉减值测试相关内部控制的 设计和执行。</w:t>
            </w:r>
          </w:p>
          <w:p>
            <w:pPr>
              <w:pStyle w:val="TableParagraph"/>
              <w:spacing w:line="463" w:lineRule="auto" w:before="74"/>
              <w:ind w:left="2" w:right="5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）我们评估了管理层计算被分配商誉后资产 组的可收回金额的重要参数，包括收入增长率、毛 利率、经营费用以及折现率等。</w:t>
            </w:r>
          </w:p>
          <w:p>
            <w:pPr>
              <w:pStyle w:val="TableParagraph"/>
              <w:spacing w:line="451" w:lineRule="auto" w:before="65"/>
              <w:ind w:left="2" w:right="51"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）我们评估了管理层的减值测试方法和使用 的折现率的合理性。</w:t>
            </w:r>
          </w:p>
          <w:p>
            <w:pPr>
              <w:pStyle w:val="TableParagraph"/>
              <w:spacing w:line="451" w:lineRule="auto" w:before="74"/>
              <w:ind w:left="2" w:right="2"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）我们关注了财务报告中附注五、</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对商誉 减值测试重要假设披露的充分性。</w:t>
            </w:r>
          </w:p>
        </w:tc>
      </w:tr>
    </w:tbl>
    <w:p>
      <w:pPr>
        <w:spacing w:line="240" w:lineRule="auto" w:before="4"/>
        <w:rPr>
          <w:rFonts w:ascii="Times New Roman" w:hAnsi="Times New Roman" w:cs="Times New Roman" w:eastAsia="Times New Roman" w:hint="default"/>
          <w:sz w:val="22"/>
          <w:szCs w:val="22"/>
        </w:rPr>
      </w:pPr>
    </w:p>
    <w:p>
      <w:pPr>
        <w:pStyle w:val="Heading3"/>
        <w:spacing w:line="240" w:lineRule="auto" w:before="32"/>
        <w:ind w:right="0"/>
        <w:jc w:val="left"/>
        <w:rPr>
          <w:b w:val="0"/>
          <w:bCs w:val="0"/>
        </w:rPr>
      </w:pPr>
      <w:r>
        <w:rPr/>
        <w:t>四、其他信息</w:t>
      </w:r>
      <w:r>
        <w:rPr>
          <w:b w:val="0"/>
          <w:bCs w:val="0"/>
        </w:rPr>
      </w:r>
    </w:p>
    <w:p>
      <w:pPr>
        <w:pStyle w:val="BodyText"/>
        <w:spacing w:line="451" w:lineRule="auto" w:before="133"/>
        <w:ind w:right="1244" w:firstLine="360"/>
        <w:jc w:val="left"/>
      </w:pPr>
      <w:r>
        <w:rPr/>
        <w:t>神州信息管理层（以下简称管理层</w:t>
      </w:r>
      <w:r>
        <w:rPr>
          <w:rFonts w:ascii="Times New Roman" w:hAnsi="Times New Roman" w:cs="Times New Roman" w:eastAsia="Times New Roman" w:hint="default"/>
        </w:rPr>
        <w:t>)</w:t>
      </w:r>
      <w:r>
        <w:rPr/>
        <w:t>对其他信息负责。其他信息包括神州信息</w:t>
      </w:r>
      <w:r>
        <w:rPr>
          <w:spacing w:val="-46"/>
        </w:rPr>
        <w:t> </w:t>
      </w:r>
      <w:r>
        <w:rPr>
          <w:rFonts w:ascii="Times New Roman" w:hAnsi="Times New Roman" w:cs="Times New Roman" w:eastAsia="Times New Roman" w:hint="default"/>
        </w:rPr>
        <w:t>2019 </w:t>
      </w:r>
      <w:r>
        <w:rPr/>
        <w:t>年年度报告中涵盖的信息，但不包 括财务报表和我们的审计报告。</w:t>
      </w:r>
    </w:p>
    <w:p>
      <w:pPr>
        <w:pStyle w:val="BodyText"/>
        <w:spacing w:line="477" w:lineRule="auto" w:before="74"/>
        <w:ind w:left="513" w:right="1213"/>
        <w:jc w:val="left"/>
      </w:pPr>
      <w:r>
        <w:rPr/>
        <w:t>我们对财务报表发表的审计意见不涵盖其他信息，我们也不对其他信息发表任何形式的鉴证结论。 结合我们对财务报表的审计，我们的责任是阅读其他信息，在此过程中，考虑其他信息是否与财务报表或我们在审计</w:t>
      </w:r>
    </w:p>
    <w:p>
      <w:pPr>
        <w:pStyle w:val="BodyText"/>
        <w:spacing w:line="477" w:lineRule="auto" w:before="54"/>
        <w:ind w:left="513" w:right="1213" w:hanging="360"/>
        <w:jc w:val="left"/>
      </w:pPr>
      <w:r>
        <w:rPr/>
        <w:t>过程中了解到的情况存在重大不一致或者似乎存在重大错报。 基于我们已执行的工作，如果我们确定其他信息存在重大错报，我们应当报告该事实。在这方面，我们无任何事项需</w:t>
      </w:r>
    </w:p>
    <w:p>
      <w:pPr>
        <w:pStyle w:val="BodyText"/>
        <w:spacing w:line="240" w:lineRule="auto" w:before="54"/>
        <w:ind w:right="0"/>
        <w:jc w:val="left"/>
      </w:pPr>
      <w:r>
        <w:rPr/>
        <w:t>要报告。</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Heading3"/>
        <w:spacing w:line="240" w:lineRule="auto"/>
        <w:ind w:right="0"/>
        <w:jc w:val="left"/>
        <w:rPr>
          <w:b w:val="0"/>
          <w:bCs w:val="0"/>
        </w:rPr>
      </w:pPr>
      <w:r>
        <w:rPr/>
        <w:t>五、管理层和治理层对财务报表的责任</w:t>
      </w:r>
      <w:r>
        <w:rPr>
          <w:b w:val="0"/>
          <w:bCs w:val="0"/>
        </w:rPr>
      </w:r>
    </w:p>
    <w:p>
      <w:pPr>
        <w:pStyle w:val="BodyText"/>
        <w:spacing w:line="477" w:lineRule="auto" w:before="133"/>
        <w:ind w:right="1213" w:firstLine="360"/>
        <w:jc w:val="left"/>
      </w:pPr>
      <w:r>
        <w:rPr/>
        <w:t>管理层负责按照企业会计准则的规定编制财务报表，使其实现公允反映，并设计、执行和维护必要的内部控制，以使 财务报表不存在由于舞弊或错误导致的重大错报。</w:t>
      </w:r>
    </w:p>
    <w:p>
      <w:pPr>
        <w:pStyle w:val="BodyText"/>
        <w:spacing w:line="477" w:lineRule="auto" w:before="55"/>
        <w:ind w:right="1213" w:firstLine="360"/>
        <w:jc w:val="left"/>
      </w:pPr>
      <w:r>
        <w:rPr/>
        <w:t>在编制财务报表时，管理层负责评估神州信息的持续经营能力，披露与持续经营相关的事项（如适用），并运用持续 经营假设，除非管理层计划清算神州信息、终止运营或别无其他现实的选择。</w:t>
      </w:r>
    </w:p>
    <w:p>
      <w:pPr>
        <w:pStyle w:val="BodyText"/>
        <w:spacing w:line="240" w:lineRule="auto" w:before="54"/>
        <w:ind w:left="513" w:right="0"/>
        <w:jc w:val="left"/>
      </w:pPr>
      <w:r>
        <w:rPr/>
        <w:t>治理层负责监督神州信息的财务报告过程。</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5"/>
          <w:szCs w:val="15"/>
        </w:rPr>
      </w:pPr>
    </w:p>
    <w:p>
      <w:pPr>
        <w:pStyle w:val="Heading3"/>
        <w:spacing w:line="240" w:lineRule="auto"/>
        <w:ind w:left="594" w:right="0"/>
        <w:jc w:val="left"/>
        <w:rPr>
          <w:b w:val="0"/>
          <w:bCs w:val="0"/>
        </w:rPr>
      </w:pPr>
      <w:r>
        <w:rPr/>
        <w:t>六、注册会计师对财务报表审计的责任</w:t>
      </w:r>
      <w:r>
        <w:rPr>
          <w:b w:val="0"/>
          <w:bCs w:val="0"/>
        </w:rPr>
      </w:r>
    </w:p>
    <w:p>
      <w:pPr>
        <w:pStyle w:val="BodyText"/>
        <w:spacing w:line="477" w:lineRule="auto" w:before="133"/>
        <w:ind w:right="1213" w:firstLine="360"/>
        <w:jc w:val="left"/>
      </w:pPr>
      <w:r>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w:t>
      </w:r>
    </w:p>
    <w:p>
      <w:pPr>
        <w:spacing w:after="0" w:line="477"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77" w:lineRule="auto" w:before="44"/>
        <w:ind w:left="293" w:right="1213"/>
        <w:jc w:val="left"/>
      </w:pPr>
      <w:r>
        <w:rPr/>
        <w:t>舞弊或错误导致，如果合理预期错报单独或汇总起来可能影响财务报表使用者依据财务报表作出的经济决策，则通常认为 错报是重大的。</w:t>
      </w:r>
    </w:p>
    <w:p>
      <w:pPr>
        <w:pStyle w:val="BodyText"/>
        <w:spacing w:line="240" w:lineRule="auto" w:before="54"/>
        <w:ind w:left="653" w:right="1213"/>
        <w:jc w:val="left"/>
      </w:pPr>
      <w:r>
        <w:rPr/>
        <w:t>在按照审计准则执行审计工作的过程中，我们运用职业判断，并保持职业怀疑。同时，我们也执行以下工作：</w:t>
      </w:r>
    </w:p>
    <w:p>
      <w:pPr>
        <w:spacing w:line="240" w:lineRule="auto" w:before="10"/>
        <w:rPr>
          <w:rFonts w:ascii="宋体" w:hAnsi="宋体" w:cs="宋体" w:eastAsia="宋体" w:hint="default"/>
          <w:sz w:val="17"/>
          <w:szCs w:val="17"/>
        </w:rPr>
      </w:pPr>
    </w:p>
    <w:p>
      <w:pPr>
        <w:pStyle w:val="BodyText"/>
        <w:spacing w:line="463" w:lineRule="auto"/>
        <w:ind w:left="293" w:right="1123" w:firstLine="360"/>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 上，未能发现由于舞弊导致的重大错报的风险高于未能发现由于错误导致的重大错报的风险。</w:t>
      </w:r>
    </w:p>
    <w:p>
      <w:pPr>
        <w:pStyle w:val="BodyText"/>
        <w:spacing w:line="240" w:lineRule="auto" w:before="65"/>
        <w:ind w:left="653" w:right="1213"/>
        <w:jc w:val="left"/>
      </w:pPr>
      <w:r>
        <w:rPr/>
        <w:t>（</w:t>
      </w:r>
      <w:r>
        <w:rPr>
          <w:rFonts w:ascii="Times New Roman" w:hAnsi="Times New Roman" w:cs="Times New Roman" w:eastAsia="Times New Roman" w:hint="default"/>
        </w:rPr>
        <w:t>2</w:t>
      </w:r>
      <w:r>
        <w:rPr/>
        <w:t>）了解与审计相关的内部控制，以设计恰当的审计程序。</w:t>
      </w:r>
    </w:p>
    <w:p>
      <w:pPr>
        <w:spacing w:line="240" w:lineRule="auto" w:before="9"/>
        <w:rPr>
          <w:rFonts w:ascii="宋体" w:hAnsi="宋体" w:cs="宋体" w:eastAsia="宋体" w:hint="default"/>
          <w:sz w:val="16"/>
          <w:szCs w:val="16"/>
        </w:rPr>
      </w:pPr>
    </w:p>
    <w:p>
      <w:pPr>
        <w:pStyle w:val="BodyText"/>
        <w:spacing w:line="240" w:lineRule="auto"/>
        <w:ind w:left="653" w:right="1213"/>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line="240" w:lineRule="auto" w:before="10"/>
        <w:rPr>
          <w:rFonts w:ascii="宋体" w:hAnsi="宋体" w:cs="宋体" w:eastAsia="宋体" w:hint="default"/>
          <w:sz w:val="16"/>
          <w:szCs w:val="16"/>
        </w:rPr>
      </w:pPr>
    </w:p>
    <w:p>
      <w:pPr>
        <w:pStyle w:val="BodyText"/>
        <w:spacing w:line="468" w:lineRule="auto"/>
        <w:ind w:left="293" w:right="1123" w:firstLine="360"/>
        <w:jc w:val="left"/>
      </w:pPr>
      <w:r>
        <w:rPr/>
        <w:t>（</w:t>
      </w:r>
      <w:r>
        <w:rPr>
          <w:rFonts w:ascii="Times New Roman" w:hAnsi="Times New Roman" w:cs="Times New Roman" w:eastAsia="Times New Roman" w:hint="default"/>
        </w:rPr>
        <w:t>4</w:t>
      </w:r>
      <w:r>
        <w:rPr/>
        <w:t>）对管理层使用持续经营假设的恰当性得出结论。同时，根据获取的审计证据，就可能导致对神州信息持续经营能 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 论基于截至审计报告日可获得的信息。然而，未来的事项或情况可能导致神州信息不能持续经营。</w:t>
      </w:r>
    </w:p>
    <w:p>
      <w:pPr>
        <w:pStyle w:val="BodyText"/>
        <w:spacing w:line="240" w:lineRule="auto" w:before="61"/>
        <w:ind w:left="653" w:right="1213"/>
        <w:jc w:val="left"/>
      </w:pPr>
      <w:r>
        <w:rPr/>
        <w:t>（</w:t>
      </w:r>
      <w:r>
        <w:rPr>
          <w:rFonts w:ascii="Times New Roman" w:hAnsi="Times New Roman" w:cs="Times New Roman" w:eastAsia="Times New Roman" w:hint="default"/>
        </w:rPr>
        <w:t>5</w:t>
      </w:r>
      <w:r>
        <w:rPr/>
        <w:t>）评价财务报表的总体列报、结构和内容，并评价财务报表是否公允反映相关交易和事项。</w:t>
      </w:r>
    </w:p>
    <w:p>
      <w:pPr>
        <w:spacing w:line="240" w:lineRule="auto" w:before="9"/>
        <w:rPr>
          <w:rFonts w:ascii="宋体" w:hAnsi="宋体" w:cs="宋体" w:eastAsia="宋体" w:hint="default"/>
          <w:sz w:val="16"/>
          <w:szCs w:val="16"/>
        </w:rPr>
      </w:pPr>
    </w:p>
    <w:p>
      <w:pPr>
        <w:pStyle w:val="BodyText"/>
        <w:spacing w:line="451" w:lineRule="auto"/>
        <w:ind w:left="293" w:right="1123" w:firstLine="360"/>
        <w:jc w:val="left"/>
      </w:pPr>
      <w:r>
        <w:rPr/>
        <w:t>（</w:t>
      </w:r>
      <w:r>
        <w:rPr>
          <w:rFonts w:ascii="Times New Roman" w:hAnsi="Times New Roman" w:cs="Times New Roman" w:eastAsia="Times New Roman" w:hint="default"/>
        </w:rPr>
        <w:t>6</w:t>
      </w:r>
      <w:r>
        <w:rPr/>
        <w:t>）就神州信息中实体或业务活动的财务信息获取充分、适当的审计证据，以对财务报表发表审计意见。我们负责指 导、监督和执行集团审计，并对审计意见承担全部责任。</w:t>
      </w:r>
    </w:p>
    <w:p>
      <w:pPr>
        <w:pStyle w:val="BodyText"/>
        <w:spacing w:line="477" w:lineRule="auto" w:before="74"/>
        <w:ind w:left="293" w:right="1213" w:firstLine="360"/>
        <w:jc w:val="left"/>
      </w:pPr>
      <w:r>
        <w:rPr/>
        <w:t>我们与治理层就计划的审计范围、时间安排和重大审计发现等事项进行沟通，包括沟通我们在审计中识别出的值得关 注的内部控制缺陷。</w:t>
      </w:r>
    </w:p>
    <w:p>
      <w:pPr>
        <w:pStyle w:val="BodyText"/>
        <w:spacing w:line="477" w:lineRule="auto" w:before="54"/>
        <w:ind w:left="293" w:right="1213" w:firstLine="360"/>
        <w:jc w:val="left"/>
      </w:pPr>
      <w:r>
        <w:rPr/>
        <w:t>我们还就已遵守与独立性相关的职业道德要求向治理层提供声明，并与治理层沟通可能被合理认为影响我们独立性的 所有关系和其他事项，以及相关的防范措施（如适用）。</w:t>
      </w:r>
    </w:p>
    <w:p>
      <w:pPr>
        <w:pStyle w:val="BodyText"/>
        <w:spacing w:line="477" w:lineRule="auto" w:before="54"/>
        <w:ind w:left="293" w:right="1231" w:firstLine="360"/>
        <w:jc w:val="both"/>
      </w:pPr>
      <w:r>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 造成的负面后果超过在公众利益方面产生的益处，我们确定不应在审计报告中沟通该事项。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14" w:type="dxa"/>
        <w:tblLayout w:type="fixed"/>
        <w:tblCellMar>
          <w:top w:w="0" w:type="dxa"/>
          <w:left w:w="0" w:type="dxa"/>
          <w:bottom w:w="0" w:type="dxa"/>
          <w:right w:w="0" w:type="dxa"/>
        </w:tblCellMar>
        <w:tblLook w:val="01E0"/>
      </w:tblPr>
      <w:tblGrid>
        <w:gridCol w:w="4657"/>
        <w:gridCol w:w="3409"/>
      </w:tblGrid>
      <w:tr>
        <w:trPr>
          <w:trHeight w:val="761" w:hRule="exact"/>
        </w:trPr>
        <w:tc>
          <w:tcPr>
            <w:tcW w:w="4657" w:type="dxa"/>
            <w:tcBorders>
              <w:top w:val="nil" w:sz="6" w:space="0" w:color="auto"/>
              <w:left w:val="nil" w:sz="6" w:space="0" w:color="auto"/>
              <w:bottom w:val="nil" w:sz="6" w:space="0" w:color="auto"/>
              <w:right w:val="nil" w:sz="6" w:space="0" w:color="auto"/>
            </w:tcBorders>
          </w:tcPr>
          <w:p>
            <w:pPr>
              <w:pStyle w:val="TableParagraph"/>
              <w:spacing w:line="237" w:lineRule="exact"/>
              <w:ind w:left="20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信永中和会计师事务所</w:t>
            </w:r>
            <w:r>
              <w:rPr>
                <w:rFonts w:ascii="Times New Roman" w:hAnsi="Times New Roman" w:cs="Times New Roman" w:eastAsia="Times New Roman" w:hint="default"/>
                <w:sz w:val="22"/>
                <w:szCs w:val="22"/>
              </w:rPr>
              <w:t>(</w:t>
            </w:r>
            <w:r>
              <w:rPr>
                <w:rFonts w:ascii="宋体" w:hAnsi="宋体" w:cs="宋体" w:eastAsia="宋体" w:hint="default"/>
                <w:sz w:val="22"/>
                <w:szCs w:val="22"/>
              </w:rPr>
              <w:t>特殊普通合伙</w:t>
            </w:r>
            <w:r>
              <w:rPr>
                <w:rFonts w:ascii="Times New Roman" w:hAnsi="Times New Roman" w:cs="Times New Roman" w:eastAsia="Times New Roman" w:hint="default"/>
                <w:sz w:val="22"/>
                <w:szCs w:val="22"/>
              </w:rPr>
              <w:t>)</w:t>
            </w:r>
          </w:p>
        </w:tc>
        <w:tc>
          <w:tcPr>
            <w:tcW w:w="3409" w:type="dxa"/>
            <w:tcBorders>
              <w:top w:val="nil" w:sz="6" w:space="0" w:color="auto"/>
              <w:left w:val="nil" w:sz="6" w:space="0" w:color="auto"/>
              <w:bottom w:val="nil" w:sz="6" w:space="0" w:color="auto"/>
              <w:right w:val="nil" w:sz="6" w:space="0" w:color="auto"/>
            </w:tcBorders>
          </w:tcPr>
          <w:p>
            <w:pPr>
              <w:pStyle w:val="TableParagraph"/>
              <w:spacing w:line="221" w:lineRule="exact"/>
              <w:ind w:left="787" w:right="0"/>
              <w:jc w:val="left"/>
              <w:rPr>
                <w:rFonts w:ascii="宋体" w:hAnsi="宋体" w:cs="宋体" w:eastAsia="宋体" w:hint="default"/>
                <w:sz w:val="22"/>
                <w:szCs w:val="22"/>
              </w:rPr>
            </w:pPr>
            <w:r>
              <w:rPr>
                <w:rFonts w:ascii="宋体" w:hAnsi="宋体" w:cs="宋体" w:eastAsia="宋体" w:hint="default"/>
                <w:sz w:val="22"/>
                <w:szCs w:val="22"/>
              </w:rPr>
              <w:t>中国注册会计师：唐炫</w:t>
            </w:r>
          </w:p>
          <w:p>
            <w:pPr>
              <w:pStyle w:val="TableParagraph"/>
              <w:spacing w:line="240" w:lineRule="auto" w:before="24"/>
              <w:ind w:left="787" w:right="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w:t>
            </w:r>
            <w:r>
              <w:rPr>
                <w:rFonts w:ascii="宋体" w:hAnsi="宋体" w:cs="宋体" w:eastAsia="宋体" w:hint="default"/>
                <w:sz w:val="22"/>
                <w:szCs w:val="22"/>
              </w:rPr>
              <w:t>项目合伙人</w:t>
            </w:r>
            <w:r>
              <w:rPr>
                <w:rFonts w:ascii="Times New Roman" w:hAnsi="Times New Roman" w:cs="Times New Roman" w:eastAsia="Times New Roman" w:hint="default"/>
                <w:sz w:val="22"/>
                <w:szCs w:val="22"/>
              </w:rPr>
              <w:t>)</w:t>
            </w:r>
          </w:p>
        </w:tc>
      </w:tr>
      <w:tr>
        <w:trPr>
          <w:trHeight w:val="658" w:hRule="exact"/>
        </w:trPr>
        <w:tc>
          <w:tcPr>
            <w:tcW w:w="4657" w:type="dxa"/>
            <w:tcBorders>
              <w:top w:val="nil" w:sz="6" w:space="0" w:color="auto"/>
              <w:left w:val="nil" w:sz="6" w:space="0" w:color="auto"/>
              <w:bottom w:val="nil" w:sz="6" w:space="0" w:color="auto"/>
              <w:right w:val="nil" w:sz="6" w:space="0" w:color="auto"/>
            </w:tcBorders>
          </w:tcPr>
          <w:p>
            <w:pPr/>
          </w:p>
        </w:tc>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787" w:right="0"/>
              <w:jc w:val="left"/>
              <w:rPr>
                <w:rFonts w:ascii="宋体" w:hAnsi="宋体" w:cs="宋体" w:eastAsia="宋体" w:hint="default"/>
                <w:sz w:val="22"/>
                <w:szCs w:val="22"/>
              </w:rPr>
            </w:pPr>
            <w:r>
              <w:rPr>
                <w:rFonts w:ascii="宋体" w:hAnsi="宋体" w:cs="宋体" w:eastAsia="宋体" w:hint="default"/>
                <w:sz w:val="22"/>
                <w:szCs w:val="22"/>
              </w:rPr>
              <w:t>中国注册会计师：唐静</w:t>
            </w:r>
          </w:p>
        </w:tc>
      </w:tr>
      <w:tr>
        <w:trPr>
          <w:trHeight w:val="442" w:hRule="exact"/>
        </w:trPr>
        <w:tc>
          <w:tcPr>
            <w:tcW w:w="4657" w:type="dxa"/>
            <w:tcBorders>
              <w:top w:val="nil" w:sz="6" w:space="0" w:color="auto"/>
              <w:left w:val="nil" w:sz="6" w:space="0" w:color="auto"/>
              <w:bottom w:val="nil" w:sz="6" w:space="0" w:color="auto"/>
              <w:right w:val="nil" w:sz="6" w:space="0" w:color="auto"/>
            </w:tcBorders>
          </w:tcPr>
          <w:p>
            <w:pPr>
              <w:pStyle w:val="TableParagraph"/>
              <w:tabs>
                <w:tab w:pos="840" w:val="left" w:leader="none"/>
              </w:tabs>
              <w:spacing w:line="240" w:lineRule="auto" w:before="153"/>
              <w:ind w:right="198"/>
              <w:jc w:val="center"/>
              <w:rPr>
                <w:rFonts w:ascii="宋体" w:hAnsi="宋体" w:cs="宋体" w:eastAsia="宋体" w:hint="default"/>
                <w:sz w:val="22"/>
                <w:szCs w:val="22"/>
              </w:rPr>
            </w:pPr>
            <w:r>
              <w:rPr>
                <w:rFonts w:ascii="宋体" w:hAnsi="宋体" w:cs="宋体" w:eastAsia="宋体" w:hint="default"/>
                <w:sz w:val="22"/>
                <w:szCs w:val="22"/>
              </w:rPr>
              <w:t>中国</w:t>
              <w:tab/>
              <w:t>北京</w:t>
            </w:r>
          </w:p>
        </w:tc>
        <w:tc>
          <w:tcPr>
            <w:tcW w:w="3409"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787" w:right="0"/>
              <w:jc w:val="left"/>
              <w:rPr>
                <w:rFonts w:ascii="宋体" w:hAnsi="宋体" w:cs="宋体" w:eastAsia="宋体" w:hint="default"/>
                <w:sz w:val="22"/>
                <w:szCs w:val="22"/>
              </w:rPr>
            </w:pPr>
            <w:r>
              <w:rPr>
                <w:rFonts w:ascii="宋体" w:hAnsi="宋体" w:cs="宋体" w:eastAsia="宋体" w:hint="default"/>
                <w:sz w:val="22"/>
                <w:szCs w:val="22"/>
              </w:rPr>
              <w:t>二○二○年三月二十七日</w:t>
            </w:r>
          </w:p>
        </w:tc>
      </w:tr>
    </w:tbl>
    <w:p>
      <w:pPr>
        <w:spacing w:after="0" w:line="240" w:lineRule="auto"/>
        <w:jc w:val="left"/>
        <w:rPr>
          <w:rFonts w:ascii="宋体" w:hAnsi="宋体" w:cs="宋体" w:eastAsia="宋体" w:hint="default"/>
          <w:sz w:val="22"/>
          <w:szCs w:val="22"/>
        </w:rPr>
        <w:sectPr>
          <w:footerReference w:type="default" r:id="rId73"/>
          <w:pgSz w:w="11910" w:h="16840"/>
          <w:pgMar w:footer="1261" w:header="916" w:top="1120" w:bottom="1460" w:left="840" w:right="0"/>
          <w:pgNumType w:start="120"/>
        </w:sectPr>
      </w:pPr>
    </w:p>
    <w:p>
      <w:pPr>
        <w:spacing w:line="240" w:lineRule="auto" w:before="8"/>
        <w:rPr>
          <w:rFonts w:ascii="宋体" w:hAnsi="宋体" w:cs="宋体" w:eastAsia="宋体" w:hint="default"/>
          <w:sz w:val="18"/>
          <w:szCs w:val="18"/>
        </w:rPr>
      </w:pPr>
    </w:p>
    <w:p>
      <w:pPr>
        <w:pStyle w:val="Heading2"/>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财务附注中报表的单位为：元</w:t>
      </w:r>
    </w:p>
    <w:p>
      <w:pPr>
        <w:spacing w:line="240" w:lineRule="auto" w:before="3"/>
        <w:rPr>
          <w:rFonts w:ascii="宋体" w:hAnsi="宋体" w:cs="宋体" w:eastAsia="宋体" w:hint="default"/>
          <w:sz w:val="24"/>
          <w:szCs w:val="24"/>
        </w:rPr>
      </w:pPr>
    </w:p>
    <w:p>
      <w:pPr>
        <w:pStyle w:val="Heading4"/>
        <w:spacing w:line="240" w:lineRule="auto" w:before="36"/>
        <w:ind w:left="0" w:right="978"/>
        <w:jc w:val="center"/>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6"/>
          <w:szCs w:val="26"/>
        </w:rPr>
      </w:pPr>
    </w:p>
    <w:p>
      <w:pPr>
        <w:pStyle w:val="BodyText"/>
        <w:tabs>
          <w:tab w:pos="4412" w:val="left" w:leader="none"/>
          <w:tab w:pos="8781" w:val="left" w:leader="none"/>
        </w:tabs>
        <w:spacing w:line="240" w:lineRule="auto"/>
        <w:ind w:left="0" w:right="977"/>
        <w:jc w:val="center"/>
      </w:pPr>
      <w:r>
        <w:rPr/>
        <w:t>编制单位：神州数码信息服务股份有限公司</w:t>
        <w:tab/>
      </w:r>
      <w:r>
        <w:rPr>
          <w:rFonts w:ascii="Times New Roman" w:hAnsi="Times New Roman" w:cs="Times New Roman" w:eastAsia="Times New Roman" w:hint="default"/>
        </w:rPr>
        <w:t>2019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tab/>
        <w:t>单位：元</w:t>
      </w:r>
    </w:p>
    <w:p>
      <w:pPr>
        <w:spacing w:line="240" w:lineRule="auto" w:before="7"/>
        <w:rPr>
          <w:rFonts w:ascii="宋体" w:hAnsi="宋体" w:cs="宋体" w:eastAsia="宋体" w:hint="default"/>
          <w:sz w:val="6"/>
          <w:szCs w:val="6"/>
        </w:rPr>
      </w:pPr>
    </w:p>
    <w:tbl>
      <w:tblPr>
        <w:tblW w:w="0" w:type="auto"/>
        <w:jc w:val="left"/>
        <w:tblInd w:w="153" w:type="dxa"/>
        <w:tblLayout w:type="fixed"/>
        <w:tblCellMar>
          <w:top w:w="0" w:type="dxa"/>
          <w:left w:w="0" w:type="dxa"/>
          <w:bottom w:w="0" w:type="dxa"/>
          <w:right w:w="0" w:type="dxa"/>
        </w:tblCellMar>
        <w:tblLook w:val="01E0"/>
      </w:tblPr>
      <w:tblGrid>
        <w:gridCol w:w="4573"/>
        <w:gridCol w:w="2499"/>
        <w:gridCol w:w="2499"/>
      </w:tblGrid>
      <w:tr>
        <w:trPr>
          <w:trHeight w:val="396"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5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5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8"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1,448,892,189.10</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1,518,050,558.45</w:t>
            </w:r>
          </w:p>
        </w:tc>
      </w:tr>
      <w:tr>
        <w:trPr>
          <w:trHeight w:val="404"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796,579,126.35</w:t>
            </w: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21,676,020.00</w:t>
            </w:r>
          </w:p>
        </w:tc>
      </w:tr>
      <w:tr>
        <w:trPr>
          <w:trHeight w:val="403"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41,291,473.89</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20,024,810.58</w:t>
            </w:r>
          </w:p>
        </w:tc>
      </w:tr>
      <w:tr>
        <w:trPr>
          <w:trHeight w:val="403"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3,304,302,973.61</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3,006,436,880.14</w:t>
            </w: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132,064,994.88</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2"/>
                <w:sz w:val="18"/>
              </w:rPr>
              <w:t>115,911,248.60</w:t>
            </w: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120,149,088.66</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152,877,183.82</w:t>
            </w: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1,888,738,998.44</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1,726,098,649.25</w:t>
            </w: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45,457,123.85</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1,122,833,926.47</w:t>
            </w: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18"/>
                <w:szCs w:val="18"/>
              </w:rPr>
            </w:pPr>
            <w:r>
              <w:rPr>
                <w:rFonts w:ascii="Times New Roman"/>
                <w:spacing w:val="-1"/>
                <w:sz w:val="18"/>
              </w:rPr>
              <w:t>7,777,475,968.78</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7,683,909,277.31</w:t>
            </w:r>
          </w:p>
        </w:tc>
      </w:tr>
      <w:tr>
        <w:trPr>
          <w:trHeight w:val="403"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110,334,697.32</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54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54" w:type="dxa"/>
        <w:tblLayout w:type="fixed"/>
        <w:tblCellMar>
          <w:top w:w="0" w:type="dxa"/>
          <w:left w:w="0" w:type="dxa"/>
          <w:bottom w:w="0" w:type="dxa"/>
          <w:right w:w="0" w:type="dxa"/>
        </w:tblCellMar>
        <w:tblLook w:val="01E0"/>
      </w:tblPr>
      <w:tblGrid>
        <w:gridCol w:w="4572"/>
        <w:gridCol w:w="2499"/>
        <w:gridCol w:w="2499"/>
      </w:tblGrid>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477,177,638.66</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509,384,368.44</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113,274,212.00</w:t>
            </w: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14,001,627.67</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14,373,078.37</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490,712,621.32</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532,791,372.68</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107,253,813.87</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152,873,405.70</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41,971,906.35</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17,733,832.82</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1,603,805,544.73</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1,544,132,544.03</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16,604,234.36</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23,532,165.55</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113,224,462.03</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107,241,466.95</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2,978,026,060.99</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3,012,396,931.86</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10,755,502,029.77</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10,696,306,209.17</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952,479,511.83</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1,666,082,608.27</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691,631,714.41</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503,401,182.16</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2,039,020,530.75</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1,757,615,905.90</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844,954,400.03</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1,050,093,691.53</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54" w:type="dxa"/>
        <w:tblLayout w:type="fixed"/>
        <w:tblCellMar>
          <w:top w:w="0" w:type="dxa"/>
          <w:left w:w="0" w:type="dxa"/>
          <w:bottom w:w="0" w:type="dxa"/>
          <w:right w:w="0" w:type="dxa"/>
        </w:tblCellMar>
        <w:tblLook w:val="01E0"/>
      </w:tblPr>
      <w:tblGrid>
        <w:gridCol w:w="4572"/>
        <w:gridCol w:w="2499"/>
        <w:gridCol w:w="2499"/>
      </w:tblGrid>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408,387,553.32</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342,082,828.52</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141,067,817.29</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112,910,824.33</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228,863,269.22</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123,165,753.74</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45,059,375.00</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20,026,388.89</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5,351,464,171.85</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5,575,379,183.34</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45,059,375.00</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6,195,238.00</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4,454,762.00</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25,775,271.29</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4,535,900.00</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27,407,105.90</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25,358,580.41</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22,336,189.11</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17,832,072.29</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81,713,804.30</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97,240,689.70</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5,433,177,976.15</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5,672,619,873.04</w:t>
            </w:r>
          </w:p>
        </w:tc>
      </w:tr>
      <w:tr>
        <w:trPr>
          <w:trHeight w:val="403"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970,381,273.00</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963,431,273.00</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2,315,977,578.13</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2,274,178,387.44</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44,097,750.00</w:t>
            </w:r>
          </w:p>
        </w:tc>
        <w:tc>
          <w:tcPr>
            <w:tcW w:w="24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54" w:type="dxa"/>
        <w:tblLayout w:type="fixed"/>
        <w:tblCellMar>
          <w:top w:w="0" w:type="dxa"/>
          <w:left w:w="0" w:type="dxa"/>
          <w:bottom w:w="0" w:type="dxa"/>
          <w:right w:w="0" w:type="dxa"/>
        </w:tblCellMar>
        <w:tblLook w:val="01E0"/>
      </w:tblPr>
      <w:tblGrid>
        <w:gridCol w:w="4572"/>
        <w:gridCol w:w="2499"/>
        <w:gridCol w:w="2499"/>
      </w:tblGrid>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63,267,793.25</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66,489,317.80</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27,977,512.43</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27,209,080.61</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2499" w:type="dxa"/>
            <w:tcBorders>
              <w:top w:val="single" w:sz="4" w:space="0" w:color="000000"/>
              <w:left w:val="single" w:sz="4" w:space="0" w:color="000000"/>
              <w:bottom w:val="single" w:sz="4" w:space="0" w:color="000000"/>
              <w:right w:val="single" w:sz="4" w:space="0" w:color="000000"/>
            </w:tcBorders>
          </w:tcPr>
          <w:p>
            <w:pPr/>
          </w:p>
        </w:tc>
        <w:tc>
          <w:tcPr>
            <w:tcW w:w="2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1,885,845,382.35</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1,614,776,633.66</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5,219,351,789.16</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4,946,084,692.51</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102,972,264.46</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77,601,643.62</w:t>
            </w:r>
          </w:p>
        </w:tc>
      </w:tr>
      <w:tr>
        <w:trPr>
          <w:trHeight w:val="402"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5,322,324,053.62</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5,023,686,336.13</w:t>
            </w:r>
          </w:p>
        </w:tc>
      </w:tr>
      <w:tr>
        <w:trPr>
          <w:trHeight w:val="403" w:hRule="exact"/>
        </w:trPr>
        <w:tc>
          <w:tcPr>
            <w:tcW w:w="45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10,755,502,029.77</w:t>
            </w:r>
          </w:p>
        </w:tc>
        <w:tc>
          <w:tcPr>
            <w:tcW w:w="2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10,696,306,209.17</w:t>
            </w:r>
          </w:p>
        </w:tc>
      </w:tr>
    </w:tbl>
    <w:p>
      <w:pPr>
        <w:spacing w:line="240" w:lineRule="auto" w:before="11"/>
        <w:rPr>
          <w:rFonts w:ascii="Times New Roman" w:hAnsi="Times New Roman" w:cs="Times New Roman" w:eastAsia="Times New Roman" w:hint="default"/>
          <w:sz w:val="22"/>
          <w:szCs w:val="22"/>
        </w:rPr>
      </w:pPr>
    </w:p>
    <w:p>
      <w:pPr>
        <w:pStyle w:val="BodyText"/>
        <w:tabs>
          <w:tab w:pos="3334" w:val="left" w:leader="none"/>
          <w:tab w:pos="7566" w:val="left" w:leader="none"/>
        </w:tabs>
        <w:spacing w:line="240" w:lineRule="auto" w:before="44"/>
        <w:ind w:left="0" w:right="1224"/>
        <w:jc w:val="right"/>
      </w:pPr>
      <w:r>
        <w:rPr/>
        <w:t>法定代表人：郭为</w:t>
        <w:tab/>
      </w:r>
      <w:r>
        <w:rPr>
          <w:spacing w:val="-1"/>
        </w:rPr>
        <w:t>主管会计工作负责人：张云飞</w:t>
        <w:tab/>
      </w:r>
      <w:r>
        <w:rPr/>
        <w:t>会计机构负责人：张秀慧</w:t>
      </w:r>
    </w:p>
    <w:p>
      <w:pPr>
        <w:spacing w:line="240" w:lineRule="auto" w:before="0"/>
        <w:rPr>
          <w:rFonts w:ascii="宋体" w:hAnsi="宋体" w:cs="宋体" w:eastAsia="宋体" w:hint="default"/>
          <w:sz w:val="18"/>
          <w:szCs w:val="18"/>
        </w:rPr>
      </w:pPr>
    </w:p>
    <w:p>
      <w:pPr>
        <w:pStyle w:val="Heading4"/>
        <w:spacing w:line="240" w:lineRule="auto" w:before="118"/>
        <w:ind w:left="0" w:right="975"/>
        <w:jc w:val="center"/>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4587"/>
        <w:gridCol w:w="2492"/>
        <w:gridCol w:w="2492"/>
      </w:tblGrid>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27,221,398.95</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26,836,259.23</w:t>
            </w: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244,388,652.68</w:t>
            </w: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以公允价值计量且其变动计入当期损益的金融资产</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21,676,020.00</w:t>
            </w: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24,102,783.00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12,562,754.56</w:t>
            </w: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12,794,714.50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221,408,715.75</w:t>
            </w: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7,920,636.67</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159,900.05</w:t>
            </w: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87,101,016.58</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69,586,506.00</w:t>
            </w: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60,000,000.00</w:t>
            </w: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81,580,590.96</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21,467,571.28</w:t>
            </w: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5,905,983.17</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251,797,684.09</w:t>
            </w: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491,015,776.51</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625,495,410.96</w:t>
            </w:r>
          </w:p>
        </w:tc>
      </w:tr>
      <w:tr>
        <w:trPr>
          <w:trHeight w:val="402" w:hRule="exact"/>
        </w:trPr>
        <w:tc>
          <w:tcPr>
            <w:tcW w:w="45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54" w:type="dxa"/>
        <w:tblLayout w:type="fixed"/>
        <w:tblCellMar>
          <w:top w:w="0" w:type="dxa"/>
          <w:left w:w="0" w:type="dxa"/>
          <w:bottom w:w="0" w:type="dxa"/>
          <w:right w:w="0" w:type="dxa"/>
        </w:tblCellMar>
        <w:tblLook w:val="01E0"/>
      </w:tblPr>
      <w:tblGrid>
        <w:gridCol w:w="4586"/>
        <w:gridCol w:w="2492"/>
        <w:gridCol w:w="2492"/>
      </w:tblGrid>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71,812,197.32</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26,400,000.00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26,400,000.00</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2,765,414,836.47</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2,754,581,026.60</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50,584,777.00</w:t>
            </w: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148,553.75</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222,927.86</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64,215.00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305,084.00</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197,174.50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295,761.75</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2,842,809,556.72</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2,853,616,997.53</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3,333,825,333.23</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3,479,112,408.49</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37,764,681.38</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以公允价值计量且其变动计入当期损益的金融负债</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21,639,707.31</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33,657,469.91</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243,655,540.32</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67,408,967.29</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5,318,079.89</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7,395,010.36</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8,801,149.66</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175,652.34</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330,117.23</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80,966,214.47</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2,044,160.19</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54" w:type="dxa"/>
        <w:tblLayout w:type="fixed"/>
        <w:tblCellMar>
          <w:top w:w="0" w:type="dxa"/>
          <w:left w:w="0" w:type="dxa"/>
          <w:bottom w:w="0" w:type="dxa"/>
          <w:right w:w="0" w:type="dxa"/>
        </w:tblCellMar>
        <w:tblLook w:val="01E0"/>
      </w:tblPr>
      <w:tblGrid>
        <w:gridCol w:w="4586"/>
        <w:gridCol w:w="2492"/>
        <w:gridCol w:w="2492"/>
      </w:tblGrid>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189,603,314.37</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319,553,435.98</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21,381,871.13</w:t>
            </w: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21,381,871.13</w:t>
            </w: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210,985,185.50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319,553,435.98</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970,381,273.00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963,431,273.00</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2,145,529,525.00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2,099,414,949.00</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44,097,750.00</w:t>
            </w: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-21,227,420.32</w:t>
            </w: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92" w:type="dxa"/>
            <w:tcBorders>
              <w:top w:val="single" w:sz="4" w:space="0" w:color="000000"/>
              <w:left w:val="single" w:sz="4" w:space="0" w:color="000000"/>
              <w:bottom w:val="single" w:sz="4" w:space="0" w:color="000000"/>
              <w:right w:val="single" w:sz="4" w:space="0" w:color="000000"/>
            </w:tcBorders>
          </w:tcPr>
          <w:p>
            <w:pPr/>
          </w:p>
        </w:tc>
        <w:tc>
          <w:tcPr>
            <w:tcW w:w="24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27,977,512.43</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27,209,080.61</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44,277,007.62</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69,503,669.90</w:t>
            </w:r>
          </w:p>
        </w:tc>
      </w:tr>
      <w:tr>
        <w:trPr>
          <w:trHeight w:val="402"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3,122,840,147.73</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3,159,558,972.51</w:t>
            </w:r>
          </w:p>
        </w:tc>
      </w:tr>
      <w:tr>
        <w:trPr>
          <w:trHeight w:val="403" w:hRule="exact"/>
        </w:trPr>
        <w:tc>
          <w:tcPr>
            <w:tcW w:w="45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3,333,825,333.23</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3,479,112,408.49</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Times New Roman" w:hAnsi="Times New Roman" w:cs="Times New Roman" w:eastAsia="Times New Roman" w:hint="default"/>
          <w:sz w:val="22"/>
          <w:szCs w:val="22"/>
        </w:rPr>
      </w:pPr>
    </w:p>
    <w:p>
      <w:pPr>
        <w:pStyle w:val="Heading4"/>
        <w:spacing w:line="240" w:lineRule="auto" w:before="36"/>
        <w:ind w:left="0" w:right="978"/>
        <w:jc w:val="center"/>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5"/>
        <w:rPr>
          <w:rFonts w:ascii="宋体" w:hAnsi="宋体" w:cs="宋体" w:eastAsia="宋体" w:hint="default"/>
          <w:sz w:val="7"/>
          <w:szCs w:val="7"/>
        </w:rPr>
      </w:pPr>
    </w:p>
    <w:tbl>
      <w:tblPr>
        <w:tblW w:w="0" w:type="auto"/>
        <w:jc w:val="left"/>
        <w:tblInd w:w="153" w:type="dxa"/>
        <w:tblLayout w:type="fixed"/>
        <w:tblCellMar>
          <w:top w:w="0" w:type="dxa"/>
          <w:left w:w="0" w:type="dxa"/>
          <w:bottom w:w="0" w:type="dxa"/>
          <w:right w:w="0" w:type="dxa"/>
        </w:tblCellMar>
        <w:tblLook w:val="01E0"/>
      </w:tblPr>
      <w:tblGrid>
        <w:gridCol w:w="5103"/>
        <w:gridCol w:w="2269"/>
        <w:gridCol w:w="2196"/>
      </w:tblGrid>
      <w:tr>
        <w:trPr>
          <w:trHeight w:val="398"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7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6"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10,146,008,170.91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9,077,344,908.68</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10,146,008,170.91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9,077,344,908.68</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已赚保费</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手续费及佣金收入</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9,662,648,641.42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8,754,766,557.46</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8,261,730,337.85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7,386,438,486.71</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利息支出</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手续费及佣金支出</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退保金</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赔付支出净额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提取保险责任合同准备金净额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保单红利支出</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分保费用</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税金及附加</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38,102,895.34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39,911,520.36</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销售费用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503,924,867.26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551,750,278.69</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管理费用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402,457,791.98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477,352,200.52</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研发费用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374,946,590.50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236,502,764.86</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财务费用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81,486,158.49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62,811,306.32</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其中：利息费用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80,376,342.55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77,061,993.92</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6,360,293.56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9,626,867.57</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55,454,245.31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68,161,242.49</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94,508,767.34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183,849,264.68</w:t>
            </w:r>
          </w:p>
        </w:tc>
      </w:tr>
      <w:tr>
        <w:trPr>
          <w:trHeight w:val="404"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其中：对联营企业和合营企业的投资收益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19,610,861.21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-2,844,700.43</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1187" w:val="left" w:leader="none"/>
              </w:tabs>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tab/>
              <w:t>  </w:t>
            </w:r>
            <w:r>
              <w:rPr>
                <w:rFonts w:ascii="宋体" w:hAnsi="宋体" w:cs="宋体" w:eastAsia="宋体" w:hint="default"/>
                <w:sz w:val="18"/>
                <w:szCs w:val="18"/>
              </w:rPr>
              <w:t>以摊余成本计量的金融资产终止确认收益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-44,952.72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-112,650.14</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净敞口套期收益（损失以“－”号填列）</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-1,959,628.15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-2,261,245.50</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-85,466,911.85</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-78,369,295.29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-484,168,906.38</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-147,593.01</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5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54" w:type="dxa"/>
        <w:tblLayout w:type="fixed"/>
        <w:tblCellMar>
          <w:top w:w="0" w:type="dxa"/>
          <w:left w:w="0" w:type="dxa"/>
          <w:bottom w:w="0" w:type="dxa"/>
          <w:right w:w="0" w:type="dxa"/>
        </w:tblCellMar>
        <w:tblLook w:val="01E0"/>
      </w:tblPr>
      <w:tblGrid>
        <w:gridCol w:w="5102"/>
        <w:gridCol w:w="2269"/>
        <w:gridCol w:w="2196"/>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467,526,706.85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2"/>
                <w:sz w:val="18"/>
              </w:rPr>
              <w:t>88,011,113.50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6,065,146.35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4,510,198.48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33,675,004.06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13,904,743.54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439,916,849.14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78,616,568.44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58,363,940.75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31,346,669.78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381,552,908.39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47,269,898.66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（一）按经营持续性分类</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381,552,908.39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-103,474,680.61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终止经营净利润（净亏损以“－”号填列）</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150,744,579.27</w:t>
            </w: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（二）按所有权归属分类</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375,607,752.77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42,096,244.42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5,945,155.62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5,173,654.24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862,957.61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-479,721.85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归属母公司所有者的其他综合收益的税后净额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862,957.61</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-479,721.85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（一）不能重分类进损益的其他综合收益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1,477,268.78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-494,266.89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495,005.69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-494,266.89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982,263.09</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（二）将重分类进损益的其他综合收益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-614,311.17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14,545.04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1,290,202.13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2,225,833.16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-1,904,513.30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-2,211,288.12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归属于少数股东的其他综合收益的税后净额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382,415,866.00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46,790,176.81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归属于母公司所有者的综合收益总额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376,470,710.38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41,616,522.57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5,945,155.62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5,173,654.24</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54" w:type="dxa"/>
        <w:tblLayout w:type="fixed"/>
        <w:tblCellMar>
          <w:top w:w="0" w:type="dxa"/>
          <w:left w:w="0" w:type="dxa"/>
          <w:bottom w:w="0" w:type="dxa"/>
          <w:right w:w="0" w:type="dxa"/>
        </w:tblCellMar>
        <w:tblLook w:val="01E0"/>
      </w:tblPr>
      <w:tblGrid>
        <w:gridCol w:w="5102"/>
        <w:gridCol w:w="2269"/>
        <w:gridCol w:w="2196"/>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0.3899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0.0437</w:t>
            </w: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0.3890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0.0437</w:t>
            </w:r>
          </w:p>
        </w:tc>
      </w:tr>
    </w:tbl>
    <w:p>
      <w:pPr>
        <w:pStyle w:val="BodyText"/>
        <w:tabs>
          <w:tab w:pos="3487" w:val="left" w:leader="none"/>
          <w:tab w:pos="7719" w:val="left" w:leader="none"/>
        </w:tabs>
        <w:spacing w:line="595" w:lineRule="auto" w:before="49"/>
        <w:ind w:right="1224" w:hanging="7"/>
        <w:jc w:val="center"/>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spacing w:val="-3"/>
        </w:rPr>
        <w:t>元。 </w:t>
      </w:r>
      <w:r>
        <w:rPr/>
        <w:t>法定代表人：郭为</w:t>
        <w:tab/>
      </w:r>
      <w:r>
        <w:rPr>
          <w:spacing w:val="-1"/>
        </w:rPr>
        <w:t>主管会计工作负责人：张云飞</w:t>
        <w:tab/>
      </w:r>
      <w:r>
        <w:rPr/>
        <w:t>会计机构负责人：张秀慧</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5103"/>
        <w:gridCol w:w="2269"/>
        <w:gridCol w:w="2199"/>
      </w:tblGrid>
      <w:tr>
        <w:trPr>
          <w:trHeight w:val="397"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7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8"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206,490,411.09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942,192,881.87</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191,757,262.40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894,281,995.69</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937,519.72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1,134,487.37</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893,835.87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836,821.26</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23,271,943.50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31,936,448.67</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203,738.18</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1,369,633.21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936,635.03</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其中：利息费用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1,797,131.72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5,689,845.00</w:t>
            </w:r>
          </w:p>
        </w:tc>
      </w:tr>
      <w:tr>
        <w:trPr>
          <w:trHeight w:val="404"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利息收入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319,044.83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4,843,661.52</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857,900.00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33,150.54</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63,998,229.47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646,711.69</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其中：对联营企业和合营企业的投资收益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-323,485.13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-3,514,339.50</w:t>
            </w:r>
          </w:p>
        </w:tc>
      </w:tr>
      <w:tr>
        <w:trPr>
          <w:trHeight w:val="715"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105" w:right="1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以摊余成本计量的金融资产终止确认收益（损失 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-44,952.72</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净敞口套期收益（损失以“－”号填列）</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-3,350,101.82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-2,261,245.50</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-1,810,848.86</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-18,680,506.02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-39,179,505.77</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29,071,150.98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-27,694,395.19</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601.79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920.23</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21,387,434.59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9,473.83</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7,684,318.18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-27,702,948.79</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6,644,617.04</w:t>
            </w:r>
          </w:p>
        </w:tc>
      </w:tr>
      <w:tr>
        <w:trPr>
          <w:trHeight w:val="401"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7,684,318.18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-34,347,565.83</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54" w:type="dxa"/>
        <w:tblLayout w:type="fixed"/>
        <w:tblCellMar>
          <w:top w:w="0" w:type="dxa"/>
          <w:left w:w="0" w:type="dxa"/>
          <w:bottom w:w="0" w:type="dxa"/>
          <w:right w:w="0" w:type="dxa"/>
        </w:tblCellMar>
        <w:tblLook w:val="01E0"/>
      </w:tblPr>
      <w:tblGrid>
        <w:gridCol w:w="5102"/>
        <w:gridCol w:w="2269"/>
        <w:gridCol w:w="2199"/>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（一）持续经营净利润（净亏损以“－”号填列）</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7,684,318.18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-34,347,565.83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（二）终止经营净利润（净亏损以“－”号填列）</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13,220,805.84</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（一）不能重分类进损益的其他综合收益</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13,220,805.84</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13,220,805.84</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（二）将重分类进损益的其他综合收益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20,905,124.02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-34,347,565.83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left="0" w:right="978"/>
        <w:jc w:val="center"/>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5103"/>
        <w:gridCol w:w="2269"/>
        <w:gridCol w:w="2199"/>
      </w:tblGrid>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7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6" w:right="0"/>
              <w:jc w:val="left"/>
              <w:rPr>
                <w:rFonts w:ascii="Times New Roman" w:hAnsi="Times New Roman" w:cs="Times New Roman" w:eastAsia="Times New Roman" w:hint="default"/>
                <w:sz w:val="18"/>
                <w:szCs w:val="18"/>
              </w:rPr>
            </w:pPr>
            <w:r>
              <w:rPr>
                <w:rFonts w:ascii="Times New Roman"/>
                <w:sz w:val="18"/>
              </w:rPr>
              <w:t>10,476,098,248.44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4" w:right="0"/>
              <w:jc w:val="left"/>
              <w:rPr>
                <w:rFonts w:ascii="Times New Roman" w:hAnsi="Times New Roman" w:cs="Times New Roman" w:eastAsia="Times New Roman" w:hint="default"/>
                <w:sz w:val="18"/>
                <w:szCs w:val="18"/>
              </w:rPr>
            </w:pPr>
            <w:r>
              <w:rPr>
                <w:rFonts w:ascii="Times New Roman"/>
                <w:sz w:val="18"/>
              </w:rPr>
              <w:t>10,121,098,505.34</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收到再保业务现金净额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74"/>
          <w:pgSz w:w="11910" w:h="16840"/>
          <w:pgMar w:footer="1261" w:header="916" w:top="1120" w:bottom="1460" w:left="980" w:right="0"/>
          <w:pgNumType w:start="130"/>
        </w:sectPr>
      </w:pPr>
    </w:p>
    <w:p>
      <w:pPr>
        <w:spacing w:line="240" w:lineRule="auto" w:before="8"/>
        <w:rPr>
          <w:rFonts w:ascii="Times New Roman" w:hAnsi="Times New Roman" w:cs="Times New Roman" w:eastAsia="Times New Roman" w:hint="default"/>
          <w:sz w:val="26"/>
          <w:szCs w:val="26"/>
        </w:rPr>
      </w:pPr>
    </w:p>
    <w:tbl>
      <w:tblPr>
        <w:tblW w:w="0" w:type="auto"/>
        <w:jc w:val="left"/>
        <w:tblInd w:w="154" w:type="dxa"/>
        <w:tblLayout w:type="fixed"/>
        <w:tblCellMar>
          <w:top w:w="0" w:type="dxa"/>
          <w:left w:w="0" w:type="dxa"/>
          <w:bottom w:w="0" w:type="dxa"/>
          <w:right w:w="0" w:type="dxa"/>
        </w:tblCellMar>
        <w:tblLook w:val="01E0"/>
      </w:tblPr>
      <w:tblGrid>
        <w:gridCol w:w="5102"/>
        <w:gridCol w:w="2269"/>
        <w:gridCol w:w="2199"/>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代理买卖证券收到的现金净额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10,588,038.31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19,164,895.29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93,953,070.47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62,621,487.06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10,580,639,357.22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10,202,884,887.69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7,640,299,590.69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7,363,645,897.09</w:t>
            </w: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拆出资金净增加额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1,691,332,238.14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1,500,349,091.12</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319,798,990.96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501,072,293.79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639,240,985.23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600,569,440.48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10,290,671,805.02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9,965,636,722.48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289,967,552.20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237,248,165.21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143,206,472.55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8,277.00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5,099,072.24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39,462,227.24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处置固定资产、无形资产和其他长期资产收回的现金净额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1,962,649.43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987,135.90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处置子公司及其他营业单位收到的现金净额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53,825,639.71</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12,705,680,000.00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10,720,004,115.37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12,855,948,194.22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10,814,287,395.22</w:t>
            </w: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购建固定资产、无形资产和其他长期资产支付的现金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42,801,410.45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40,558,589.69</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1,937,275.55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24,452,860.94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取得子公司及其他营业单位支付的现金净额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38,140,445.87</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12,406,480,000.00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11,338,811,863.45</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12,489,359,131.87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11,403,823,314.08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366,589,062.35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-589,535,918.86</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54" w:type="dxa"/>
        <w:tblLayout w:type="fixed"/>
        <w:tblCellMar>
          <w:top w:w="0" w:type="dxa"/>
          <w:left w:w="0" w:type="dxa"/>
          <w:bottom w:w="0" w:type="dxa"/>
          <w:right w:w="0" w:type="dxa"/>
        </w:tblCellMar>
        <w:tblLook w:val="01E0"/>
      </w:tblPr>
      <w:tblGrid>
        <w:gridCol w:w="5102"/>
        <w:gridCol w:w="2269"/>
        <w:gridCol w:w="2199"/>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62,600,250.00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3,654,000.00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其中：子公司吸收少数股东投资收到的现金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18,502,500.00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3,654,000.00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972,994,586.45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1,592,767,083.48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1,740,476.00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9,254,762.00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1,037,335,312.45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1,605,675,845.48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1,705,574,464.30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1,398,844,984.00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117,500,785.26</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108,284,318.16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其中：子公司支付给少数股东的股利、利润</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33,720,093.34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1,900,000.00</w:t>
            </w: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2,541,404.31</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38,081,531.74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1,825,616,653.87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1,545,210,833.90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-788,281,341.42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60,465,011.58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-1,782,005.35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-874,866.70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-133,506,732.22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-292,697,608.77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1,483,675,206.37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1,776,372,815.14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1,350,168,474.15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1,483,675,206.37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0" w:right="975"/>
        <w:jc w:val="center"/>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53" w:type="dxa"/>
        <w:tblLayout w:type="fixed"/>
        <w:tblCellMar>
          <w:top w:w="0" w:type="dxa"/>
          <w:left w:w="0" w:type="dxa"/>
          <w:bottom w:w="0" w:type="dxa"/>
          <w:right w:w="0" w:type="dxa"/>
        </w:tblCellMar>
        <w:tblLook w:val="01E0"/>
      </w:tblPr>
      <w:tblGrid>
        <w:gridCol w:w="5103"/>
        <w:gridCol w:w="2269"/>
        <w:gridCol w:w="2199"/>
      </w:tblGrid>
      <w:tr>
        <w:trPr>
          <w:trHeight w:val="397"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7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1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7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7"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500,151,111.33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825,950,979.88</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2,926,203.62</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1,261,312.90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3,275,530.35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501,412,424.23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832,152,713.85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533,362,670.62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714,983,387.21</w:t>
            </w:r>
          </w:p>
        </w:tc>
      </w:tr>
      <w:tr>
        <w:trPr>
          <w:trHeight w:val="403"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23,082,837.69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20,102,719.38</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7,049,377.62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10,653,417.08</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11,026,259.34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21,060,454.63</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574,521,145.27</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766,799,978.30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-73,108,721.04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65,352,735.55</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27,908,648.02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8,277.00</w:t>
            </w:r>
          </w:p>
        </w:tc>
      </w:tr>
      <w:tr>
        <w:trPr>
          <w:trHeight w:val="402" w:hRule="exact"/>
        </w:trPr>
        <w:tc>
          <w:tcPr>
            <w:tcW w:w="51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407,734.80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6,800,814.40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54" w:type="dxa"/>
        <w:tblLayout w:type="fixed"/>
        <w:tblCellMar>
          <w:top w:w="0" w:type="dxa"/>
          <w:left w:w="0" w:type="dxa"/>
          <w:bottom w:w="0" w:type="dxa"/>
          <w:right w:w="0" w:type="dxa"/>
        </w:tblCellMar>
        <w:tblLook w:val="01E0"/>
      </w:tblPr>
      <w:tblGrid>
        <w:gridCol w:w="5102"/>
        <w:gridCol w:w="2269"/>
        <w:gridCol w:w="2199"/>
      </w:tblGrid>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处置固定资产、无形资产和其他长期资产收回的现金净额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3,790.14</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2,820.00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处置子公司及其他营业单位收到的现金净额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219,805,746.92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3,830,878,985.67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248,125,919.88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3,837,690,897.07</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购建固定资产、无形资产和其他长期资产支付的现金</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43,683.06</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3,012,450.00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26,352,860.94</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取得子公司及其他营业单位支付的现金净额</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142,390,498.75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4,065,583,418.00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145,402,948.75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4,091,979,962.00</w:t>
            </w:r>
          </w:p>
        </w:tc>
      </w:tr>
      <w:tr>
        <w:trPr>
          <w:trHeight w:val="403"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102,722,971.13</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-254,289,064.93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44,097,750.00</w:t>
            </w: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37,707,081.38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44,097,750.00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37,707,081.38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37,707,081.38</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39,500,000.00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35,619,778.99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32,831,047.70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410,754.32</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26,791,647.08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73,737,614.69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99,122,694.78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-29,639,864.69</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-61,415,613.40</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269" w:type="dxa"/>
            <w:tcBorders>
              <w:top w:val="single" w:sz="4" w:space="0" w:color="000000"/>
              <w:left w:val="single" w:sz="4" w:space="0" w:color="000000"/>
              <w:bottom w:val="single" w:sz="4" w:space="0" w:color="000000"/>
              <w:right w:val="single" w:sz="4" w:space="0" w:color="000000"/>
            </w:tcBorders>
          </w:tcPr>
          <w:p>
            <w:pPr/>
          </w:p>
        </w:tc>
        <w:tc>
          <w:tcPr>
            <w:tcW w:w="21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-25,614.60</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-250,351,942.78</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44,612.15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250,396,554.93</w:t>
            </w:r>
          </w:p>
        </w:tc>
      </w:tr>
      <w:tr>
        <w:trPr>
          <w:trHeight w:val="402" w:hRule="exact"/>
        </w:trPr>
        <w:tc>
          <w:tcPr>
            <w:tcW w:w="51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18,997.55</w:t>
            </w:r>
          </w:p>
        </w:tc>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44,612.15</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5"/>
        <w:rPr>
          <w:rFonts w:ascii="Times New Roman" w:hAnsi="Times New Roman" w:cs="Times New Roman" w:eastAsia="Times New Roman" w:hint="default"/>
          <w:sz w:val="25"/>
          <w:szCs w:val="25"/>
        </w:rPr>
      </w:pPr>
    </w:p>
    <w:p>
      <w:pPr>
        <w:pStyle w:val="Heading4"/>
        <w:spacing w:line="240" w:lineRule="auto" w:before="36"/>
        <w:ind w:left="6021" w:right="6021"/>
        <w:jc w:val="center"/>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4"/>
        <w:rPr>
          <w:rFonts w:ascii="宋体" w:hAnsi="宋体" w:cs="宋体" w:eastAsia="宋体" w:hint="default"/>
          <w:b/>
          <w:bCs/>
          <w:sz w:val="26"/>
          <w:szCs w:val="26"/>
        </w:rPr>
      </w:pPr>
    </w:p>
    <w:p>
      <w:pPr>
        <w:pStyle w:val="BodyText"/>
        <w:tabs>
          <w:tab w:pos="13829" w:val="left" w:leader="none"/>
        </w:tabs>
        <w:spacing w:line="240" w:lineRule="auto"/>
        <w:ind w:left="6892" w:right="0"/>
        <w:jc w:val="left"/>
      </w:pPr>
      <w:r>
        <w:rPr/>
        <w:t>本期金额</w:t>
        <w:tab/>
        <w:t>单位：元</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2547"/>
        <w:gridCol w:w="989"/>
        <w:gridCol w:w="428"/>
        <w:gridCol w:w="425"/>
        <w:gridCol w:w="283"/>
        <w:gridCol w:w="1138"/>
        <w:gridCol w:w="989"/>
        <w:gridCol w:w="996"/>
        <w:gridCol w:w="422"/>
        <w:gridCol w:w="994"/>
        <w:gridCol w:w="569"/>
        <w:gridCol w:w="1131"/>
        <w:gridCol w:w="286"/>
        <w:gridCol w:w="1135"/>
        <w:gridCol w:w="994"/>
        <w:gridCol w:w="1104"/>
      </w:tblGrid>
      <w:tr>
        <w:trPr>
          <w:trHeight w:val="401" w:hRule="exact"/>
        </w:trPr>
        <w:tc>
          <w:tcPr>
            <w:tcW w:w="254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0"/>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882" w:type="dxa"/>
            <w:gridSpan w:val="1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年度</w:t>
            </w:r>
          </w:p>
        </w:tc>
      </w:tr>
      <w:tr>
        <w:trPr>
          <w:trHeight w:val="404" w:hRule="exact"/>
        </w:trPr>
        <w:tc>
          <w:tcPr>
            <w:tcW w:w="2547" w:type="dxa"/>
            <w:vMerge/>
            <w:tcBorders>
              <w:left w:val="single" w:sz="4" w:space="0" w:color="000000"/>
              <w:right w:val="single" w:sz="4" w:space="0" w:color="000000"/>
            </w:tcBorders>
            <w:shd w:val="clear" w:color="auto" w:fill="D9D9D9"/>
          </w:tcPr>
          <w:p>
            <w:pPr/>
          </w:p>
        </w:tc>
        <w:tc>
          <w:tcPr>
            <w:tcW w:w="9784" w:type="dxa"/>
            <w:gridSpan w:val="1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99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10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1" w:hRule="exact"/>
        </w:trPr>
        <w:tc>
          <w:tcPr>
            <w:tcW w:w="2547" w:type="dxa"/>
            <w:vMerge/>
            <w:tcBorders>
              <w:left w:val="single" w:sz="4" w:space="0" w:color="000000"/>
              <w:right w:val="single" w:sz="4" w:space="0" w:color="000000"/>
            </w:tcBorders>
            <w:shd w:val="clear" w:color="auto" w:fill="D9D9D9"/>
          </w:tcPr>
          <w:p>
            <w:pPr/>
          </w:p>
        </w:tc>
        <w:tc>
          <w:tcPr>
            <w:tcW w:w="98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13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1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3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8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9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0"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42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0"/>
                <w:szCs w:val="20"/>
              </w:rPr>
            </w:pPr>
          </w:p>
          <w:p>
            <w:pPr>
              <w:pStyle w:val="TableParagraph"/>
              <w:spacing w:line="381" w:lineRule="auto"/>
              <w:ind w:left="55" w:right="53"/>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99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0"/>
                <w:szCs w:val="20"/>
              </w:rPr>
            </w:pPr>
          </w:p>
          <w:p>
            <w:pPr>
              <w:pStyle w:val="TableParagraph"/>
              <w:spacing w:line="381" w:lineRule="auto"/>
              <w:ind w:left="52" w:right="50"/>
              <w:jc w:val="left"/>
              <w:rPr>
                <w:rFonts w:ascii="宋体" w:hAnsi="宋体" w:cs="宋体" w:eastAsia="宋体" w:hint="default"/>
                <w:sz w:val="15"/>
                <w:szCs w:val="15"/>
              </w:rPr>
            </w:pPr>
            <w:r>
              <w:rPr>
                <w:rFonts w:ascii="宋体" w:hAnsi="宋体" w:cs="宋体" w:eastAsia="宋体" w:hint="default"/>
                <w:sz w:val="15"/>
                <w:szCs w:val="15"/>
              </w:rPr>
              <w:t>一般风</w:t>
            </w:r>
            <w:r>
              <w:rPr>
                <w:rFonts w:ascii="宋体" w:hAnsi="宋体" w:cs="宋体" w:eastAsia="宋体" w:hint="default"/>
                <w:spacing w:val="-72"/>
                <w:sz w:val="15"/>
                <w:szCs w:val="15"/>
              </w:rPr>
              <w:t> </w:t>
            </w:r>
            <w:r>
              <w:rPr>
                <w:rFonts w:ascii="宋体" w:hAnsi="宋体" w:cs="宋体" w:eastAsia="宋体" w:hint="default"/>
                <w:sz w:val="15"/>
                <w:szCs w:val="15"/>
              </w:rPr>
              <w:t>险准备</w:t>
            </w:r>
          </w:p>
        </w:tc>
        <w:tc>
          <w:tcPr>
            <w:tcW w:w="113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28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20"/>
                <w:szCs w:val="20"/>
              </w:rPr>
            </w:pPr>
          </w:p>
          <w:p>
            <w:pPr>
              <w:pStyle w:val="TableParagraph"/>
              <w:spacing w:line="381" w:lineRule="auto"/>
              <w:ind w:left="62" w:right="60"/>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13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994" w:type="dxa"/>
            <w:vMerge/>
            <w:tcBorders>
              <w:left w:val="single" w:sz="4" w:space="0" w:color="000000"/>
              <w:right w:val="single" w:sz="4" w:space="0" w:color="000000"/>
            </w:tcBorders>
            <w:shd w:val="clear" w:color="auto" w:fill="D9D9D9"/>
          </w:tcPr>
          <w:p>
            <w:pPr/>
          </w:p>
        </w:tc>
        <w:tc>
          <w:tcPr>
            <w:tcW w:w="1104" w:type="dxa"/>
            <w:vMerge/>
            <w:tcBorders>
              <w:left w:val="single" w:sz="4" w:space="0" w:color="000000"/>
              <w:right w:val="single" w:sz="4" w:space="0" w:color="000000"/>
            </w:tcBorders>
            <w:shd w:val="clear" w:color="auto" w:fill="D9D9D9"/>
          </w:tcPr>
          <w:p>
            <w:pPr/>
          </w:p>
        </w:tc>
      </w:tr>
      <w:tr>
        <w:trPr>
          <w:trHeight w:val="715" w:hRule="exact"/>
        </w:trPr>
        <w:tc>
          <w:tcPr>
            <w:tcW w:w="2547" w:type="dxa"/>
            <w:vMerge/>
            <w:tcBorders>
              <w:left w:val="single" w:sz="4" w:space="0" w:color="000000"/>
              <w:bottom w:val="single" w:sz="4" w:space="0" w:color="000000"/>
              <w:right w:val="single" w:sz="4" w:space="0" w:color="000000"/>
            </w:tcBorders>
            <w:shd w:val="clear" w:color="auto" w:fill="D9D9D9"/>
          </w:tcPr>
          <w:p>
            <w:pPr/>
          </w:p>
        </w:tc>
        <w:tc>
          <w:tcPr>
            <w:tcW w:w="989" w:type="dxa"/>
            <w:vMerge/>
            <w:tcBorders>
              <w:left w:val="single" w:sz="4" w:space="0" w:color="000000"/>
              <w:bottom w:val="single" w:sz="4" w:space="0" w:color="000000"/>
              <w:right w:val="single" w:sz="4" w:space="0" w:color="000000"/>
            </w:tcBorders>
            <w:shd w:val="clear" w:color="auto" w:fill="D9D9D9"/>
          </w:tcPr>
          <w:p>
            <w:pPr/>
          </w:p>
        </w:tc>
        <w:tc>
          <w:tcPr>
            <w:tcW w:w="4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81" w:lineRule="auto" w:before="74"/>
              <w:ind w:left="134" w:right="53" w:hanging="75"/>
              <w:jc w:val="left"/>
              <w:rPr>
                <w:rFonts w:ascii="宋体" w:hAnsi="宋体" w:cs="宋体" w:eastAsia="宋体" w:hint="default"/>
                <w:sz w:val="15"/>
                <w:szCs w:val="15"/>
              </w:rPr>
            </w:pPr>
            <w:r>
              <w:rPr>
                <w:rFonts w:ascii="宋体" w:hAnsi="宋体" w:cs="宋体" w:eastAsia="宋体" w:hint="default"/>
                <w:sz w:val="15"/>
                <w:szCs w:val="15"/>
              </w:rPr>
              <w:t>优先</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81" w:lineRule="auto" w:before="74"/>
              <w:ind w:left="129" w:right="55" w:hanging="75"/>
              <w:jc w:val="left"/>
              <w:rPr>
                <w:rFonts w:ascii="宋体" w:hAnsi="宋体" w:cs="宋体" w:eastAsia="宋体" w:hint="default"/>
                <w:sz w:val="15"/>
                <w:szCs w:val="15"/>
              </w:rPr>
            </w:pPr>
            <w:r>
              <w:rPr>
                <w:rFonts w:ascii="宋体" w:hAnsi="宋体" w:cs="宋体" w:eastAsia="宋体" w:hint="default"/>
                <w:sz w:val="15"/>
                <w:szCs w:val="15"/>
              </w:rPr>
              <w:t>永续</w:t>
            </w:r>
            <w:r>
              <w:rPr>
                <w:rFonts w:ascii="宋体" w:hAnsi="宋体" w:cs="宋体" w:eastAsia="宋体" w:hint="default"/>
                <w:spacing w:val="-73"/>
                <w:sz w:val="15"/>
                <w:szCs w:val="15"/>
              </w:rPr>
              <w:t> </w:t>
            </w:r>
            <w:r>
              <w:rPr>
                <w:rFonts w:ascii="宋体" w:hAnsi="宋体" w:cs="宋体" w:eastAsia="宋体" w:hint="default"/>
                <w:sz w:val="15"/>
                <w:szCs w:val="15"/>
              </w:rPr>
              <w:t>债</w:t>
            </w:r>
          </w:p>
        </w:tc>
        <w:tc>
          <w:tcPr>
            <w:tcW w:w="2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81" w:lineRule="auto" w:before="74"/>
              <w:ind w:left="59" w:right="60"/>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138" w:type="dxa"/>
            <w:vMerge/>
            <w:tcBorders>
              <w:left w:val="single" w:sz="4" w:space="0" w:color="000000"/>
              <w:bottom w:val="single" w:sz="4" w:space="0" w:color="000000"/>
              <w:right w:val="single" w:sz="4" w:space="0" w:color="000000"/>
            </w:tcBorders>
            <w:shd w:val="clear" w:color="auto" w:fill="D9D9D9"/>
          </w:tcPr>
          <w:p>
            <w:pPr/>
          </w:p>
        </w:tc>
        <w:tc>
          <w:tcPr>
            <w:tcW w:w="989" w:type="dxa"/>
            <w:vMerge/>
            <w:tcBorders>
              <w:left w:val="single" w:sz="4" w:space="0" w:color="000000"/>
              <w:bottom w:val="single" w:sz="4" w:space="0" w:color="000000"/>
              <w:right w:val="single" w:sz="4" w:space="0" w:color="000000"/>
            </w:tcBorders>
            <w:shd w:val="clear" w:color="auto" w:fill="D9D9D9"/>
          </w:tcPr>
          <w:p>
            <w:pPr/>
          </w:p>
        </w:tc>
        <w:tc>
          <w:tcPr>
            <w:tcW w:w="996" w:type="dxa"/>
            <w:vMerge/>
            <w:tcBorders>
              <w:left w:val="single" w:sz="4" w:space="0" w:color="000000"/>
              <w:bottom w:val="single" w:sz="4" w:space="0" w:color="000000"/>
              <w:right w:val="single" w:sz="4" w:space="0" w:color="000000"/>
            </w:tcBorders>
            <w:shd w:val="clear" w:color="auto" w:fill="D9D9D9"/>
          </w:tcPr>
          <w:p>
            <w:pPr/>
          </w:p>
        </w:tc>
        <w:tc>
          <w:tcPr>
            <w:tcW w:w="422" w:type="dxa"/>
            <w:vMerge/>
            <w:tcBorders>
              <w:left w:val="single" w:sz="4" w:space="0" w:color="000000"/>
              <w:bottom w:val="single" w:sz="4" w:space="0" w:color="000000"/>
              <w:right w:val="single" w:sz="4" w:space="0" w:color="000000"/>
            </w:tcBorders>
            <w:shd w:val="clear" w:color="auto" w:fill="D9D9D9"/>
          </w:tcPr>
          <w:p>
            <w:pPr/>
          </w:p>
        </w:tc>
        <w:tc>
          <w:tcPr>
            <w:tcW w:w="994" w:type="dxa"/>
            <w:vMerge/>
            <w:tcBorders>
              <w:left w:val="single" w:sz="4" w:space="0" w:color="000000"/>
              <w:bottom w:val="single" w:sz="4" w:space="0" w:color="000000"/>
              <w:right w:val="single" w:sz="4" w:space="0" w:color="000000"/>
            </w:tcBorders>
            <w:shd w:val="clear" w:color="auto" w:fill="D9D9D9"/>
          </w:tcPr>
          <w:p>
            <w:pPr/>
          </w:p>
        </w:tc>
        <w:tc>
          <w:tcPr>
            <w:tcW w:w="569" w:type="dxa"/>
            <w:vMerge/>
            <w:tcBorders>
              <w:left w:val="single" w:sz="4" w:space="0" w:color="000000"/>
              <w:bottom w:val="single" w:sz="4" w:space="0" w:color="000000"/>
              <w:right w:val="single" w:sz="4" w:space="0" w:color="000000"/>
            </w:tcBorders>
            <w:shd w:val="clear" w:color="auto" w:fill="D9D9D9"/>
          </w:tcPr>
          <w:p>
            <w:pPr/>
          </w:p>
        </w:tc>
        <w:tc>
          <w:tcPr>
            <w:tcW w:w="1131" w:type="dxa"/>
            <w:vMerge/>
            <w:tcBorders>
              <w:left w:val="single" w:sz="4" w:space="0" w:color="000000"/>
              <w:bottom w:val="single" w:sz="4" w:space="0" w:color="000000"/>
              <w:right w:val="single" w:sz="4" w:space="0" w:color="000000"/>
            </w:tcBorders>
            <w:shd w:val="clear" w:color="auto" w:fill="D9D9D9"/>
          </w:tcPr>
          <w:p>
            <w:pPr/>
          </w:p>
        </w:tc>
        <w:tc>
          <w:tcPr>
            <w:tcW w:w="286" w:type="dxa"/>
            <w:vMerge/>
            <w:tcBorders>
              <w:left w:val="single" w:sz="4" w:space="0" w:color="000000"/>
              <w:bottom w:val="single" w:sz="4" w:space="0" w:color="000000"/>
              <w:right w:val="single" w:sz="4" w:space="0" w:color="000000"/>
            </w:tcBorders>
            <w:shd w:val="clear" w:color="auto" w:fill="D9D9D9"/>
          </w:tcPr>
          <w:p>
            <w:pPr/>
          </w:p>
        </w:tc>
        <w:tc>
          <w:tcPr>
            <w:tcW w:w="1135" w:type="dxa"/>
            <w:vMerge/>
            <w:tcBorders>
              <w:left w:val="single" w:sz="4" w:space="0" w:color="000000"/>
              <w:bottom w:val="single" w:sz="4" w:space="0" w:color="000000"/>
              <w:right w:val="single" w:sz="4" w:space="0" w:color="000000"/>
            </w:tcBorders>
            <w:shd w:val="clear" w:color="auto" w:fill="D9D9D9"/>
          </w:tcPr>
          <w:p>
            <w:pPr/>
          </w:p>
        </w:tc>
        <w:tc>
          <w:tcPr>
            <w:tcW w:w="994" w:type="dxa"/>
            <w:vMerge/>
            <w:tcBorders>
              <w:left w:val="single" w:sz="4" w:space="0" w:color="000000"/>
              <w:bottom w:val="single" w:sz="4" w:space="0" w:color="000000"/>
              <w:right w:val="single" w:sz="4" w:space="0" w:color="000000"/>
            </w:tcBorders>
            <w:shd w:val="clear" w:color="auto" w:fill="D9D9D9"/>
          </w:tcPr>
          <w:p>
            <w:pPr/>
          </w:p>
        </w:tc>
        <w:tc>
          <w:tcPr>
            <w:tcW w:w="1104" w:type="dxa"/>
            <w:vMerge/>
            <w:tcBorders>
              <w:left w:val="single" w:sz="4" w:space="0" w:color="000000"/>
              <w:bottom w:val="single" w:sz="4" w:space="0" w:color="000000"/>
              <w:right w:val="single" w:sz="4" w:space="0" w:color="000000"/>
            </w:tcBorders>
            <w:shd w:val="clear" w:color="auto" w:fill="D9D9D9"/>
          </w:tcPr>
          <w:p>
            <w:pPr/>
          </w:p>
        </w:tc>
      </w:tr>
      <w:tr>
        <w:trPr>
          <w:trHeight w:val="401"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963,431,273.00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2,274,178,387.44</w:t>
            </w: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66,489,317.80</w:t>
            </w: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
              <w:jc w:val="right"/>
              <w:rPr>
                <w:rFonts w:ascii="Times New Roman" w:hAnsi="Times New Roman" w:cs="Times New Roman" w:eastAsia="Times New Roman" w:hint="default"/>
                <w:sz w:val="15"/>
                <w:szCs w:val="15"/>
              </w:rPr>
            </w:pPr>
            <w:r>
              <w:rPr>
                <w:rFonts w:ascii="Times New Roman"/>
                <w:spacing w:val="-1"/>
                <w:sz w:val="15"/>
              </w:rPr>
              <w:t>27,209,080.61</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1,614,776,633.66</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4,946,084,692.51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77,601,643.62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5,023,686,336.13</w:t>
            </w:r>
          </w:p>
        </w:tc>
      </w:tr>
      <w:tr>
        <w:trPr>
          <w:trHeight w:val="403"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宋体" w:hAnsi="宋体" w:cs="宋体" w:eastAsia="宋体" w:hint="default"/>
                <w:w w:val="100"/>
                <w:sz w:val="15"/>
                <w:szCs w:val="15"/>
              </w:rPr>
              <w:t> </w:t>
            </w:r>
            <w:r>
              <w:rPr>
                <w:rFonts w:ascii="宋体" w:hAnsi="宋体" w:cs="宋体" w:eastAsia="宋体" w:hint="default"/>
                <w:sz w:val="15"/>
                <w:szCs w:val="15"/>
              </w:rPr>
              <w:t> </w:t>
            </w:r>
            <w:r>
              <w:rPr>
                <w:rFonts w:ascii="宋体" w:hAnsi="宋体" w:cs="宋体" w:eastAsia="宋体" w:hint="default"/>
                <w:w w:val="100"/>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加：会计政策变更</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-4,084,482.16</w:t>
            </w: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-69,555,473.23</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-73,639,955.39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374,079.40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-73,265,875.99</w:t>
            </w:r>
          </w:p>
        </w:tc>
      </w:tr>
      <w:tr>
        <w:trPr>
          <w:trHeight w:val="401"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宋体" w:hAnsi="宋体" w:cs="宋体" w:eastAsia="宋体" w:hint="default"/>
                <w:w w:val="100"/>
                <w:sz w:val="15"/>
                <w:szCs w:val="15"/>
              </w:rPr>
              <w:t> </w:t>
            </w:r>
            <w:r>
              <w:rPr>
                <w:rFonts w:ascii="宋体" w:hAnsi="宋体" w:cs="宋体" w:eastAsia="宋体" w:hint="default"/>
                <w:sz w:val="15"/>
                <w:szCs w:val="15"/>
              </w:rPr>
              <w:t> </w:t>
            </w:r>
            <w:r>
              <w:rPr>
                <w:rFonts w:ascii="宋体" w:hAnsi="宋体" w:cs="宋体" w:eastAsia="宋体" w:hint="default"/>
                <w:w w:val="100"/>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前期差错更正</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3"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302" w:val="left" w:leader="none"/>
              </w:tabs>
              <w:spacing w:line="240" w:lineRule="auto" w:before="74"/>
              <w:ind w:left="-1" w:right="0"/>
              <w:jc w:val="left"/>
              <w:rPr>
                <w:rFonts w:ascii="宋体" w:hAnsi="宋体" w:cs="宋体" w:eastAsia="宋体" w:hint="default"/>
                <w:sz w:val="15"/>
                <w:szCs w:val="15"/>
              </w:rPr>
            </w:pPr>
            <w:r>
              <w:rPr>
                <w:rFonts w:ascii="宋体" w:hAnsi="宋体" w:cs="宋体" w:eastAsia="宋体" w:hint="default"/>
                <w:w w:val="100"/>
                <w:sz w:val="15"/>
                <w:szCs w:val="15"/>
              </w:rPr>
              <w:t> </w:t>
            </w:r>
            <w:r>
              <w:rPr>
                <w:rFonts w:ascii="宋体" w:hAnsi="宋体" w:cs="宋体" w:eastAsia="宋体" w:hint="default"/>
                <w:sz w:val="15"/>
                <w:szCs w:val="15"/>
              </w:rPr>
              <w:tab/>
            </w:r>
            <w:r>
              <w:rPr>
                <w:rFonts w:ascii="宋体" w:hAnsi="宋体" w:cs="宋体" w:eastAsia="宋体" w:hint="default"/>
                <w:sz w:val="15"/>
                <w:szCs w:val="15"/>
              </w:rPr>
              <w:t>同一控制下企业合并</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1"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宋体" w:hAnsi="宋体" w:cs="宋体" w:eastAsia="宋体" w:hint="default"/>
                <w:w w:val="100"/>
                <w:sz w:val="15"/>
                <w:szCs w:val="15"/>
              </w:rPr>
              <w:t> </w:t>
            </w:r>
            <w:r>
              <w:rPr>
                <w:rFonts w:ascii="宋体" w:hAnsi="宋体" w:cs="宋体" w:eastAsia="宋体" w:hint="default"/>
                <w:sz w:val="15"/>
                <w:szCs w:val="15"/>
              </w:rPr>
              <w:t> </w:t>
            </w:r>
            <w:r>
              <w:rPr>
                <w:rFonts w:ascii="宋体" w:hAnsi="宋体" w:cs="宋体" w:eastAsia="宋体" w:hint="default"/>
                <w:w w:val="100"/>
                <w:sz w:val="15"/>
                <w:szCs w:val="15"/>
              </w:rPr>
              <w:t> </w:t>
            </w:r>
            <w:r>
              <w:rPr>
                <w:rFonts w:ascii="宋体" w:hAnsi="宋体" w:cs="宋体" w:eastAsia="宋体" w:hint="default"/>
                <w:spacing w:val="1"/>
                <w:sz w:val="15"/>
                <w:szCs w:val="15"/>
              </w:rPr>
              <w:t> </w:t>
            </w:r>
            <w:r>
              <w:rPr>
                <w:rFonts w:ascii="宋体" w:hAnsi="宋体" w:cs="宋体" w:eastAsia="宋体" w:hint="default"/>
                <w:spacing w:val="-3"/>
                <w:sz w:val="15"/>
                <w:szCs w:val="15"/>
              </w:rPr>
              <w:t>其他</w:t>
            </w:r>
            <w:r>
              <w:rPr>
                <w:rFonts w:ascii="宋体" w:hAnsi="宋体" w:cs="宋体" w:eastAsia="宋体" w:hint="default"/>
                <w:sz w:val="15"/>
                <w:szCs w:val="15"/>
              </w:rPr>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963,431,273.00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2,274,178,387.44</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2"/>
              <w:jc w:val="right"/>
              <w:rPr>
                <w:rFonts w:ascii="Times New Roman" w:hAnsi="Times New Roman" w:cs="Times New Roman" w:eastAsia="Times New Roman" w:hint="default"/>
                <w:sz w:val="15"/>
                <w:szCs w:val="15"/>
              </w:rPr>
            </w:pPr>
            <w:r>
              <w:rPr>
                <w:rFonts w:ascii="Times New Roman"/>
                <w:spacing w:val="-1"/>
                <w:sz w:val="15"/>
              </w:rPr>
              <w:t>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62,404,835.64</w:t>
            </w: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3"/>
              <w:jc w:val="right"/>
              <w:rPr>
                <w:rFonts w:ascii="Times New Roman" w:hAnsi="Times New Roman" w:cs="Times New Roman" w:eastAsia="Times New Roman" w:hint="default"/>
                <w:sz w:val="15"/>
                <w:szCs w:val="15"/>
              </w:rPr>
            </w:pPr>
            <w:r>
              <w:rPr>
                <w:rFonts w:ascii="Times New Roman"/>
                <w:spacing w:val="-1"/>
                <w:sz w:val="15"/>
              </w:rPr>
              <w:t>27,209,080.61</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1,545,221,160.43</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4,872,444,737.12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77,975,723.02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4,950,420,460.14</w:t>
            </w:r>
          </w:p>
        </w:tc>
      </w:tr>
      <w:tr>
        <w:trPr>
          <w:trHeight w:val="713"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79" w:lineRule="auto" w:before="74"/>
              <w:ind w:left="-1" w:right="432"/>
              <w:jc w:val="left"/>
              <w:rPr>
                <w:rFonts w:ascii="宋体" w:hAnsi="宋体" w:cs="宋体" w:eastAsia="宋体" w:hint="default"/>
                <w:sz w:val="15"/>
                <w:szCs w:val="15"/>
              </w:rPr>
            </w:pPr>
            <w:r>
              <w:rPr>
                <w:rFonts w:ascii="宋体" w:hAnsi="宋体" w:cs="宋体" w:eastAsia="宋体" w:hint="default"/>
                <w:spacing w:val="-2"/>
                <w:sz w:val="15"/>
                <w:szCs w:val="15"/>
              </w:rPr>
              <w:t>三、本期增减变动金额（减少以</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“－”号填列）</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6,950,000.00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41,799,190.69</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44,097,750.00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862,957.61</w:t>
            </w: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
              <w:jc w:val="right"/>
              <w:rPr>
                <w:rFonts w:ascii="Times New Roman" w:hAnsi="Times New Roman" w:cs="Times New Roman" w:eastAsia="Times New Roman" w:hint="default"/>
                <w:sz w:val="15"/>
                <w:szCs w:val="15"/>
              </w:rPr>
            </w:pPr>
            <w:r>
              <w:rPr>
                <w:rFonts w:ascii="Times New Roman"/>
                <w:spacing w:val="-1"/>
                <w:sz w:val="15"/>
              </w:rPr>
              <w:t>768,431.82</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340,624,221.92</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346,907,052.04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24,996,541.44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371,903,593.48</w:t>
            </w:r>
          </w:p>
        </w:tc>
      </w:tr>
      <w:tr>
        <w:trPr>
          <w:trHeight w:val="404"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right"/>
              <w:rPr>
                <w:rFonts w:ascii="Times New Roman" w:hAnsi="Times New Roman" w:cs="Times New Roman" w:eastAsia="Times New Roman" w:hint="default"/>
                <w:sz w:val="15"/>
                <w:szCs w:val="15"/>
              </w:rPr>
            </w:pPr>
            <w:r>
              <w:rPr>
                <w:rFonts w:ascii="Times New Roman"/>
                <w:spacing w:val="-1"/>
                <w:sz w:val="15"/>
              </w:rPr>
              <w:t>862,957.61</w:t>
            </w: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right"/>
              <w:rPr>
                <w:rFonts w:ascii="Times New Roman" w:hAnsi="Times New Roman" w:cs="Times New Roman" w:eastAsia="Times New Roman" w:hint="default"/>
                <w:sz w:val="15"/>
                <w:szCs w:val="15"/>
              </w:rPr>
            </w:pPr>
            <w:r>
              <w:rPr>
                <w:rFonts w:ascii="Times New Roman"/>
                <w:spacing w:val="-1"/>
                <w:sz w:val="15"/>
              </w:rPr>
              <w:t>375,607,752.77</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right"/>
              <w:rPr>
                <w:rFonts w:ascii="Times New Roman" w:hAnsi="Times New Roman" w:cs="Times New Roman" w:eastAsia="Times New Roman" w:hint="default"/>
                <w:sz w:val="15"/>
                <w:szCs w:val="15"/>
              </w:rPr>
            </w:pPr>
            <w:r>
              <w:rPr>
                <w:rFonts w:ascii="Times New Roman"/>
                <w:spacing w:val="-1"/>
                <w:sz w:val="15"/>
              </w:rPr>
              <w:t>376,470,710.38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right"/>
              <w:rPr>
                <w:rFonts w:ascii="Times New Roman" w:hAnsi="Times New Roman" w:cs="Times New Roman" w:eastAsia="Times New Roman" w:hint="default"/>
                <w:sz w:val="15"/>
                <w:szCs w:val="15"/>
              </w:rPr>
            </w:pPr>
            <w:r>
              <w:rPr>
                <w:rFonts w:ascii="Times New Roman"/>
                <w:spacing w:val="-1"/>
                <w:sz w:val="15"/>
              </w:rPr>
              <w:t>5,945,155.62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right"/>
              <w:rPr>
                <w:rFonts w:ascii="Times New Roman" w:hAnsi="Times New Roman" w:cs="Times New Roman" w:eastAsia="Times New Roman" w:hint="default"/>
                <w:sz w:val="15"/>
                <w:szCs w:val="15"/>
              </w:rPr>
            </w:pPr>
            <w:r>
              <w:rPr>
                <w:rFonts w:ascii="Times New Roman"/>
                <w:spacing w:val="-1"/>
                <w:sz w:val="15"/>
              </w:rPr>
              <w:t>382,415,866.00</w:t>
            </w:r>
          </w:p>
        </w:tc>
      </w:tr>
      <w:tr>
        <w:trPr>
          <w:trHeight w:val="401"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6,950,000.00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45,494,012.98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44,097,750.00</w:t>
            </w: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8,346,262.98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19,051,385.82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27,397,648.80</w:t>
            </w:r>
          </w:p>
        </w:tc>
      </w:tr>
      <w:tr>
        <w:trPr>
          <w:trHeight w:val="403"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6,950,000.00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37,147,750.00</w:t>
            </w: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44,097,750.00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18,502,500.00</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62,600,250.00</w:t>
            </w:r>
          </w:p>
        </w:tc>
      </w:tr>
      <w:tr>
        <w:trPr>
          <w:trHeight w:val="401"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．股份支付计入所有者权益的金额</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8,417,940.18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44,097,750.00</w:t>
            </w: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-35,679,809.82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548,885.82</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-35,130,924.00</w:t>
            </w:r>
          </w:p>
        </w:tc>
      </w:tr>
      <w:tr>
        <w:trPr>
          <w:trHeight w:val="401"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-71,677.20</w:t>
            </w: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-71,677.20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-71,677.20</w:t>
            </w:r>
          </w:p>
        </w:tc>
      </w:tr>
      <w:tr>
        <w:trPr>
          <w:trHeight w:val="403"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4"/>
              <w:jc w:val="right"/>
              <w:rPr>
                <w:rFonts w:ascii="Times New Roman" w:hAnsi="Times New Roman" w:cs="Times New Roman" w:eastAsia="Times New Roman" w:hint="default"/>
                <w:sz w:val="15"/>
                <w:szCs w:val="15"/>
              </w:rPr>
            </w:pPr>
            <w:r>
              <w:rPr>
                <w:rFonts w:ascii="Times New Roman"/>
                <w:spacing w:val="-1"/>
                <w:sz w:val="15"/>
              </w:rPr>
              <w:t>768,431.82</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-34,488,525.16</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-33,720,093.34</w:t>
            </w: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-33,720,093.34</w:t>
            </w:r>
          </w:p>
        </w:tc>
      </w:tr>
    </w:tbl>
    <w:p>
      <w:pPr>
        <w:spacing w:after="0" w:line="240" w:lineRule="auto"/>
        <w:jc w:val="right"/>
        <w:rPr>
          <w:rFonts w:ascii="Times New Roman" w:hAnsi="Times New Roman" w:cs="Times New Roman" w:eastAsia="Times New Roman" w:hint="default"/>
          <w:sz w:val="15"/>
          <w:szCs w:val="15"/>
        </w:rPr>
        <w:sectPr>
          <w:headerReference w:type="default" r:id="rId75"/>
          <w:footerReference w:type="default" r:id="rId76"/>
          <w:pgSz w:w="16840" w:h="11910" w:orient="landscape"/>
          <w:pgMar w:header="916" w:footer="1260" w:top="1120" w:bottom="1460" w:left="1300" w:right="820"/>
          <w:pgNumType w:start="134"/>
        </w:sectPr>
      </w:pPr>
    </w:p>
    <w:tbl>
      <w:tblPr>
        <w:tblW w:w="0" w:type="auto"/>
        <w:jc w:val="left"/>
        <w:tblInd w:w="140" w:type="dxa"/>
        <w:tblLayout w:type="fixed"/>
        <w:tblCellMar>
          <w:top w:w="0" w:type="dxa"/>
          <w:left w:w="0" w:type="dxa"/>
          <w:bottom w:w="0" w:type="dxa"/>
          <w:right w:w="0" w:type="dxa"/>
        </w:tblCellMar>
        <w:tblLook w:val="01E0"/>
      </w:tblPr>
      <w:tblGrid>
        <w:gridCol w:w="2547"/>
        <w:gridCol w:w="989"/>
        <w:gridCol w:w="428"/>
        <w:gridCol w:w="425"/>
        <w:gridCol w:w="283"/>
        <w:gridCol w:w="1138"/>
        <w:gridCol w:w="989"/>
        <w:gridCol w:w="996"/>
        <w:gridCol w:w="422"/>
        <w:gridCol w:w="994"/>
        <w:gridCol w:w="569"/>
        <w:gridCol w:w="1131"/>
        <w:gridCol w:w="286"/>
        <w:gridCol w:w="1135"/>
        <w:gridCol w:w="994"/>
        <w:gridCol w:w="1104"/>
      </w:tblGrid>
      <w:tr>
        <w:trPr>
          <w:trHeight w:val="402" w:hRule="exact"/>
        </w:trPr>
        <w:tc>
          <w:tcPr>
            <w:tcW w:w="254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1882" w:type="dxa"/>
            <w:gridSpan w:val="1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2019 </w:t>
            </w:r>
            <w:r>
              <w:rPr>
                <w:rFonts w:ascii="宋体" w:hAnsi="宋体" w:cs="宋体" w:eastAsia="宋体" w:hint="default"/>
                <w:sz w:val="15"/>
                <w:szCs w:val="15"/>
              </w:rPr>
              <w:t>年度</w:t>
            </w:r>
          </w:p>
        </w:tc>
      </w:tr>
      <w:tr>
        <w:trPr>
          <w:trHeight w:val="402" w:hRule="exact"/>
        </w:trPr>
        <w:tc>
          <w:tcPr>
            <w:tcW w:w="2547" w:type="dxa"/>
            <w:vMerge/>
            <w:tcBorders>
              <w:left w:val="single" w:sz="4" w:space="0" w:color="000000"/>
              <w:right w:val="single" w:sz="4" w:space="0" w:color="000000"/>
            </w:tcBorders>
            <w:shd w:val="clear" w:color="auto" w:fill="D9D9D9"/>
          </w:tcPr>
          <w:p>
            <w:pPr/>
          </w:p>
        </w:tc>
        <w:tc>
          <w:tcPr>
            <w:tcW w:w="9784" w:type="dxa"/>
            <w:gridSpan w:val="1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99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0"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10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1"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2" w:hRule="exact"/>
        </w:trPr>
        <w:tc>
          <w:tcPr>
            <w:tcW w:w="2547" w:type="dxa"/>
            <w:vMerge/>
            <w:tcBorders>
              <w:left w:val="single" w:sz="4" w:space="0" w:color="000000"/>
              <w:right w:val="single" w:sz="4" w:space="0" w:color="000000"/>
            </w:tcBorders>
            <w:shd w:val="clear" w:color="auto" w:fill="D9D9D9"/>
          </w:tcPr>
          <w:p>
            <w:pPr/>
          </w:p>
        </w:tc>
        <w:tc>
          <w:tcPr>
            <w:tcW w:w="98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13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112"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3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98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2"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99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0"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42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0"/>
                <w:szCs w:val="20"/>
              </w:rPr>
            </w:pPr>
          </w:p>
          <w:p>
            <w:pPr>
              <w:pStyle w:val="TableParagraph"/>
              <w:spacing w:line="381" w:lineRule="auto"/>
              <w:ind w:left="55" w:right="53"/>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99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0"/>
                <w:szCs w:val="20"/>
              </w:rPr>
            </w:pPr>
          </w:p>
          <w:p>
            <w:pPr>
              <w:pStyle w:val="TableParagraph"/>
              <w:spacing w:line="381" w:lineRule="auto"/>
              <w:ind w:left="52" w:right="50"/>
              <w:jc w:val="left"/>
              <w:rPr>
                <w:rFonts w:ascii="宋体" w:hAnsi="宋体" w:cs="宋体" w:eastAsia="宋体" w:hint="default"/>
                <w:sz w:val="15"/>
                <w:szCs w:val="15"/>
              </w:rPr>
            </w:pPr>
            <w:r>
              <w:rPr>
                <w:rFonts w:ascii="宋体" w:hAnsi="宋体" w:cs="宋体" w:eastAsia="宋体" w:hint="default"/>
                <w:sz w:val="15"/>
                <w:szCs w:val="15"/>
              </w:rPr>
              <w:t>一般风</w:t>
            </w:r>
            <w:r>
              <w:rPr>
                <w:rFonts w:ascii="宋体" w:hAnsi="宋体" w:cs="宋体" w:eastAsia="宋体" w:hint="default"/>
                <w:spacing w:val="-72"/>
                <w:sz w:val="15"/>
                <w:szCs w:val="15"/>
              </w:rPr>
              <w:t> </w:t>
            </w:r>
            <w:r>
              <w:rPr>
                <w:rFonts w:ascii="宋体" w:hAnsi="宋体" w:cs="宋体" w:eastAsia="宋体" w:hint="default"/>
                <w:sz w:val="15"/>
                <w:szCs w:val="15"/>
              </w:rPr>
              <w:t>险准备</w:t>
            </w:r>
          </w:p>
        </w:tc>
        <w:tc>
          <w:tcPr>
            <w:tcW w:w="1131"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28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20"/>
                <w:szCs w:val="20"/>
              </w:rPr>
            </w:pPr>
          </w:p>
          <w:p>
            <w:pPr>
              <w:pStyle w:val="TableParagraph"/>
              <w:spacing w:line="381" w:lineRule="auto"/>
              <w:ind w:left="62" w:right="60"/>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13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994" w:type="dxa"/>
            <w:vMerge/>
            <w:tcBorders>
              <w:left w:val="single" w:sz="4" w:space="0" w:color="000000"/>
              <w:right w:val="single" w:sz="4" w:space="0" w:color="000000"/>
            </w:tcBorders>
            <w:shd w:val="clear" w:color="auto" w:fill="D9D9D9"/>
          </w:tcPr>
          <w:p>
            <w:pPr/>
          </w:p>
        </w:tc>
        <w:tc>
          <w:tcPr>
            <w:tcW w:w="1104" w:type="dxa"/>
            <w:vMerge/>
            <w:tcBorders>
              <w:left w:val="single" w:sz="4" w:space="0" w:color="000000"/>
              <w:right w:val="single" w:sz="4" w:space="0" w:color="000000"/>
            </w:tcBorders>
            <w:shd w:val="clear" w:color="auto" w:fill="D9D9D9"/>
          </w:tcPr>
          <w:p>
            <w:pPr/>
          </w:p>
        </w:tc>
      </w:tr>
      <w:tr>
        <w:trPr>
          <w:trHeight w:val="713" w:hRule="exact"/>
        </w:trPr>
        <w:tc>
          <w:tcPr>
            <w:tcW w:w="2547" w:type="dxa"/>
            <w:vMerge/>
            <w:tcBorders>
              <w:left w:val="single" w:sz="4" w:space="0" w:color="000000"/>
              <w:bottom w:val="single" w:sz="4" w:space="0" w:color="000000"/>
              <w:right w:val="single" w:sz="4" w:space="0" w:color="000000"/>
            </w:tcBorders>
            <w:shd w:val="clear" w:color="auto" w:fill="D9D9D9"/>
          </w:tcPr>
          <w:p>
            <w:pPr/>
          </w:p>
        </w:tc>
        <w:tc>
          <w:tcPr>
            <w:tcW w:w="989" w:type="dxa"/>
            <w:vMerge/>
            <w:tcBorders>
              <w:left w:val="single" w:sz="4" w:space="0" w:color="000000"/>
              <w:bottom w:val="single" w:sz="4" w:space="0" w:color="000000"/>
              <w:right w:val="single" w:sz="4" w:space="0" w:color="000000"/>
            </w:tcBorders>
            <w:shd w:val="clear" w:color="auto" w:fill="D9D9D9"/>
          </w:tcPr>
          <w:p>
            <w:pPr/>
          </w:p>
        </w:tc>
        <w:tc>
          <w:tcPr>
            <w:tcW w:w="4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81" w:lineRule="auto" w:before="63"/>
              <w:ind w:left="134" w:right="53" w:hanging="75"/>
              <w:jc w:val="left"/>
              <w:rPr>
                <w:rFonts w:ascii="宋体" w:hAnsi="宋体" w:cs="宋体" w:eastAsia="宋体" w:hint="default"/>
                <w:sz w:val="15"/>
                <w:szCs w:val="15"/>
              </w:rPr>
            </w:pPr>
            <w:r>
              <w:rPr>
                <w:rFonts w:ascii="宋体" w:hAnsi="宋体" w:cs="宋体" w:eastAsia="宋体" w:hint="default"/>
                <w:sz w:val="15"/>
                <w:szCs w:val="15"/>
              </w:rPr>
              <w:t>优先</w:t>
            </w:r>
            <w:r>
              <w:rPr>
                <w:rFonts w:ascii="宋体" w:hAnsi="宋体" w:cs="宋体" w:eastAsia="宋体" w:hint="default"/>
                <w:spacing w:val="-73"/>
                <w:sz w:val="15"/>
                <w:szCs w:val="15"/>
              </w:rPr>
              <w:t> </w:t>
            </w:r>
            <w:r>
              <w:rPr>
                <w:rFonts w:ascii="宋体" w:hAnsi="宋体" w:cs="宋体" w:eastAsia="宋体" w:hint="default"/>
                <w:sz w:val="15"/>
                <w:szCs w:val="15"/>
              </w:rPr>
              <w:t>股</w:t>
            </w:r>
          </w:p>
        </w:tc>
        <w:tc>
          <w:tcPr>
            <w:tcW w:w="4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81" w:lineRule="auto" w:before="63"/>
              <w:ind w:left="129" w:right="55" w:hanging="75"/>
              <w:jc w:val="left"/>
              <w:rPr>
                <w:rFonts w:ascii="宋体" w:hAnsi="宋体" w:cs="宋体" w:eastAsia="宋体" w:hint="default"/>
                <w:sz w:val="15"/>
                <w:szCs w:val="15"/>
              </w:rPr>
            </w:pPr>
            <w:r>
              <w:rPr>
                <w:rFonts w:ascii="宋体" w:hAnsi="宋体" w:cs="宋体" w:eastAsia="宋体" w:hint="default"/>
                <w:sz w:val="15"/>
                <w:szCs w:val="15"/>
              </w:rPr>
              <w:t>永续</w:t>
            </w:r>
            <w:r>
              <w:rPr>
                <w:rFonts w:ascii="宋体" w:hAnsi="宋体" w:cs="宋体" w:eastAsia="宋体" w:hint="default"/>
                <w:spacing w:val="-73"/>
                <w:sz w:val="15"/>
                <w:szCs w:val="15"/>
              </w:rPr>
              <w:t> </w:t>
            </w:r>
            <w:r>
              <w:rPr>
                <w:rFonts w:ascii="宋体" w:hAnsi="宋体" w:cs="宋体" w:eastAsia="宋体" w:hint="default"/>
                <w:sz w:val="15"/>
                <w:szCs w:val="15"/>
              </w:rPr>
              <w:t>债</w:t>
            </w:r>
          </w:p>
        </w:tc>
        <w:tc>
          <w:tcPr>
            <w:tcW w:w="2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81" w:lineRule="auto" w:before="63"/>
              <w:ind w:left="59" w:right="60"/>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138" w:type="dxa"/>
            <w:vMerge/>
            <w:tcBorders>
              <w:left w:val="single" w:sz="4" w:space="0" w:color="000000"/>
              <w:bottom w:val="single" w:sz="4" w:space="0" w:color="000000"/>
              <w:right w:val="single" w:sz="4" w:space="0" w:color="000000"/>
            </w:tcBorders>
            <w:shd w:val="clear" w:color="auto" w:fill="D9D9D9"/>
          </w:tcPr>
          <w:p>
            <w:pPr/>
          </w:p>
        </w:tc>
        <w:tc>
          <w:tcPr>
            <w:tcW w:w="989" w:type="dxa"/>
            <w:vMerge/>
            <w:tcBorders>
              <w:left w:val="single" w:sz="4" w:space="0" w:color="000000"/>
              <w:bottom w:val="single" w:sz="4" w:space="0" w:color="000000"/>
              <w:right w:val="single" w:sz="4" w:space="0" w:color="000000"/>
            </w:tcBorders>
            <w:shd w:val="clear" w:color="auto" w:fill="D9D9D9"/>
          </w:tcPr>
          <w:p>
            <w:pPr/>
          </w:p>
        </w:tc>
        <w:tc>
          <w:tcPr>
            <w:tcW w:w="996" w:type="dxa"/>
            <w:vMerge/>
            <w:tcBorders>
              <w:left w:val="single" w:sz="4" w:space="0" w:color="000000"/>
              <w:bottom w:val="single" w:sz="4" w:space="0" w:color="000000"/>
              <w:right w:val="single" w:sz="4" w:space="0" w:color="000000"/>
            </w:tcBorders>
            <w:shd w:val="clear" w:color="auto" w:fill="D9D9D9"/>
          </w:tcPr>
          <w:p>
            <w:pPr/>
          </w:p>
        </w:tc>
        <w:tc>
          <w:tcPr>
            <w:tcW w:w="422" w:type="dxa"/>
            <w:vMerge/>
            <w:tcBorders>
              <w:left w:val="single" w:sz="4" w:space="0" w:color="000000"/>
              <w:bottom w:val="single" w:sz="4" w:space="0" w:color="000000"/>
              <w:right w:val="single" w:sz="4" w:space="0" w:color="000000"/>
            </w:tcBorders>
            <w:shd w:val="clear" w:color="auto" w:fill="D9D9D9"/>
          </w:tcPr>
          <w:p>
            <w:pPr/>
          </w:p>
        </w:tc>
        <w:tc>
          <w:tcPr>
            <w:tcW w:w="994" w:type="dxa"/>
            <w:vMerge/>
            <w:tcBorders>
              <w:left w:val="single" w:sz="4" w:space="0" w:color="000000"/>
              <w:bottom w:val="single" w:sz="4" w:space="0" w:color="000000"/>
              <w:right w:val="single" w:sz="4" w:space="0" w:color="000000"/>
            </w:tcBorders>
            <w:shd w:val="clear" w:color="auto" w:fill="D9D9D9"/>
          </w:tcPr>
          <w:p>
            <w:pPr/>
          </w:p>
        </w:tc>
        <w:tc>
          <w:tcPr>
            <w:tcW w:w="569" w:type="dxa"/>
            <w:vMerge/>
            <w:tcBorders>
              <w:left w:val="single" w:sz="4" w:space="0" w:color="000000"/>
              <w:bottom w:val="single" w:sz="4" w:space="0" w:color="000000"/>
              <w:right w:val="single" w:sz="4" w:space="0" w:color="000000"/>
            </w:tcBorders>
            <w:shd w:val="clear" w:color="auto" w:fill="D9D9D9"/>
          </w:tcPr>
          <w:p>
            <w:pPr/>
          </w:p>
        </w:tc>
        <w:tc>
          <w:tcPr>
            <w:tcW w:w="1131" w:type="dxa"/>
            <w:vMerge/>
            <w:tcBorders>
              <w:left w:val="single" w:sz="4" w:space="0" w:color="000000"/>
              <w:bottom w:val="single" w:sz="4" w:space="0" w:color="000000"/>
              <w:right w:val="single" w:sz="4" w:space="0" w:color="000000"/>
            </w:tcBorders>
            <w:shd w:val="clear" w:color="auto" w:fill="D9D9D9"/>
          </w:tcPr>
          <w:p>
            <w:pPr/>
          </w:p>
        </w:tc>
        <w:tc>
          <w:tcPr>
            <w:tcW w:w="286" w:type="dxa"/>
            <w:vMerge/>
            <w:tcBorders>
              <w:left w:val="single" w:sz="4" w:space="0" w:color="000000"/>
              <w:bottom w:val="single" w:sz="4" w:space="0" w:color="000000"/>
              <w:right w:val="single" w:sz="4" w:space="0" w:color="000000"/>
            </w:tcBorders>
            <w:shd w:val="clear" w:color="auto" w:fill="D9D9D9"/>
          </w:tcPr>
          <w:p>
            <w:pPr/>
          </w:p>
        </w:tc>
        <w:tc>
          <w:tcPr>
            <w:tcW w:w="1135" w:type="dxa"/>
            <w:vMerge/>
            <w:tcBorders>
              <w:left w:val="single" w:sz="4" w:space="0" w:color="000000"/>
              <w:bottom w:val="single" w:sz="4" w:space="0" w:color="000000"/>
              <w:right w:val="single" w:sz="4" w:space="0" w:color="000000"/>
            </w:tcBorders>
            <w:shd w:val="clear" w:color="auto" w:fill="D9D9D9"/>
          </w:tcPr>
          <w:p>
            <w:pPr/>
          </w:p>
        </w:tc>
        <w:tc>
          <w:tcPr>
            <w:tcW w:w="994" w:type="dxa"/>
            <w:vMerge/>
            <w:tcBorders>
              <w:left w:val="single" w:sz="4" w:space="0" w:color="000000"/>
              <w:bottom w:val="single" w:sz="4" w:space="0" w:color="000000"/>
              <w:right w:val="single" w:sz="4" w:space="0" w:color="000000"/>
            </w:tcBorders>
            <w:shd w:val="clear" w:color="auto" w:fill="D9D9D9"/>
          </w:tcPr>
          <w:p>
            <w:pPr/>
          </w:p>
        </w:tc>
        <w:tc>
          <w:tcPr>
            <w:tcW w:w="1104" w:type="dxa"/>
            <w:vMerge/>
            <w:tcBorders>
              <w:left w:val="single" w:sz="4" w:space="0" w:color="000000"/>
              <w:bottom w:val="single" w:sz="4" w:space="0" w:color="000000"/>
              <w:right w:val="single" w:sz="4" w:space="0" w:color="000000"/>
            </w:tcBorders>
            <w:shd w:val="clear" w:color="auto" w:fill="D9D9D9"/>
          </w:tcPr>
          <w:p>
            <w:pPr/>
          </w:p>
        </w:tc>
      </w:tr>
      <w:tr>
        <w:trPr>
          <w:trHeight w:val="404"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4"/>
              <w:jc w:val="right"/>
              <w:rPr>
                <w:rFonts w:ascii="Times New Roman" w:hAnsi="Times New Roman" w:cs="Times New Roman" w:eastAsia="Times New Roman" w:hint="default"/>
                <w:sz w:val="15"/>
                <w:szCs w:val="15"/>
              </w:rPr>
            </w:pPr>
            <w:r>
              <w:rPr>
                <w:rFonts w:ascii="Times New Roman"/>
                <w:spacing w:val="-1"/>
                <w:sz w:val="15"/>
              </w:rPr>
              <w:t>768,431.82</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5"/>
                <w:szCs w:val="15"/>
              </w:rPr>
            </w:pPr>
            <w:r>
              <w:rPr>
                <w:rFonts w:ascii="Times New Roman"/>
                <w:spacing w:val="-1"/>
                <w:sz w:val="15"/>
              </w:rPr>
              <w:t>-768,431.82</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5"/>
                <w:szCs w:val="15"/>
              </w:rPr>
            </w:pPr>
            <w:r>
              <w:rPr>
                <w:rFonts w:ascii="Times New Roman"/>
                <w:spacing w:val="-1"/>
                <w:sz w:val="15"/>
              </w:rPr>
              <w:t>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1"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5"/>
                <w:szCs w:val="15"/>
              </w:rPr>
            </w:pPr>
            <w:r>
              <w:rPr>
                <w:rFonts w:ascii="Times New Roman"/>
                <w:spacing w:val="-1"/>
                <w:sz w:val="15"/>
              </w:rPr>
              <w:t>0.00</w:t>
            </w: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right"/>
              <w:rPr>
                <w:rFonts w:ascii="Times New Roman" w:hAnsi="Times New Roman" w:cs="Times New Roman" w:eastAsia="Times New Roman" w:hint="default"/>
                <w:sz w:val="15"/>
                <w:szCs w:val="15"/>
              </w:rPr>
            </w:pPr>
            <w:r>
              <w:rPr>
                <w:rFonts w:ascii="Times New Roman"/>
                <w:spacing w:val="-1"/>
                <w:sz w:val="15"/>
              </w:rPr>
              <w:t>0.00</w:t>
            </w:r>
          </w:p>
        </w:tc>
      </w:tr>
      <w:tr>
        <w:trPr>
          <w:trHeight w:val="403"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5"/>
                <w:szCs w:val="15"/>
              </w:rPr>
            </w:pPr>
            <w:r>
              <w:rPr>
                <w:rFonts w:ascii="Times New Roman"/>
                <w:spacing w:val="-1"/>
                <w:sz w:val="15"/>
              </w:rPr>
              <w:t>-33,720,093.34</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5"/>
                <w:szCs w:val="15"/>
              </w:rPr>
            </w:pPr>
            <w:r>
              <w:rPr>
                <w:rFonts w:ascii="Times New Roman"/>
                <w:spacing w:val="-1"/>
                <w:sz w:val="15"/>
              </w:rPr>
              <w:t>-33,720,093.34</w:t>
            </w: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5"/>
                <w:szCs w:val="15"/>
              </w:rPr>
            </w:pPr>
            <w:r>
              <w:rPr>
                <w:rFonts w:ascii="Times New Roman"/>
                <w:spacing w:val="-1"/>
                <w:sz w:val="15"/>
              </w:rPr>
              <w:t>-33,720,093.34</w:t>
            </w:r>
          </w:p>
        </w:tc>
      </w:tr>
      <w:tr>
        <w:trPr>
          <w:trHeight w:val="401"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．设定受益计划变动额结转留存收益</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．其他综合收益结转留存收益</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．其他</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1"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989"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5"/>
                <w:szCs w:val="15"/>
              </w:rPr>
            </w:pPr>
            <w:r>
              <w:rPr>
                <w:rFonts w:ascii="Times New Roman"/>
                <w:spacing w:val="-1"/>
                <w:sz w:val="15"/>
              </w:rPr>
              <w:t>-3,694,822.29</w:t>
            </w:r>
          </w:p>
        </w:tc>
        <w:tc>
          <w:tcPr>
            <w:tcW w:w="98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5"/>
                <w:szCs w:val="15"/>
              </w:rPr>
            </w:pPr>
            <w:r>
              <w:rPr>
                <w:rFonts w:ascii="Times New Roman"/>
                <w:spacing w:val="-1"/>
                <w:sz w:val="15"/>
              </w:rPr>
              <w:t>-495,005.69</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5"/>
                <w:szCs w:val="15"/>
              </w:rPr>
            </w:pPr>
            <w:r>
              <w:rPr>
                <w:rFonts w:ascii="Times New Roman"/>
                <w:spacing w:val="-1"/>
                <w:sz w:val="15"/>
              </w:rPr>
              <w:t>-4,189,827.98</w:t>
            </w:r>
          </w:p>
        </w:tc>
        <w:tc>
          <w:tcPr>
            <w:tcW w:w="99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5"/>
                <w:szCs w:val="15"/>
              </w:rPr>
            </w:pPr>
            <w:r>
              <w:rPr>
                <w:rFonts w:ascii="Times New Roman"/>
                <w:spacing w:val="-1"/>
                <w:sz w:val="15"/>
              </w:rPr>
              <w:t>-4,189,827.98</w:t>
            </w:r>
          </w:p>
        </w:tc>
      </w:tr>
      <w:tr>
        <w:trPr>
          <w:trHeight w:val="401" w:hRule="exact"/>
        </w:trPr>
        <w:tc>
          <w:tcPr>
            <w:tcW w:w="2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0" w:right="-1"/>
              <w:jc w:val="left"/>
              <w:rPr>
                <w:rFonts w:ascii="Times New Roman" w:hAnsi="Times New Roman" w:cs="Times New Roman" w:eastAsia="Times New Roman" w:hint="default"/>
                <w:sz w:val="15"/>
                <w:szCs w:val="15"/>
              </w:rPr>
            </w:pPr>
            <w:r>
              <w:rPr>
                <w:rFonts w:ascii="Times New Roman"/>
                <w:spacing w:val="-1"/>
                <w:sz w:val="15"/>
              </w:rPr>
              <w:t>970,381,273.00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5"/>
                <w:szCs w:val="15"/>
              </w:rPr>
            </w:pPr>
            <w:r>
              <w:rPr>
                <w:rFonts w:ascii="Times New Roman"/>
                <w:spacing w:val="-1"/>
                <w:sz w:val="15"/>
              </w:rPr>
              <w:t>2,315,977,578.13</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17" w:right="-1"/>
              <w:jc w:val="left"/>
              <w:rPr>
                <w:rFonts w:ascii="Times New Roman" w:hAnsi="Times New Roman" w:cs="Times New Roman" w:eastAsia="Times New Roman" w:hint="default"/>
                <w:sz w:val="15"/>
                <w:szCs w:val="15"/>
              </w:rPr>
            </w:pPr>
            <w:r>
              <w:rPr>
                <w:rFonts w:ascii="Times New Roman"/>
                <w:spacing w:val="-1"/>
                <w:sz w:val="15"/>
              </w:rPr>
              <w:t>44,097,750.00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22" w:right="0"/>
              <w:jc w:val="left"/>
              <w:rPr>
                <w:rFonts w:ascii="Times New Roman" w:hAnsi="Times New Roman" w:cs="Times New Roman" w:eastAsia="Times New Roman" w:hint="default"/>
                <w:sz w:val="15"/>
                <w:szCs w:val="15"/>
              </w:rPr>
            </w:pPr>
            <w:r>
              <w:rPr>
                <w:rFonts w:ascii="Times New Roman"/>
                <w:spacing w:val="-1"/>
                <w:sz w:val="15"/>
              </w:rPr>
              <w:t>63,267,793.25</w:t>
            </w:r>
          </w:p>
        </w:tc>
        <w:tc>
          <w:tcPr>
            <w:tcW w:w="42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right"/>
              <w:rPr>
                <w:rFonts w:ascii="Times New Roman" w:hAnsi="Times New Roman" w:cs="Times New Roman" w:eastAsia="Times New Roman" w:hint="default"/>
                <w:sz w:val="15"/>
                <w:szCs w:val="15"/>
              </w:rPr>
            </w:pPr>
            <w:r>
              <w:rPr>
                <w:rFonts w:ascii="Times New Roman"/>
                <w:spacing w:val="-1"/>
                <w:sz w:val="15"/>
              </w:rPr>
              <w:t>27,977,512.43</w:t>
            </w:r>
          </w:p>
        </w:tc>
        <w:tc>
          <w:tcPr>
            <w:tcW w:w="569" w:type="dxa"/>
            <w:tcBorders>
              <w:top w:val="single" w:sz="4" w:space="0" w:color="000000"/>
              <w:left w:val="single" w:sz="4" w:space="0" w:color="000000"/>
              <w:bottom w:val="single" w:sz="4" w:space="0" w:color="000000"/>
              <w:right w:val="single" w:sz="4" w:space="0" w:color="000000"/>
            </w:tcBorders>
          </w:tcPr>
          <w:p>
            <w:pP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5"/>
                <w:szCs w:val="15"/>
              </w:rPr>
            </w:pPr>
            <w:r>
              <w:rPr>
                <w:rFonts w:ascii="Times New Roman"/>
                <w:spacing w:val="-1"/>
                <w:sz w:val="15"/>
              </w:rPr>
              <w:t>1,885,845,382.35</w:t>
            </w:r>
          </w:p>
        </w:tc>
        <w:tc>
          <w:tcPr>
            <w:tcW w:w="28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right"/>
              <w:rPr>
                <w:rFonts w:ascii="Times New Roman" w:hAnsi="Times New Roman" w:cs="Times New Roman" w:eastAsia="Times New Roman" w:hint="default"/>
                <w:sz w:val="15"/>
                <w:szCs w:val="15"/>
              </w:rPr>
            </w:pPr>
            <w:r>
              <w:rPr>
                <w:rFonts w:ascii="Times New Roman"/>
                <w:spacing w:val="-1"/>
                <w:sz w:val="15"/>
              </w:rPr>
              <w:t>5,219,351,789.16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5" w:right="-1"/>
              <w:jc w:val="left"/>
              <w:rPr>
                <w:rFonts w:ascii="Times New Roman" w:hAnsi="Times New Roman" w:cs="Times New Roman" w:eastAsia="Times New Roman" w:hint="default"/>
                <w:sz w:val="15"/>
                <w:szCs w:val="15"/>
              </w:rPr>
            </w:pPr>
            <w:r>
              <w:rPr>
                <w:rFonts w:ascii="Times New Roman"/>
                <w:spacing w:val="-1"/>
                <w:sz w:val="15"/>
              </w:rPr>
              <w:t>102,972,264.46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5"/>
                <w:szCs w:val="15"/>
              </w:rPr>
            </w:pPr>
            <w:r>
              <w:rPr>
                <w:rFonts w:ascii="Times New Roman"/>
                <w:spacing w:val="-1"/>
                <w:sz w:val="15"/>
              </w:rPr>
              <w:t>5,322,324,053.62</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916" w:footer="1260" w:top="1180" w:bottom="1460" w:left="1300" w:right="820"/>
        </w:sectPr>
      </w:pPr>
    </w:p>
    <w:p>
      <w:pPr>
        <w:pStyle w:val="BodyText"/>
        <w:tabs>
          <w:tab w:pos="13790" w:val="left" w:leader="none"/>
        </w:tabs>
        <w:spacing w:line="240" w:lineRule="auto" w:before="89"/>
        <w:ind w:left="6945" w:right="0"/>
        <w:jc w:val="left"/>
      </w:pPr>
      <w:r>
        <w:rPr/>
        <w:t>上期金额</w:t>
        <w:tab/>
        <w:t>单位：元</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2297"/>
        <w:gridCol w:w="1106"/>
        <w:gridCol w:w="490"/>
        <w:gridCol w:w="648"/>
        <w:gridCol w:w="701"/>
        <w:gridCol w:w="1133"/>
        <w:gridCol w:w="566"/>
        <w:gridCol w:w="1136"/>
        <w:gridCol w:w="389"/>
        <w:gridCol w:w="912"/>
        <w:gridCol w:w="396"/>
        <w:gridCol w:w="1184"/>
        <w:gridCol w:w="259"/>
        <w:gridCol w:w="1066"/>
        <w:gridCol w:w="1046"/>
        <w:gridCol w:w="1099"/>
      </w:tblGrid>
      <w:tr>
        <w:trPr>
          <w:trHeight w:val="401" w:hRule="exact"/>
        </w:trPr>
        <w:tc>
          <w:tcPr>
            <w:tcW w:w="229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131" w:type="dxa"/>
            <w:gridSpan w:val="1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年年度</w:t>
            </w:r>
          </w:p>
        </w:tc>
      </w:tr>
      <w:tr>
        <w:trPr>
          <w:trHeight w:val="403" w:hRule="exact"/>
        </w:trPr>
        <w:tc>
          <w:tcPr>
            <w:tcW w:w="2297" w:type="dxa"/>
            <w:vMerge/>
            <w:tcBorders>
              <w:left w:val="single" w:sz="4" w:space="0" w:color="000000"/>
              <w:right w:val="single" w:sz="4" w:space="0" w:color="000000"/>
            </w:tcBorders>
            <w:shd w:val="clear" w:color="auto" w:fill="D9D9D9"/>
          </w:tcPr>
          <w:p>
            <w:pPr/>
          </w:p>
        </w:tc>
        <w:tc>
          <w:tcPr>
            <w:tcW w:w="9986" w:type="dxa"/>
            <w:gridSpan w:val="1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04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6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09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1" w:hRule="exact"/>
        </w:trPr>
        <w:tc>
          <w:tcPr>
            <w:tcW w:w="2297" w:type="dxa"/>
            <w:vMerge/>
            <w:tcBorders>
              <w:left w:val="single" w:sz="4" w:space="0" w:color="000000"/>
              <w:right w:val="single" w:sz="4" w:space="0" w:color="000000"/>
            </w:tcBorders>
            <w:shd w:val="clear" w:color="auto" w:fill="D9D9D9"/>
          </w:tcPr>
          <w:p>
            <w:pPr/>
          </w:p>
        </w:tc>
        <w:tc>
          <w:tcPr>
            <w:tcW w:w="110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839"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466"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3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127" w:right="48" w:hanging="75"/>
              <w:jc w:val="left"/>
              <w:rPr>
                <w:rFonts w:ascii="宋体" w:hAnsi="宋体" w:cs="宋体" w:eastAsia="宋体" w:hint="default"/>
                <w:sz w:val="15"/>
                <w:szCs w:val="15"/>
              </w:rPr>
            </w:pPr>
            <w:r>
              <w:rPr>
                <w:rFonts w:ascii="宋体" w:hAnsi="宋体" w:cs="宋体" w:eastAsia="宋体" w:hint="default"/>
                <w:sz w:val="15"/>
                <w:szCs w:val="15"/>
              </w:rPr>
              <w:t>减：库</w:t>
            </w:r>
            <w:r>
              <w:rPr>
                <w:rFonts w:ascii="宋体" w:hAnsi="宋体" w:cs="宋体" w:eastAsia="宋体" w:hint="default"/>
                <w:spacing w:val="-72"/>
                <w:sz w:val="15"/>
                <w:szCs w:val="15"/>
              </w:rPr>
              <w:t> </w:t>
            </w:r>
            <w:r>
              <w:rPr>
                <w:rFonts w:ascii="宋体" w:hAnsi="宋体" w:cs="宋体" w:eastAsia="宋体" w:hint="default"/>
                <w:sz w:val="15"/>
                <w:szCs w:val="15"/>
              </w:rPr>
              <w:t>存股</w:t>
            </w:r>
          </w:p>
        </w:tc>
        <w:tc>
          <w:tcPr>
            <w:tcW w:w="113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38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38" w:right="36"/>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91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396" w:type="dxa"/>
            <w:vMerge w:val="restart"/>
            <w:tcBorders>
              <w:top w:val="single" w:sz="4" w:space="0" w:color="000000"/>
              <w:left w:val="single" w:sz="4" w:space="0" w:color="000000"/>
              <w:right w:val="single" w:sz="4" w:space="0" w:color="000000"/>
            </w:tcBorders>
            <w:shd w:val="clear" w:color="auto" w:fill="D9D9D9"/>
          </w:tcPr>
          <w:p>
            <w:pPr>
              <w:pStyle w:val="TableParagraph"/>
              <w:spacing w:line="381" w:lineRule="auto" w:before="74"/>
              <w:ind w:left="40" w:right="41"/>
              <w:jc w:val="both"/>
              <w:rPr>
                <w:rFonts w:ascii="宋体" w:hAnsi="宋体" w:cs="宋体" w:eastAsia="宋体" w:hint="default"/>
                <w:sz w:val="15"/>
                <w:szCs w:val="15"/>
              </w:rPr>
            </w:pPr>
            <w:r>
              <w:rPr>
                <w:rFonts w:ascii="宋体" w:hAnsi="宋体" w:cs="宋体" w:eastAsia="宋体" w:hint="default"/>
                <w:sz w:val="15"/>
                <w:szCs w:val="15"/>
              </w:rPr>
              <w:t>一般</w:t>
            </w:r>
            <w:r>
              <w:rPr>
                <w:rFonts w:ascii="宋体" w:hAnsi="宋体" w:cs="宋体" w:eastAsia="宋体" w:hint="default"/>
                <w:spacing w:val="-73"/>
                <w:sz w:val="15"/>
                <w:szCs w:val="15"/>
              </w:rPr>
              <w:t> </w:t>
            </w:r>
            <w:r>
              <w:rPr>
                <w:rFonts w:ascii="宋体" w:hAnsi="宋体" w:cs="宋体" w:eastAsia="宋体" w:hint="default"/>
                <w:sz w:val="15"/>
                <w:szCs w:val="15"/>
              </w:rPr>
              <w:t>风险</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118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25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48" w:right="48"/>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0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046" w:type="dxa"/>
            <w:vMerge/>
            <w:tcBorders>
              <w:left w:val="single" w:sz="4" w:space="0" w:color="000000"/>
              <w:right w:val="single" w:sz="4" w:space="0" w:color="000000"/>
            </w:tcBorders>
            <w:shd w:val="clear" w:color="auto" w:fill="D9D9D9"/>
          </w:tcPr>
          <w:p>
            <w:pPr/>
          </w:p>
        </w:tc>
        <w:tc>
          <w:tcPr>
            <w:tcW w:w="1099" w:type="dxa"/>
            <w:vMerge/>
            <w:tcBorders>
              <w:left w:val="single" w:sz="4" w:space="0" w:color="000000"/>
              <w:right w:val="single" w:sz="4" w:space="0" w:color="000000"/>
            </w:tcBorders>
            <w:shd w:val="clear" w:color="auto" w:fill="D9D9D9"/>
          </w:tcPr>
          <w:p>
            <w:pPr/>
          </w:p>
        </w:tc>
      </w:tr>
      <w:tr>
        <w:trPr>
          <w:trHeight w:val="625" w:hRule="exact"/>
        </w:trPr>
        <w:tc>
          <w:tcPr>
            <w:tcW w:w="2297" w:type="dxa"/>
            <w:vMerge/>
            <w:tcBorders>
              <w:left w:val="single" w:sz="4" w:space="0" w:color="000000"/>
              <w:bottom w:val="single" w:sz="4" w:space="0" w:color="000000"/>
              <w:right w:val="single" w:sz="4" w:space="0" w:color="000000"/>
            </w:tcBorders>
            <w:shd w:val="clear" w:color="auto" w:fill="D9D9D9"/>
          </w:tcPr>
          <w:p>
            <w:pPr/>
          </w:p>
        </w:tc>
        <w:tc>
          <w:tcPr>
            <w:tcW w:w="1106" w:type="dxa"/>
            <w:vMerge/>
            <w:tcBorders>
              <w:left w:val="single" w:sz="4" w:space="0" w:color="000000"/>
              <w:bottom w:val="single" w:sz="4" w:space="0" w:color="000000"/>
              <w:right w:val="single" w:sz="4" w:space="0" w:color="000000"/>
            </w:tcBorders>
            <w:shd w:val="clear" w:color="auto" w:fill="D9D9D9"/>
          </w:tcPr>
          <w:p>
            <w:pPr/>
          </w:p>
        </w:tc>
        <w:tc>
          <w:tcPr>
            <w:tcW w:w="4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4"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6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93"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9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3" w:type="dxa"/>
            <w:vMerge/>
            <w:tcBorders>
              <w:left w:val="single" w:sz="4" w:space="0" w:color="000000"/>
              <w:bottom w:val="single" w:sz="4" w:space="0" w:color="000000"/>
              <w:right w:val="single" w:sz="4" w:space="0" w:color="000000"/>
            </w:tcBorders>
            <w:shd w:val="clear" w:color="auto" w:fill="D9D9D9"/>
          </w:tcPr>
          <w:p>
            <w:pPr/>
          </w:p>
        </w:tc>
        <w:tc>
          <w:tcPr>
            <w:tcW w:w="566" w:type="dxa"/>
            <w:vMerge/>
            <w:tcBorders>
              <w:left w:val="single" w:sz="4" w:space="0" w:color="000000"/>
              <w:bottom w:val="single" w:sz="4" w:space="0" w:color="000000"/>
              <w:right w:val="single" w:sz="4" w:space="0" w:color="000000"/>
            </w:tcBorders>
            <w:shd w:val="clear" w:color="auto" w:fill="D9D9D9"/>
          </w:tcPr>
          <w:p>
            <w:pPr/>
          </w:p>
        </w:tc>
        <w:tc>
          <w:tcPr>
            <w:tcW w:w="1136" w:type="dxa"/>
            <w:vMerge/>
            <w:tcBorders>
              <w:left w:val="single" w:sz="4" w:space="0" w:color="000000"/>
              <w:bottom w:val="single" w:sz="4" w:space="0" w:color="000000"/>
              <w:right w:val="single" w:sz="4" w:space="0" w:color="000000"/>
            </w:tcBorders>
            <w:shd w:val="clear" w:color="auto" w:fill="D9D9D9"/>
          </w:tcPr>
          <w:p>
            <w:pPr/>
          </w:p>
        </w:tc>
        <w:tc>
          <w:tcPr>
            <w:tcW w:w="389" w:type="dxa"/>
            <w:vMerge/>
            <w:tcBorders>
              <w:left w:val="single" w:sz="4" w:space="0" w:color="000000"/>
              <w:bottom w:val="single" w:sz="4" w:space="0" w:color="000000"/>
              <w:right w:val="single" w:sz="4" w:space="0" w:color="000000"/>
            </w:tcBorders>
            <w:shd w:val="clear" w:color="auto" w:fill="D9D9D9"/>
          </w:tcPr>
          <w:p>
            <w:pPr/>
          </w:p>
        </w:tc>
        <w:tc>
          <w:tcPr>
            <w:tcW w:w="912" w:type="dxa"/>
            <w:vMerge/>
            <w:tcBorders>
              <w:left w:val="single" w:sz="4" w:space="0" w:color="000000"/>
              <w:bottom w:val="single" w:sz="4" w:space="0" w:color="000000"/>
              <w:right w:val="single" w:sz="4" w:space="0" w:color="000000"/>
            </w:tcBorders>
            <w:shd w:val="clear" w:color="auto" w:fill="D9D9D9"/>
          </w:tcPr>
          <w:p>
            <w:pPr/>
          </w:p>
        </w:tc>
        <w:tc>
          <w:tcPr>
            <w:tcW w:w="396" w:type="dxa"/>
            <w:vMerge/>
            <w:tcBorders>
              <w:left w:val="single" w:sz="4" w:space="0" w:color="000000"/>
              <w:bottom w:val="single" w:sz="4" w:space="0" w:color="000000"/>
              <w:right w:val="single" w:sz="4" w:space="0" w:color="000000"/>
            </w:tcBorders>
            <w:shd w:val="clear" w:color="auto" w:fill="D9D9D9"/>
          </w:tcPr>
          <w:p>
            <w:pPr/>
          </w:p>
        </w:tc>
        <w:tc>
          <w:tcPr>
            <w:tcW w:w="1184" w:type="dxa"/>
            <w:vMerge/>
            <w:tcBorders>
              <w:left w:val="single" w:sz="4" w:space="0" w:color="000000"/>
              <w:bottom w:val="single" w:sz="4" w:space="0" w:color="000000"/>
              <w:right w:val="single" w:sz="4" w:space="0" w:color="000000"/>
            </w:tcBorders>
            <w:shd w:val="clear" w:color="auto" w:fill="D9D9D9"/>
          </w:tcPr>
          <w:p>
            <w:pPr/>
          </w:p>
        </w:tc>
        <w:tc>
          <w:tcPr>
            <w:tcW w:w="259" w:type="dxa"/>
            <w:vMerge/>
            <w:tcBorders>
              <w:left w:val="single" w:sz="4" w:space="0" w:color="000000"/>
              <w:bottom w:val="single" w:sz="4" w:space="0" w:color="000000"/>
              <w:right w:val="single" w:sz="4" w:space="0" w:color="000000"/>
            </w:tcBorders>
            <w:shd w:val="clear" w:color="auto" w:fill="D9D9D9"/>
          </w:tcPr>
          <w:p>
            <w:pPr/>
          </w:p>
        </w:tc>
        <w:tc>
          <w:tcPr>
            <w:tcW w:w="1066" w:type="dxa"/>
            <w:vMerge/>
            <w:tcBorders>
              <w:left w:val="single" w:sz="4" w:space="0" w:color="000000"/>
              <w:bottom w:val="single" w:sz="4" w:space="0" w:color="000000"/>
              <w:right w:val="single" w:sz="4" w:space="0" w:color="000000"/>
            </w:tcBorders>
            <w:shd w:val="clear" w:color="auto" w:fill="D9D9D9"/>
          </w:tcPr>
          <w:p>
            <w:pPr/>
          </w:p>
        </w:tc>
        <w:tc>
          <w:tcPr>
            <w:tcW w:w="1046" w:type="dxa"/>
            <w:vMerge/>
            <w:tcBorders>
              <w:left w:val="single" w:sz="4" w:space="0" w:color="000000"/>
              <w:bottom w:val="single" w:sz="4" w:space="0" w:color="000000"/>
              <w:right w:val="single" w:sz="4" w:space="0" w:color="000000"/>
            </w:tcBorders>
            <w:shd w:val="clear" w:color="auto" w:fill="D9D9D9"/>
          </w:tcPr>
          <w:p>
            <w:pPr/>
          </w:p>
        </w:tc>
        <w:tc>
          <w:tcPr>
            <w:tcW w:w="1099" w:type="dxa"/>
            <w:vMerge/>
            <w:tcBorders>
              <w:left w:val="single" w:sz="4" w:space="0" w:color="000000"/>
              <w:bottom w:val="single" w:sz="4" w:space="0" w:color="000000"/>
              <w:right w:val="single" w:sz="4" w:space="0" w:color="000000"/>
            </w:tcBorders>
            <w:shd w:val="clear" w:color="auto" w:fill="D9D9D9"/>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宋体" w:hAnsi="宋体" w:cs="宋体" w:eastAsia="宋体" w:hint="default"/>
                <w:sz w:val="15"/>
                <w:szCs w:val="15"/>
              </w:rPr>
              <w:t>一、上年期末余额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963,431,273.00</w:t>
            </w: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2,228,710,283.50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66,969,039.65</w:t>
            </w: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0" w:right="-1"/>
              <w:jc w:val="center"/>
              <w:rPr>
                <w:rFonts w:ascii="Times New Roman" w:hAnsi="Times New Roman" w:cs="Times New Roman" w:eastAsia="Times New Roman" w:hint="default"/>
                <w:sz w:val="15"/>
                <w:szCs w:val="15"/>
              </w:rPr>
            </w:pPr>
            <w:r>
              <w:rPr>
                <w:rFonts w:ascii="Times New Roman"/>
                <w:spacing w:val="-1"/>
                <w:sz w:val="15"/>
              </w:rPr>
              <w:t>27,209,080.61</w:t>
            </w: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1,603,510,186.54</w:t>
            </w: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4,889,829,863.30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65,872,374.10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4,955,702,237.40</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宋体" w:hAnsi="宋体" w:cs="宋体" w:eastAsia="宋体" w:hint="default"/>
                <w:w w:val="100"/>
                <w:sz w:val="15"/>
                <w:szCs w:val="15"/>
              </w:rPr>
              <w:t> </w:t>
            </w:r>
            <w:r>
              <w:rPr>
                <w:rFonts w:ascii="宋体" w:hAnsi="宋体" w:cs="宋体" w:eastAsia="宋体" w:hint="default"/>
                <w:sz w:val="15"/>
                <w:szCs w:val="15"/>
              </w:rPr>
              <w:t> </w:t>
            </w:r>
            <w:r>
              <w:rPr>
                <w:rFonts w:ascii="宋体" w:hAnsi="宋体" w:cs="宋体" w:eastAsia="宋体" w:hint="default"/>
                <w:w w:val="100"/>
                <w:sz w:val="15"/>
                <w:szCs w:val="15"/>
              </w:rPr>
              <w:t> </w:t>
            </w:r>
            <w:r>
              <w:rPr>
                <w:rFonts w:ascii="宋体" w:hAnsi="宋体" w:cs="宋体" w:eastAsia="宋体" w:hint="default"/>
                <w:spacing w:val="1"/>
                <w:sz w:val="15"/>
                <w:szCs w:val="15"/>
              </w:rPr>
              <w:t> </w:t>
            </w:r>
            <w:r>
              <w:rPr>
                <w:rFonts w:ascii="宋体" w:hAnsi="宋体" w:cs="宋体" w:eastAsia="宋体" w:hint="default"/>
                <w:sz w:val="15"/>
                <w:szCs w:val="15"/>
              </w:rPr>
              <w:t>加：会计政策变更</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宋体" w:hAnsi="宋体" w:cs="宋体" w:eastAsia="宋体" w:hint="default"/>
                <w:w w:val="100"/>
                <w:sz w:val="15"/>
                <w:szCs w:val="15"/>
              </w:rPr>
              <w:t> </w:t>
            </w:r>
            <w:r>
              <w:rPr>
                <w:rFonts w:ascii="宋体" w:hAnsi="宋体" w:cs="宋体" w:eastAsia="宋体" w:hint="default"/>
                <w:sz w:val="15"/>
                <w:szCs w:val="15"/>
              </w:rPr>
              <w:t> </w:t>
            </w:r>
            <w:r>
              <w:rPr>
                <w:rFonts w:ascii="宋体" w:hAnsi="宋体" w:cs="宋体" w:eastAsia="宋体" w:hint="default"/>
                <w:sz w:val="15"/>
                <w:szCs w:val="15"/>
              </w:rPr>
              <w:t>前期差错更正</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宋体" w:hAnsi="宋体" w:cs="宋体" w:eastAsia="宋体" w:hint="default"/>
                <w:w w:val="100"/>
                <w:sz w:val="15"/>
                <w:szCs w:val="15"/>
              </w:rPr>
              <w:t> </w:t>
            </w:r>
            <w:r>
              <w:rPr>
                <w:rFonts w:ascii="宋体" w:hAnsi="宋体" w:cs="宋体" w:eastAsia="宋体" w:hint="default"/>
                <w:sz w:val="15"/>
                <w:szCs w:val="15"/>
              </w:rPr>
              <w:t> </w:t>
            </w:r>
            <w:r>
              <w:rPr>
                <w:rFonts w:ascii="宋体" w:hAnsi="宋体" w:cs="宋体" w:eastAsia="宋体" w:hint="default"/>
                <w:sz w:val="15"/>
                <w:szCs w:val="15"/>
              </w:rPr>
              <w:t>同一控制下企业合并</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宋体" w:hAnsi="宋体" w:cs="宋体" w:eastAsia="宋体" w:hint="default"/>
                <w:w w:val="100"/>
                <w:sz w:val="15"/>
                <w:szCs w:val="15"/>
              </w:rPr>
              <w:t> </w:t>
            </w:r>
            <w:r>
              <w:rPr>
                <w:rFonts w:ascii="宋体" w:hAnsi="宋体" w:cs="宋体" w:eastAsia="宋体" w:hint="default"/>
                <w:sz w:val="15"/>
                <w:szCs w:val="15"/>
              </w:rPr>
              <w:t> </w:t>
            </w:r>
            <w:r>
              <w:rPr>
                <w:rFonts w:ascii="宋体" w:hAnsi="宋体" w:cs="宋体" w:eastAsia="宋体" w:hint="default"/>
                <w:w w:val="100"/>
                <w:sz w:val="15"/>
                <w:szCs w:val="15"/>
              </w:rPr>
              <w:t> </w:t>
            </w:r>
            <w:r>
              <w:rPr>
                <w:rFonts w:ascii="宋体" w:hAnsi="宋体" w:cs="宋体" w:eastAsia="宋体" w:hint="default"/>
                <w:spacing w:val="1"/>
                <w:sz w:val="15"/>
                <w:szCs w:val="15"/>
              </w:rPr>
              <w:t> </w:t>
            </w:r>
            <w:r>
              <w:rPr>
                <w:rFonts w:ascii="宋体" w:hAnsi="宋体" w:cs="宋体" w:eastAsia="宋体" w:hint="default"/>
                <w:spacing w:val="-3"/>
                <w:sz w:val="15"/>
                <w:szCs w:val="15"/>
              </w:rPr>
              <w:t>其他</w:t>
            </w:r>
            <w:r>
              <w:rPr>
                <w:rFonts w:ascii="宋体" w:hAnsi="宋体" w:cs="宋体" w:eastAsia="宋体" w:hint="default"/>
                <w:sz w:val="15"/>
                <w:szCs w:val="15"/>
              </w:rPr>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 w:right="0"/>
              <w:jc w:val="left"/>
              <w:rPr>
                <w:rFonts w:ascii="宋体" w:hAnsi="宋体" w:cs="宋体" w:eastAsia="宋体" w:hint="default"/>
                <w:sz w:val="15"/>
                <w:szCs w:val="15"/>
              </w:rPr>
            </w:pPr>
            <w:r>
              <w:rPr>
                <w:rFonts w:ascii="宋体" w:hAnsi="宋体" w:cs="宋体" w:eastAsia="宋体" w:hint="default"/>
                <w:sz w:val="15"/>
                <w:szCs w:val="15"/>
              </w:rPr>
              <w:t>二、本年期初余额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right"/>
              <w:rPr>
                <w:rFonts w:ascii="Times New Roman" w:hAnsi="Times New Roman" w:cs="Times New Roman" w:eastAsia="Times New Roman" w:hint="default"/>
                <w:sz w:val="15"/>
                <w:szCs w:val="15"/>
              </w:rPr>
            </w:pPr>
            <w:r>
              <w:rPr>
                <w:rFonts w:ascii="Times New Roman"/>
                <w:spacing w:val="-1"/>
                <w:sz w:val="15"/>
              </w:rPr>
              <w:t>963,431,273.00</w:t>
            </w: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right"/>
              <w:rPr>
                <w:rFonts w:ascii="Times New Roman" w:hAnsi="Times New Roman" w:cs="Times New Roman" w:eastAsia="Times New Roman" w:hint="default"/>
                <w:sz w:val="15"/>
                <w:szCs w:val="15"/>
              </w:rPr>
            </w:pPr>
            <w:r>
              <w:rPr>
                <w:rFonts w:ascii="Times New Roman"/>
                <w:spacing w:val="-1"/>
                <w:sz w:val="15"/>
              </w:rPr>
              <w:t>2,228,710,283.50</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right"/>
              <w:rPr>
                <w:rFonts w:ascii="Times New Roman" w:hAnsi="Times New Roman" w:cs="Times New Roman" w:eastAsia="Times New Roman" w:hint="default"/>
                <w:sz w:val="15"/>
                <w:szCs w:val="15"/>
              </w:rPr>
            </w:pPr>
            <w:r>
              <w:rPr>
                <w:rFonts w:ascii="Times New Roman"/>
                <w:spacing w:val="-1"/>
                <w:sz w:val="15"/>
              </w:rPr>
              <w:t>66,969,039.65</w:t>
            </w: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0" w:right="-1"/>
              <w:jc w:val="center"/>
              <w:rPr>
                <w:rFonts w:ascii="Times New Roman" w:hAnsi="Times New Roman" w:cs="Times New Roman" w:eastAsia="Times New Roman" w:hint="default"/>
                <w:sz w:val="15"/>
                <w:szCs w:val="15"/>
              </w:rPr>
            </w:pPr>
            <w:r>
              <w:rPr>
                <w:rFonts w:ascii="Times New Roman"/>
                <w:spacing w:val="-1"/>
                <w:sz w:val="15"/>
              </w:rPr>
              <w:t>27,209,080.61</w:t>
            </w: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right"/>
              <w:rPr>
                <w:rFonts w:ascii="Times New Roman" w:hAnsi="Times New Roman" w:cs="Times New Roman" w:eastAsia="Times New Roman" w:hint="default"/>
                <w:sz w:val="15"/>
                <w:szCs w:val="15"/>
              </w:rPr>
            </w:pPr>
            <w:r>
              <w:rPr>
                <w:rFonts w:ascii="Times New Roman"/>
                <w:spacing w:val="-1"/>
                <w:sz w:val="15"/>
              </w:rPr>
              <w:t>1,603,510,186.54</w:t>
            </w: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right"/>
              <w:rPr>
                <w:rFonts w:ascii="Times New Roman" w:hAnsi="Times New Roman" w:cs="Times New Roman" w:eastAsia="Times New Roman" w:hint="default"/>
                <w:sz w:val="15"/>
                <w:szCs w:val="15"/>
              </w:rPr>
            </w:pPr>
            <w:r>
              <w:rPr>
                <w:rFonts w:ascii="Times New Roman"/>
                <w:spacing w:val="-1"/>
                <w:sz w:val="15"/>
              </w:rPr>
              <w:t>4,889,829,863.30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right"/>
              <w:rPr>
                <w:rFonts w:ascii="Times New Roman" w:hAnsi="Times New Roman" w:cs="Times New Roman" w:eastAsia="Times New Roman" w:hint="default"/>
                <w:sz w:val="15"/>
                <w:szCs w:val="15"/>
              </w:rPr>
            </w:pPr>
            <w:r>
              <w:rPr>
                <w:rFonts w:ascii="Times New Roman"/>
                <w:spacing w:val="-1"/>
                <w:sz w:val="15"/>
              </w:rPr>
              <w:t>65,872,374.10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right"/>
              <w:rPr>
                <w:rFonts w:ascii="Times New Roman" w:hAnsi="Times New Roman" w:cs="Times New Roman" w:eastAsia="Times New Roman" w:hint="default"/>
                <w:sz w:val="15"/>
                <w:szCs w:val="15"/>
              </w:rPr>
            </w:pPr>
            <w:r>
              <w:rPr>
                <w:rFonts w:ascii="Times New Roman"/>
                <w:spacing w:val="-1"/>
                <w:sz w:val="15"/>
              </w:rPr>
              <w:t>4,955,702,237.40</w:t>
            </w:r>
          </w:p>
        </w:tc>
      </w:tr>
      <w:tr>
        <w:trPr>
          <w:trHeight w:val="715"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81" w:lineRule="auto" w:before="74"/>
              <w:ind w:left="-1" w:right="183"/>
              <w:jc w:val="left"/>
              <w:rPr>
                <w:rFonts w:ascii="宋体" w:hAnsi="宋体" w:cs="宋体" w:eastAsia="宋体" w:hint="default"/>
                <w:sz w:val="15"/>
                <w:szCs w:val="15"/>
              </w:rPr>
            </w:pPr>
            <w:r>
              <w:rPr>
                <w:rFonts w:ascii="宋体" w:hAnsi="宋体" w:cs="宋体" w:eastAsia="宋体" w:hint="default"/>
                <w:spacing w:val="-2"/>
                <w:sz w:val="15"/>
                <w:szCs w:val="15"/>
              </w:rPr>
              <w:t>三、本期增减变动金额（减少以</w:t>
            </w:r>
            <w:r>
              <w:rPr>
                <w:rFonts w:ascii="宋体" w:hAnsi="宋体" w:cs="宋体" w:eastAsia="宋体" w:hint="default"/>
                <w:spacing w:val="-49"/>
                <w:sz w:val="15"/>
                <w:szCs w:val="15"/>
              </w:rPr>
              <w:t> </w:t>
            </w:r>
            <w:r>
              <w:rPr>
                <w:rFonts w:ascii="宋体" w:hAnsi="宋体" w:cs="宋体" w:eastAsia="宋体" w:hint="default"/>
                <w:spacing w:val="-49"/>
                <w:sz w:val="15"/>
                <w:szCs w:val="15"/>
              </w:rPr>
            </w:r>
            <w:r>
              <w:rPr>
                <w:rFonts w:ascii="宋体" w:hAnsi="宋体" w:cs="宋体" w:eastAsia="宋体" w:hint="default"/>
                <w:sz w:val="15"/>
                <w:szCs w:val="15"/>
              </w:rPr>
              <w:t>“－”号填列）</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45,468,103.94</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-479,721.85</w:t>
            </w: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11,266,447.12</w:t>
            </w: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56,254,829.21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11,729,269.52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67,984,098.73</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宋体" w:hAnsi="宋体" w:cs="宋体" w:eastAsia="宋体" w:hint="default"/>
                <w:sz w:val="15"/>
                <w:szCs w:val="15"/>
              </w:rPr>
              <w:t>（一）综合收益总额</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-479,721.85</w:t>
            </w: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42,096,244.42</w:t>
            </w: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41,616,522.57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5,173,654.24</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46,790,176.81</w:t>
            </w: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宋体" w:hAnsi="宋体" w:cs="宋体" w:eastAsia="宋体" w:hint="default"/>
                <w:sz w:val="15"/>
                <w:szCs w:val="15"/>
              </w:rPr>
              <w:t>（二）所有者投入和减少资本</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-907,830.04</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-907,830.04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8,455,615.28</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7,547,785.24</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．所有者投入的普通股</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12,855,000.00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12,855,000.00</w:t>
            </w: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．其他权益工具持有者投入资本</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7" w:lineRule="auto" w:before="74"/>
              <w:ind w:left="-1" w:right="108"/>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3</w:t>
            </w:r>
            <w:r>
              <w:rPr>
                <w:rFonts w:ascii="宋体" w:hAnsi="宋体" w:cs="宋体" w:eastAsia="宋体" w:hint="default"/>
                <w:spacing w:val="-2"/>
                <w:sz w:val="15"/>
                <w:szCs w:val="15"/>
              </w:rPr>
              <w:t>．股份支付计入所有者权益的金</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额</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-907,830.04</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-907,830.04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-4,399,384.72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-5,307,214.76</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4"/>
              <w:ind w:left="-1" w:right="0"/>
              <w:jc w:val="left"/>
              <w:rPr>
                <w:rFonts w:ascii="宋体" w:hAnsi="宋体" w:cs="宋体" w:eastAsia="宋体" w:hint="default"/>
                <w:sz w:val="15"/>
                <w:szCs w:val="15"/>
              </w:rPr>
            </w:pPr>
            <w:r>
              <w:rPr>
                <w:rFonts w:ascii="宋体" w:hAnsi="宋体" w:cs="宋体" w:eastAsia="宋体" w:hint="default"/>
                <w:sz w:val="15"/>
                <w:szCs w:val="15"/>
              </w:rPr>
              <w:t>（三）利润分配</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right"/>
              <w:rPr>
                <w:rFonts w:ascii="Times New Roman" w:hAnsi="Times New Roman" w:cs="Times New Roman" w:eastAsia="Times New Roman" w:hint="default"/>
                <w:sz w:val="15"/>
                <w:szCs w:val="15"/>
              </w:rPr>
            </w:pPr>
            <w:r>
              <w:rPr>
                <w:rFonts w:ascii="Times New Roman"/>
                <w:spacing w:val="-1"/>
                <w:sz w:val="15"/>
              </w:rPr>
              <w:t>-30,829,797.30</w:t>
            </w: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-30,829,797.30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-1,900,000.00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right"/>
              <w:rPr>
                <w:rFonts w:ascii="Times New Roman" w:hAnsi="Times New Roman" w:cs="Times New Roman" w:eastAsia="Times New Roman" w:hint="default"/>
                <w:sz w:val="15"/>
                <w:szCs w:val="15"/>
              </w:rPr>
            </w:pPr>
            <w:r>
              <w:rPr>
                <w:rFonts w:ascii="Times New Roman"/>
                <w:spacing w:val="-1"/>
                <w:sz w:val="15"/>
              </w:rPr>
              <w:t>-32,729,797.30</w:t>
            </w:r>
          </w:p>
        </w:tc>
      </w:tr>
      <w:tr>
        <w:trPr>
          <w:trHeight w:val="404"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5"/>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916" w:footer="1260" w:top="1120" w:bottom="1460" w:left="1300" w:right="820"/>
        </w:sectPr>
      </w:pPr>
    </w:p>
    <w:tbl>
      <w:tblPr>
        <w:tblW w:w="0" w:type="auto"/>
        <w:jc w:val="left"/>
        <w:tblInd w:w="140" w:type="dxa"/>
        <w:tblLayout w:type="fixed"/>
        <w:tblCellMar>
          <w:top w:w="0" w:type="dxa"/>
          <w:left w:w="0" w:type="dxa"/>
          <w:bottom w:w="0" w:type="dxa"/>
          <w:right w:w="0" w:type="dxa"/>
        </w:tblCellMar>
        <w:tblLook w:val="01E0"/>
      </w:tblPr>
      <w:tblGrid>
        <w:gridCol w:w="2297"/>
        <w:gridCol w:w="1106"/>
        <w:gridCol w:w="490"/>
        <w:gridCol w:w="648"/>
        <w:gridCol w:w="701"/>
        <w:gridCol w:w="1133"/>
        <w:gridCol w:w="566"/>
        <w:gridCol w:w="1136"/>
        <w:gridCol w:w="389"/>
        <w:gridCol w:w="912"/>
        <w:gridCol w:w="396"/>
        <w:gridCol w:w="1184"/>
        <w:gridCol w:w="259"/>
        <w:gridCol w:w="1066"/>
        <w:gridCol w:w="1046"/>
        <w:gridCol w:w="1099"/>
      </w:tblGrid>
      <w:tr>
        <w:trPr>
          <w:trHeight w:val="402" w:hRule="exact"/>
        </w:trPr>
        <w:tc>
          <w:tcPr>
            <w:tcW w:w="229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2131" w:type="dxa"/>
            <w:gridSpan w:val="1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2"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2018</w:t>
            </w:r>
            <w:r>
              <w:rPr>
                <w:rFonts w:ascii="Times New Roman" w:hAnsi="Times New Roman" w:cs="Times New Roman" w:eastAsia="Times New Roman" w:hint="default"/>
                <w:spacing w:val="-1"/>
                <w:sz w:val="15"/>
                <w:szCs w:val="15"/>
              </w:rPr>
              <w:t> </w:t>
            </w:r>
            <w:r>
              <w:rPr>
                <w:rFonts w:ascii="宋体" w:hAnsi="宋体" w:cs="宋体" w:eastAsia="宋体" w:hint="default"/>
                <w:sz w:val="15"/>
                <w:szCs w:val="15"/>
              </w:rPr>
              <w:t>年年度</w:t>
            </w:r>
          </w:p>
        </w:tc>
      </w:tr>
      <w:tr>
        <w:trPr>
          <w:trHeight w:val="402" w:hRule="exact"/>
        </w:trPr>
        <w:tc>
          <w:tcPr>
            <w:tcW w:w="2297" w:type="dxa"/>
            <w:vMerge/>
            <w:tcBorders>
              <w:left w:val="single" w:sz="4" w:space="0" w:color="000000"/>
              <w:right w:val="single" w:sz="4" w:space="0" w:color="000000"/>
            </w:tcBorders>
            <w:shd w:val="clear" w:color="auto" w:fill="D9D9D9"/>
          </w:tcPr>
          <w:p>
            <w:pPr/>
          </w:p>
        </w:tc>
        <w:tc>
          <w:tcPr>
            <w:tcW w:w="9986" w:type="dxa"/>
            <w:gridSpan w:val="1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04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7"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09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402" w:hRule="exact"/>
        </w:trPr>
        <w:tc>
          <w:tcPr>
            <w:tcW w:w="2297" w:type="dxa"/>
            <w:vMerge/>
            <w:tcBorders>
              <w:left w:val="single" w:sz="4" w:space="0" w:color="000000"/>
              <w:right w:val="single" w:sz="4" w:space="0" w:color="000000"/>
            </w:tcBorders>
            <w:shd w:val="clear" w:color="auto" w:fill="D9D9D9"/>
          </w:tcPr>
          <w:p>
            <w:pPr/>
          </w:p>
        </w:tc>
        <w:tc>
          <w:tcPr>
            <w:tcW w:w="110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股本</w:t>
            </w:r>
          </w:p>
        </w:tc>
        <w:tc>
          <w:tcPr>
            <w:tcW w:w="1839"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5"/>
              <w:ind w:left="466" w:right="0"/>
              <w:jc w:val="left"/>
              <w:rPr>
                <w:rFonts w:ascii="宋体" w:hAnsi="宋体" w:cs="宋体" w:eastAsia="宋体" w:hint="default"/>
                <w:sz w:val="15"/>
                <w:szCs w:val="15"/>
              </w:rPr>
            </w:pPr>
            <w:r>
              <w:rPr>
                <w:rFonts w:ascii="宋体" w:hAnsi="宋体" w:cs="宋体" w:eastAsia="宋体" w:hint="default"/>
                <w:sz w:val="15"/>
                <w:szCs w:val="15"/>
              </w:rPr>
              <w:t>其他权益工具</w:t>
            </w:r>
          </w:p>
        </w:tc>
        <w:tc>
          <w:tcPr>
            <w:tcW w:w="113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59"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6"/>
                <w:szCs w:val="16"/>
              </w:rPr>
            </w:pPr>
          </w:p>
          <w:p>
            <w:pPr>
              <w:pStyle w:val="TableParagraph"/>
              <w:spacing w:line="379" w:lineRule="auto"/>
              <w:ind w:left="127" w:right="48" w:hanging="75"/>
              <w:jc w:val="left"/>
              <w:rPr>
                <w:rFonts w:ascii="宋体" w:hAnsi="宋体" w:cs="宋体" w:eastAsia="宋体" w:hint="default"/>
                <w:sz w:val="15"/>
                <w:szCs w:val="15"/>
              </w:rPr>
            </w:pPr>
            <w:r>
              <w:rPr>
                <w:rFonts w:ascii="宋体" w:hAnsi="宋体" w:cs="宋体" w:eastAsia="宋体" w:hint="default"/>
                <w:sz w:val="15"/>
                <w:szCs w:val="15"/>
              </w:rPr>
              <w:t>减：库</w:t>
            </w:r>
            <w:r>
              <w:rPr>
                <w:rFonts w:ascii="宋体" w:hAnsi="宋体" w:cs="宋体" w:eastAsia="宋体" w:hint="default"/>
                <w:spacing w:val="-72"/>
                <w:sz w:val="15"/>
                <w:szCs w:val="15"/>
              </w:rPr>
              <w:t> </w:t>
            </w:r>
            <w:r>
              <w:rPr>
                <w:rFonts w:ascii="宋体" w:hAnsi="宋体" w:cs="宋体" w:eastAsia="宋体" w:hint="default"/>
                <w:sz w:val="15"/>
                <w:szCs w:val="15"/>
              </w:rPr>
              <w:t>存股</w:t>
            </w:r>
          </w:p>
        </w:tc>
        <w:tc>
          <w:tcPr>
            <w:tcW w:w="113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0" w:right="0"/>
              <w:jc w:val="left"/>
              <w:rPr>
                <w:rFonts w:ascii="宋体" w:hAnsi="宋体" w:cs="宋体" w:eastAsia="宋体" w:hint="default"/>
                <w:sz w:val="15"/>
                <w:szCs w:val="15"/>
              </w:rPr>
            </w:pPr>
            <w:r>
              <w:rPr>
                <w:rFonts w:ascii="宋体" w:hAnsi="宋体" w:cs="宋体" w:eastAsia="宋体" w:hint="default"/>
                <w:sz w:val="15"/>
                <w:szCs w:val="15"/>
              </w:rPr>
              <w:t>其他综合收益</w:t>
            </w:r>
          </w:p>
        </w:tc>
        <w:tc>
          <w:tcPr>
            <w:tcW w:w="38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6"/>
                <w:szCs w:val="16"/>
              </w:rPr>
            </w:pPr>
          </w:p>
          <w:p>
            <w:pPr>
              <w:pStyle w:val="TableParagraph"/>
              <w:spacing w:line="379" w:lineRule="auto"/>
              <w:ind w:left="38" w:right="36"/>
              <w:jc w:val="left"/>
              <w:rPr>
                <w:rFonts w:ascii="宋体" w:hAnsi="宋体" w:cs="宋体" w:eastAsia="宋体" w:hint="default"/>
                <w:sz w:val="15"/>
                <w:szCs w:val="15"/>
              </w:rPr>
            </w:pPr>
            <w:r>
              <w:rPr>
                <w:rFonts w:ascii="宋体" w:hAnsi="宋体" w:cs="宋体" w:eastAsia="宋体" w:hint="default"/>
                <w:sz w:val="15"/>
                <w:szCs w:val="15"/>
              </w:rPr>
              <w:t>专项</w:t>
            </w:r>
            <w:r>
              <w:rPr>
                <w:rFonts w:ascii="宋体" w:hAnsi="宋体" w:cs="宋体" w:eastAsia="宋体" w:hint="default"/>
                <w:spacing w:val="-73"/>
                <w:sz w:val="15"/>
                <w:szCs w:val="15"/>
              </w:rPr>
              <w:t> </w:t>
            </w:r>
            <w:r>
              <w:rPr>
                <w:rFonts w:ascii="宋体" w:hAnsi="宋体" w:cs="宋体" w:eastAsia="宋体" w:hint="default"/>
                <w:sz w:val="15"/>
                <w:szCs w:val="15"/>
              </w:rPr>
              <w:t>储备</w:t>
            </w:r>
          </w:p>
        </w:tc>
        <w:tc>
          <w:tcPr>
            <w:tcW w:w="91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1"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396" w:type="dxa"/>
            <w:vMerge w:val="restart"/>
            <w:tcBorders>
              <w:top w:val="single" w:sz="4" w:space="0" w:color="000000"/>
              <w:left w:val="single" w:sz="4" w:space="0" w:color="000000"/>
              <w:right w:val="single" w:sz="4" w:space="0" w:color="000000"/>
            </w:tcBorders>
            <w:shd w:val="clear" w:color="auto" w:fill="D9D9D9"/>
          </w:tcPr>
          <w:p>
            <w:pPr>
              <w:pStyle w:val="TableParagraph"/>
              <w:spacing w:line="379" w:lineRule="auto" w:before="65"/>
              <w:ind w:left="40" w:right="41"/>
              <w:jc w:val="both"/>
              <w:rPr>
                <w:rFonts w:ascii="宋体" w:hAnsi="宋体" w:cs="宋体" w:eastAsia="宋体" w:hint="default"/>
                <w:sz w:val="15"/>
                <w:szCs w:val="15"/>
              </w:rPr>
            </w:pPr>
            <w:r>
              <w:rPr>
                <w:rFonts w:ascii="宋体" w:hAnsi="宋体" w:cs="宋体" w:eastAsia="宋体" w:hint="default"/>
                <w:sz w:val="15"/>
                <w:szCs w:val="15"/>
              </w:rPr>
              <w:t>一般</w:t>
            </w:r>
            <w:r>
              <w:rPr>
                <w:rFonts w:ascii="宋体" w:hAnsi="宋体" w:cs="宋体" w:eastAsia="宋体" w:hint="default"/>
                <w:spacing w:val="-73"/>
                <w:sz w:val="15"/>
                <w:szCs w:val="15"/>
              </w:rPr>
              <w:t> </w:t>
            </w:r>
            <w:r>
              <w:rPr>
                <w:rFonts w:ascii="宋体" w:hAnsi="宋体" w:cs="宋体" w:eastAsia="宋体" w:hint="default"/>
                <w:sz w:val="15"/>
                <w:szCs w:val="15"/>
              </w:rPr>
              <w:t>风险</w:t>
            </w:r>
            <w:r>
              <w:rPr>
                <w:rFonts w:ascii="宋体" w:hAnsi="宋体" w:cs="宋体" w:eastAsia="宋体" w:hint="default"/>
                <w:spacing w:val="-73"/>
                <w:sz w:val="15"/>
                <w:szCs w:val="15"/>
              </w:rPr>
              <w:t> </w:t>
            </w:r>
            <w:r>
              <w:rPr>
                <w:rFonts w:ascii="宋体" w:hAnsi="宋体" w:cs="宋体" w:eastAsia="宋体" w:hint="default"/>
                <w:sz w:val="15"/>
                <w:szCs w:val="15"/>
              </w:rPr>
              <w:t>准备</w:t>
            </w:r>
          </w:p>
        </w:tc>
        <w:tc>
          <w:tcPr>
            <w:tcW w:w="118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25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6"/>
                <w:szCs w:val="16"/>
              </w:rPr>
            </w:pPr>
          </w:p>
          <w:p>
            <w:pPr>
              <w:pStyle w:val="TableParagraph"/>
              <w:spacing w:line="379" w:lineRule="auto"/>
              <w:ind w:left="48" w:right="48"/>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06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小计</w:t>
            </w:r>
          </w:p>
        </w:tc>
        <w:tc>
          <w:tcPr>
            <w:tcW w:w="1046" w:type="dxa"/>
            <w:vMerge/>
            <w:tcBorders>
              <w:left w:val="single" w:sz="4" w:space="0" w:color="000000"/>
              <w:right w:val="single" w:sz="4" w:space="0" w:color="000000"/>
            </w:tcBorders>
            <w:shd w:val="clear" w:color="auto" w:fill="D9D9D9"/>
          </w:tcPr>
          <w:p>
            <w:pPr/>
          </w:p>
        </w:tc>
        <w:tc>
          <w:tcPr>
            <w:tcW w:w="1099" w:type="dxa"/>
            <w:vMerge/>
            <w:tcBorders>
              <w:left w:val="single" w:sz="4" w:space="0" w:color="000000"/>
              <w:right w:val="single" w:sz="4" w:space="0" w:color="000000"/>
            </w:tcBorders>
            <w:shd w:val="clear" w:color="auto" w:fill="D9D9D9"/>
          </w:tcPr>
          <w:p>
            <w:pPr/>
          </w:p>
        </w:tc>
      </w:tr>
      <w:tr>
        <w:trPr>
          <w:trHeight w:val="624" w:hRule="exact"/>
        </w:trPr>
        <w:tc>
          <w:tcPr>
            <w:tcW w:w="2297" w:type="dxa"/>
            <w:vMerge/>
            <w:tcBorders>
              <w:left w:val="single" w:sz="4" w:space="0" w:color="000000"/>
              <w:bottom w:val="single" w:sz="4" w:space="0" w:color="000000"/>
              <w:right w:val="single" w:sz="4" w:space="0" w:color="000000"/>
            </w:tcBorders>
            <w:shd w:val="clear" w:color="auto" w:fill="D9D9D9"/>
          </w:tcPr>
          <w:p>
            <w:pPr/>
          </w:p>
        </w:tc>
        <w:tc>
          <w:tcPr>
            <w:tcW w:w="1106" w:type="dxa"/>
            <w:vMerge/>
            <w:tcBorders>
              <w:left w:val="single" w:sz="4" w:space="0" w:color="000000"/>
              <w:bottom w:val="single" w:sz="4" w:space="0" w:color="000000"/>
              <w:right w:val="single" w:sz="4" w:space="0" w:color="000000"/>
            </w:tcBorders>
            <w:shd w:val="clear" w:color="auto" w:fill="D9D9D9"/>
          </w:tcPr>
          <w:p>
            <w:pPr/>
          </w:p>
        </w:tc>
        <w:tc>
          <w:tcPr>
            <w:tcW w:w="4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4" w:right="0"/>
              <w:jc w:val="left"/>
              <w:rPr>
                <w:rFonts w:ascii="宋体" w:hAnsi="宋体" w:cs="宋体" w:eastAsia="宋体" w:hint="default"/>
                <w:sz w:val="15"/>
                <w:szCs w:val="15"/>
              </w:rPr>
            </w:pPr>
            <w:r>
              <w:rPr>
                <w:rFonts w:ascii="宋体" w:hAnsi="宋体" w:cs="宋体" w:eastAsia="宋体" w:hint="default"/>
                <w:sz w:val="15"/>
                <w:szCs w:val="15"/>
              </w:rPr>
              <w:t>优先股</w:t>
            </w:r>
          </w:p>
        </w:tc>
        <w:tc>
          <w:tcPr>
            <w:tcW w:w="6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93" w:right="0"/>
              <w:jc w:val="left"/>
              <w:rPr>
                <w:rFonts w:ascii="宋体" w:hAnsi="宋体" w:cs="宋体" w:eastAsia="宋体" w:hint="default"/>
                <w:sz w:val="15"/>
                <w:szCs w:val="15"/>
              </w:rPr>
            </w:pPr>
            <w:r>
              <w:rPr>
                <w:rFonts w:ascii="宋体" w:hAnsi="宋体" w:cs="宋体" w:eastAsia="宋体" w:hint="default"/>
                <w:sz w:val="15"/>
                <w:szCs w:val="15"/>
              </w:rPr>
              <w:t>永续债</w:t>
            </w:r>
          </w:p>
        </w:tc>
        <w:tc>
          <w:tcPr>
            <w:tcW w:w="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94"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133" w:type="dxa"/>
            <w:vMerge/>
            <w:tcBorders>
              <w:left w:val="single" w:sz="4" w:space="0" w:color="000000"/>
              <w:bottom w:val="single" w:sz="4" w:space="0" w:color="000000"/>
              <w:right w:val="single" w:sz="4" w:space="0" w:color="000000"/>
            </w:tcBorders>
            <w:shd w:val="clear" w:color="auto" w:fill="D9D9D9"/>
          </w:tcPr>
          <w:p>
            <w:pPr/>
          </w:p>
        </w:tc>
        <w:tc>
          <w:tcPr>
            <w:tcW w:w="566" w:type="dxa"/>
            <w:vMerge/>
            <w:tcBorders>
              <w:left w:val="single" w:sz="4" w:space="0" w:color="000000"/>
              <w:bottom w:val="single" w:sz="4" w:space="0" w:color="000000"/>
              <w:right w:val="single" w:sz="4" w:space="0" w:color="000000"/>
            </w:tcBorders>
            <w:shd w:val="clear" w:color="auto" w:fill="D9D9D9"/>
          </w:tcPr>
          <w:p>
            <w:pPr/>
          </w:p>
        </w:tc>
        <w:tc>
          <w:tcPr>
            <w:tcW w:w="1136" w:type="dxa"/>
            <w:vMerge/>
            <w:tcBorders>
              <w:left w:val="single" w:sz="4" w:space="0" w:color="000000"/>
              <w:bottom w:val="single" w:sz="4" w:space="0" w:color="000000"/>
              <w:right w:val="single" w:sz="4" w:space="0" w:color="000000"/>
            </w:tcBorders>
            <w:shd w:val="clear" w:color="auto" w:fill="D9D9D9"/>
          </w:tcPr>
          <w:p>
            <w:pPr/>
          </w:p>
        </w:tc>
        <w:tc>
          <w:tcPr>
            <w:tcW w:w="389" w:type="dxa"/>
            <w:vMerge/>
            <w:tcBorders>
              <w:left w:val="single" w:sz="4" w:space="0" w:color="000000"/>
              <w:bottom w:val="single" w:sz="4" w:space="0" w:color="000000"/>
              <w:right w:val="single" w:sz="4" w:space="0" w:color="000000"/>
            </w:tcBorders>
            <w:shd w:val="clear" w:color="auto" w:fill="D9D9D9"/>
          </w:tcPr>
          <w:p>
            <w:pPr/>
          </w:p>
        </w:tc>
        <w:tc>
          <w:tcPr>
            <w:tcW w:w="912" w:type="dxa"/>
            <w:vMerge/>
            <w:tcBorders>
              <w:left w:val="single" w:sz="4" w:space="0" w:color="000000"/>
              <w:bottom w:val="single" w:sz="4" w:space="0" w:color="000000"/>
              <w:right w:val="single" w:sz="4" w:space="0" w:color="000000"/>
            </w:tcBorders>
            <w:shd w:val="clear" w:color="auto" w:fill="D9D9D9"/>
          </w:tcPr>
          <w:p>
            <w:pPr/>
          </w:p>
        </w:tc>
        <w:tc>
          <w:tcPr>
            <w:tcW w:w="396" w:type="dxa"/>
            <w:vMerge/>
            <w:tcBorders>
              <w:left w:val="single" w:sz="4" w:space="0" w:color="000000"/>
              <w:bottom w:val="single" w:sz="4" w:space="0" w:color="000000"/>
              <w:right w:val="single" w:sz="4" w:space="0" w:color="000000"/>
            </w:tcBorders>
            <w:shd w:val="clear" w:color="auto" w:fill="D9D9D9"/>
          </w:tcPr>
          <w:p>
            <w:pPr/>
          </w:p>
        </w:tc>
        <w:tc>
          <w:tcPr>
            <w:tcW w:w="1184" w:type="dxa"/>
            <w:vMerge/>
            <w:tcBorders>
              <w:left w:val="single" w:sz="4" w:space="0" w:color="000000"/>
              <w:bottom w:val="single" w:sz="4" w:space="0" w:color="000000"/>
              <w:right w:val="single" w:sz="4" w:space="0" w:color="000000"/>
            </w:tcBorders>
            <w:shd w:val="clear" w:color="auto" w:fill="D9D9D9"/>
          </w:tcPr>
          <w:p>
            <w:pPr/>
          </w:p>
        </w:tc>
        <w:tc>
          <w:tcPr>
            <w:tcW w:w="259" w:type="dxa"/>
            <w:vMerge/>
            <w:tcBorders>
              <w:left w:val="single" w:sz="4" w:space="0" w:color="000000"/>
              <w:bottom w:val="single" w:sz="4" w:space="0" w:color="000000"/>
              <w:right w:val="single" w:sz="4" w:space="0" w:color="000000"/>
            </w:tcBorders>
            <w:shd w:val="clear" w:color="auto" w:fill="D9D9D9"/>
          </w:tcPr>
          <w:p>
            <w:pPr/>
          </w:p>
        </w:tc>
        <w:tc>
          <w:tcPr>
            <w:tcW w:w="1066" w:type="dxa"/>
            <w:vMerge/>
            <w:tcBorders>
              <w:left w:val="single" w:sz="4" w:space="0" w:color="000000"/>
              <w:bottom w:val="single" w:sz="4" w:space="0" w:color="000000"/>
              <w:right w:val="single" w:sz="4" w:space="0" w:color="000000"/>
            </w:tcBorders>
            <w:shd w:val="clear" w:color="auto" w:fill="D9D9D9"/>
          </w:tcPr>
          <w:p>
            <w:pPr/>
          </w:p>
        </w:tc>
        <w:tc>
          <w:tcPr>
            <w:tcW w:w="1046" w:type="dxa"/>
            <w:vMerge/>
            <w:tcBorders>
              <w:left w:val="single" w:sz="4" w:space="0" w:color="000000"/>
              <w:bottom w:val="single" w:sz="4" w:space="0" w:color="000000"/>
              <w:right w:val="single" w:sz="4" w:space="0" w:color="000000"/>
            </w:tcBorders>
            <w:shd w:val="clear" w:color="auto" w:fill="D9D9D9"/>
          </w:tcPr>
          <w:p>
            <w:pPr/>
          </w:p>
        </w:tc>
        <w:tc>
          <w:tcPr>
            <w:tcW w:w="1099" w:type="dxa"/>
            <w:vMerge/>
            <w:tcBorders>
              <w:left w:val="single" w:sz="4" w:space="0" w:color="000000"/>
              <w:bottom w:val="single" w:sz="4" w:space="0" w:color="000000"/>
              <w:right w:val="single" w:sz="4" w:space="0" w:color="000000"/>
            </w:tcBorders>
            <w:shd w:val="clear" w:color="auto" w:fill="D9D9D9"/>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5"/>
                <w:szCs w:val="15"/>
              </w:rPr>
            </w:pPr>
            <w:r>
              <w:rPr>
                <w:rFonts w:ascii="Times New Roman"/>
                <w:spacing w:val="-1"/>
                <w:sz w:val="15"/>
              </w:rPr>
              <w:t>-30,829,797.30</w:t>
            </w: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5"/>
                <w:szCs w:val="15"/>
              </w:rPr>
            </w:pPr>
            <w:r>
              <w:rPr>
                <w:rFonts w:ascii="Times New Roman"/>
                <w:spacing w:val="-1"/>
                <w:sz w:val="15"/>
              </w:rPr>
              <w:t>-30,829,797.30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5"/>
                <w:szCs w:val="15"/>
              </w:rPr>
            </w:pPr>
            <w:r>
              <w:rPr>
                <w:rFonts w:ascii="Times New Roman"/>
                <w:spacing w:val="-1"/>
                <w:sz w:val="15"/>
              </w:rPr>
              <w:t>-1,900,000.00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right"/>
              <w:rPr>
                <w:rFonts w:ascii="Times New Roman" w:hAnsi="Times New Roman" w:cs="Times New Roman" w:eastAsia="Times New Roman" w:hint="default"/>
                <w:sz w:val="15"/>
                <w:szCs w:val="15"/>
              </w:rPr>
            </w:pPr>
            <w:r>
              <w:rPr>
                <w:rFonts w:ascii="Times New Roman"/>
                <w:spacing w:val="-1"/>
                <w:sz w:val="15"/>
              </w:rPr>
              <w:t>-32,729,797.30</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left"/>
              <w:rPr>
                <w:rFonts w:ascii="宋体" w:hAnsi="宋体" w:cs="宋体" w:eastAsia="宋体" w:hint="default"/>
                <w:sz w:val="15"/>
                <w:szCs w:val="15"/>
              </w:rPr>
            </w:pPr>
            <w:r>
              <w:rPr>
                <w:rFonts w:ascii="宋体" w:hAnsi="宋体" w:cs="宋体" w:eastAsia="宋体" w:hint="default"/>
                <w:sz w:val="15"/>
                <w:szCs w:val="15"/>
              </w:rPr>
              <w:t>（四）所有者权益内部结转</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7" w:lineRule="auto" w:before="66"/>
              <w:ind w:left="-1" w:right="108"/>
              <w:jc w:val="left"/>
              <w:rPr>
                <w:rFonts w:ascii="宋体" w:hAnsi="宋体" w:cs="宋体" w:eastAsia="宋体" w:hint="default"/>
                <w:sz w:val="15"/>
                <w:szCs w:val="15"/>
              </w:rPr>
            </w:pPr>
            <w:r>
              <w:rPr>
                <w:rFonts w:ascii="Times New Roman" w:hAnsi="Times New Roman" w:cs="Times New Roman" w:eastAsia="Times New Roman" w:hint="default"/>
                <w:spacing w:val="-2"/>
                <w:sz w:val="15"/>
                <w:szCs w:val="15"/>
              </w:rPr>
              <w:t>4</w:t>
            </w:r>
            <w:r>
              <w:rPr>
                <w:rFonts w:ascii="宋体" w:hAnsi="宋体" w:cs="宋体" w:eastAsia="宋体" w:hint="default"/>
                <w:spacing w:val="-2"/>
                <w:sz w:val="15"/>
                <w:szCs w:val="15"/>
              </w:rPr>
              <w:t>．设定受益计划变动额结转留存</w:t>
            </w:r>
            <w:r>
              <w:rPr>
                <w:rFonts w:ascii="宋体" w:hAnsi="宋体" w:cs="宋体" w:eastAsia="宋体" w:hint="default"/>
                <w:spacing w:val="-48"/>
                <w:sz w:val="15"/>
                <w:szCs w:val="15"/>
              </w:rPr>
              <w:t> </w:t>
            </w:r>
            <w:r>
              <w:rPr>
                <w:rFonts w:ascii="宋体" w:hAnsi="宋体" w:cs="宋体" w:eastAsia="宋体" w:hint="default"/>
                <w:spacing w:val="-48"/>
                <w:sz w:val="15"/>
                <w:szCs w:val="15"/>
              </w:rPr>
            </w:r>
            <w:r>
              <w:rPr>
                <w:rFonts w:ascii="宋体" w:hAnsi="宋体" w:cs="宋体" w:eastAsia="宋体" w:hint="default"/>
                <w:sz w:val="15"/>
                <w:szCs w:val="15"/>
              </w:rPr>
              <w:t>收益</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5</w:t>
            </w:r>
            <w:r>
              <w:rPr>
                <w:rFonts w:ascii="宋体" w:hAnsi="宋体" w:cs="宋体" w:eastAsia="宋体" w:hint="default"/>
                <w:sz w:val="15"/>
                <w:szCs w:val="15"/>
              </w:rPr>
              <w:t>．其他综合收益结转留存收益</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6</w:t>
            </w:r>
            <w:r>
              <w:rPr>
                <w:rFonts w:ascii="宋体" w:hAnsi="宋体" w:cs="宋体" w:eastAsia="宋体" w:hint="default"/>
                <w:sz w:val="15"/>
                <w:szCs w:val="15"/>
              </w:rPr>
              <w:t>．其他</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宋体" w:hAnsi="宋体" w:cs="宋体" w:eastAsia="宋体" w:hint="default"/>
                <w:sz w:val="15"/>
                <w:szCs w:val="15"/>
              </w:rPr>
              <w:t>（五）专项储备</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宋体" w:hAnsi="宋体" w:cs="宋体" w:eastAsia="宋体" w:hint="default"/>
                <w:sz w:val="15"/>
                <w:szCs w:val="15"/>
              </w:rPr>
              <w:t>（六）其他</w:t>
            </w:r>
          </w:p>
        </w:tc>
        <w:tc>
          <w:tcPr>
            <w:tcW w:w="1106"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5"/>
                <w:szCs w:val="15"/>
              </w:rPr>
            </w:pPr>
            <w:r>
              <w:rPr>
                <w:rFonts w:ascii="Times New Roman"/>
                <w:spacing w:val="-1"/>
                <w:sz w:val="15"/>
              </w:rPr>
              <w:t>46,375,933.98</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5"/>
                <w:szCs w:val="15"/>
              </w:rPr>
            </w:pPr>
            <w:r>
              <w:rPr>
                <w:rFonts w:ascii="Times New Roman"/>
                <w:spacing w:val="-1"/>
                <w:sz w:val="15"/>
              </w:rPr>
              <w:t>46,375,933.98</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5"/>
                <w:szCs w:val="15"/>
              </w:rPr>
            </w:pPr>
            <w:r>
              <w:rPr>
                <w:rFonts w:ascii="Times New Roman"/>
                <w:spacing w:val="-1"/>
                <w:sz w:val="15"/>
              </w:rPr>
              <w:t>46,375,933.98</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1"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55" w:right="0"/>
              <w:jc w:val="left"/>
              <w:rPr>
                <w:rFonts w:ascii="Times New Roman" w:hAnsi="Times New Roman" w:cs="Times New Roman" w:eastAsia="Times New Roman" w:hint="default"/>
                <w:sz w:val="15"/>
                <w:szCs w:val="15"/>
              </w:rPr>
            </w:pPr>
            <w:r>
              <w:rPr>
                <w:rFonts w:ascii="Times New Roman"/>
                <w:sz w:val="15"/>
              </w:rPr>
              <w:t>963,431,273.00</w:t>
            </w:r>
          </w:p>
        </w:tc>
        <w:tc>
          <w:tcPr>
            <w:tcW w:w="490"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right"/>
              <w:rPr>
                <w:rFonts w:ascii="Times New Roman" w:hAnsi="Times New Roman" w:cs="Times New Roman" w:eastAsia="Times New Roman" w:hint="default"/>
                <w:sz w:val="15"/>
                <w:szCs w:val="15"/>
              </w:rPr>
            </w:pPr>
            <w:r>
              <w:rPr>
                <w:rFonts w:ascii="Times New Roman"/>
                <w:spacing w:val="-1"/>
                <w:sz w:val="15"/>
              </w:rPr>
              <w:t>2,274,178,387.44</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61" w:right="0"/>
              <w:jc w:val="left"/>
              <w:rPr>
                <w:rFonts w:ascii="Times New Roman" w:hAnsi="Times New Roman" w:cs="Times New Roman" w:eastAsia="Times New Roman" w:hint="default"/>
                <w:sz w:val="15"/>
                <w:szCs w:val="15"/>
              </w:rPr>
            </w:pPr>
            <w:r>
              <w:rPr>
                <w:rFonts w:ascii="Times New Roman"/>
                <w:spacing w:val="-1"/>
                <w:sz w:val="15"/>
              </w:rPr>
              <w:t>66,489,317.80</w:t>
            </w:r>
          </w:p>
        </w:tc>
        <w:tc>
          <w:tcPr>
            <w:tcW w:w="389"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40" w:right="-1"/>
              <w:jc w:val="left"/>
              <w:rPr>
                <w:rFonts w:ascii="Times New Roman" w:hAnsi="Times New Roman" w:cs="Times New Roman" w:eastAsia="Times New Roman" w:hint="default"/>
                <w:sz w:val="15"/>
                <w:szCs w:val="15"/>
              </w:rPr>
            </w:pPr>
            <w:r>
              <w:rPr>
                <w:rFonts w:ascii="Times New Roman"/>
                <w:spacing w:val="-1"/>
                <w:sz w:val="15"/>
              </w:rPr>
              <w:t>27,209,080.61</w:t>
            </w:r>
          </w:p>
        </w:tc>
        <w:tc>
          <w:tcPr>
            <w:tcW w:w="396"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right"/>
              <w:rPr>
                <w:rFonts w:ascii="Times New Roman" w:hAnsi="Times New Roman" w:cs="Times New Roman" w:eastAsia="Times New Roman" w:hint="default"/>
                <w:sz w:val="15"/>
                <w:szCs w:val="15"/>
              </w:rPr>
            </w:pPr>
            <w:r>
              <w:rPr>
                <w:rFonts w:ascii="Times New Roman"/>
                <w:spacing w:val="-1"/>
                <w:sz w:val="15"/>
              </w:rPr>
              <w:t>1,614,776,633.66</w:t>
            </w:r>
          </w:p>
        </w:tc>
        <w:tc>
          <w:tcPr>
            <w:tcW w:w="259"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5"/>
                <w:szCs w:val="15"/>
              </w:rPr>
            </w:pPr>
            <w:r>
              <w:rPr>
                <w:rFonts w:ascii="Times New Roman"/>
                <w:spacing w:val="-1"/>
                <w:sz w:val="15"/>
              </w:rPr>
              <w:t>4,946,084,692.51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5"/>
                <w:szCs w:val="15"/>
              </w:rPr>
            </w:pPr>
            <w:r>
              <w:rPr>
                <w:rFonts w:ascii="Times New Roman"/>
                <w:spacing w:val="-1"/>
                <w:sz w:val="15"/>
              </w:rPr>
              <w:t>77,601,643.62</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right"/>
              <w:rPr>
                <w:rFonts w:ascii="Times New Roman" w:hAnsi="Times New Roman" w:cs="Times New Roman" w:eastAsia="Times New Roman" w:hint="default"/>
                <w:sz w:val="15"/>
                <w:szCs w:val="15"/>
              </w:rPr>
            </w:pPr>
            <w:r>
              <w:rPr>
                <w:rFonts w:ascii="Times New Roman"/>
                <w:spacing w:val="-1"/>
                <w:sz w:val="15"/>
              </w:rPr>
              <w:t>5,023,686,336.13</w:t>
            </w:r>
          </w:p>
        </w:tc>
      </w:tr>
    </w:tbl>
    <w:p>
      <w:pPr>
        <w:spacing w:after="0" w:line="240" w:lineRule="auto"/>
        <w:jc w:val="right"/>
        <w:rPr>
          <w:rFonts w:ascii="Times New Roman" w:hAnsi="Times New Roman" w:cs="Times New Roman" w:eastAsia="Times New Roman" w:hint="default"/>
          <w:sz w:val="15"/>
          <w:szCs w:val="15"/>
        </w:rPr>
        <w:sectPr>
          <w:pgSz w:w="16840" w:h="11910" w:orient="landscape"/>
          <w:pgMar w:header="916" w:footer="1260" w:top="1180" w:bottom="1460" w:left="1300" w:right="820"/>
        </w:sectPr>
      </w:pPr>
    </w:p>
    <w:p>
      <w:pPr>
        <w:spacing w:line="240" w:lineRule="auto" w:before="4"/>
        <w:rPr>
          <w:rFonts w:ascii="宋体" w:hAnsi="宋体" w:cs="宋体" w:eastAsia="宋体" w:hint="default"/>
          <w:sz w:val="22"/>
          <w:szCs w:val="22"/>
        </w:rPr>
      </w:pPr>
    </w:p>
    <w:p>
      <w:pPr>
        <w:pStyle w:val="Heading4"/>
        <w:spacing w:line="240" w:lineRule="auto" w:before="36"/>
        <w:ind w:left="6021" w:right="6021"/>
        <w:jc w:val="center"/>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6"/>
          <w:szCs w:val="26"/>
        </w:rPr>
      </w:pPr>
    </w:p>
    <w:p>
      <w:pPr>
        <w:pStyle w:val="BodyText"/>
        <w:tabs>
          <w:tab w:pos="13790" w:val="left" w:leader="none"/>
        </w:tabs>
        <w:spacing w:line="240" w:lineRule="auto"/>
        <w:ind w:left="6945" w:right="0"/>
        <w:jc w:val="left"/>
      </w:pPr>
      <w:r>
        <w:rPr/>
        <w:t>本期金额</w:t>
        <w:tab/>
        <w:t>单位：元</w:t>
      </w:r>
    </w:p>
    <w:p>
      <w:pPr>
        <w:spacing w:line="240" w:lineRule="auto" w:before="4"/>
        <w:rPr>
          <w:rFonts w:ascii="宋体" w:hAnsi="宋体" w:cs="宋体" w:eastAsia="宋体" w:hint="default"/>
          <w:sz w:val="8"/>
          <w:szCs w:val="8"/>
        </w:rPr>
      </w:pPr>
    </w:p>
    <w:tbl>
      <w:tblPr>
        <w:tblW w:w="0" w:type="auto"/>
        <w:jc w:val="left"/>
        <w:tblInd w:w="140" w:type="dxa"/>
        <w:tblLayout w:type="fixed"/>
        <w:tblCellMar>
          <w:top w:w="0" w:type="dxa"/>
          <w:left w:w="0" w:type="dxa"/>
          <w:bottom w:w="0" w:type="dxa"/>
          <w:right w:w="0" w:type="dxa"/>
        </w:tblCellMar>
        <w:tblLook w:val="01E0"/>
      </w:tblPr>
      <w:tblGrid>
        <w:gridCol w:w="2297"/>
        <w:gridCol w:w="1308"/>
        <w:gridCol w:w="651"/>
        <w:gridCol w:w="576"/>
        <w:gridCol w:w="523"/>
        <w:gridCol w:w="1334"/>
        <w:gridCol w:w="1176"/>
        <w:gridCol w:w="1306"/>
        <w:gridCol w:w="1046"/>
        <w:gridCol w:w="1177"/>
        <w:gridCol w:w="1176"/>
        <w:gridCol w:w="521"/>
        <w:gridCol w:w="1337"/>
      </w:tblGrid>
      <w:tr>
        <w:trPr>
          <w:trHeight w:val="401" w:hRule="exact"/>
        </w:trPr>
        <w:tc>
          <w:tcPr>
            <w:tcW w:w="229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2131" w:type="dxa"/>
            <w:gridSpan w:val="1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
                <w:sz w:val="16"/>
                <w:szCs w:val="16"/>
              </w:rPr>
              <w:t> </w:t>
            </w:r>
            <w:r>
              <w:rPr>
                <w:rFonts w:ascii="宋体" w:hAnsi="宋体" w:cs="宋体" w:eastAsia="宋体" w:hint="default"/>
                <w:spacing w:val="-3"/>
                <w:sz w:val="16"/>
                <w:szCs w:val="16"/>
              </w:rPr>
              <w:t>年度</w:t>
            </w:r>
            <w:r>
              <w:rPr>
                <w:rFonts w:ascii="宋体" w:hAnsi="宋体" w:cs="宋体" w:eastAsia="宋体" w:hint="default"/>
                <w:sz w:val="16"/>
                <w:szCs w:val="16"/>
              </w:rPr>
            </w:r>
          </w:p>
        </w:tc>
      </w:tr>
      <w:tr>
        <w:trPr>
          <w:trHeight w:val="403" w:hRule="exact"/>
        </w:trPr>
        <w:tc>
          <w:tcPr>
            <w:tcW w:w="2297" w:type="dxa"/>
            <w:vMerge/>
            <w:tcBorders>
              <w:left w:val="single" w:sz="4" w:space="0" w:color="000000"/>
              <w:right w:val="single" w:sz="4" w:space="0" w:color="000000"/>
            </w:tcBorders>
            <w:shd w:val="clear" w:color="auto" w:fill="D9D9D9"/>
          </w:tcPr>
          <w:p>
            <w:pPr/>
          </w:p>
        </w:tc>
        <w:tc>
          <w:tcPr>
            <w:tcW w:w="130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股本</w:t>
            </w:r>
          </w:p>
        </w:tc>
        <w:tc>
          <w:tcPr>
            <w:tcW w:w="175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389" w:right="0"/>
              <w:jc w:val="left"/>
              <w:rPr>
                <w:rFonts w:ascii="宋体" w:hAnsi="宋体" w:cs="宋体" w:eastAsia="宋体" w:hint="default"/>
                <w:sz w:val="16"/>
                <w:szCs w:val="16"/>
              </w:rPr>
            </w:pPr>
            <w:r>
              <w:rPr>
                <w:rFonts w:ascii="宋体" w:hAnsi="宋体" w:cs="宋体" w:eastAsia="宋体" w:hint="default"/>
                <w:sz w:val="16"/>
                <w:szCs w:val="16"/>
              </w:rPr>
              <w:t>其他权益工具</w:t>
            </w:r>
          </w:p>
        </w:tc>
        <w:tc>
          <w:tcPr>
            <w:tcW w:w="133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43"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117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82"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130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68"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104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96" w:right="0"/>
              <w:jc w:val="left"/>
              <w:rPr>
                <w:rFonts w:ascii="宋体" w:hAnsi="宋体" w:cs="宋体" w:eastAsia="宋体" w:hint="default"/>
                <w:sz w:val="16"/>
                <w:szCs w:val="16"/>
              </w:rPr>
            </w:pPr>
            <w:r>
              <w:rPr>
                <w:rFonts w:ascii="宋体" w:hAnsi="宋体" w:cs="宋体" w:eastAsia="宋体" w:hint="default"/>
                <w:sz w:val="16"/>
                <w:szCs w:val="16"/>
              </w:rPr>
              <w:t>专项储备</w:t>
            </w:r>
          </w:p>
        </w:tc>
        <w:tc>
          <w:tcPr>
            <w:tcW w:w="117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61"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17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82"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521" w:type="dxa"/>
            <w:vMerge w:val="restart"/>
            <w:tcBorders>
              <w:top w:val="single" w:sz="4" w:space="0" w:color="000000"/>
              <w:left w:val="single" w:sz="4" w:space="0" w:color="000000"/>
              <w:right w:val="single" w:sz="4" w:space="0" w:color="000000"/>
            </w:tcBorders>
            <w:shd w:val="clear" w:color="auto" w:fill="D9D9D9"/>
          </w:tcPr>
          <w:p>
            <w:pPr>
              <w:pStyle w:val="TableParagraph"/>
              <w:spacing w:line="357" w:lineRule="auto" w:before="113"/>
              <w:ind w:left="175" w:right="173"/>
              <w:jc w:val="center"/>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p>
        </w:tc>
        <w:tc>
          <w:tcPr>
            <w:tcW w:w="133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所有者权益合计</w:t>
            </w:r>
          </w:p>
        </w:tc>
      </w:tr>
      <w:tr>
        <w:trPr>
          <w:trHeight w:val="401" w:hRule="exact"/>
        </w:trPr>
        <w:tc>
          <w:tcPr>
            <w:tcW w:w="2297" w:type="dxa"/>
            <w:vMerge/>
            <w:tcBorders>
              <w:left w:val="single" w:sz="4" w:space="0" w:color="000000"/>
              <w:bottom w:val="single" w:sz="4" w:space="0" w:color="000000"/>
              <w:right w:val="single" w:sz="4" w:space="0" w:color="000000"/>
            </w:tcBorders>
            <w:shd w:val="clear" w:color="auto" w:fill="D9D9D9"/>
          </w:tcPr>
          <w:p>
            <w:pPr/>
          </w:p>
        </w:tc>
        <w:tc>
          <w:tcPr>
            <w:tcW w:w="1308" w:type="dxa"/>
            <w:vMerge/>
            <w:tcBorders>
              <w:left w:val="single" w:sz="4" w:space="0" w:color="000000"/>
              <w:bottom w:val="single" w:sz="4" w:space="0" w:color="000000"/>
              <w:right w:val="single" w:sz="4" w:space="0" w:color="000000"/>
            </w:tcBorders>
            <w:shd w:val="clear" w:color="auto" w:fill="D9D9D9"/>
          </w:tcPr>
          <w:p>
            <w:pPr/>
          </w:p>
        </w:tc>
        <w:tc>
          <w:tcPr>
            <w:tcW w:w="6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79" w:right="0"/>
              <w:jc w:val="left"/>
              <w:rPr>
                <w:rFonts w:ascii="宋体" w:hAnsi="宋体" w:cs="宋体" w:eastAsia="宋体" w:hint="default"/>
                <w:sz w:val="16"/>
                <w:szCs w:val="16"/>
              </w:rPr>
            </w:pPr>
            <w:r>
              <w:rPr>
                <w:rFonts w:ascii="宋体" w:hAnsi="宋体" w:cs="宋体" w:eastAsia="宋体" w:hint="default"/>
                <w:sz w:val="16"/>
                <w:szCs w:val="16"/>
              </w:rPr>
              <w:t>优先股</w:t>
            </w:r>
          </w:p>
        </w:tc>
        <w:tc>
          <w:tcPr>
            <w:tcW w:w="5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40" w:right="0"/>
              <w:jc w:val="left"/>
              <w:rPr>
                <w:rFonts w:ascii="宋体" w:hAnsi="宋体" w:cs="宋体" w:eastAsia="宋体" w:hint="default"/>
                <w:sz w:val="16"/>
                <w:szCs w:val="16"/>
              </w:rPr>
            </w:pPr>
            <w:r>
              <w:rPr>
                <w:rFonts w:ascii="宋体" w:hAnsi="宋体" w:cs="宋体" w:eastAsia="宋体" w:hint="default"/>
                <w:sz w:val="16"/>
                <w:szCs w:val="16"/>
              </w:rPr>
              <w:t>永续债</w:t>
            </w:r>
          </w:p>
        </w:tc>
        <w:tc>
          <w:tcPr>
            <w:tcW w:w="5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95"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334" w:type="dxa"/>
            <w:vMerge/>
            <w:tcBorders>
              <w:left w:val="single" w:sz="4" w:space="0" w:color="000000"/>
              <w:bottom w:val="single" w:sz="4" w:space="0" w:color="000000"/>
              <w:right w:val="single" w:sz="4" w:space="0" w:color="000000"/>
            </w:tcBorders>
            <w:shd w:val="clear" w:color="auto" w:fill="D9D9D9"/>
          </w:tcPr>
          <w:p>
            <w:pPr/>
          </w:p>
        </w:tc>
        <w:tc>
          <w:tcPr>
            <w:tcW w:w="1176" w:type="dxa"/>
            <w:vMerge/>
            <w:tcBorders>
              <w:left w:val="single" w:sz="4" w:space="0" w:color="000000"/>
              <w:bottom w:val="single" w:sz="4" w:space="0" w:color="000000"/>
              <w:right w:val="single" w:sz="4" w:space="0" w:color="000000"/>
            </w:tcBorders>
            <w:shd w:val="clear" w:color="auto" w:fill="D9D9D9"/>
          </w:tcPr>
          <w:p>
            <w:pPr/>
          </w:p>
        </w:tc>
        <w:tc>
          <w:tcPr>
            <w:tcW w:w="1306" w:type="dxa"/>
            <w:vMerge/>
            <w:tcBorders>
              <w:left w:val="single" w:sz="4" w:space="0" w:color="000000"/>
              <w:bottom w:val="single" w:sz="4" w:space="0" w:color="000000"/>
              <w:right w:val="single" w:sz="4" w:space="0" w:color="000000"/>
            </w:tcBorders>
            <w:shd w:val="clear" w:color="auto" w:fill="D9D9D9"/>
          </w:tcPr>
          <w:p>
            <w:pPr/>
          </w:p>
        </w:tc>
        <w:tc>
          <w:tcPr>
            <w:tcW w:w="1046" w:type="dxa"/>
            <w:vMerge/>
            <w:tcBorders>
              <w:left w:val="single" w:sz="4" w:space="0" w:color="000000"/>
              <w:bottom w:val="single" w:sz="4" w:space="0" w:color="000000"/>
              <w:right w:val="single" w:sz="4" w:space="0" w:color="000000"/>
            </w:tcBorders>
            <w:shd w:val="clear" w:color="auto" w:fill="D9D9D9"/>
          </w:tcPr>
          <w:p>
            <w:pPr/>
          </w:p>
        </w:tc>
        <w:tc>
          <w:tcPr>
            <w:tcW w:w="1177" w:type="dxa"/>
            <w:vMerge/>
            <w:tcBorders>
              <w:left w:val="single" w:sz="4" w:space="0" w:color="000000"/>
              <w:bottom w:val="single" w:sz="4" w:space="0" w:color="000000"/>
              <w:right w:val="single" w:sz="4" w:space="0" w:color="000000"/>
            </w:tcBorders>
            <w:shd w:val="clear" w:color="auto" w:fill="D9D9D9"/>
          </w:tcPr>
          <w:p>
            <w:pPr/>
          </w:p>
        </w:tc>
        <w:tc>
          <w:tcPr>
            <w:tcW w:w="1176" w:type="dxa"/>
            <w:vMerge/>
            <w:tcBorders>
              <w:left w:val="single" w:sz="4" w:space="0" w:color="000000"/>
              <w:bottom w:val="single" w:sz="4" w:space="0" w:color="000000"/>
              <w:right w:val="single" w:sz="4" w:space="0" w:color="000000"/>
            </w:tcBorders>
            <w:shd w:val="clear" w:color="auto" w:fill="D9D9D9"/>
          </w:tcPr>
          <w:p>
            <w:pPr/>
          </w:p>
        </w:tc>
        <w:tc>
          <w:tcPr>
            <w:tcW w:w="521" w:type="dxa"/>
            <w:vMerge/>
            <w:tcBorders>
              <w:left w:val="single" w:sz="4" w:space="0" w:color="000000"/>
              <w:bottom w:val="single" w:sz="4" w:space="0" w:color="000000"/>
              <w:right w:val="single" w:sz="4" w:space="0" w:color="000000"/>
            </w:tcBorders>
            <w:shd w:val="clear" w:color="auto" w:fill="D9D9D9"/>
          </w:tcPr>
          <w:p>
            <w:pPr/>
          </w:p>
        </w:tc>
        <w:tc>
          <w:tcPr>
            <w:tcW w:w="1337" w:type="dxa"/>
            <w:vMerge/>
            <w:tcBorders>
              <w:left w:val="single" w:sz="4" w:space="0" w:color="000000"/>
              <w:bottom w:val="single" w:sz="4" w:space="0" w:color="000000"/>
              <w:right w:val="single" w:sz="4" w:space="0" w:color="000000"/>
            </w:tcBorders>
            <w:shd w:val="clear" w:color="auto" w:fill="D9D9D9"/>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一、上年期末余额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1"/>
                <w:sz w:val="16"/>
              </w:rPr>
              <w:t>963,431,273.00</w:t>
            </w: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2,099,414,949.00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2"/>
                <w:sz w:val="16"/>
              </w:rPr>
              <w:t>27,209,080.61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2"/>
                <w:sz w:val="16"/>
              </w:rPr>
              <w:t>69,503,669.90</w:t>
            </w: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1"/>
                <w:sz w:val="16"/>
              </w:rPr>
              <w:t>3,159,558,972.51</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sz w:val="16"/>
                <w:szCs w:val="16"/>
              </w:rPr>
              <w:t>加：会计政策变更</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1"/>
                <w:sz w:val="16"/>
              </w:rPr>
              <w:t>-34,448,226.16</w:t>
            </w: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1"/>
                <w:sz w:val="16"/>
              </w:rPr>
              <w:t>1,577,544.70</w:t>
            </w: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1"/>
                <w:sz w:val="16"/>
              </w:rPr>
              <w:t>-32,870,681.46</w:t>
            </w: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pacing w:val="-2"/>
                <w:sz w:val="16"/>
                <w:szCs w:val="16"/>
              </w:rPr>
              <w:t> </w:t>
            </w:r>
            <w:r>
              <w:rPr>
                <w:rFonts w:ascii="宋体" w:hAnsi="宋体" w:cs="宋体" w:eastAsia="宋体" w:hint="default"/>
                <w:sz w:val="16"/>
                <w:szCs w:val="16"/>
              </w:rPr>
              <w:t>前期差错更正</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pacing w:val="-2"/>
                <w:sz w:val="16"/>
                <w:szCs w:val="16"/>
              </w:rPr>
              <w:t> </w:t>
            </w:r>
            <w:r>
              <w:rPr>
                <w:rFonts w:ascii="宋体" w:hAnsi="宋体" w:cs="宋体" w:eastAsia="宋体" w:hint="default"/>
                <w:sz w:val="16"/>
                <w:szCs w:val="16"/>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8"/>
              <w:ind w:left="103" w:right="0"/>
              <w:jc w:val="left"/>
              <w:rPr>
                <w:rFonts w:ascii="宋体" w:hAnsi="宋体" w:cs="宋体" w:eastAsia="宋体" w:hint="default"/>
                <w:sz w:val="16"/>
                <w:szCs w:val="16"/>
              </w:rPr>
            </w:pPr>
            <w:r>
              <w:rPr>
                <w:rFonts w:ascii="宋体" w:hAnsi="宋体" w:cs="宋体" w:eastAsia="宋体" w:hint="default"/>
                <w:sz w:val="16"/>
                <w:szCs w:val="16"/>
              </w:rPr>
              <w:t>二、本年期初余额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6"/>
                <w:szCs w:val="16"/>
              </w:rPr>
            </w:pPr>
            <w:r>
              <w:rPr>
                <w:rFonts w:ascii="Times New Roman"/>
                <w:spacing w:val="-1"/>
                <w:sz w:val="16"/>
              </w:rPr>
              <w:t>963,431,273.00</w:t>
            </w: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6"/>
                <w:szCs w:val="16"/>
              </w:rPr>
            </w:pPr>
            <w:r>
              <w:rPr>
                <w:rFonts w:ascii="Times New Roman"/>
                <w:spacing w:val="-1"/>
                <w:sz w:val="16"/>
              </w:rPr>
              <w:t>2,099,414,949.00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6"/>
                <w:szCs w:val="16"/>
              </w:rPr>
            </w:pPr>
            <w:r>
              <w:rPr>
                <w:rFonts w:ascii="Times New Roman"/>
                <w:spacing w:val="-1"/>
                <w:sz w:val="16"/>
              </w:rPr>
              <w:t>-34,448,226.16</w:t>
            </w: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6"/>
                <w:szCs w:val="16"/>
              </w:rPr>
            </w:pPr>
            <w:r>
              <w:rPr>
                <w:rFonts w:ascii="Times New Roman"/>
                <w:spacing w:val="-2"/>
                <w:sz w:val="16"/>
              </w:rPr>
              <w:t>27,209,080.61</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0"/>
              <w:jc w:val="right"/>
              <w:rPr>
                <w:rFonts w:ascii="Times New Roman" w:hAnsi="Times New Roman" w:cs="Times New Roman" w:eastAsia="Times New Roman" w:hint="default"/>
                <w:sz w:val="16"/>
                <w:szCs w:val="16"/>
              </w:rPr>
            </w:pPr>
            <w:r>
              <w:rPr>
                <w:rFonts w:ascii="Times New Roman"/>
                <w:spacing w:val="-2"/>
                <w:sz w:val="16"/>
              </w:rPr>
              <w:t>71,081,214.60</w:t>
            </w: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6"/>
                <w:szCs w:val="16"/>
              </w:rPr>
            </w:pPr>
            <w:r>
              <w:rPr>
                <w:rFonts w:ascii="Times New Roman"/>
                <w:spacing w:val="-1"/>
                <w:sz w:val="16"/>
              </w:rPr>
              <w:t>3,126,688,291.05</w:t>
            </w: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5" w:lineRule="auto" w:before="67"/>
              <w:ind w:left="103" w:right="99"/>
              <w:jc w:val="left"/>
              <w:rPr>
                <w:rFonts w:ascii="宋体" w:hAnsi="宋体" w:cs="宋体" w:eastAsia="宋体" w:hint="default"/>
                <w:sz w:val="16"/>
                <w:szCs w:val="16"/>
              </w:rPr>
            </w:pPr>
            <w:r>
              <w:rPr>
                <w:rFonts w:ascii="宋体" w:hAnsi="宋体" w:cs="宋体" w:eastAsia="宋体" w:hint="default"/>
                <w:sz w:val="16"/>
                <w:szCs w:val="16"/>
              </w:rPr>
              <w:t>三、本期增减变动金额（减少</w:t>
            </w:r>
            <w:r>
              <w:rPr>
                <w:rFonts w:ascii="宋体" w:hAnsi="宋体" w:cs="宋体" w:eastAsia="宋体" w:hint="default"/>
                <w:w w:val="100"/>
                <w:sz w:val="16"/>
                <w:szCs w:val="16"/>
              </w:rPr>
              <w:t> </w:t>
            </w:r>
            <w:r>
              <w:rPr>
                <w:rFonts w:ascii="宋体" w:hAnsi="宋体" w:cs="宋体" w:eastAsia="宋体" w:hint="default"/>
                <w:sz w:val="16"/>
                <w:szCs w:val="16"/>
              </w:rPr>
              <w:t>以“－”号填列）</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6,950,000.00</w:t>
            </w: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46,114,576.00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44,097,750.00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2"/>
                <w:sz w:val="16"/>
              </w:rPr>
              <w:t>13,220,805.84</w:t>
            </w: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768,431.82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403" w:lineRule="auto" w:before="102"/>
              <w:ind w:left="144" w:right="100" w:firstLine="866"/>
              <w:jc w:val="left"/>
              <w:rPr>
                <w:rFonts w:ascii="Times New Roman" w:hAnsi="Times New Roman" w:cs="Times New Roman" w:eastAsia="Times New Roman" w:hint="default"/>
                <w:sz w:val="16"/>
                <w:szCs w:val="16"/>
              </w:rPr>
            </w:pPr>
            <w:r>
              <w:rPr>
                <w:rFonts w:ascii="Times New Roman"/>
                <w:sz w:val="16"/>
              </w:rPr>
              <w:t>-</w:t>
            </w:r>
            <w:r>
              <w:rPr>
                <w:rFonts w:ascii="Times New Roman"/>
                <w:w w:val="100"/>
                <w:sz w:val="16"/>
              </w:rPr>
              <w:t> </w:t>
            </w:r>
            <w:r>
              <w:rPr>
                <w:rFonts w:ascii="Times New Roman"/>
                <w:sz w:val="16"/>
              </w:rPr>
              <w:t>26,804,206.98</w:t>
            </w: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-3,848,143.32</w:t>
            </w: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（一）综合收益总额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2"/>
                <w:sz w:val="16"/>
              </w:rPr>
              <w:t>13,220,805.84</w:t>
            </w: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1"/>
                <w:sz w:val="16"/>
              </w:rPr>
              <w:t>7,684,318.18</w:t>
            </w: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2"/>
                <w:sz w:val="16"/>
              </w:rPr>
              <w:t>20,905,124.02</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（二）所有者投入和减少资本</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1"/>
                <w:sz w:val="16"/>
              </w:rPr>
              <w:t>6,950,000.00</w:t>
            </w: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2"/>
                <w:sz w:val="16"/>
              </w:rPr>
              <w:t>46,114,576.00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Times New Roman" w:hAnsi="Times New Roman" w:cs="Times New Roman" w:eastAsia="Times New Roman" w:hint="default"/>
                <w:sz w:val="16"/>
                <w:szCs w:val="16"/>
              </w:rPr>
            </w:pPr>
            <w:r>
              <w:rPr>
                <w:rFonts w:ascii="Times New Roman"/>
                <w:spacing w:val="-2"/>
                <w:sz w:val="16"/>
              </w:rPr>
              <w:t>44,097,750.00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1"/>
                <w:sz w:val="16"/>
              </w:rPr>
              <w:t>8,966,826.00</w:t>
            </w: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．所有者投入的普通股</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1"/>
                <w:sz w:val="16"/>
              </w:rPr>
              <w:t>6,950,000.00</w:t>
            </w: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2"/>
                <w:sz w:val="16"/>
              </w:rPr>
              <w:t>37,147,750.00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2"/>
                <w:sz w:val="16"/>
              </w:rPr>
              <w:t>44,097,750.00</w:t>
            </w: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6" w:lineRule="auto" w:before="68"/>
              <w:ind w:left="103" w:right="18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．其他权益工具持有者投入</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资本</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8" w:lineRule="auto" w:before="67"/>
              <w:ind w:left="103" w:right="18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3</w:t>
            </w:r>
            <w:r>
              <w:rPr>
                <w:rFonts w:ascii="宋体" w:hAnsi="宋体" w:cs="宋体" w:eastAsia="宋体" w:hint="default"/>
                <w:spacing w:val="-1"/>
                <w:sz w:val="16"/>
                <w:szCs w:val="16"/>
              </w:rPr>
              <w:t>．股份支付计入所有者权益</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的金额</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809,531.00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2"/>
                <w:sz w:val="16"/>
              </w:rPr>
              <w:t>44,097,750.00</w:t>
            </w: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-43,288,219.00</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1"/>
                <w:sz w:val="16"/>
              </w:rPr>
              <w:t>8,157,295.00</w:t>
            </w: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0"/>
              <w:jc w:val="right"/>
              <w:rPr>
                <w:rFonts w:ascii="Times New Roman" w:hAnsi="Times New Roman" w:cs="Times New Roman" w:eastAsia="Times New Roman" w:hint="default"/>
                <w:sz w:val="16"/>
                <w:szCs w:val="16"/>
              </w:rPr>
            </w:pPr>
            <w:r>
              <w:rPr>
                <w:rFonts w:ascii="Times New Roman"/>
                <w:spacing w:val="-1"/>
                <w:sz w:val="16"/>
              </w:rPr>
              <w:t>8,157,295.00</w:t>
            </w:r>
          </w:p>
        </w:tc>
      </w:tr>
      <w:tr>
        <w:trPr>
          <w:trHeight w:val="716"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7"/>
              <w:ind w:left="103" w:right="0"/>
              <w:jc w:val="left"/>
              <w:rPr>
                <w:rFonts w:ascii="宋体" w:hAnsi="宋体" w:cs="宋体" w:eastAsia="宋体" w:hint="default"/>
                <w:sz w:val="16"/>
                <w:szCs w:val="16"/>
              </w:rPr>
            </w:pPr>
            <w:r>
              <w:rPr>
                <w:rFonts w:ascii="宋体" w:hAnsi="宋体" w:cs="宋体" w:eastAsia="宋体" w:hint="default"/>
                <w:sz w:val="16"/>
                <w:szCs w:val="16"/>
              </w:rPr>
              <w:t>（三）利润分配</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6"/>
                <w:szCs w:val="16"/>
              </w:rPr>
            </w:pPr>
            <w:r>
              <w:rPr>
                <w:rFonts w:ascii="Times New Roman"/>
                <w:spacing w:val="-1"/>
                <w:sz w:val="16"/>
              </w:rPr>
              <w:t>768,431.82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2"/>
              <w:ind w:left="144" w:right="100" w:firstLine="866"/>
              <w:jc w:val="left"/>
              <w:rPr>
                <w:rFonts w:ascii="Times New Roman" w:hAnsi="Times New Roman" w:cs="Times New Roman" w:eastAsia="Times New Roman" w:hint="default"/>
                <w:sz w:val="16"/>
                <w:szCs w:val="16"/>
              </w:rPr>
            </w:pPr>
            <w:r>
              <w:rPr>
                <w:rFonts w:ascii="Times New Roman"/>
                <w:sz w:val="16"/>
              </w:rPr>
              <w:t>-</w:t>
            </w:r>
            <w:r>
              <w:rPr>
                <w:rFonts w:ascii="Times New Roman"/>
                <w:w w:val="100"/>
                <w:sz w:val="16"/>
              </w:rPr>
              <w:t> </w:t>
            </w:r>
            <w:r>
              <w:rPr>
                <w:rFonts w:ascii="Times New Roman"/>
                <w:sz w:val="16"/>
              </w:rPr>
              <w:t>34,488,525.16</w:t>
            </w: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-33,720,093.34</w:t>
            </w:r>
          </w:p>
        </w:tc>
      </w:tr>
    </w:tbl>
    <w:p>
      <w:pPr>
        <w:spacing w:after="0" w:line="240" w:lineRule="auto"/>
        <w:jc w:val="right"/>
        <w:rPr>
          <w:rFonts w:ascii="Times New Roman" w:hAnsi="Times New Roman" w:cs="Times New Roman" w:eastAsia="Times New Roman" w:hint="default"/>
          <w:sz w:val="16"/>
          <w:szCs w:val="16"/>
        </w:rPr>
        <w:sectPr>
          <w:pgSz w:w="16840" w:h="11910" w:orient="landscape"/>
          <w:pgMar w:header="916" w:footer="1260" w:top="1120" w:bottom="1460" w:left="1300" w:right="820"/>
        </w:sectPr>
      </w:pPr>
    </w:p>
    <w:tbl>
      <w:tblPr>
        <w:tblW w:w="0" w:type="auto"/>
        <w:jc w:val="left"/>
        <w:tblInd w:w="140" w:type="dxa"/>
        <w:tblLayout w:type="fixed"/>
        <w:tblCellMar>
          <w:top w:w="0" w:type="dxa"/>
          <w:left w:w="0" w:type="dxa"/>
          <w:bottom w:w="0" w:type="dxa"/>
          <w:right w:w="0" w:type="dxa"/>
        </w:tblCellMar>
        <w:tblLook w:val="01E0"/>
      </w:tblPr>
      <w:tblGrid>
        <w:gridCol w:w="2297"/>
        <w:gridCol w:w="1308"/>
        <w:gridCol w:w="651"/>
        <w:gridCol w:w="576"/>
        <w:gridCol w:w="523"/>
        <w:gridCol w:w="1334"/>
        <w:gridCol w:w="1176"/>
        <w:gridCol w:w="1306"/>
        <w:gridCol w:w="1046"/>
        <w:gridCol w:w="1177"/>
        <w:gridCol w:w="1176"/>
        <w:gridCol w:w="521"/>
        <w:gridCol w:w="1337"/>
      </w:tblGrid>
      <w:tr>
        <w:trPr>
          <w:trHeight w:val="402" w:hRule="exact"/>
        </w:trPr>
        <w:tc>
          <w:tcPr>
            <w:tcW w:w="229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2131" w:type="dxa"/>
            <w:gridSpan w:val="1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right="1"/>
              <w:jc w:val="center"/>
              <w:rPr>
                <w:rFonts w:ascii="宋体" w:hAnsi="宋体" w:cs="宋体" w:eastAsia="宋体" w:hint="default"/>
                <w:sz w:val="16"/>
                <w:szCs w:val="16"/>
              </w:rPr>
            </w:pPr>
            <w:r>
              <w:rPr>
                <w:rFonts w:ascii="Times New Roman" w:hAnsi="Times New Roman" w:cs="Times New Roman" w:eastAsia="Times New Roman" w:hint="default"/>
                <w:sz w:val="16"/>
                <w:szCs w:val="16"/>
              </w:rPr>
              <w:t>2019</w:t>
            </w:r>
            <w:r>
              <w:rPr>
                <w:rFonts w:ascii="Times New Roman" w:hAnsi="Times New Roman" w:cs="Times New Roman" w:eastAsia="Times New Roman" w:hint="default"/>
                <w:spacing w:val="1"/>
                <w:sz w:val="16"/>
                <w:szCs w:val="16"/>
              </w:rPr>
              <w:t> </w:t>
            </w:r>
            <w:r>
              <w:rPr>
                <w:rFonts w:ascii="宋体" w:hAnsi="宋体" w:cs="宋体" w:eastAsia="宋体" w:hint="default"/>
                <w:spacing w:val="-3"/>
                <w:sz w:val="16"/>
                <w:szCs w:val="16"/>
              </w:rPr>
              <w:t>年度</w:t>
            </w:r>
            <w:r>
              <w:rPr>
                <w:rFonts w:ascii="宋体" w:hAnsi="宋体" w:cs="宋体" w:eastAsia="宋体" w:hint="default"/>
                <w:sz w:val="16"/>
                <w:szCs w:val="16"/>
              </w:rPr>
            </w:r>
          </w:p>
        </w:tc>
      </w:tr>
      <w:tr>
        <w:trPr>
          <w:trHeight w:val="402" w:hRule="exact"/>
        </w:trPr>
        <w:tc>
          <w:tcPr>
            <w:tcW w:w="2297" w:type="dxa"/>
            <w:vMerge/>
            <w:tcBorders>
              <w:left w:val="single" w:sz="4" w:space="0" w:color="000000"/>
              <w:right w:val="single" w:sz="4" w:space="0" w:color="000000"/>
            </w:tcBorders>
            <w:shd w:val="clear" w:color="auto" w:fill="D9D9D9"/>
          </w:tcPr>
          <w:p>
            <w:pPr/>
          </w:p>
        </w:tc>
        <w:tc>
          <w:tcPr>
            <w:tcW w:w="130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股本</w:t>
            </w:r>
          </w:p>
        </w:tc>
        <w:tc>
          <w:tcPr>
            <w:tcW w:w="175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389" w:right="0"/>
              <w:jc w:val="left"/>
              <w:rPr>
                <w:rFonts w:ascii="宋体" w:hAnsi="宋体" w:cs="宋体" w:eastAsia="宋体" w:hint="default"/>
                <w:sz w:val="16"/>
                <w:szCs w:val="16"/>
              </w:rPr>
            </w:pPr>
            <w:r>
              <w:rPr>
                <w:rFonts w:ascii="宋体" w:hAnsi="宋体" w:cs="宋体" w:eastAsia="宋体" w:hint="default"/>
                <w:sz w:val="16"/>
                <w:szCs w:val="16"/>
              </w:rPr>
              <w:t>其他权益工具</w:t>
            </w:r>
          </w:p>
        </w:tc>
        <w:tc>
          <w:tcPr>
            <w:tcW w:w="133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117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6"/>
                <w:szCs w:val="16"/>
              </w:rPr>
            </w:pPr>
            <w:r>
              <w:rPr>
                <w:rFonts w:ascii="宋体" w:hAnsi="宋体" w:cs="宋体" w:eastAsia="宋体" w:hint="default"/>
                <w:sz w:val="16"/>
                <w:szCs w:val="16"/>
              </w:rPr>
              <w:t>减：库存股</w:t>
            </w:r>
          </w:p>
        </w:tc>
        <w:tc>
          <w:tcPr>
            <w:tcW w:w="130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8"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104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96" w:right="0"/>
              <w:jc w:val="left"/>
              <w:rPr>
                <w:rFonts w:ascii="宋体" w:hAnsi="宋体" w:cs="宋体" w:eastAsia="宋体" w:hint="default"/>
                <w:sz w:val="16"/>
                <w:szCs w:val="16"/>
              </w:rPr>
            </w:pPr>
            <w:r>
              <w:rPr>
                <w:rFonts w:ascii="宋体" w:hAnsi="宋体" w:cs="宋体" w:eastAsia="宋体" w:hint="default"/>
                <w:sz w:val="16"/>
                <w:szCs w:val="16"/>
              </w:rPr>
              <w:t>专项储备</w:t>
            </w:r>
          </w:p>
        </w:tc>
        <w:tc>
          <w:tcPr>
            <w:tcW w:w="117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17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521" w:type="dxa"/>
            <w:vMerge w:val="restart"/>
            <w:tcBorders>
              <w:top w:val="single" w:sz="4" w:space="0" w:color="000000"/>
              <w:left w:val="single" w:sz="4" w:space="0" w:color="000000"/>
              <w:right w:val="single" w:sz="4" w:space="0" w:color="000000"/>
            </w:tcBorders>
            <w:shd w:val="clear" w:color="auto" w:fill="D9D9D9"/>
          </w:tcPr>
          <w:p>
            <w:pPr>
              <w:pStyle w:val="TableParagraph"/>
              <w:spacing w:line="355" w:lineRule="auto" w:before="102"/>
              <w:ind w:left="175" w:right="173"/>
              <w:jc w:val="center"/>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p>
        </w:tc>
        <w:tc>
          <w:tcPr>
            <w:tcW w:w="133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6"/>
                <w:szCs w:val="16"/>
              </w:rPr>
            </w:pPr>
            <w:r>
              <w:rPr>
                <w:rFonts w:ascii="宋体" w:hAnsi="宋体" w:cs="宋体" w:eastAsia="宋体" w:hint="default"/>
                <w:sz w:val="16"/>
                <w:szCs w:val="16"/>
              </w:rPr>
              <w:t>所有者权益合计</w:t>
            </w:r>
          </w:p>
        </w:tc>
      </w:tr>
      <w:tr>
        <w:trPr>
          <w:trHeight w:val="402" w:hRule="exact"/>
        </w:trPr>
        <w:tc>
          <w:tcPr>
            <w:tcW w:w="2297" w:type="dxa"/>
            <w:vMerge/>
            <w:tcBorders>
              <w:left w:val="single" w:sz="4" w:space="0" w:color="000000"/>
              <w:bottom w:val="single" w:sz="4" w:space="0" w:color="000000"/>
              <w:right w:val="single" w:sz="4" w:space="0" w:color="000000"/>
            </w:tcBorders>
            <w:shd w:val="clear" w:color="auto" w:fill="D9D9D9"/>
          </w:tcPr>
          <w:p>
            <w:pPr/>
          </w:p>
        </w:tc>
        <w:tc>
          <w:tcPr>
            <w:tcW w:w="1308" w:type="dxa"/>
            <w:vMerge/>
            <w:tcBorders>
              <w:left w:val="single" w:sz="4" w:space="0" w:color="000000"/>
              <w:bottom w:val="single" w:sz="4" w:space="0" w:color="000000"/>
              <w:right w:val="single" w:sz="4" w:space="0" w:color="000000"/>
            </w:tcBorders>
            <w:shd w:val="clear" w:color="auto" w:fill="D9D9D9"/>
          </w:tcPr>
          <w:p>
            <w:pPr/>
          </w:p>
        </w:tc>
        <w:tc>
          <w:tcPr>
            <w:tcW w:w="6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79" w:right="0"/>
              <w:jc w:val="left"/>
              <w:rPr>
                <w:rFonts w:ascii="宋体" w:hAnsi="宋体" w:cs="宋体" w:eastAsia="宋体" w:hint="default"/>
                <w:sz w:val="16"/>
                <w:szCs w:val="16"/>
              </w:rPr>
            </w:pPr>
            <w:r>
              <w:rPr>
                <w:rFonts w:ascii="宋体" w:hAnsi="宋体" w:cs="宋体" w:eastAsia="宋体" w:hint="default"/>
                <w:sz w:val="16"/>
                <w:szCs w:val="16"/>
              </w:rPr>
              <w:t>优先股</w:t>
            </w:r>
          </w:p>
        </w:tc>
        <w:tc>
          <w:tcPr>
            <w:tcW w:w="5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0" w:right="0"/>
              <w:jc w:val="left"/>
              <w:rPr>
                <w:rFonts w:ascii="宋体" w:hAnsi="宋体" w:cs="宋体" w:eastAsia="宋体" w:hint="default"/>
                <w:sz w:val="16"/>
                <w:szCs w:val="16"/>
              </w:rPr>
            </w:pPr>
            <w:r>
              <w:rPr>
                <w:rFonts w:ascii="宋体" w:hAnsi="宋体" w:cs="宋体" w:eastAsia="宋体" w:hint="default"/>
                <w:sz w:val="16"/>
                <w:szCs w:val="16"/>
              </w:rPr>
              <w:t>永续债</w:t>
            </w:r>
          </w:p>
        </w:tc>
        <w:tc>
          <w:tcPr>
            <w:tcW w:w="5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95"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334" w:type="dxa"/>
            <w:vMerge/>
            <w:tcBorders>
              <w:left w:val="single" w:sz="4" w:space="0" w:color="000000"/>
              <w:bottom w:val="single" w:sz="4" w:space="0" w:color="000000"/>
              <w:right w:val="single" w:sz="4" w:space="0" w:color="000000"/>
            </w:tcBorders>
            <w:shd w:val="clear" w:color="auto" w:fill="D9D9D9"/>
          </w:tcPr>
          <w:p>
            <w:pPr/>
          </w:p>
        </w:tc>
        <w:tc>
          <w:tcPr>
            <w:tcW w:w="1176" w:type="dxa"/>
            <w:vMerge/>
            <w:tcBorders>
              <w:left w:val="single" w:sz="4" w:space="0" w:color="000000"/>
              <w:bottom w:val="single" w:sz="4" w:space="0" w:color="000000"/>
              <w:right w:val="single" w:sz="4" w:space="0" w:color="000000"/>
            </w:tcBorders>
            <w:shd w:val="clear" w:color="auto" w:fill="D9D9D9"/>
          </w:tcPr>
          <w:p>
            <w:pPr/>
          </w:p>
        </w:tc>
        <w:tc>
          <w:tcPr>
            <w:tcW w:w="1306" w:type="dxa"/>
            <w:vMerge/>
            <w:tcBorders>
              <w:left w:val="single" w:sz="4" w:space="0" w:color="000000"/>
              <w:bottom w:val="single" w:sz="4" w:space="0" w:color="000000"/>
              <w:right w:val="single" w:sz="4" w:space="0" w:color="000000"/>
            </w:tcBorders>
            <w:shd w:val="clear" w:color="auto" w:fill="D9D9D9"/>
          </w:tcPr>
          <w:p>
            <w:pPr/>
          </w:p>
        </w:tc>
        <w:tc>
          <w:tcPr>
            <w:tcW w:w="1046" w:type="dxa"/>
            <w:vMerge/>
            <w:tcBorders>
              <w:left w:val="single" w:sz="4" w:space="0" w:color="000000"/>
              <w:bottom w:val="single" w:sz="4" w:space="0" w:color="000000"/>
              <w:right w:val="single" w:sz="4" w:space="0" w:color="000000"/>
            </w:tcBorders>
            <w:shd w:val="clear" w:color="auto" w:fill="D9D9D9"/>
          </w:tcPr>
          <w:p>
            <w:pPr/>
          </w:p>
        </w:tc>
        <w:tc>
          <w:tcPr>
            <w:tcW w:w="1177" w:type="dxa"/>
            <w:vMerge/>
            <w:tcBorders>
              <w:left w:val="single" w:sz="4" w:space="0" w:color="000000"/>
              <w:bottom w:val="single" w:sz="4" w:space="0" w:color="000000"/>
              <w:right w:val="single" w:sz="4" w:space="0" w:color="000000"/>
            </w:tcBorders>
            <w:shd w:val="clear" w:color="auto" w:fill="D9D9D9"/>
          </w:tcPr>
          <w:p>
            <w:pPr/>
          </w:p>
        </w:tc>
        <w:tc>
          <w:tcPr>
            <w:tcW w:w="1176" w:type="dxa"/>
            <w:vMerge/>
            <w:tcBorders>
              <w:left w:val="single" w:sz="4" w:space="0" w:color="000000"/>
              <w:bottom w:val="single" w:sz="4" w:space="0" w:color="000000"/>
              <w:right w:val="single" w:sz="4" w:space="0" w:color="000000"/>
            </w:tcBorders>
            <w:shd w:val="clear" w:color="auto" w:fill="D9D9D9"/>
          </w:tcPr>
          <w:p>
            <w:pPr/>
          </w:p>
        </w:tc>
        <w:tc>
          <w:tcPr>
            <w:tcW w:w="521" w:type="dxa"/>
            <w:vMerge/>
            <w:tcBorders>
              <w:left w:val="single" w:sz="4" w:space="0" w:color="000000"/>
              <w:bottom w:val="single" w:sz="4" w:space="0" w:color="000000"/>
              <w:right w:val="single" w:sz="4" w:space="0" w:color="000000"/>
            </w:tcBorders>
            <w:shd w:val="clear" w:color="auto" w:fill="D9D9D9"/>
          </w:tcPr>
          <w:p>
            <w:pPr/>
          </w:p>
        </w:tc>
        <w:tc>
          <w:tcPr>
            <w:tcW w:w="1337" w:type="dxa"/>
            <w:vMerge/>
            <w:tcBorders>
              <w:left w:val="single" w:sz="4" w:space="0" w:color="000000"/>
              <w:bottom w:val="single" w:sz="4" w:space="0" w:color="000000"/>
              <w:right w:val="single" w:sz="4" w:space="0" w:color="000000"/>
            </w:tcBorders>
            <w:shd w:val="clear" w:color="auto" w:fill="D9D9D9"/>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6"/>
                <w:szCs w:val="16"/>
              </w:rPr>
            </w:pPr>
            <w:r>
              <w:rPr>
                <w:rFonts w:ascii="Times New Roman"/>
                <w:spacing w:val="-1"/>
                <w:sz w:val="16"/>
              </w:rPr>
              <w:t>768,431.82</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6"/>
                <w:szCs w:val="16"/>
              </w:rPr>
            </w:pPr>
            <w:r>
              <w:rPr>
                <w:rFonts w:ascii="Times New Roman"/>
                <w:spacing w:val="-1"/>
                <w:sz w:val="16"/>
              </w:rPr>
              <w:t>-768,431.82</w:t>
            </w: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6" w:lineRule="auto" w:before="59"/>
              <w:ind w:left="103" w:right="18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．对所有者（或股东）的分</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配</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405" w:lineRule="auto" w:before="94"/>
              <w:ind w:left="144" w:right="100" w:firstLine="866"/>
              <w:jc w:val="left"/>
              <w:rPr>
                <w:rFonts w:ascii="Times New Roman" w:hAnsi="Times New Roman" w:cs="Times New Roman" w:eastAsia="Times New Roman" w:hint="default"/>
                <w:sz w:val="16"/>
                <w:szCs w:val="16"/>
              </w:rPr>
            </w:pPr>
            <w:r>
              <w:rPr>
                <w:rFonts w:ascii="Times New Roman"/>
                <w:sz w:val="16"/>
              </w:rPr>
              <w:t>-</w:t>
            </w:r>
            <w:r>
              <w:rPr>
                <w:rFonts w:ascii="Times New Roman"/>
                <w:w w:val="100"/>
                <w:sz w:val="16"/>
              </w:rPr>
              <w:t> </w:t>
            </w:r>
            <w:r>
              <w:rPr>
                <w:rFonts w:ascii="Times New Roman"/>
                <w:sz w:val="16"/>
              </w:rPr>
              <w:t>33,720,093.34</w:t>
            </w: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6" w:right="0"/>
              <w:jc w:val="center"/>
              <w:rPr>
                <w:rFonts w:ascii="Times New Roman" w:hAnsi="Times New Roman" w:cs="Times New Roman" w:eastAsia="Times New Roman" w:hint="default"/>
                <w:sz w:val="16"/>
                <w:szCs w:val="16"/>
              </w:rPr>
            </w:pPr>
            <w:r>
              <w:rPr>
                <w:rFonts w:ascii="Times New Roman"/>
                <w:sz w:val="16"/>
              </w:rPr>
              <w:t>-33,720,093.34</w:t>
            </w: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103" w:right="0"/>
              <w:jc w:val="left"/>
              <w:rPr>
                <w:rFonts w:ascii="宋体" w:hAnsi="宋体" w:cs="宋体" w:eastAsia="宋体" w:hint="default"/>
                <w:sz w:val="16"/>
                <w:szCs w:val="16"/>
              </w:rPr>
            </w:pPr>
            <w:r>
              <w:rPr>
                <w:rFonts w:ascii="宋体" w:hAnsi="宋体" w:cs="宋体" w:eastAsia="宋体" w:hint="default"/>
                <w:sz w:val="16"/>
                <w:szCs w:val="16"/>
              </w:rPr>
              <w:t>（四）所有者权益内部结转</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8" w:lineRule="auto" w:before="56"/>
              <w:ind w:left="103" w:right="18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1</w:t>
            </w:r>
            <w:r>
              <w:rPr>
                <w:rFonts w:ascii="宋体" w:hAnsi="宋体" w:cs="宋体" w:eastAsia="宋体" w:hint="default"/>
                <w:spacing w:val="-1"/>
                <w:sz w:val="16"/>
                <w:szCs w:val="16"/>
              </w:rPr>
              <w:t>．资本公积转增资本（或股</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本）</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6" w:lineRule="auto" w:before="59"/>
              <w:ind w:left="103" w:right="18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2</w:t>
            </w:r>
            <w:r>
              <w:rPr>
                <w:rFonts w:ascii="宋体" w:hAnsi="宋体" w:cs="宋体" w:eastAsia="宋体" w:hint="default"/>
                <w:spacing w:val="-1"/>
                <w:sz w:val="16"/>
                <w:szCs w:val="16"/>
              </w:rPr>
              <w:t>．盈余公积转增资本（或股</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本）</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．盈余公积弥补亏损</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6" w:lineRule="auto" w:before="59"/>
              <w:ind w:left="103" w:right="18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4</w:t>
            </w:r>
            <w:r>
              <w:rPr>
                <w:rFonts w:ascii="宋体" w:hAnsi="宋体" w:cs="宋体" w:eastAsia="宋体" w:hint="default"/>
                <w:spacing w:val="-1"/>
                <w:sz w:val="16"/>
                <w:szCs w:val="16"/>
              </w:rPr>
              <w:t>．设定受益计划变动额结转</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留存收益</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8" w:lineRule="auto" w:before="56"/>
              <w:ind w:left="103" w:right="180"/>
              <w:jc w:val="left"/>
              <w:rPr>
                <w:rFonts w:ascii="宋体" w:hAnsi="宋体" w:cs="宋体" w:eastAsia="宋体" w:hint="default"/>
                <w:sz w:val="16"/>
                <w:szCs w:val="16"/>
              </w:rPr>
            </w:pPr>
            <w:r>
              <w:rPr>
                <w:rFonts w:ascii="Times New Roman" w:hAnsi="Times New Roman" w:cs="Times New Roman" w:eastAsia="Times New Roman" w:hint="default"/>
                <w:spacing w:val="-1"/>
                <w:sz w:val="16"/>
                <w:szCs w:val="16"/>
              </w:rPr>
              <w:t>5</w:t>
            </w:r>
            <w:r>
              <w:rPr>
                <w:rFonts w:ascii="宋体" w:hAnsi="宋体" w:cs="宋体" w:eastAsia="宋体" w:hint="default"/>
                <w:spacing w:val="-1"/>
                <w:sz w:val="16"/>
                <w:szCs w:val="16"/>
              </w:rPr>
              <w:t>．其他综合收益结转留存收</w:t>
            </w:r>
            <w:r>
              <w:rPr>
                <w:rFonts w:ascii="宋体" w:hAnsi="宋体" w:cs="宋体" w:eastAsia="宋体" w:hint="default"/>
                <w:spacing w:val="-68"/>
                <w:sz w:val="16"/>
                <w:szCs w:val="16"/>
              </w:rPr>
              <w:t> </w:t>
            </w:r>
            <w:r>
              <w:rPr>
                <w:rFonts w:ascii="宋体" w:hAnsi="宋体" w:cs="宋体" w:eastAsia="宋体" w:hint="default"/>
                <w:spacing w:val="-68"/>
                <w:sz w:val="16"/>
                <w:szCs w:val="16"/>
              </w:rPr>
            </w:r>
            <w:r>
              <w:rPr>
                <w:rFonts w:ascii="宋体" w:hAnsi="宋体" w:cs="宋体" w:eastAsia="宋体" w:hint="default"/>
                <w:sz w:val="16"/>
                <w:szCs w:val="16"/>
              </w:rPr>
              <w:t>益</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宋体" w:hAnsi="宋体" w:cs="宋体" w:eastAsia="宋体" w:hint="default"/>
                <w:sz w:val="16"/>
                <w:szCs w:val="16"/>
              </w:rPr>
              <w:t>．其他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6"/>
                <w:szCs w:val="16"/>
              </w:rPr>
            </w:pPr>
            <w:r>
              <w:rPr>
                <w:rFonts w:ascii="宋体" w:hAnsi="宋体" w:cs="宋体" w:eastAsia="宋体" w:hint="default"/>
                <w:sz w:val="16"/>
                <w:szCs w:val="16"/>
              </w:rPr>
              <w:t>（五）专项储备</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．本期提取</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．本期使用</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1308" w:type="dxa"/>
            <w:tcBorders>
              <w:top w:val="single" w:sz="4" w:space="0" w:color="000000"/>
              <w:left w:val="single" w:sz="4" w:space="0" w:color="000000"/>
              <w:bottom w:val="single" w:sz="4" w:space="0" w:color="000000"/>
              <w:right w:val="single" w:sz="4" w:space="0" w:color="000000"/>
            </w:tcBorders>
          </w:tcPr>
          <w:p>
            <w:pP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4" w:right="0"/>
              <w:jc w:val="left"/>
              <w:rPr>
                <w:rFonts w:ascii="Times New Roman" w:hAnsi="Times New Roman" w:cs="Times New Roman" w:eastAsia="Times New Roman" w:hint="default"/>
                <w:sz w:val="16"/>
                <w:szCs w:val="16"/>
              </w:rPr>
            </w:pPr>
            <w:r>
              <w:rPr>
                <w:rFonts w:ascii="Times New Roman"/>
                <w:sz w:val="16"/>
              </w:rPr>
              <w:t>970,381,273.00</w:t>
            </w:r>
          </w:p>
        </w:tc>
        <w:tc>
          <w:tcPr>
            <w:tcW w:w="65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 w:right="0"/>
              <w:jc w:val="left"/>
              <w:rPr>
                <w:rFonts w:ascii="Times New Roman" w:hAnsi="Times New Roman" w:cs="Times New Roman" w:eastAsia="Times New Roman" w:hint="default"/>
                <w:sz w:val="16"/>
                <w:szCs w:val="16"/>
              </w:rPr>
            </w:pPr>
            <w:r>
              <w:rPr>
                <w:rFonts w:ascii="Times New Roman"/>
                <w:sz w:val="16"/>
              </w:rPr>
              <w:t>2,145,529,525.00</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3" w:right="0"/>
              <w:jc w:val="left"/>
              <w:rPr>
                <w:rFonts w:ascii="Times New Roman" w:hAnsi="Times New Roman" w:cs="Times New Roman" w:eastAsia="Times New Roman" w:hint="default"/>
                <w:sz w:val="16"/>
                <w:szCs w:val="16"/>
              </w:rPr>
            </w:pPr>
            <w:r>
              <w:rPr>
                <w:rFonts w:ascii="Times New Roman"/>
                <w:sz w:val="16"/>
              </w:rPr>
              <w:t>44,097,750.00</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8" w:right="0"/>
              <w:jc w:val="left"/>
              <w:rPr>
                <w:rFonts w:ascii="Times New Roman" w:hAnsi="Times New Roman" w:cs="Times New Roman" w:eastAsia="Times New Roman" w:hint="default"/>
                <w:sz w:val="16"/>
                <w:szCs w:val="16"/>
              </w:rPr>
            </w:pPr>
            <w:r>
              <w:rPr>
                <w:rFonts w:ascii="Times New Roman"/>
                <w:sz w:val="16"/>
              </w:rPr>
              <w:t>-21,227,420.32</w:t>
            </w:r>
          </w:p>
        </w:tc>
        <w:tc>
          <w:tcPr>
            <w:tcW w:w="1046" w:type="dxa"/>
            <w:tcBorders>
              <w:top w:val="single" w:sz="4" w:space="0" w:color="000000"/>
              <w:left w:val="single" w:sz="4" w:space="0" w:color="000000"/>
              <w:bottom w:val="single" w:sz="4" w:space="0" w:color="000000"/>
              <w:right w:val="single" w:sz="4" w:space="0" w:color="000000"/>
            </w:tcBorders>
          </w:tcPr>
          <w:p>
            <w:pPr/>
          </w:p>
        </w:tc>
        <w:tc>
          <w:tcPr>
            <w:tcW w:w="1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6"/>
                <w:szCs w:val="16"/>
              </w:rPr>
            </w:pPr>
            <w:r>
              <w:rPr>
                <w:rFonts w:ascii="Times New Roman"/>
                <w:spacing w:val="-2"/>
                <w:sz w:val="16"/>
              </w:rPr>
              <w:t>27,977,512.43</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6"/>
                <w:szCs w:val="16"/>
              </w:rPr>
            </w:pPr>
            <w:r>
              <w:rPr>
                <w:rFonts w:ascii="Times New Roman"/>
                <w:spacing w:val="-2"/>
                <w:sz w:val="16"/>
              </w:rPr>
              <w:t>44,277,007.62</w:t>
            </w:r>
          </w:p>
        </w:tc>
        <w:tc>
          <w:tcPr>
            <w:tcW w:w="5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6"/>
                <w:szCs w:val="16"/>
              </w:rPr>
            </w:pPr>
            <w:r>
              <w:rPr>
                <w:rFonts w:ascii="Times New Roman"/>
                <w:sz w:val="16"/>
              </w:rPr>
              <w:t>3,122,840,147.73</w:t>
            </w:r>
          </w:p>
        </w:tc>
      </w:tr>
    </w:tbl>
    <w:p>
      <w:pPr>
        <w:spacing w:after="0" w:line="240" w:lineRule="auto"/>
        <w:jc w:val="center"/>
        <w:rPr>
          <w:rFonts w:ascii="Times New Roman" w:hAnsi="Times New Roman" w:cs="Times New Roman" w:eastAsia="Times New Roman" w:hint="default"/>
          <w:sz w:val="16"/>
          <w:szCs w:val="16"/>
        </w:rPr>
        <w:sectPr>
          <w:pgSz w:w="16840" w:h="11910" w:orient="landscape"/>
          <w:pgMar w:header="916" w:footer="1260" w:top="1180" w:bottom="1460" w:left="1300" w:right="820"/>
        </w:sectPr>
      </w:pPr>
    </w:p>
    <w:p>
      <w:pPr>
        <w:pStyle w:val="BodyText"/>
        <w:tabs>
          <w:tab w:pos="13790" w:val="left" w:leader="none"/>
        </w:tabs>
        <w:spacing w:line="240" w:lineRule="auto" w:before="89"/>
        <w:ind w:left="6945" w:right="0"/>
        <w:jc w:val="left"/>
      </w:pPr>
      <w:r>
        <w:rPr/>
        <w:t>上期金额</w:t>
        <w:tab/>
        <w:t>单位：元</w:t>
      </w:r>
    </w:p>
    <w:p>
      <w:pPr>
        <w:spacing w:line="240" w:lineRule="auto" w:before="8"/>
        <w:rPr>
          <w:rFonts w:ascii="宋体" w:hAnsi="宋体" w:cs="宋体" w:eastAsia="宋体" w:hint="default"/>
          <w:sz w:val="7"/>
          <w:szCs w:val="7"/>
        </w:rPr>
      </w:pPr>
    </w:p>
    <w:tbl>
      <w:tblPr>
        <w:tblW w:w="0" w:type="auto"/>
        <w:jc w:val="left"/>
        <w:tblInd w:w="140" w:type="dxa"/>
        <w:tblLayout w:type="fixed"/>
        <w:tblCellMar>
          <w:top w:w="0" w:type="dxa"/>
          <w:left w:w="0" w:type="dxa"/>
          <w:bottom w:w="0" w:type="dxa"/>
          <w:right w:w="0" w:type="dxa"/>
        </w:tblCellMar>
        <w:tblLook w:val="01E0"/>
      </w:tblPr>
      <w:tblGrid>
        <w:gridCol w:w="2172"/>
        <w:gridCol w:w="1320"/>
        <w:gridCol w:w="581"/>
        <w:gridCol w:w="785"/>
        <w:gridCol w:w="727"/>
        <w:gridCol w:w="1440"/>
        <w:gridCol w:w="843"/>
        <w:gridCol w:w="1306"/>
        <w:gridCol w:w="595"/>
        <w:gridCol w:w="1313"/>
        <w:gridCol w:w="1320"/>
        <w:gridCol w:w="526"/>
        <w:gridCol w:w="1500"/>
      </w:tblGrid>
      <w:tr>
        <w:trPr>
          <w:trHeight w:val="401" w:hRule="exact"/>
        </w:trPr>
        <w:tc>
          <w:tcPr>
            <w:tcW w:w="217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2256" w:type="dxa"/>
            <w:gridSpan w:val="1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年年度</w:t>
            </w:r>
          </w:p>
        </w:tc>
      </w:tr>
      <w:tr>
        <w:trPr>
          <w:trHeight w:val="403" w:hRule="exact"/>
        </w:trPr>
        <w:tc>
          <w:tcPr>
            <w:tcW w:w="2172" w:type="dxa"/>
            <w:vMerge/>
            <w:tcBorders>
              <w:left w:val="single" w:sz="4" w:space="0" w:color="000000"/>
              <w:right w:val="single" w:sz="4" w:space="0" w:color="000000"/>
            </w:tcBorders>
            <w:shd w:val="clear" w:color="auto" w:fill="D9D9D9"/>
          </w:tcPr>
          <w:p>
            <w:pPr/>
          </w:p>
        </w:tc>
        <w:tc>
          <w:tcPr>
            <w:tcW w:w="132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股本</w:t>
            </w:r>
          </w:p>
        </w:tc>
        <w:tc>
          <w:tcPr>
            <w:tcW w:w="209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562" w:right="0"/>
              <w:jc w:val="left"/>
              <w:rPr>
                <w:rFonts w:ascii="宋体" w:hAnsi="宋体" w:cs="宋体" w:eastAsia="宋体" w:hint="default"/>
                <w:sz w:val="16"/>
                <w:szCs w:val="16"/>
              </w:rPr>
            </w:pPr>
            <w:r>
              <w:rPr>
                <w:rFonts w:ascii="宋体" w:hAnsi="宋体" w:cs="宋体" w:eastAsia="宋体" w:hint="default"/>
                <w:sz w:val="16"/>
                <w:szCs w:val="16"/>
              </w:rPr>
              <w:t>其他权益工具</w:t>
            </w:r>
          </w:p>
        </w:tc>
        <w:tc>
          <w:tcPr>
            <w:tcW w:w="144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93"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843" w:type="dxa"/>
            <w:vMerge w:val="restart"/>
            <w:tcBorders>
              <w:top w:val="single" w:sz="4" w:space="0" w:color="000000"/>
              <w:left w:val="single" w:sz="4" w:space="0" w:color="000000"/>
              <w:right w:val="single" w:sz="4" w:space="0" w:color="000000"/>
            </w:tcBorders>
            <w:shd w:val="clear" w:color="auto" w:fill="D9D9D9"/>
          </w:tcPr>
          <w:p>
            <w:pPr>
              <w:pStyle w:val="TableParagraph"/>
              <w:spacing w:line="357" w:lineRule="auto" w:before="122"/>
              <w:ind w:left="256" w:right="173" w:hanging="82"/>
              <w:jc w:val="left"/>
              <w:rPr>
                <w:rFonts w:ascii="宋体" w:hAnsi="宋体" w:cs="宋体" w:eastAsia="宋体" w:hint="default"/>
                <w:sz w:val="16"/>
                <w:szCs w:val="16"/>
              </w:rPr>
            </w:pPr>
            <w:r>
              <w:rPr>
                <w:rFonts w:ascii="宋体" w:hAnsi="宋体" w:cs="宋体" w:eastAsia="宋体" w:hint="default"/>
                <w:sz w:val="16"/>
                <w:szCs w:val="16"/>
              </w:rPr>
              <w:t>减：库</w:t>
            </w:r>
            <w:r>
              <w:rPr>
                <w:rFonts w:ascii="宋体" w:hAnsi="宋体" w:cs="宋体" w:eastAsia="宋体" w:hint="default"/>
                <w:spacing w:val="-78"/>
                <w:sz w:val="16"/>
                <w:szCs w:val="16"/>
              </w:rPr>
              <w:t> </w:t>
            </w:r>
            <w:r>
              <w:rPr>
                <w:rFonts w:ascii="宋体" w:hAnsi="宋体" w:cs="宋体" w:eastAsia="宋体" w:hint="default"/>
                <w:sz w:val="16"/>
                <w:szCs w:val="16"/>
              </w:rPr>
              <w:t>存股</w:t>
            </w:r>
          </w:p>
        </w:tc>
        <w:tc>
          <w:tcPr>
            <w:tcW w:w="130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67"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595" w:type="dxa"/>
            <w:vMerge w:val="restart"/>
            <w:tcBorders>
              <w:top w:val="single" w:sz="4" w:space="0" w:color="000000"/>
              <w:left w:val="single" w:sz="4" w:space="0" w:color="000000"/>
              <w:right w:val="single" w:sz="4" w:space="0" w:color="000000"/>
            </w:tcBorders>
            <w:shd w:val="clear" w:color="auto" w:fill="D9D9D9"/>
          </w:tcPr>
          <w:p>
            <w:pPr>
              <w:pStyle w:val="TableParagraph"/>
              <w:spacing w:line="357" w:lineRule="auto" w:before="122"/>
              <w:ind w:left="131" w:right="131"/>
              <w:jc w:val="left"/>
              <w:rPr>
                <w:rFonts w:ascii="宋体" w:hAnsi="宋体" w:cs="宋体" w:eastAsia="宋体" w:hint="default"/>
                <w:sz w:val="16"/>
                <w:szCs w:val="16"/>
              </w:rPr>
            </w:pPr>
            <w:r>
              <w:rPr>
                <w:rFonts w:ascii="宋体" w:hAnsi="宋体" w:cs="宋体" w:eastAsia="宋体" w:hint="default"/>
                <w:sz w:val="16"/>
                <w:szCs w:val="16"/>
              </w:rPr>
              <w:t>专项</w:t>
            </w:r>
            <w:r>
              <w:rPr>
                <w:rFonts w:ascii="宋体" w:hAnsi="宋体" w:cs="宋体" w:eastAsia="宋体" w:hint="default"/>
                <w:w w:val="100"/>
                <w:sz w:val="16"/>
                <w:szCs w:val="16"/>
              </w:rPr>
              <w:t> </w:t>
            </w:r>
            <w:r>
              <w:rPr>
                <w:rFonts w:ascii="宋体" w:hAnsi="宋体" w:cs="宋体" w:eastAsia="宋体" w:hint="default"/>
                <w:sz w:val="16"/>
                <w:szCs w:val="16"/>
              </w:rPr>
              <w:t>储备</w:t>
            </w:r>
          </w:p>
        </w:tc>
        <w:tc>
          <w:tcPr>
            <w:tcW w:w="131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32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54"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526" w:type="dxa"/>
            <w:vMerge w:val="restart"/>
            <w:tcBorders>
              <w:top w:val="single" w:sz="4" w:space="0" w:color="000000"/>
              <w:left w:val="single" w:sz="4" w:space="0" w:color="000000"/>
              <w:right w:val="single" w:sz="4" w:space="0" w:color="000000"/>
            </w:tcBorders>
            <w:shd w:val="clear" w:color="auto" w:fill="D9D9D9"/>
          </w:tcPr>
          <w:p>
            <w:pPr>
              <w:pStyle w:val="TableParagraph"/>
              <w:spacing w:line="357" w:lineRule="auto" w:before="122"/>
              <w:ind w:left="177" w:right="175"/>
              <w:jc w:val="center"/>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p>
        </w:tc>
        <w:tc>
          <w:tcPr>
            <w:tcW w:w="150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84" w:right="0"/>
              <w:jc w:val="left"/>
              <w:rPr>
                <w:rFonts w:ascii="宋体" w:hAnsi="宋体" w:cs="宋体" w:eastAsia="宋体" w:hint="default"/>
                <w:sz w:val="16"/>
                <w:szCs w:val="16"/>
              </w:rPr>
            </w:pPr>
            <w:r>
              <w:rPr>
                <w:rFonts w:ascii="宋体" w:hAnsi="宋体" w:cs="宋体" w:eastAsia="宋体" w:hint="default"/>
                <w:sz w:val="16"/>
                <w:szCs w:val="16"/>
              </w:rPr>
              <w:t>所有者权益合计</w:t>
            </w:r>
          </w:p>
        </w:tc>
      </w:tr>
      <w:tr>
        <w:trPr>
          <w:trHeight w:val="401" w:hRule="exact"/>
        </w:trPr>
        <w:tc>
          <w:tcPr>
            <w:tcW w:w="2172" w:type="dxa"/>
            <w:vMerge/>
            <w:tcBorders>
              <w:left w:val="single" w:sz="4" w:space="0" w:color="000000"/>
              <w:bottom w:val="single" w:sz="4" w:space="0" w:color="000000"/>
              <w:right w:val="single" w:sz="4" w:space="0" w:color="000000"/>
            </w:tcBorders>
            <w:shd w:val="clear" w:color="auto" w:fill="D9D9D9"/>
          </w:tcPr>
          <w:p>
            <w:pPr/>
          </w:p>
        </w:tc>
        <w:tc>
          <w:tcPr>
            <w:tcW w:w="1320" w:type="dxa"/>
            <w:vMerge/>
            <w:tcBorders>
              <w:left w:val="single" w:sz="4" w:space="0" w:color="000000"/>
              <w:bottom w:val="single" w:sz="4" w:space="0" w:color="000000"/>
              <w:right w:val="single" w:sz="4" w:space="0" w:color="000000"/>
            </w:tcBorders>
            <w:shd w:val="clear" w:color="auto" w:fill="D9D9D9"/>
          </w:tcPr>
          <w:p>
            <w:pPr/>
          </w:p>
        </w:tc>
        <w:tc>
          <w:tcPr>
            <w:tcW w:w="5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45" w:right="0"/>
              <w:jc w:val="left"/>
              <w:rPr>
                <w:rFonts w:ascii="宋体" w:hAnsi="宋体" w:cs="宋体" w:eastAsia="宋体" w:hint="default"/>
                <w:sz w:val="16"/>
                <w:szCs w:val="16"/>
              </w:rPr>
            </w:pPr>
            <w:r>
              <w:rPr>
                <w:rFonts w:ascii="宋体" w:hAnsi="宋体" w:cs="宋体" w:eastAsia="宋体" w:hint="default"/>
                <w:sz w:val="16"/>
                <w:szCs w:val="16"/>
              </w:rPr>
              <w:t>优先股</w:t>
            </w:r>
          </w:p>
        </w:tc>
        <w:tc>
          <w:tcPr>
            <w:tcW w:w="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46" w:right="0"/>
              <w:jc w:val="left"/>
              <w:rPr>
                <w:rFonts w:ascii="宋体" w:hAnsi="宋体" w:cs="宋体" w:eastAsia="宋体" w:hint="default"/>
                <w:sz w:val="16"/>
                <w:szCs w:val="16"/>
              </w:rPr>
            </w:pPr>
            <w:r>
              <w:rPr>
                <w:rFonts w:ascii="宋体" w:hAnsi="宋体" w:cs="宋体" w:eastAsia="宋体" w:hint="default"/>
                <w:sz w:val="16"/>
                <w:szCs w:val="16"/>
              </w:rPr>
              <w:t>永续债</w:t>
            </w:r>
          </w:p>
        </w:tc>
        <w:tc>
          <w:tcPr>
            <w:tcW w:w="7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99"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40" w:type="dxa"/>
            <w:vMerge/>
            <w:tcBorders>
              <w:left w:val="single" w:sz="4" w:space="0" w:color="000000"/>
              <w:bottom w:val="single" w:sz="4" w:space="0" w:color="000000"/>
              <w:right w:val="single" w:sz="4" w:space="0" w:color="000000"/>
            </w:tcBorders>
            <w:shd w:val="clear" w:color="auto" w:fill="D9D9D9"/>
          </w:tcPr>
          <w:p>
            <w:pPr/>
          </w:p>
        </w:tc>
        <w:tc>
          <w:tcPr>
            <w:tcW w:w="843" w:type="dxa"/>
            <w:vMerge/>
            <w:tcBorders>
              <w:left w:val="single" w:sz="4" w:space="0" w:color="000000"/>
              <w:bottom w:val="single" w:sz="4" w:space="0" w:color="000000"/>
              <w:right w:val="single" w:sz="4" w:space="0" w:color="000000"/>
            </w:tcBorders>
            <w:shd w:val="clear" w:color="auto" w:fill="D9D9D9"/>
          </w:tcPr>
          <w:p>
            <w:pPr/>
          </w:p>
        </w:tc>
        <w:tc>
          <w:tcPr>
            <w:tcW w:w="1306" w:type="dxa"/>
            <w:vMerge/>
            <w:tcBorders>
              <w:left w:val="single" w:sz="4" w:space="0" w:color="000000"/>
              <w:bottom w:val="single" w:sz="4" w:space="0" w:color="000000"/>
              <w:right w:val="single" w:sz="4" w:space="0" w:color="000000"/>
            </w:tcBorders>
            <w:shd w:val="clear" w:color="auto" w:fill="D9D9D9"/>
          </w:tcPr>
          <w:p>
            <w:pPr/>
          </w:p>
        </w:tc>
        <w:tc>
          <w:tcPr>
            <w:tcW w:w="595" w:type="dxa"/>
            <w:vMerge/>
            <w:tcBorders>
              <w:left w:val="single" w:sz="4" w:space="0" w:color="000000"/>
              <w:bottom w:val="single" w:sz="4" w:space="0" w:color="000000"/>
              <w:right w:val="single" w:sz="4" w:space="0" w:color="000000"/>
            </w:tcBorders>
            <w:shd w:val="clear" w:color="auto" w:fill="D9D9D9"/>
          </w:tcPr>
          <w:p>
            <w:pPr/>
          </w:p>
        </w:tc>
        <w:tc>
          <w:tcPr>
            <w:tcW w:w="1313" w:type="dxa"/>
            <w:vMerge/>
            <w:tcBorders>
              <w:left w:val="single" w:sz="4" w:space="0" w:color="000000"/>
              <w:bottom w:val="single" w:sz="4" w:space="0" w:color="000000"/>
              <w:right w:val="single" w:sz="4" w:space="0" w:color="000000"/>
            </w:tcBorders>
            <w:shd w:val="clear" w:color="auto" w:fill="D9D9D9"/>
          </w:tcPr>
          <w:p>
            <w:pPr/>
          </w:p>
        </w:tc>
        <w:tc>
          <w:tcPr>
            <w:tcW w:w="1320" w:type="dxa"/>
            <w:vMerge/>
            <w:tcBorders>
              <w:left w:val="single" w:sz="4" w:space="0" w:color="000000"/>
              <w:bottom w:val="single" w:sz="4" w:space="0" w:color="000000"/>
              <w:right w:val="single" w:sz="4" w:space="0" w:color="000000"/>
            </w:tcBorders>
            <w:shd w:val="clear" w:color="auto" w:fill="D9D9D9"/>
          </w:tcPr>
          <w:p>
            <w:pPr/>
          </w:p>
        </w:tc>
        <w:tc>
          <w:tcPr>
            <w:tcW w:w="526" w:type="dxa"/>
            <w:vMerge/>
            <w:tcBorders>
              <w:left w:val="single" w:sz="4" w:space="0" w:color="000000"/>
              <w:bottom w:val="single" w:sz="4" w:space="0" w:color="000000"/>
              <w:right w:val="single" w:sz="4" w:space="0" w:color="000000"/>
            </w:tcBorders>
            <w:shd w:val="clear" w:color="auto" w:fill="D9D9D9"/>
          </w:tcPr>
          <w:p>
            <w:pPr/>
          </w:p>
        </w:tc>
        <w:tc>
          <w:tcPr>
            <w:tcW w:w="1500" w:type="dxa"/>
            <w:vMerge/>
            <w:tcBorders>
              <w:left w:val="single" w:sz="4" w:space="0" w:color="000000"/>
              <w:bottom w:val="single" w:sz="4" w:space="0" w:color="000000"/>
              <w:right w:val="single" w:sz="4" w:space="0" w:color="000000"/>
            </w:tcBorders>
            <w:shd w:val="clear" w:color="auto" w:fill="D9D9D9"/>
          </w:tcPr>
          <w:p>
            <w:pPr/>
          </w:p>
        </w:tc>
      </w:tr>
      <w:tr>
        <w:trPr>
          <w:trHeight w:val="403"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一、上年期末余额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6"/>
                <w:szCs w:val="16"/>
              </w:rPr>
            </w:pPr>
            <w:r>
              <w:rPr>
                <w:rFonts w:ascii="Times New Roman"/>
                <w:spacing w:val="-1"/>
                <w:sz w:val="16"/>
              </w:rPr>
              <w:t>963,431,273.00</w:t>
            </w: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6"/>
                <w:szCs w:val="16"/>
              </w:rPr>
            </w:pPr>
            <w:r>
              <w:rPr>
                <w:rFonts w:ascii="Times New Roman"/>
                <w:spacing w:val="-1"/>
                <w:sz w:val="16"/>
              </w:rPr>
              <w:t>2,099,501,103.23</w:t>
            </w: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6"/>
                <w:szCs w:val="16"/>
              </w:rPr>
            </w:pPr>
            <w:r>
              <w:rPr>
                <w:rFonts w:ascii="Times New Roman"/>
                <w:spacing w:val="-2"/>
                <w:sz w:val="16"/>
              </w:rPr>
              <w:t>27,209,080.61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6"/>
                <w:szCs w:val="16"/>
              </w:rPr>
            </w:pPr>
            <w:r>
              <w:rPr>
                <w:rFonts w:ascii="Times New Roman"/>
                <w:spacing w:val="-1"/>
                <w:sz w:val="16"/>
              </w:rPr>
              <w:t>134,681,033.03</w:t>
            </w: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6"/>
                <w:szCs w:val="16"/>
              </w:rPr>
            </w:pPr>
            <w:r>
              <w:rPr>
                <w:rFonts w:ascii="Times New Roman"/>
                <w:spacing w:val="-1"/>
                <w:sz w:val="16"/>
              </w:rPr>
              <w:t>3,224,822,489.87</w:t>
            </w:r>
          </w:p>
        </w:tc>
      </w:tr>
      <w:tr>
        <w:trPr>
          <w:trHeight w:val="401"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sz w:val="16"/>
                <w:szCs w:val="16"/>
              </w:rPr>
              <w:t>加：会计政策变更</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pacing w:val="-2"/>
                <w:sz w:val="16"/>
                <w:szCs w:val="16"/>
              </w:rPr>
              <w:t> </w:t>
            </w:r>
            <w:r>
              <w:rPr>
                <w:rFonts w:ascii="宋体" w:hAnsi="宋体" w:cs="宋体" w:eastAsia="宋体" w:hint="default"/>
                <w:sz w:val="16"/>
                <w:szCs w:val="16"/>
              </w:rPr>
              <w:t>前期差错更正</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z w:val="16"/>
                <w:szCs w:val="16"/>
              </w:rPr>
              <w:t> </w:t>
            </w:r>
            <w:r>
              <w:rPr>
                <w:rFonts w:ascii="宋体" w:hAnsi="宋体" w:cs="宋体" w:eastAsia="宋体" w:hint="default"/>
                <w:w w:val="100"/>
                <w:sz w:val="16"/>
                <w:szCs w:val="16"/>
              </w:rPr>
              <w:t> </w:t>
            </w:r>
            <w:r>
              <w:rPr>
                <w:rFonts w:ascii="宋体" w:hAnsi="宋体" w:cs="宋体" w:eastAsia="宋体" w:hint="default"/>
                <w:spacing w:val="-2"/>
                <w:sz w:val="16"/>
                <w:szCs w:val="16"/>
              </w:rPr>
              <w:t> </w:t>
            </w:r>
            <w:r>
              <w:rPr>
                <w:rFonts w:ascii="宋体" w:hAnsi="宋体" w:cs="宋体" w:eastAsia="宋体" w:hint="default"/>
                <w:sz w:val="16"/>
                <w:szCs w:val="16"/>
              </w:rPr>
              <w:t>其他</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二、本年期初余额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6"/>
                <w:szCs w:val="16"/>
              </w:rPr>
            </w:pPr>
            <w:r>
              <w:rPr>
                <w:rFonts w:ascii="Times New Roman"/>
                <w:spacing w:val="-1"/>
                <w:sz w:val="16"/>
              </w:rPr>
              <w:t>963,431,273.00</w:t>
            </w: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6"/>
                <w:szCs w:val="16"/>
              </w:rPr>
            </w:pPr>
            <w:r>
              <w:rPr>
                <w:rFonts w:ascii="Times New Roman"/>
                <w:spacing w:val="-1"/>
                <w:sz w:val="16"/>
              </w:rPr>
              <w:t>2,099,501,103.23</w:t>
            </w: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6"/>
                <w:szCs w:val="16"/>
              </w:rPr>
            </w:pPr>
            <w:r>
              <w:rPr>
                <w:rFonts w:ascii="Times New Roman"/>
                <w:spacing w:val="-2"/>
                <w:sz w:val="16"/>
              </w:rPr>
              <w:t>27,209,080.61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6"/>
                <w:szCs w:val="16"/>
              </w:rPr>
            </w:pPr>
            <w:r>
              <w:rPr>
                <w:rFonts w:ascii="Times New Roman"/>
                <w:spacing w:val="-1"/>
                <w:sz w:val="16"/>
              </w:rPr>
              <w:t>134,681,033.03</w:t>
            </w: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1"/>
              <w:jc w:val="right"/>
              <w:rPr>
                <w:rFonts w:ascii="Times New Roman" w:hAnsi="Times New Roman" w:cs="Times New Roman" w:eastAsia="Times New Roman" w:hint="default"/>
                <w:sz w:val="16"/>
                <w:szCs w:val="16"/>
              </w:rPr>
            </w:pPr>
            <w:r>
              <w:rPr>
                <w:rFonts w:ascii="Times New Roman"/>
                <w:spacing w:val="-1"/>
                <w:sz w:val="16"/>
              </w:rPr>
              <w:t>3,224,822,489.87</w:t>
            </w:r>
          </w:p>
        </w:tc>
      </w:tr>
      <w:tr>
        <w:trPr>
          <w:trHeight w:val="713"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7" w:lineRule="auto" w:before="77"/>
              <w:ind w:left="103" w:right="135"/>
              <w:jc w:val="left"/>
              <w:rPr>
                <w:rFonts w:ascii="宋体" w:hAnsi="宋体" w:cs="宋体" w:eastAsia="宋体" w:hint="default"/>
                <w:sz w:val="16"/>
                <w:szCs w:val="16"/>
              </w:rPr>
            </w:pPr>
            <w:r>
              <w:rPr>
                <w:rFonts w:ascii="宋体" w:hAnsi="宋体" w:cs="宋体" w:eastAsia="宋体" w:hint="default"/>
                <w:sz w:val="16"/>
                <w:szCs w:val="16"/>
              </w:rPr>
              <w:t>三、本期增减变动金额（减</w:t>
            </w:r>
            <w:r>
              <w:rPr>
                <w:rFonts w:ascii="宋体" w:hAnsi="宋体" w:cs="宋体" w:eastAsia="宋体" w:hint="default"/>
                <w:w w:val="100"/>
                <w:sz w:val="16"/>
                <w:szCs w:val="16"/>
              </w:rPr>
              <w:t> </w:t>
            </w:r>
            <w:r>
              <w:rPr>
                <w:rFonts w:ascii="宋体" w:hAnsi="宋体" w:cs="宋体" w:eastAsia="宋体" w:hint="default"/>
                <w:sz w:val="16"/>
                <w:szCs w:val="16"/>
              </w:rPr>
              <w:t>少以“－”号填列）</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-86,154.23</w:t>
            </w: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-65,177,363.13</w:t>
            </w: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00"/>
              <w:jc w:val="right"/>
              <w:rPr>
                <w:rFonts w:ascii="Times New Roman" w:hAnsi="Times New Roman" w:cs="Times New Roman" w:eastAsia="Times New Roman" w:hint="default"/>
                <w:sz w:val="16"/>
                <w:szCs w:val="16"/>
              </w:rPr>
            </w:pPr>
            <w:r>
              <w:rPr>
                <w:rFonts w:ascii="Times New Roman"/>
                <w:spacing w:val="-1"/>
                <w:sz w:val="16"/>
              </w:rPr>
              <w:t>-65,263,517.36</w:t>
            </w:r>
          </w:p>
        </w:tc>
      </w:tr>
      <w:tr>
        <w:trPr>
          <w:trHeight w:val="403"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（一）综合收益总额</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6"/>
                <w:szCs w:val="16"/>
              </w:rPr>
            </w:pPr>
            <w:r>
              <w:rPr>
                <w:rFonts w:ascii="Times New Roman"/>
                <w:spacing w:val="-1"/>
                <w:sz w:val="16"/>
              </w:rPr>
              <w:t>-34,347,565.83</w:t>
            </w: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6"/>
                <w:szCs w:val="16"/>
              </w:rPr>
            </w:pPr>
            <w:r>
              <w:rPr>
                <w:rFonts w:ascii="Times New Roman"/>
                <w:spacing w:val="-1"/>
                <w:sz w:val="16"/>
              </w:rPr>
              <w:t>-34,347,565.83</w:t>
            </w:r>
          </w:p>
        </w:tc>
      </w:tr>
      <w:tr>
        <w:trPr>
          <w:trHeight w:val="713"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57" w:lineRule="auto" w:before="77"/>
              <w:ind w:left="103" w:right="135"/>
              <w:jc w:val="left"/>
              <w:rPr>
                <w:rFonts w:ascii="宋体" w:hAnsi="宋体" w:cs="宋体" w:eastAsia="宋体" w:hint="default"/>
                <w:sz w:val="16"/>
                <w:szCs w:val="16"/>
              </w:rPr>
            </w:pPr>
            <w:r>
              <w:rPr>
                <w:rFonts w:ascii="宋体" w:hAnsi="宋体" w:cs="宋体" w:eastAsia="宋体" w:hint="default"/>
                <w:sz w:val="16"/>
                <w:szCs w:val="16"/>
              </w:rPr>
              <w:t>（二）所有者投入和减少资</w:t>
            </w:r>
            <w:r>
              <w:rPr>
                <w:rFonts w:ascii="宋体" w:hAnsi="宋体" w:cs="宋体" w:eastAsia="宋体" w:hint="default"/>
                <w:w w:val="100"/>
                <w:sz w:val="16"/>
                <w:szCs w:val="16"/>
              </w:rPr>
              <w:t> </w:t>
            </w:r>
            <w:r>
              <w:rPr>
                <w:rFonts w:ascii="宋体" w:hAnsi="宋体" w:cs="宋体" w:eastAsia="宋体" w:hint="default"/>
                <w:sz w:val="16"/>
                <w:szCs w:val="16"/>
              </w:rPr>
              <w:t>本</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．所有者投入的普通股</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6" w:lineRule="auto" w:before="77"/>
              <w:ind w:left="103" w:right="214"/>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．其他权益工具持有者投</w:t>
            </w:r>
            <w:r>
              <w:rPr>
                <w:rFonts w:ascii="宋体" w:hAnsi="宋体" w:cs="宋体" w:eastAsia="宋体" w:hint="default"/>
                <w:w w:val="100"/>
                <w:sz w:val="16"/>
                <w:szCs w:val="16"/>
              </w:rPr>
              <w:t> </w:t>
            </w:r>
            <w:r>
              <w:rPr>
                <w:rFonts w:ascii="宋体" w:hAnsi="宋体" w:cs="宋体" w:eastAsia="宋体" w:hint="default"/>
                <w:sz w:val="16"/>
                <w:szCs w:val="16"/>
              </w:rPr>
              <w:t>入资本</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8" w:lineRule="auto" w:before="77"/>
              <w:ind w:left="103" w:right="214"/>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．股份支付计入所有者权</w:t>
            </w:r>
            <w:r>
              <w:rPr>
                <w:rFonts w:ascii="宋体" w:hAnsi="宋体" w:cs="宋体" w:eastAsia="宋体" w:hint="default"/>
                <w:w w:val="100"/>
                <w:sz w:val="16"/>
                <w:szCs w:val="16"/>
              </w:rPr>
              <w:t> </w:t>
            </w:r>
            <w:r>
              <w:rPr>
                <w:rFonts w:ascii="宋体" w:hAnsi="宋体" w:cs="宋体" w:eastAsia="宋体" w:hint="default"/>
                <w:sz w:val="16"/>
                <w:szCs w:val="16"/>
              </w:rPr>
              <w:t>益的金额</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03" w:right="0"/>
              <w:jc w:val="left"/>
              <w:rPr>
                <w:rFonts w:ascii="宋体" w:hAnsi="宋体" w:cs="宋体" w:eastAsia="宋体" w:hint="default"/>
                <w:sz w:val="16"/>
                <w:szCs w:val="16"/>
              </w:rPr>
            </w:pPr>
            <w:r>
              <w:rPr>
                <w:rFonts w:ascii="宋体" w:hAnsi="宋体" w:cs="宋体" w:eastAsia="宋体" w:hint="default"/>
                <w:sz w:val="16"/>
                <w:szCs w:val="16"/>
              </w:rPr>
              <w:t>（三）利润分配</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6"/>
                <w:szCs w:val="16"/>
              </w:rPr>
            </w:pPr>
            <w:r>
              <w:rPr>
                <w:rFonts w:ascii="Times New Roman"/>
                <w:spacing w:val="-1"/>
                <w:sz w:val="16"/>
              </w:rPr>
              <w:t>-30,829,797.30</w:t>
            </w: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6"/>
                <w:szCs w:val="16"/>
              </w:rPr>
            </w:pPr>
            <w:r>
              <w:rPr>
                <w:rFonts w:ascii="Times New Roman"/>
                <w:spacing w:val="-1"/>
                <w:sz w:val="16"/>
              </w:rPr>
              <w:t>-30,829,797.30</w:t>
            </w:r>
          </w:p>
        </w:tc>
      </w:tr>
      <w:tr>
        <w:trPr>
          <w:trHeight w:val="401"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．提取盈余公积</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8" w:lineRule="auto" w:before="77"/>
              <w:ind w:left="103" w:right="214"/>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．对所有者（或股东）的</w:t>
            </w:r>
            <w:r>
              <w:rPr>
                <w:rFonts w:ascii="宋体" w:hAnsi="宋体" w:cs="宋体" w:eastAsia="宋体" w:hint="default"/>
                <w:w w:val="100"/>
                <w:sz w:val="16"/>
                <w:szCs w:val="16"/>
              </w:rPr>
              <w:t> </w:t>
            </w:r>
            <w:r>
              <w:rPr>
                <w:rFonts w:ascii="宋体" w:hAnsi="宋体" w:cs="宋体" w:eastAsia="宋体" w:hint="default"/>
                <w:sz w:val="16"/>
                <w:szCs w:val="16"/>
              </w:rPr>
              <w:t>分配</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6"/>
                <w:szCs w:val="16"/>
              </w:rPr>
            </w:pPr>
            <w:r>
              <w:rPr>
                <w:rFonts w:ascii="Times New Roman"/>
                <w:spacing w:val="-1"/>
                <w:sz w:val="16"/>
              </w:rPr>
              <w:t>-30,829,797.30</w:t>
            </w: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Times New Roman" w:hAnsi="Times New Roman" w:cs="Times New Roman" w:eastAsia="Times New Roman" w:hint="default"/>
                <w:sz w:val="16"/>
                <w:szCs w:val="16"/>
              </w:rPr>
            </w:pPr>
            <w:r>
              <w:rPr>
                <w:rFonts w:ascii="Times New Roman"/>
                <w:spacing w:val="-1"/>
                <w:sz w:val="16"/>
              </w:rPr>
              <w:t>-30,829,797.30</w:t>
            </w:r>
          </w:p>
        </w:tc>
      </w:tr>
    </w:tbl>
    <w:p>
      <w:pPr>
        <w:spacing w:after="0" w:line="240" w:lineRule="auto"/>
        <w:jc w:val="right"/>
        <w:rPr>
          <w:rFonts w:ascii="Times New Roman" w:hAnsi="Times New Roman" w:cs="Times New Roman" w:eastAsia="Times New Roman" w:hint="default"/>
          <w:sz w:val="16"/>
          <w:szCs w:val="16"/>
        </w:rPr>
        <w:sectPr>
          <w:pgSz w:w="16840" w:h="11910" w:orient="landscape"/>
          <w:pgMar w:header="916" w:footer="1260" w:top="1120" w:bottom="1540" w:left="1300" w:right="820"/>
        </w:sectPr>
      </w:pPr>
    </w:p>
    <w:tbl>
      <w:tblPr>
        <w:tblW w:w="0" w:type="auto"/>
        <w:jc w:val="left"/>
        <w:tblInd w:w="140" w:type="dxa"/>
        <w:tblLayout w:type="fixed"/>
        <w:tblCellMar>
          <w:top w:w="0" w:type="dxa"/>
          <w:left w:w="0" w:type="dxa"/>
          <w:bottom w:w="0" w:type="dxa"/>
          <w:right w:w="0" w:type="dxa"/>
        </w:tblCellMar>
        <w:tblLook w:val="01E0"/>
      </w:tblPr>
      <w:tblGrid>
        <w:gridCol w:w="2172"/>
        <w:gridCol w:w="1320"/>
        <w:gridCol w:w="581"/>
        <w:gridCol w:w="785"/>
        <w:gridCol w:w="727"/>
        <w:gridCol w:w="1440"/>
        <w:gridCol w:w="843"/>
        <w:gridCol w:w="1306"/>
        <w:gridCol w:w="595"/>
        <w:gridCol w:w="1313"/>
        <w:gridCol w:w="1320"/>
        <w:gridCol w:w="526"/>
        <w:gridCol w:w="1500"/>
      </w:tblGrid>
      <w:tr>
        <w:trPr>
          <w:trHeight w:val="402" w:hRule="exact"/>
        </w:trPr>
        <w:tc>
          <w:tcPr>
            <w:tcW w:w="217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2256" w:type="dxa"/>
            <w:gridSpan w:val="1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2" w:right="0"/>
              <w:jc w:val="center"/>
              <w:rPr>
                <w:rFonts w:ascii="宋体" w:hAnsi="宋体" w:cs="宋体" w:eastAsia="宋体" w:hint="default"/>
                <w:sz w:val="16"/>
                <w:szCs w:val="16"/>
              </w:rPr>
            </w:pPr>
            <w:r>
              <w:rPr>
                <w:rFonts w:ascii="Times New Roman" w:hAnsi="Times New Roman" w:cs="Times New Roman" w:eastAsia="Times New Roman" w:hint="default"/>
                <w:sz w:val="16"/>
                <w:szCs w:val="16"/>
              </w:rPr>
              <w:t>2018</w:t>
            </w:r>
            <w:r>
              <w:rPr>
                <w:rFonts w:ascii="Times New Roman" w:hAnsi="Times New Roman" w:cs="Times New Roman" w:eastAsia="Times New Roman" w:hint="default"/>
                <w:spacing w:val="-1"/>
                <w:sz w:val="16"/>
                <w:szCs w:val="16"/>
              </w:rPr>
              <w:t> </w:t>
            </w:r>
            <w:r>
              <w:rPr>
                <w:rFonts w:ascii="宋体" w:hAnsi="宋体" w:cs="宋体" w:eastAsia="宋体" w:hint="default"/>
                <w:sz w:val="16"/>
                <w:szCs w:val="16"/>
              </w:rPr>
              <w:t>年年度</w:t>
            </w:r>
          </w:p>
        </w:tc>
      </w:tr>
      <w:tr>
        <w:trPr>
          <w:trHeight w:val="402" w:hRule="exact"/>
        </w:trPr>
        <w:tc>
          <w:tcPr>
            <w:tcW w:w="2172" w:type="dxa"/>
            <w:vMerge/>
            <w:tcBorders>
              <w:left w:val="single" w:sz="4" w:space="0" w:color="000000"/>
              <w:right w:val="single" w:sz="4" w:space="0" w:color="000000"/>
            </w:tcBorders>
            <w:shd w:val="clear" w:color="auto" w:fill="D9D9D9"/>
          </w:tcPr>
          <w:p>
            <w:pPr/>
          </w:p>
        </w:tc>
        <w:tc>
          <w:tcPr>
            <w:tcW w:w="132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6"/>
                <w:szCs w:val="16"/>
              </w:rPr>
            </w:pPr>
            <w:r>
              <w:rPr>
                <w:rFonts w:ascii="宋体" w:hAnsi="宋体" w:cs="宋体" w:eastAsia="宋体" w:hint="default"/>
                <w:sz w:val="16"/>
                <w:szCs w:val="16"/>
              </w:rPr>
              <w:t>股本</w:t>
            </w:r>
          </w:p>
        </w:tc>
        <w:tc>
          <w:tcPr>
            <w:tcW w:w="2093"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562" w:right="0"/>
              <w:jc w:val="left"/>
              <w:rPr>
                <w:rFonts w:ascii="宋体" w:hAnsi="宋体" w:cs="宋体" w:eastAsia="宋体" w:hint="default"/>
                <w:sz w:val="16"/>
                <w:szCs w:val="16"/>
              </w:rPr>
            </w:pPr>
            <w:r>
              <w:rPr>
                <w:rFonts w:ascii="宋体" w:hAnsi="宋体" w:cs="宋体" w:eastAsia="宋体" w:hint="default"/>
                <w:sz w:val="16"/>
                <w:szCs w:val="16"/>
              </w:rPr>
              <w:t>其他权益工具</w:t>
            </w:r>
          </w:p>
        </w:tc>
        <w:tc>
          <w:tcPr>
            <w:tcW w:w="144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93"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843" w:type="dxa"/>
            <w:vMerge w:val="restart"/>
            <w:tcBorders>
              <w:top w:val="single" w:sz="4" w:space="0" w:color="000000"/>
              <w:left w:val="single" w:sz="4" w:space="0" w:color="000000"/>
              <w:right w:val="single" w:sz="4" w:space="0" w:color="000000"/>
            </w:tcBorders>
            <w:shd w:val="clear" w:color="auto" w:fill="D9D9D9"/>
          </w:tcPr>
          <w:p>
            <w:pPr>
              <w:pStyle w:val="TableParagraph"/>
              <w:spacing w:line="355" w:lineRule="auto" w:before="102"/>
              <w:ind w:left="256" w:right="173" w:hanging="82"/>
              <w:jc w:val="left"/>
              <w:rPr>
                <w:rFonts w:ascii="宋体" w:hAnsi="宋体" w:cs="宋体" w:eastAsia="宋体" w:hint="default"/>
                <w:sz w:val="16"/>
                <w:szCs w:val="16"/>
              </w:rPr>
            </w:pPr>
            <w:r>
              <w:rPr>
                <w:rFonts w:ascii="宋体" w:hAnsi="宋体" w:cs="宋体" w:eastAsia="宋体" w:hint="default"/>
                <w:sz w:val="16"/>
                <w:szCs w:val="16"/>
              </w:rPr>
              <w:t>减：库</w:t>
            </w:r>
            <w:r>
              <w:rPr>
                <w:rFonts w:ascii="宋体" w:hAnsi="宋体" w:cs="宋体" w:eastAsia="宋体" w:hint="default"/>
                <w:spacing w:val="-78"/>
                <w:sz w:val="16"/>
                <w:szCs w:val="16"/>
              </w:rPr>
              <w:t> </w:t>
            </w:r>
            <w:r>
              <w:rPr>
                <w:rFonts w:ascii="宋体" w:hAnsi="宋体" w:cs="宋体" w:eastAsia="宋体" w:hint="default"/>
                <w:sz w:val="16"/>
                <w:szCs w:val="16"/>
              </w:rPr>
              <w:t>存股</w:t>
            </w:r>
          </w:p>
        </w:tc>
        <w:tc>
          <w:tcPr>
            <w:tcW w:w="130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6"/>
                <w:szCs w:val="16"/>
              </w:rPr>
            </w:pPr>
            <w:r>
              <w:rPr>
                <w:rFonts w:ascii="宋体" w:hAnsi="宋体" w:cs="宋体" w:eastAsia="宋体" w:hint="default"/>
                <w:sz w:val="16"/>
                <w:szCs w:val="16"/>
              </w:rPr>
              <w:t>其他综合收益</w:t>
            </w:r>
          </w:p>
        </w:tc>
        <w:tc>
          <w:tcPr>
            <w:tcW w:w="595" w:type="dxa"/>
            <w:vMerge w:val="restart"/>
            <w:tcBorders>
              <w:top w:val="single" w:sz="4" w:space="0" w:color="000000"/>
              <w:left w:val="single" w:sz="4" w:space="0" w:color="000000"/>
              <w:right w:val="single" w:sz="4" w:space="0" w:color="000000"/>
            </w:tcBorders>
            <w:shd w:val="clear" w:color="auto" w:fill="D9D9D9"/>
          </w:tcPr>
          <w:p>
            <w:pPr>
              <w:pStyle w:val="TableParagraph"/>
              <w:spacing w:line="355" w:lineRule="auto" w:before="102"/>
              <w:ind w:left="131" w:right="131"/>
              <w:jc w:val="left"/>
              <w:rPr>
                <w:rFonts w:ascii="宋体" w:hAnsi="宋体" w:cs="宋体" w:eastAsia="宋体" w:hint="default"/>
                <w:sz w:val="16"/>
                <w:szCs w:val="16"/>
              </w:rPr>
            </w:pPr>
            <w:r>
              <w:rPr>
                <w:rFonts w:ascii="宋体" w:hAnsi="宋体" w:cs="宋体" w:eastAsia="宋体" w:hint="default"/>
                <w:sz w:val="16"/>
                <w:szCs w:val="16"/>
              </w:rPr>
              <w:t>专项</w:t>
            </w:r>
            <w:r>
              <w:rPr>
                <w:rFonts w:ascii="宋体" w:hAnsi="宋体" w:cs="宋体" w:eastAsia="宋体" w:hint="default"/>
                <w:w w:val="100"/>
                <w:sz w:val="16"/>
                <w:szCs w:val="16"/>
              </w:rPr>
              <w:t> </w:t>
            </w:r>
            <w:r>
              <w:rPr>
                <w:rFonts w:ascii="宋体" w:hAnsi="宋体" w:cs="宋体" w:eastAsia="宋体" w:hint="default"/>
                <w:sz w:val="16"/>
                <w:szCs w:val="16"/>
              </w:rPr>
              <w:t>储备</w:t>
            </w:r>
          </w:p>
        </w:tc>
        <w:tc>
          <w:tcPr>
            <w:tcW w:w="131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31"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32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4"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526" w:type="dxa"/>
            <w:vMerge w:val="restart"/>
            <w:tcBorders>
              <w:top w:val="single" w:sz="4" w:space="0" w:color="000000"/>
              <w:left w:val="single" w:sz="4" w:space="0" w:color="000000"/>
              <w:right w:val="single" w:sz="4" w:space="0" w:color="000000"/>
            </w:tcBorders>
            <w:shd w:val="clear" w:color="auto" w:fill="D9D9D9"/>
          </w:tcPr>
          <w:p>
            <w:pPr>
              <w:pStyle w:val="TableParagraph"/>
              <w:spacing w:line="355" w:lineRule="auto" w:before="102"/>
              <w:ind w:left="177" w:right="175"/>
              <w:jc w:val="center"/>
              <w:rPr>
                <w:rFonts w:ascii="宋体" w:hAnsi="宋体" w:cs="宋体" w:eastAsia="宋体" w:hint="default"/>
                <w:sz w:val="16"/>
                <w:szCs w:val="16"/>
              </w:rPr>
            </w:pPr>
            <w:r>
              <w:rPr>
                <w:rFonts w:ascii="宋体" w:hAnsi="宋体" w:cs="宋体" w:eastAsia="宋体" w:hint="default"/>
                <w:sz w:val="16"/>
                <w:szCs w:val="16"/>
              </w:rPr>
              <w:t>其</w:t>
            </w:r>
            <w:r>
              <w:rPr>
                <w:rFonts w:ascii="宋体" w:hAnsi="宋体" w:cs="宋体" w:eastAsia="宋体" w:hint="default"/>
                <w:w w:val="100"/>
                <w:sz w:val="16"/>
                <w:szCs w:val="16"/>
              </w:rPr>
              <w:t> </w:t>
            </w:r>
            <w:r>
              <w:rPr>
                <w:rFonts w:ascii="宋体" w:hAnsi="宋体" w:cs="宋体" w:eastAsia="宋体" w:hint="default"/>
                <w:sz w:val="16"/>
                <w:szCs w:val="16"/>
              </w:rPr>
              <w:t>他</w:t>
            </w:r>
          </w:p>
        </w:tc>
        <w:tc>
          <w:tcPr>
            <w:tcW w:w="150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6"/>
                <w:szCs w:val="16"/>
              </w:rPr>
            </w:pPr>
            <w:r>
              <w:rPr>
                <w:rFonts w:ascii="宋体" w:hAnsi="宋体" w:cs="宋体" w:eastAsia="宋体" w:hint="default"/>
                <w:sz w:val="16"/>
                <w:szCs w:val="16"/>
              </w:rPr>
              <w:t>所有者权益合计</w:t>
            </w:r>
          </w:p>
        </w:tc>
      </w:tr>
      <w:tr>
        <w:trPr>
          <w:trHeight w:val="402" w:hRule="exact"/>
        </w:trPr>
        <w:tc>
          <w:tcPr>
            <w:tcW w:w="2172" w:type="dxa"/>
            <w:vMerge/>
            <w:tcBorders>
              <w:left w:val="single" w:sz="4" w:space="0" w:color="000000"/>
              <w:bottom w:val="single" w:sz="4" w:space="0" w:color="000000"/>
              <w:right w:val="single" w:sz="4" w:space="0" w:color="000000"/>
            </w:tcBorders>
            <w:shd w:val="clear" w:color="auto" w:fill="D9D9D9"/>
          </w:tcPr>
          <w:p>
            <w:pPr/>
          </w:p>
        </w:tc>
        <w:tc>
          <w:tcPr>
            <w:tcW w:w="1320" w:type="dxa"/>
            <w:vMerge/>
            <w:tcBorders>
              <w:left w:val="single" w:sz="4" w:space="0" w:color="000000"/>
              <w:bottom w:val="single" w:sz="4" w:space="0" w:color="000000"/>
              <w:right w:val="single" w:sz="4" w:space="0" w:color="000000"/>
            </w:tcBorders>
            <w:shd w:val="clear" w:color="auto" w:fill="D9D9D9"/>
          </w:tcPr>
          <w:p>
            <w:pPr/>
          </w:p>
        </w:tc>
        <w:tc>
          <w:tcPr>
            <w:tcW w:w="5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5" w:right="0"/>
              <w:jc w:val="left"/>
              <w:rPr>
                <w:rFonts w:ascii="宋体" w:hAnsi="宋体" w:cs="宋体" w:eastAsia="宋体" w:hint="default"/>
                <w:sz w:val="16"/>
                <w:szCs w:val="16"/>
              </w:rPr>
            </w:pPr>
            <w:r>
              <w:rPr>
                <w:rFonts w:ascii="宋体" w:hAnsi="宋体" w:cs="宋体" w:eastAsia="宋体" w:hint="default"/>
                <w:sz w:val="16"/>
                <w:szCs w:val="16"/>
              </w:rPr>
              <w:t>优先股</w:t>
            </w:r>
          </w:p>
        </w:tc>
        <w:tc>
          <w:tcPr>
            <w:tcW w:w="7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46" w:right="0"/>
              <w:jc w:val="left"/>
              <w:rPr>
                <w:rFonts w:ascii="宋体" w:hAnsi="宋体" w:cs="宋体" w:eastAsia="宋体" w:hint="default"/>
                <w:sz w:val="16"/>
                <w:szCs w:val="16"/>
              </w:rPr>
            </w:pPr>
            <w:r>
              <w:rPr>
                <w:rFonts w:ascii="宋体" w:hAnsi="宋体" w:cs="宋体" w:eastAsia="宋体" w:hint="default"/>
                <w:sz w:val="16"/>
                <w:szCs w:val="16"/>
              </w:rPr>
              <w:t>永续债</w:t>
            </w:r>
          </w:p>
        </w:tc>
        <w:tc>
          <w:tcPr>
            <w:tcW w:w="72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199"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1440" w:type="dxa"/>
            <w:vMerge/>
            <w:tcBorders>
              <w:left w:val="single" w:sz="4" w:space="0" w:color="000000"/>
              <w:bottom w:val="single" w:sz="4" w:space="0" w:color="000000"/>
              <w:right w:val="single" w:sz="4" w:space="0" w:color="000000"/>
            </w:tcBorders>
            <w:shd w:val="clear" w:color="auto" w:fill="D9D9D9"/>
          </w:tcPr>
          <w:p>
            <w:pPr/>
          </w:p>
        </w:tc>
        <w:tc>
          <w:tcPr>
            <w:tcW w:w="843" w:type="dxa"/>
            <w:vMerge/>
            <w:tcBorders>
              <w:left w:val="single" w:sz="4" w:space="0" w:color="000000"/>
              <w:bottom w:val="single" w:sz="4" w:space="0" w:color="000000"/>
              <w:right w:val="single" w:sz="4" w:space="0" w:color="000000"/>
            </w:tcBorders>
            <w:shd w:val="clear" w:color="auto" w:fill="D9D9D9"/>
          </w:tcPr>
          <w:p>
            <w:pPr/>
          </w:p>
        </w:tc>
        <w:tc>
          <w:tcPr>
            <w:tcW w:w="1306" w:type="dxa"/>
            <w:vMerge/>
            <w:tcBorders>
              <w:left w:val="single" w:sz="4" w:space="0" w:color="000000"/>
              <w:bottom w:val="single" w:sz="4" w:space="0" w:color="000000"/>
              <w:right w:val="single" w:sz="4" w:space="0" w:color="000000"/>
            </w:tcBorders>
            <w:shd w:val="clear" w:color="auto" w:fill="D9D9D9"/>
          </w:tcPr>
          <w:p>
            <w:pPr/>
          </w:p>
        </w:tc>
        <w:tc>
          <w:tcPr>
            <w:tcW w:w="595" w:type="dxa"/>
            <w:vMerge/>
            <w:tcBorders>
              <w:left w:val="single" w:sz="4" w:space="0" w:color="000000"/>
              <w:bottom w:val="single" w:sz="4" w:space="0" w:color="000000"/>
              <w:right w:val="single" w:sz="4" w:space="0" w:color="000000"/>
            </w:tcBorders>
            <w:shd w:val="clear" w:color="auto" w:fill="D9D9D9"/>
          </w:tcPr>
          <w:p>
            <w:pPr/>
          </w:p>
        </w:tc>
        <w:tc>
          <w:tcPr>
            <w:tcW w:w="1313" w:type="dxa"/>
            <w:vMerge/>
            <w:tcBorders>
              <w:left w:val="single" w:sz="4" w:space="0" w:color="000000"/>
              <w:bottom w:val="single" w:sz="4" w:space="0" w:color="000000"/>
              <w:right w:val="single" w:sz="4" w:space="0" w:color="000000"/>
            </w:tcBorders>
            <w:shd w:val="clear" w:color="auto" w:fill="D9D9D9"/>
          </w:tcPr>
          <w:p>
            <w:pPr/>
          </w:p>
        </w:tc>
        <w:tc>
          <w:tcPr>
            <w:tcW w:w="1320" w:type="dxa"/>
            <w:vMerge/>
            <w:tcBorders>
              <w:left w:val="single" w:sz="4" w:space="0" w:color="000000"/>
              <w:bottom w:val="single" w:sz="4" w:space="0" w:color="000000"/>
              <w:right w:val="single" w:sz="4" w:space="0" w:color="000000"/>
            </w:tcBorders>
            <w:shd w:val="clear" w:color="auto" w:fill="D9D9D9"/>
          </w:tcPr>
          <w:p>
            <w:pPr/>
          </w:p>
        </w:tc>
        <w:tc>
          <w:tcPr>
            <w:tcW w:w="526" w:type="dxa"/>
            <w:vMerge/>
            <w:tcBorders>
              <w:left w:val="single" w:sz="4" w:space="0" w:color="000000"/>
              <w:bottom w:val="single" w:sz="4" w:space="0" w:color="000000"/>
              <w:right w:val="single" w:sz="4" w:space="0" w:color="000000"/>
            </w:tcBorders>
            <w:shd w:val="clear" w:color="auto" w:fill="D9D9D9"/>
          </w:tcPr>
          <w:p>
            <w:pPr/>
          </w:p>
        </w:tc>
        <w:tc>
          <w:tcPr>
            <w:tcW w:w="1500" w:type="dxa"/>
            <w:vMerge/>
            <w:tcBorders>
              <w:left w:val="single" w:sz="4" w:space="0" w:color="000000"/>
              <w:bottom w:val="single" w:sz="4" w:space="0" w:color="000000"/>
              <w:right w:val="single" w:sz="4" w:space="0" w:color="000000"/>
            </w:tcBorders>
            <w:shd w:val="clear" w:color="auto" w:fill="D9D9D9"/>
          </w:tcPr>
          <w:p>
            <w:pPr/>
          </w:p>
        </w:tc>
      </w:tr>
      <w:tr>
        <w:trPr>
          <w:trHeight w:val="401"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103" w:right="0"/>
              <w:jc w:val="left"/>
              <w:rPr>
                <w:rFonts w:ascii="宋体" w:hAnsi="宋体" w:cs="宋体" w:eastAsia="宋体" w:hint="default"/>
                <w:sz w:val="16"/>
                <w:szCs w:val="16"/>
              </w:rPr>
            </w:pPr>
            <w:r>
              <w:rPr>
                <w:rFonts w:ascii="宋体" w:hAnsi="宋体" w:cs="宋体" w:eastAsia="宋体" w:hint="default"/>
                <w:sz w:val="16"/>
                <w:szCs w:val="16"/>
              </w:rPr>
              <w:t>（四）所有者权益内部结转</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8" w:lineRule="auto" w:before="57"/>
              <w:ind w:left="103" w:right="214"/>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．资本公积转增资本（或</w:t>
            </w:r>
            <w:r>
              <w:rPr>
                <w:rFonts w:ascii="宋体" w:hAnsi="宋体" w:cs="宋体" w:eastAsia="宋体" w:hint="default"/>
                <w:w w:val="100"/>
                <w:sz w:val="16"/>
                <w:szCs w:val="16"/>
              </w:rPr>
              <w:t> </w:t>
            </w:r>
            <w:r>
              <w:rPr>
                <w:rFonts w:ascii="宋体" w:hAnsi="宋体" w:cs="宋体" w:eastAsia="宋体" w:hint="default"/>
                <w:sz w:val="16"/>
                <w:szCs w:val="16"/>
              </w:rPr>
              <w:t>股本）</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6" w:lineRule="auto" w:before="59"/>
              <w:ind w:left="103" w:right="214"/>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．盈余公积转增资本（或</w:t>
            </w:r>
            <w:r>
              <w:rPr>
                <w:rFonts w:ascii="宋体" w:hAnsi="宋体" w:cs="宋体" w:eastAsia="宋体" w:hint="default"/>
                <w:w w:val="100"/>
                <w:sz w:val="16"/>
                <w:szCs w:val="16"/>
              </w:rPr>
              <w:t> </w:t>
            </w:r>
            <w:r>
              <w:rPr>
                <w:rFonts w:ascii="宋体" w:hAnsi="宋体" w:cs="宋体" w:eastAsia="宋体" w:hint="default"/>
                <w:sz w:val="16"/>
                <w:szCs w:val="16"/>
              </w:rPr>
              <w:t>股本）</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．盈余公积弥补亏损</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6" w:lineRule="auto" w:before="59"/>
              <w:ind w:left="103" w:right="214"/>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．设定受益计划变动额结</w:t>
            </w:r>
            <w:r>
              <w:rPr>
                <w:rFonts w:ascii="宋体" w:hAnsi="宋体" w:cs="宋体" w:eastAsia="宋体" w:hint="default"/>
                <w:w w:val="100"/>
                <w:sz w:val="16"/>
                <w:szCs w:val="16"/>
              </w:rPr>
              <w:t> </w:t>
            </w:r>
            <w:r>
              <w:rPr>
                <w:rFonts w:ascii="宋体" w:hAnsi="宋体" w:cs="宋体" w:eastAsia="宋体" w:hint="default"/>
                <w:sz w:val="16"/>
                <w:szCs w:val="16"/>
              </w:rPr>
              <w:t>转留存收益</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38" w:lineRule="auto" w:before="56"/>
              <w:ind w:left="103" w:right="214"/>
              <w:jc w:val="left"/>
              <w:rPr>
                <w:rFonts w:ascii="宋体" w:hAnsi="宋体" w:cs="宋体" w:eastAsia="宋体" w:hint="default"/>
                <w:sz w:val="16"/>
                <w:szCs w:val="16"/>
              </w:rPr>
            </w:pPr>
            <w:r>
              <w:rPr>
                <w:rFonts w:ascii="Times New Roman" w:hAnsi="Times New Roman" w:cs="Times New Roman" w:eastAsia="Times New Roman" w:hint="default"/>
                <w:sz w:val="16"/>
                <w:szCs w:val="16"/>
              </w:rPr>
              <w:t>5</w:t>
            </w:r>
            <w:r>
              <w:rPr>
                <w:rFonts w:ascii="宋体" w:hAnsi="宋体" w:cs="宋体" w:eastAsia="宋体" w:hint="default"/>
                <w:sz w:val="16"/>
                <w:szCs w:val="16"/>
              </w:rPr>
              <w:t>．其他综合收益结转留存</w:t>
            </w:r>
            <w:r>
              <w:rPr>
                <w:rFonts w:ascii="宋体" w:hAnsi="宋体" w:cs="宋体" w:eastAsia="宋体" w:hint="default"/>
                <w:w w:val="100"/>
                <w:sz w:val="16"/>
                <w:szCs w:val="16"/>
              </w:rPr>
              <w:t> </w:t>
            </w:r>
            <w:r>
              <w:rPr>
                <w:rFonts w:ascii="宋体" w:hAnsi="宋体" w:cs="宋体" w:eastAsia="宋体" w:hint="default"/>
                <w:sz w:val="16"/>
                <w:szCs w:val="16"/>
              </w:rPr>
              <w:t>收益</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6</w:t>
            </w:r>
            <w:r>
              <w:rPr>
                <w:rFonts w:ascii="宋体" w:hAnsi="宋体" w:cs="宋体" w:eastAsia="宋体" w:hint="default"/>
                <w:sz w:val="16"/>
                <w:szCs w:val="16"/>
              </w:rPr>
              <w:t>．其他</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6"/>
                <w:szCs w:val="16"/>
              </w:rPr>
            </w:pPr>
            <w:r>
              <w:rPr>
                <w:rFonts w:ascii="宋体" w:hAnsi="宋体" w:cs="宋体" w:eastAsia="宋体" w:hint="default"/>
                <w:sz w:val="16"/>
                <w:szCs w:val="16"/>
              </w:rPr>
              <w:t>（五）专项储备</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．本期提取</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103"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．本期使用</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132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6"/>
                <w:szCs w:val="16"/>
              </w:rPr>
            </w:pPr>
            <w:r>
              <w:rPr>
                <w:rFonts w:ascii="Times New Roman"/>
                <w:spacing w:val="-1"/>
                <w:sz w:val="16"/>
              </w:rPr>
              <w:t>-86,154.23</w:t>
            </w: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6"/>
                <w:szCs w:val="16"/>
              </w:rPr>
            </w:pPr>
            <w:r>
              <w:rPr>
                <w:rFonts w:ascii="Times New Roman"/>
                <w:spacing w:val="-1"/>
                <w:sz w:val="16"/>
              </w:rPr>
              <w:t>-86,154.23</w:t>
            </w:r>
          </w:p>
        </w:tc>
      </w:tr>
      <w:tr>
        <w:trPr>
          <w:trHeight w:val="401" w:hRule="exact"/>
        </w:trPr>
        <w:tc>
          <w:tcPr>
            <w:tcW w:w="21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103"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6" w:right="0"/>
              <w:jc w:val="left"/>
              <w:rPr>
                <w:rFonts w:ascii="Times New Roman" w:hAnsi="Times New Roman" w:cs="Times New Roman" w:eastAsia="Times New Roman" w:hint="default"/>
                <w:sz w:val="16"/>
                <w:szCs w:val="16"/>
              </w:rPr>
            </w:pPr>
            <w:r>
              <w:rPr>
                <w:rFonts w:ascii="Times New Roman"/>
                <w:sz w:val="16"/>
              </w:rPr>
              <w:t>963,431,273.00</w:t>
            </w:r>
          </w:p>
        </w:tc>
        <w:tc>
          <w:tcPr>
            <w:tcW w:w="58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6"/>
                <w:szCs w:val="16"/>
              </w:rPr>
            </w:pPr>
            <w:r>
              <w:rPr>
                <w:rFonts w:ascii="Times New Roman"/>
                <w:spacing w:val="-1"/>
                <w:sz w:val="16"/>
              </w:rPr>
              <w:t>2,099,414,949.00</w:t>
            </w:r>
          </w:p>
        </w:tc>
        <w:tc>
          <w:tcPr>
            <w:tcW w:w="843"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0" w:right="0"/>
              <w:jc w:val="left"/>
              <w:rPr>
                <w:rFonts w:ascii="Times New Roman" w:hAnsi="Times New Roman" w:cs="Times New Roman" w:eastAsia="Times New Roman" w:hint="default"/>
                <w:sz w:val="16"/>
                <w:szCs w:val="16"/>
              </w:rPr>
            </w:pPr>
            <w:r>
              <w:rPr>
                <w:rFonts w:ascii="Times New Roman"/>
                <w:sz w:val="16"/>
              </w:rPr>
              <w:t>27,209,080.61</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7" w:right="0"/>
              <w:jc w:val="left"/>
              <w:rPr>
                <w:rFonts w:ascii="Times New Roman" w:hAnsi="Times New Roman" w:cs="Times New Roman" w:eastAsia="Times New Roman" w:hint="default"/>
                <w:sz w:val="16"/>
                <w:szCs w:val="16"/>
              </w:rPr>
            </w:pPr>
            <w:r>
              <w:rPr>
                <w:rFonts w:ascii="Times New Roman"/>
                <w:sz w:val="16"/>
              </w:rPr>
              <w:t>69,503,669.90</w:t>
            </w:r>
          </w:p>
        </w:tc>
        <w:tc>
          <w:tcPr>
            <w:tcW w:w="526" w:type="dxa"/>
            <w:tcBorders>
              <w:top w:val="single" w:sz="4" w:space="0" w:color="000000"/>
              <w:left w:val="single" w:sz="4" w:space="0" w:color="000000"/>
              <w:bottom w:val="single" w:sz="4" w:space="0" w:color="000000"/>
              <w:right w:val="single" w:sz="4" w:space="0" w:color="000000"/>
            </w:tcBorders>
          </w:tcPr>
          <w:p>
            <w:pP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6"/>
                <w:szCs w:val="16"/>
              </w:rPr>
            </w:pPr>
            <w:r>
              <w:rPr>
                <w:rFonts w:ascii="Times New Roman"/>
                <w:spacing w:val="-1"/>
                <w:sz w:val="16"/>
              </w:rPr>
              <w:t>3,159,558,972.51</w:t>
            </w:r>
          </w:p>
        </w:tc>
      </w:tr>
    </w:tbl>
    <w:p>
      <w:pPr>
        <w:spacing w:after="0" w:line="240" w:lineRule="auto"/>
        <w:jc w:val="right"/>
        <w:rPr>
          <w:rFonts w:ascii="Times New Roman" w:hAnsi="Times New Roman" w:cs="Times New Roman" w:eastAsia="Times New Roman" w:hint="default"/>
          <w:sz w:val="16"/>
          <w:szCs w:val="16"/>
        </w:rPr>
        <w:sectPr>
          <w:pgSz w:w="16840" w:h="11910" w:orient="landscape"/>
          <w:pgMar w:header="916" w:footer="1260" w:top="1180" w:bottom="1460" w:left="1300" w:right="8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2"/>
        <w:spacing w:line="240" w:lineRule="auto" w:before="26"/>
        <w:ind w:right="0"/>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513" w:right="0"/>
        <w:jc w:val="left"/>
        <w:rPr>
          <w:b w:val="0"/>
          <w:bCs w:val="0"/>
        </w:rPr>
      </w:pPr>
      <w:r>
        <w:rPr>
          <w:rFonts w:ascii="Calibri" w:hAnsi="Calibri" w:cs="Calibri" w:eastAsia="Calibri" w:hint="default"/>
        </w:rPr>
        <w:t>1.</w:t>
      </w:r>
      <w:r>
        <w:rPr/>
        <w:t>神州信息设立及上市情况</w:t>
      </w:r>
      <w:r>
        <w:rPr>
          <w:b w:val="0"/>
          <w:bCs w:val="0"/>
        </w:rPr>
      </w:r>
    </w:p>
    <w:p>
      <w:pPr>
        <w:pStyle w:val="BodyText"/>
        <w:spacing w:line="458" w:lineRule="auto" w:before="110"/>
        <w:ind w:right="1133" w:firstLine="360"/>
        <w:jc w:val="left"/>
      </w:pPr>
      <w:r>
        <w:rPr/>
        <w:t>神州数码信息服务股份有限公司（以下简称本公司、公司或神州信息，在包含子公司时统称本集团）前身为深圳市太 光电信股份有限公司（以下简称太光电信），是经贵州省经济体制改革委员会出具的《关于同意改组成立</w:t>
      </w:r>
      <w:r>
        <w:rPr>
          <w:rFonts w:ascii="Times New Roman" w:hAnsi="Times New Roman" w:cs="Times New Roman" w:eastAsia="Times New Roman" w:hint="default"/>
        </w:rPr>
        <w:t>“</w:t>
      </w:r>
      <w:r>
        <w:rPr/>
        <w:t>贵州凯涤股份有 限公司</w:t>
      </w:r>
      <w:r>
        <w:rPr>
          <w:rFonts w:ascii="Times New Roman" w:hAnsi="Times New Roman" w:cs="Times New Roman" w:eastAsia="Times New Roman" w:hint="default"/>
        </w:rPr>
        <w:t>”</w:t>
      </w:r>
      <w:r>
        <w:rPr/>
        <w:t>的批复》（黔体改股字【</w:t>
      </w:r>
      <w:r>
        <w:rPr>
          <w:rFonts w:ascii="Times New Roman" w:hAnsi="Times New Roman" w:cs="Times New Roman" w:eastAsia="Times New Roman" w:hint="default"/>
        </w:rPr>
        <w:t>1993</w:t>
      </w:r>
      <w:r>
        <w:rPr/>
        <w:t>】第</w:t>
      </w:r>
      <w:r>
        <w:rPr>
          <w:spacing w:val="-48"/>
        </w:rPr>
        <w:t> </w:t>
      </w:r>
      <w:r>
        <w:rPr>
          <w:rFonts w:ascii="Times New Roman" w:hAnsi="Times New Roman" w:cs="Times New Roman" w:eastAsia="Times New Roman" w:hint="default"/>
        </w:rPr>
        <w:t>72 </w:t>
      </w:r>
      <w:r>
        <w:rPr/>
        <w:t>号）、贵州省人民政府出具的《关于同意贵州凯涤股份有限公司公开发行股 票并在异地上市的批复》（贵州省人民政府黔府函【</w:t>
      </w:r>
      <w:r>
        <w:rPr>
          <w:rFonts w:ascii="Times New Roman" w:hAnsi="Times New Roman" w:cs="Times New Roman" w:eastAsia="Times New Roman" w:hint="default"/>
        </w:rPr>
        <w:t>1993</w:t>
      </w:r>
      <w:r>
        <w:rPr/>
        <w:t>】</w:t>
      </w:r>
      <w:r>
        <w:rPr>
          <w:rFonts w:ascii="Times New Roman" w:hAnsi="Times New Roman" w:cs="Times New Roman" w:eastAsia="Times New Roman" w:hint="default"/>
        </w:rPr>
        <w:t>174</w:t>
      </w:r>
      <w:r>
        <w:rPr>
          <w:rFonts w:ascii="Times New Roman" w:hAnsi="Times New Roman" w:cs="Times New Roman" w:eastAsia="Times New Roman" w:hint="default"/>
          <w:spacing w:val="-2"/>
        </w:rPr>
        <w:t> </w:t>
      </w:r>
      <w:r>
        <w:rPr/>
        <w:t>号文）以及中国证券监督管理委员会出具的《证监发审字</w:t>
      </w:r>
    </w:p>
    <w:p>
      <w:pPr>
        <w:pStyle w:val="BodyText"/>
        <w:spacing w:line="451" w:lineRule="auto" w:before="37"/>
        <w:ind w:right="1262"/>
        <w:jc w:val="left"/>
      </w:pPr>
      <w:r>
        <w:rPr/>
        <w:t>（</w:t>
      </w:r>
      <w:r>
        <w:rPr>
          <w:rFonts w:ascii="Times New Roman" w:hAnsi="Times New Roman" w:cs="Times New Roman" w:eastAsia="Times New Roman" w:hint="default"/>
        </w:rPr>
        <w:t>1993</w:t>
      </w:r>
      <w:r>
        <w:rPr/>
        <w:t>）</w:t>
      </w:r>
      <w:r>
        <w:rPr>
          <w:rFonts w:ascii="Times New Roman" w:hAnsi="Times New Roman" w:cs="Times New Roman" w:eastAsia="Times New Roman" w:hint="default"/>
        </w:rPr>
        <w:t>100</w:t>
      </w:r>
      <w:r>
        <w:rPr>
          <w:rFonts w:ascii="Times New Roman" w:hAnsi="Times New Roman" w:cs="Times New Roman" w:eastAsia="Times New Roman" w:hint="default"/>
          <w:spacing w:val="-4"/>
        </w:rPr>
        <w:t> </w:t>
      </w:r>
      <w:r>
        <w:rPr/>
        <w:t>号》文批准，由贵州省凯里涤纶厂作为主发起人，采取社会募集方式设立的股份有限公司，原名称为贵州凯 涤股份有限公司，设立时总股本为</w:t>
      </w:r>
      <w:r>
        <w:rPr>
          <w:spacing w:val="-46"/>
        </w:rPr>
        <w:t> </w:t>
      </w:r>
      <w:r>
        <w:rPr>
          <w:rFonts w:ascii="Times New Roman" w:hAnsi="Times New Roman" w:cs="Times New Roman" w:eastAsia="Times New Roman" w:hint="default"/>
        </w:rPr>
        <w:t>7,438.88</w:t>
      </w:r>
      <w:r>
        <w:rPr>
          <w:rFonts w:ascii="Times New Roman" w:hAnsi="Times New Roman" w:cs="Times New Roman" w:eastAsia="Times New Roman" w:hint="default"/>
          <w:spacing w:val="-1"/>
        </w:rPr>
        <w:t> </w:t>
      </w:r>
      <w:r>
        <w:rPr/>
        <w:t>万股。</w:t>
      </w:r>
    </w:p>
    <w:p>
      <w:pPr>
        <w:pStyle w:val="BodyText"/>
        <w:spacing w:line="451" w:lineRule="auto" w:before="43"/>
        <w:ind w:right="1176" w:firstLine="360"/>
        <w:jc w:val="left"/>
      </w:pPr>
      <w:r>
        <w:rPr>
          <w:rFonts w:ascii="Times New Roman" w:hAnsi="Times New Roman" w:cs="Times New Roman" w:eastAsia="Times New Roman" w:hint="default"/>
        </w:rPr>
        <w:t>1994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 </w:t>
      </w:r>
      <w:r>
        <w:rPr/>
        <w:t>月</w:t>
      </w:r>
      <w:r>
        <w:rPr>
          <w:spacing w:val="-48"/>
        </w:rPr>
        <w:t> </w:t>
      </w:r>
      <w:r>
        <w:rPr>
          <w:rFonts w:ascii="Times New Roman" w:hAnsi="Times New Roman" w:cs="Times New Roman" w:eastAsia="Times New Roman" w:hint="default"/>
        </w:rPr>
        <w:t>8 </w:t>
      </w:r>
      <w:r>
        <w:rPr/>
        <w:t>日，经深圳证券交易所《深证市字（</w:t>
      </w:r>
      <w:r>
        <w:rPr>
          <w:rFonts w:ascii="Times New Roman" w:hAnsi="Times New Roman" w:cs="Times New Roman" w:eastAsia="Times New Roman" w:hint="default"/>
        </w:rPr>
        <w:t>1994</w:t>
      </w:r>
      <w:r>
        <w:rPr/>
        <w:t>）第</w:t>
      </w:r>
      <w:r>
        <w:rPr>
          <w:spacing w:val="-48"/>
        </w:rPr>
        <w:t> </w:t>
      </w:r>
      <w:r>
        <w:rPr>
          <w:rFonts w:ascii="Times New Roman" w:hAnsi="Times New Roman" w:cs="Times New Roman" w:eastAsia="Times New Roman" w:hint="default"/>
        </w:rPr>
        <w:t>7 </w:t>
      </w:r>
      <w:r>
        <w:rPr/>
        <w:t>号》文批准，在深圳证券交易所挂牌上市交易，贵州省 凯里涤纶厂持有太光电信</w:t>
      </w:r>
      <w:r>
        <w:rPr>
          <w:spacing w:val="-48"/>
        </w:rPr>
        <w:t> </w:t>
      </w:r>
      <w:r>
        <w:rPr>
          <w:rFonts w:ascii="Times New Roman" w:hAnsi="Times New Roman" w:cs="Times New Roman" w:eastAsia="Times New Roman" w:hint="default"/>
        </w:rPr>
        <w:t>32,412,428.00</w:t>
      </w:r>
      <w:r>
        <w:rPr>
          <w:rFonts w:ascii="Times New Roman" w:hAnsi="Times New Roman" w:cs="Times New Roman" w:eastAsia="Times New Roman" w:hint="default"/>
          <w:spacing w:val="-1"/>
        </w:rPr>
        <w:t> </w:t>
      </w:r>
      <w:r>
        <w:rPr/>
        <w:t>股，占总股本的</w:t>
      </w:r>
      <w:r>
        <w:rPr>
          <w:spacing w:val="-47"/>
        </w:rPr>
        <w:t> </w:t>
      </w:r>
      <w:r>
        <w:rPr>
          <w:rFonts w:ascii="Times New Roman" w:hAnsi="Times New Roman" w:cs="Times New Roman" w:eastAsia="Times New Roman" w:hint="default"/>
        </w:rPr>
        <w:t>43.57%</w:t>
      </w:r>
      <w:r>
        <w:rPr/>
        <w:t>，为太光电信的控股股东。</w:t>
      </w:r>
    </w:p>
    <w:p>
      <w:pPr>
        <w:pStyle w:val="BodyText"/>
        <w:spacing w:line="240" w:lineRule="auto" w:before="43"/>
        <w:ind w:left="513" w:right="0"/>
        <w:jc w:val="left"/>
      </w:pPr>
      <w:r>
        <w:rPr/>
        <w:t>首次公开发行上市完成时，股本结构如下：</w:t>
      </w:r>
    </w:p>
    <w:p>
      <w:pPr>
        <w:spacing w:line="240" w:lineRule="auto" w:before="6"/>
        <w:rPr>
          <w:rFonts w:ascii="宋体" w:hAnsi="宋体" w:cs="宋体" w:eastAsia="宋体" w:hint="default"/>
          <w:sz w:val="11"/>
          <w:szCs w:val="11"/>
        </w:rPr>
      </w:pPr>
    </w:p>
    <w:tbl>
      <w:tblPr>
        <w:tblW w:w="0" w:type="auto"/>
        <w:jc w:val="left"/>
        <w:tblInd w:w="604" w:type="dxa"/>
        <w:tblLayout w:type="fixed"/>
        <w:tblCellMar>
          <w:top w:w="0" w:type="dxa"/>
          <w:left w:w="0" w:type="dxa"/>
          <w:bottom w:w="0" w:type="dxa"/>
          <w:right w:w="0" w:type="dxa"/>
        </w:tblCellMar>
        <w:tblLook w:val="01E0"/>
      </w:tblPr>
      <w:tblGrid>
        <w:gridCol w:w="2835"/>
        <w:gridCol w:w="2943"/>
        <w:gridCol w:w="2946"/>
      </w:tblGrid>
      <w:tr>
        <w:trPr>
          <w:trHeight w:val="485" w:hRule="exact"/>
        </w:trPr>
        <w:tc>
          <w:tcPr>
            <w:tcW w:w="2835"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b/>
                <w:bCs/>
                <w:sz w:val="18"/>
                <w:szCs w:val="18"/>
              </w:rPr>
              <w:t>股份类别</w:t>
            </w:r>
            <w:r>
              <w:rPr>
                <w:rFonts w:ascii="宋体" w:hAnsi="宋体" w:cs="宋体" w:eastAsia="宋体" w:hint="default"/>
                <w:sz w:val="18"/>
                <w:szCs w:val="18"/>
              </w:rPr>
            </w:r>
          </w:p>
        </w:tc>
        <w:tc>
          <w:tcPr>
            <w:tcW w:w="2943"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股份数量（万股）</w:t>
            </w:r>
            <w:r>
              <w:rPr>
                <w:rFonts w:ascii="宋体" w:hAnsi="宋体" w:cs="宋体" w:eastAsia="宋体" w:hint="default"/>
                <w:sz w:val="18"/>
                <w:szCs w:val="18"/>
              </w:rPr>
            </w:r>
          </w:p>
        </w:tc>
        <w:tc>
          <w:tcPr>
            <w:tcW w:w="2946"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所占比例</w:t>
            </w:r>
            <w:r>
              <w:rPr>
                <w:rFonts w:ascii="宋体" w:hAnsi="宋体" w:cs="宋体" w:eastAsia="宋体" w:hint="default"/>
                <w:sz w:val="18"/>
                <w:szCs w:val="18"/>
              </w:rPr>
            </w:r>
          </w:p>
        </w:tc>
      </w:tr>
      <w:tr>
        <w:trPr>
          <w:trHeight w:val="494" w:hRule="exact"/>
        </w:trPr>
        <w:tc>
          <w:tcPr>
            <w:tcW w:w="28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国家法人股</w:t>
            </w:r>
          </w:p>
        </w:tc>
        <w:tc>
          <w:tcPr>
            <w:tcW w:w="29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3,241.24</w:t>
            </w:r>
          </w:p>
        </w:tc>
        <w:tc>
          <w:tcPr>
            <w:tcW w:w="29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43.57%</w:t>
            </w:r>
          </w:p>
        </w:tc>
      </w:tr>
      <w:tr>
        <w:trPr>
          <w:trHeight w:val="494" w:hRule="exact"/>
        </w:trPr>
        <w:tc>
          <w:tcPr>
            <w:tcW w:w="28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其他法人股</w:t>
            </w:r>
          </w:p>
        </w:tc>
        <w:tc>
          <w:tcPr>
            <w:tcW w:w="29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2,197.64</w:t>
            </w:r>
          </w:p>
        </w:tc>
        <w:tc>
          <w:tcPr>
            <w:tcW w:w="29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29.54%</w:t>
            </w:r>
          </w:p>
        </w:tc>
      </w:tr>
      <w:tr>
        <w:trPr>
          <w:trHeight w:val="495" w:hRule="exact"/>
        </w:trPr>
        <w:tc>
          <w:tcPr>
            <w:tcW w:w="28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社会公众股</w:t>
            </w:r>
          </w:p>
        </w:tc>
        <w:tc>
          <w:tcPr>
            <w:tcW w:w="29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2,000.00</w:t>
            </w:r>
          </w:p>
        </w:tc>
        <w:tc>
          <w:tcPr>
            <w:tcW w:w="29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26.89%</w:t>
            </w:r>
          </w:p>
        </w:tc>
      </w:tr>
      <w:tr>
        <w:trPr>
          <w:trHeight w:val="494" w:hRule="exact"/>
        </w:trPr>
        <w:tc>
          <w:tcPr>
            <w:tcW w:w="28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443" w:right="0"/>
              <w:jc w:val="left"/>
              <w:rPr>
                <w:rFonts w:ascii="宋体" w:hAnsi="宋体" w:cs="宋体" w:eastAsia="宋体" w:hint="default"/>
                <w:sz w:val="18"/>
                <w:szCs w:val="18"/>
              </w:rPr>
            </w:pPr>
            <w:r>
              <w:rPr>
                <w:rFonts w:ascii="宋体" w:hAnsi="宋体" w:cs="宋体" w:eastAsia="宋体" w:hint="default"/>
                <w:sz w:val="18"/>
                <w:szCs w:val="18"/>
              </w:rPr>
              <w:t>其中：内部职工股</w:t>
            </w:r>
          </w:p>
        </w:tc>
        <w:tc>
          <w:tcPr>
            <w:tcW w:w="29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200.00</w:t>
            </w:r>
          </w:p>
        </w:tc>
        <w:tc>
          <w:tcPr>
            <w:tcW w:w="29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2.69%</w:t>
            </w:r>
          </w:p>
        </w:tc>
      </w:tr>
      <w:tr>
        <w:trPr>
          <w:trHeight w:val="494" w:hRule="exact"/>
        </w:trPr>
        <w:tc>
          <w:tcPr>
            <w:tcW w:w="283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b/>
                <w:bCs/>
                <w:sz w:val="18"/>
                <w:szCs w:val="18"/>
              </w:rPr>
              <w:t>总股本</w:t>
            </w:r>
            <w:r>
              <w:rPr>
                <w:rFonts w:ascii="宋体" w:hAnsi="宋体" w:cs="宋体" w:eastAsia="宋体" w:hint="default"/>
                <w:sz w:val="18"/>
                <w:szCs w:val="18"/>
              </w:rPr>
            </w:r>
          </w:p>
        </w:tc>
        <w:tc>
          <w:tcPr>
            <w:tcW w:w="294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b/>
                <w:sz w:val="18"/>
              </w:rPr>
              <w:t>7,438.88</w:t>
            </w:r>
            <w:r>
              <w:rPr>
                <w:rFonts w:ascii="Times New Roman"/>
                <w:sz w:val="18"/>
              </w:rPr>
            </w:r>
          </w:p>
        </w:tc>
        <w:tc>
          <w:tcPr>
            <w:tcW w:w="29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4"/>
              <w:ind w:left="1" w:right="0"/>
              <w:jc w:val="center"/>
              <w:rPr>
                <w:rFonts w:ascii="Times New Roman" w:hAnsi="Times New Roman" w:cs="Times New Roman" w:eastAsia="Times New Roman" w:hint="default"/>
                <w:sz w:val="18"/>
                <w:szCs w:val="18"/>
              </w:rPr>
            </w:pPr>
            <w:r>
              <w:rPr>
                <w:rFonts w:ascii="Times New Roman"/>
                <w:b/>
                <w:sz w:val="18"/>
              </w:rPr>
              <w:t>100.00%</w:t>
            </w:r>
            <w:r>
              <w:rPr>
                <w:rFonts w:ascii="Times New Roman"/>
                <w:sz w:val="18"/>
              </w:rPr>
            </w:r>
          </w:p>
        </w:tc>
      </w:tr>
    </w:tbl>
    <w:p>
      <w:pPr>
        <w:spacing w:line="240" w:lineRule="auto" w:before="2"/>
        <w:rPr>
          <w:rFonts w:ascii="宋体" w:hAnsi="宋体" w:cs="宋体" w:eastAsia="宋体" w:hint="default"/>
          <w:sz w:val="20"/>
          <w:szCs w:val="20"/>
        </w:rPr>
      </w:pPr>
    </w:p>
    <w:p>
      <w:pPr>
        <w:pStyle w:val="Heading4"/>
        <w:spacing w:line="240" w:lineRule="auto" w:before="36"/>
        <w:ind w:left="618" w:right="0"/>
        <w:jc w:val="left"/>
        <w:rPr>
          <w:b w:val="0"/>
          <w:bCs w:val="0"/>
        </w:rPr>
      </w:pPr>
      <w:r>
        <w:rPr>
          <w:rFonts w:ascii="Calibri" w:hAnsi="Calibri" w:cs="Calibri" w:eastAsia="Calibri" w:hint="default"/>
        </w:rPr>
        <w:t>2.</w:t>
      </w:r>
      <w:r>
        <w:rPr/>
        <w:t>神州信息历次股本及控股权变动情况</w:t>
      </w:r>
      <w:r>
        <w:rPr>
          <w:b w:val="0"/>
          <w:bCs w:val="0"/>
        </w:rPr>
      </w:r>
    </w:p>
    <w:p>
      <w:pPr>
        <w:pStyle w:val="BodyText"/>
        <w:spacing w:line="240" w:lineRule="auto" w:before="110"/>
        <w:ind w:left="513"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1995</w:t>
      </w:r>
      <w:r>
        <w:rPr>
          <w:rFonts w:ascii="Times New Roman" w:hAnsi="Times New Roman" w:cs="Times New Roman" w:eastAsia="Times New Roman" w:hint="default"/>
          <w:spacing w:val="-1"/>
        </w:rPr>
        <w:t> </w:t>
      </w:r>
      <w:r>
        <w:rPr/>
        <w:t>年配股</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1995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月，太光电信召开第二次股东大会，审议同意以未分配利润按每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股送</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股向全体股东送派红股。配股完</w:t>
      </w:r>
    </w:p>
    <w:p>
      <w:pPr>
        <w:spacing w:line="240" w:lineRule="auto" w:before="9"/>
        <w:rPr>
          <w:rFonts w:ascii="宋体" w:hAnsi="宋体" w:cs="宋体" w:eastAsia="宋体" w:hint="default"/>
          <w:sz w:val="16"/>
          <w:szCs w:val="16"/>
        </w:rPr>
      </w:pPr>
    </w:p>
    <w:p>
      <w:pPr>
        <w:pStyle w:val="BodyText"/>
        <w:spacing w:line="240" w:lineRule="auto"/>
        <w:ind w:right="0"/>
        <w:jc w:val="both"/>
      </w:pPr>
      <w:r>
        <w:rPr/>
        <w:t>成后，太光电信总股本增至</w:t>
      </w:r>
      <w:r>
        <w:rPr>
          <w:spacing w:val="-44"/>
        </w:rPr>
        <w:t> </w:t>
      </w:r>
      <w:r>
        <w:rPr>
          <w:rFonts w:ascii="Times New Roman" w:hAnsi="Times New Roman" w:cs="Times New Roman" w:eastAsia="Times New Roman" w:hint="default"/>
        </w:rPr>
        <w:t>8,182.77</w:t>
      </w:r>
      <w:r>
        <w:rPr>
          <w:rFonts w:ascii="Times New Roman" w:hAnsi="Times New Roman" w:cs="Times New Roman" w:eastAsia="Times New Roman" w:hint="default"/>
          <w:spacing w:val="2"/>
        </w:rPr>
        <w:t> </w:t>
      </w:r>
      <w:r>
        <w:rPr/>
        <w:t>万股。</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年股权变更</w:t>
      </w:r>
    </w:p>
    <w:p>
      <w:pPr>
        <w:spacing w:line="240" w:lineRule="auto" w:before="10"/>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2000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月及</w:t>
      </w:r>
      <w:r>
        <w:rPr>
          <w:spacing w:val="-49"/>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月，因无力偿还银行债务，太光电信原第一大股东贵州省凯里涤纶厂持有的</w:t>
      </w:r>
      <w:r>
        <w:rPr>
          <w:spacing w:val="-45"/>
        </w:rPr>
        <w:t> </w:t>
      </w:r>
      <w:r>
        <w:rPr>
          <w:rFonts w:ascii="Times New Roman" w:hAnsi="Times New Roman" w:cs="Times New Roman" w:eastAsia="Times New Roman" w:hint="default"/>
        </w:rPr>
        <w:t>3,565.37 </w:t>
      </w:r>
      <w:r>
        <w:rPr/>
        <w:t>万股太光电信</w:t>
      </w:r>
    </w:p>
    <w:p>
      <w:pPr>
        <w:spacing w:line="240" w:lineRule="auto" w:before="9"/>
        <w:rPr>
          <w:rFonts w:ascii="宋体" w:hAnsi="宋体" w:cs="宋体" w:eastAsia="宋体" w:hint="default"/>
          <w:sz w:val="16"/>
          <w:szCs w:val="16"/>
        </w:rPr>
      </w:pPr>
    </w:p>
    <w:p>
      <w:pPr>
        <w:pStyle w:val="BodyText"/>
        <w:spacing w:line="451" w:lineRule="auto"/>
        <w:ind w:right="1229"/>
        <w:jc w:val="both"/>
      </w:pPr>
      <w:r>
        <w:rPr/>
        <w:t>股份被贵州省高级人民法院分两次进行强制执行，分别变卖给：北京新唐建筑装饰工程有限公司</w:t>
      </w:r>
      <w:r>
        <w:rPr>
          <w:spacing w:val="-47"/>
        </w:rPr>
        <w:t> </w:t>
      </w:r>
      <w:r>
        <w:rPr>
          <w:rFonts w:ascii="Times New Roman" w:hAnsi="Times New Roman" w:cs="Times New Roman" w:eastAsia="Times New Roman" w:hint="default"/>
        </w:rPr>
        <w:t>1,886.14</w:t>
      </w:r>
      <w:r>
        <w:rPr>
          <w:rFonts w:ascii="Times New Roman" w:hAnsi="Times New Roman" w:cs="Times New Roman" w:eastAsia="Times New Roman" w:hint="default"/>
          <w:spacing w:val="-2"/>
        </w:rPr>
        <w:t> </w:t>
      </w:r>
      <w:r>
        <w:rPr/>
        <w:t>万股，占太光电 信股本总额的</w:t>
      </w:r>
      <w:r>
        <w:rPr>
          <w:spacing w:val="-47"/>
        </w:rPr>
        <w:t> </w:t>
      </w:r>
      <w:r>
        <w:rPr>
          <w:rFonts w:ascii="Times New Roman" w:hAnsi="Times New Roman" w:cs="Times New Roman" w:eastAsia="Times New Roman" w:hint="default"/>
        </w:rPr>
        <w:t>23.05%</w:t>
      </w:r>
      <w:r>
        <w:rPr/>
        <w:t>；北京德惠俱乐部有限公司</w:t>
      </w:r>
      <w:r>
        <w:rPr>
          <w:spacing w:val="-46"/>
        </w:rPr>
        <w:t> </w:t>
      </w:r>
      <w:r>
        <w:rPr>
          <w:rFonts w:ascii="Times New Roman" w:hAnsi="Times New Roman" w:cs="Times New Roman" w:eastAsia="Times New Roman" w:hint="default"/>
        </w:rPr>
        <w:t>1,305.23</w:t>
      </w:r>
      <w:r>
        <w:rPr>
          <w:rFonts w:ascii="Times New Roman" w:hAnsi="Times New Roman" w:cs="Times New Roman" w:eastAsia="Times New Roman" w:hint="default"/>
          <w:spacing w:val="1"/>
        </w:rPr>
        <w:t> </w:t>
      </w:r>
      <w:r>
        <w:rPr/>
        <w:t>万股，占太光电信股本总额的</w:t>
      </w:r>
      <w:r>
        <w:rPr>
          <w:spacing w:val="-46"/>
        </w:rPr>
        <w:t> </w:t>
      </w:r>
      <w:r>
        <w:rPr>
          <w:rFonts w:ascii="Times New Roman" w:hAnsi="Times New Roman" w:cs="Times New Roman" w:eastAsia="Times New Roman" w:hint="default"/>
        </w:rPr>
        <w:t>15.95%</w:t>
      </w:r>
      <w:r>
        <w:rPr/>
        <w:t>；广州银鹏经济发展公司 </w:t>
      </w:r>
      <w:r>
        <w:rPr>
          <w:rFonts w:ascii="Times New Roman" w:hAnsi="Times New Roman" w:cs="Times New Roman" w:eastAsia="Times New Roman" w:hint="default"/>
        </w:rPr>
        <w:t>374.00 </w:t>
      </w:r>
      <w:r>
        <w:rPr/>
        <w:t>万股，占太光电信股本总额的</w:t>
      </w:r>
      <w:r>
        <w:rPr>
          <w:spacing w:val="-48"/>
        </w:rPr>
        <w:t> </w:t>
      </w:r>
      <w:r>
        <w:rPr>
          <w:rFonts w:ascii="Times New Roman" w:hAnsi="Times New Roman" w:cs="Times New Roman" w:eastAsia="Times New Roman" w:hint="default"/>
        </w:rPr>
        <w:t>4.57%</w:t>
      </w:r>
      <w:r>
        <w:rPr/>
        <w:t>。</w:t>
      </w:r>
    </w:p>
    <w:p>
      <w:pPr>
        <w:pStyle w:val="BodyText"/>
        <w:spacing w:line="240" w:lineRule="auto" w:before="43"/>
        <w:ind w:left="513" w:right="0"/>
        <w:jc w:val="left"/>
      </w:pPr>
      <w:r>
        <w:rPr>
          <w:rFonts w:ascii="Times New Roman" w:hAnsi="Times New Roman" w:cs="Times New Roman" w:eastAsia="Times New Roman" w:hint="default"/>
        </w:rPr>
        <w:t>2000 </w:t>
      </w:r>
      <w:r>
        <w:rPr/>
        <w:t>年</w:t>
      </w:r>
      <w:r>
        <w:rPr>
          <w:spacing w:val="-48"/>
        </w:rPr>
        <w:t> </w:t>
      </w:r>
      <w:r>
        <w:rPr>
          <w:rFonts w:ascii="Times New Roman" w:hAnsi="Times New Roman" w:cs="Times New Roman" w:eastAsia="Times New Roman" w:hint="default"/>
        </w:rPr>
        <w:t>9 </w:t>
      </w:r>
      <w:r>
        <w:rPr/>
        <w:t>月</w:t>
      </w:r>
      <w:r>
        <w:rPr>
          <w:spacing w:val="-48"/>
        </w:rPr>
        <w:t> </w:t>
      </w:r>
      <w:r>
        <w:rPr>
          <w:rFonts w:ascii="Times New Roman" w:hAnsi="Times New Roman" w:cs="Times New Roman" w:eastAsia="Times New Roman" w:hint="default"/>
        </w:rPr>
        <w:t>7 </w:t>
      </w:r>
      <w:r>
        <w:rPr/>
        <w:t>日，广东金龙基企业有限公司等八家公司股东与深圳市太光科技有限公司签订《股权转让协议》，广东</w:t>
      </w:r>
    </w:p>
    <w:p>
      <w:pPr>
        <w:spacing w:line="240" w:lineRule="auto" w:before="9"/>
        <w:rPr>
          <w:rFonts w:ascii="宋体" w:hAnsi="宋体" w:cs="宋体" w:eastAsia="宋体" w:hint="default"/>
          <w:sz w:val="16"/>
          <w:szCs w:val="16"/>
        </w:rPr>
      </w:pPr>
    </w:p>
    <w:p>
      <w:pPr>
        <w:pStyle w:val="BodyText"/>
        <w:spacing w:line="240" w:lineRule="auto"/>
        <w:ind w:right="0"/>
        <w:jc w:val="both"/>
      </w:pPr>
      <w:r>
        <w:rPr/>
        <w:t>金龙基企业有限公司等八家股东将合计持有的太光电信股份</w:t>
      </w:r>
      <w:r>
        <w:rPr>
          <w:spacing w:val="-47"/>
        </w:rPr>
        <w:t> </w:t>
      </w:r>
      <w:r>
        <w:rPr>
          <w:rFonts w:ascii="Times New Roman" w:hAnsi="Times New Roman" w:cs="Times New Roman" w:eastAsia="Times New Roman" w:hint="default"/>
        </w:rPr>
        <w:t>1,989.71</w:t>
      </w:r>
      <w:r>
        <w:rPr>
          <w:rFonts w:ascii="Times New Roman" w:hAnsi="Times New Roman" w:cs="Times New Roman" w:eastAsia="Times New Roman" w:hint="default"/>
          <w:spacing w:val="-2"/>
        </w:rPr>
        <w:t> </w:t>
      </w:r>
      <w:r>
        <w:rPr/>
        <w:t>万股转让给深圳市太光科技有限公司。</w:t>
      </w:r>
    </w:p>
    <w:p>
      <w:pPr>
        <w:spacing w:after="0" w:line="240" w:lineRule="auto"/>
        <w:jc w:val="both"/>
        <w:sectPr>
          <w:headerReference w:type="default" r:id="rId77"/>
          <w:footerReference w:type="default" r:id="rId78"/>
          <w:pgSz w:w="11910" w:h="16840"/>
          <w:pgMar w:header="916" w:footer="1261" w:top="1120" w:bottom="1460" w:left="980" w:right="0"/>
          <w:pgNumType w:start="142"/>
        </w:sectPr>
      </w:pPr>
    </w:p>
    <w:p>
      <w:pPr>
        <w:spacing w:line="240" w:lineRule="auto" w:before="10"/>
        <w:rPr>
          <w:rFonts w:ascii="宋体" w:hAnsi="宋体" w:cs="宋体" w:eastAsia="宋体" w:hint="default"/>
          <w:sz w:val="26"/>
          <w:szCs w:val="26"/>
        </w:rPr>
      </w:pPr>
    </w:p>
    <w:p>
      <w:pPr>
        <w:pStyle w:val="BodyText"/>
        <w:spacing w:line="240" w:lineRule="auto" w:before="44"/>
        <w:ind w:left="513" w:right="0"/>
        <w:jc w:val="left"/>
      </w:pPr>
      <w:r>
        <w:rPr/>
        <w:t>经过上述股权变动，深圳市太光科技有限公司成为太光电信的控股股东。</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2002</w:t>
      </w:r>
      <w:r>
        <w:rPr>
          <w:rFonts w:ascii="Times New Roman" w:hAnsi="Times New Roman" w:cs="Times New Roman" w:eastAsia="Times New Roman" w:hint="default"/>
          <w:spacing w:val="-4"/>
        </w:rPr>
        <w:t> </w:t>
      </w:r>
      <w:r>
        <w:rPr/>
        <w:t>年太光电信股权变更</w:t>
      </w:r>
    </w:p>
    <w:p>
      <w:pPr>
        <w:spacing w:line="240" w:lineRule="auto" w:before="9"/>
        <w:rPr>
          <w:rFonts w:ascii="宋体" w:hAnsi="宋体" w:cs="宋体" w:eastAsia="宋体" w:hint="default"/>
          <w:sz w:val="16"/>
          <w:szCs w:val="16"/>
        </w:rPr>
      </w:pPr>
    </w:p>
    <w:p>
      <w:pPr>
        <w:pStyle w:val="BodyText"/>
        <w:spacing w:line="451" w:lineRule="auto"/>
        <w:ind w:right="1157" w:firstLine="360"/>
        <w:jc w:val="left"/>
      </w:pP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月，巨龙信息技术有限责任公司收购太光电信第二大股东北京新唐建筑装饰工程有限公司和第三大股东北京 德惠俱乐部有限公司合计所持有的太光电信股份</w:t>
      </w:r>
      <w:r>
        <w:rPr>
          <w:spacing w:val="-47"/>
        </w:rPr>
        <w:t> </w:t>
      </w:r>
      <w:r>
        <w:rPr>
          <w:rFonts w:ascii="Times New Roman" w:hAnsi="Times New Roman" w:cs="Times New Roman" w:eastAsia="Times New Roman" w:hint="default"/>
        </w:rPr>
        <w:t>1,983.37 </w:t>
      </w:r>
      <w:r>
        <w:rPr/>
        <w:t>万股，占太光电信总股本的</w:t>
      </w:r>
      <w:r>
        <w:rPr>
          <w:spacing w:val="-47"/>
        </w:rPr>
        <w:t> </w:t>
      </w:r>
      <w:r>
        <w:rPr>
          <w:rFonts w:ascii="Times New Roman" w:hAnsi="Times New Roman" w:cs="Times New Roman" w:eastAsia="Times New Roman" w:hint="default"/>
        </w:rPr>
        <w:t>24.24%</w:t>
      </w:r>
      <w:r>
        <w:rPr/>
        <w:t>，成为太光电信第二大股东。</w:t>
      </w:r>
    </w:p>
    <w:p>
      <w:pPr>
        <w:pStyle w:val="BodyText"/>
        <w:spacing w:line="240" w:lineRule="auto" w:before="43"/>
        <w:ind w:left="513"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年太光电信股权变更</w:t>
      </w:r>
    </w:p>
    <w:p>
      <w:pPr>
        <w:spacing w:line="240" w:lineRule="auto" w:before="9"/>
        <w:rPr>
          <w:rFonts w:ascii="宋体" w:hAnsi="宋体" w:cs="宋体" w:eastAsia="宋体" w:hint="default"/>
          <w:sz w:val="16"/>
          <w:szCs w:val="16"/>
        </w:rPr>
      </w:pPr>
    </w:p>
    <w:p>
      <w:pPr>
        <w:pStyle w:val="BodyText"/>
        <w:spacing w:line="451" w:lineRule="auto"/>
        <w:ind w:right="1123" w:firstLine="360"/>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月，因欠款纠纷，北京市第二中级人民法院将巨龙信息技术有限责任公司所持太光电信股份</w:t>
      </w:r>
      <w:r>
        <w:rPr>
          <w:spacing w:val="-44"/>
        </w:rPr>
        <w:t> </w:t>
      </w:r>
      <w:r>
        <w:rPr>
          <w:rFonts w:ascii="Times New Roman" w:hAnsi="Times New Roman" w:cs="Times New Roman" w:eastAsia="Times New Roman" w:hint="default"/>
        </w:rPr>
        <w:t>608.37</w:t>
      </w:r>
      <w:r>
        <w:rPr>
          <w:rFonts w:ascii="Times New Roman" w:hAnsi="Times New Roman" w:cs="Times New Roman" w:eastAsia="Times New Roman" w:hint="default"/>
          <w:spacing w:val="1"/>
        </w:rPr>
        <w:t> </w:t>
      </w:r>
      <w:r>
        <w:rPr/>
        <w:t>万股（占 太光电信总股本的</w:t>
      </w:r>
      <w:r>
        <w:rPr>
          <w:spacing w:val="-46"/>
        </w:rPr>
        <w:t> </w:t>
      </w:r>
      <w:r>
        <w:rPr>
          <w:rFonts w:ascii="Times New Roman" w:hAnsi="Times New Roman" w:cs="Times New Roman" w:eastAsia="Times New Roman" w:hint="default"/>
        </w:rPr>
        <w:t>7.44%</w:t>
      </w:r>
      <w:r>
        <w:rPr/>
        <w:t>）公开拍卖，由上海华之达商贸有限公司竞买取得并成为太光电信第三大股东。</w:t>
      </w:r>
    </w:p>
    <w:p>
      <w:pPr>
        <w:pStyle w:val="BodyText"/>
        <w:spacing w:line="240" w:lineRule="auto" w:before="43"/>
        <w:ind w:left="513" w:right="0"/>
        <w:jc w:val="left"/>
      </w:pP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年太光电信控股股东更名</w:t>
      </w:r>
    </w:p>
    <w:p>
      <w:pPr>
        <w:spacing w:line="240" w:lineRule="auto" w:before="10"/>
        <w:rPr>
          <w:rFonts w:ascii="宋体" w:hAnsi="宋体" w:cs="宋体" w:eastAsia="宋体" w:hint="default"/>
          <w:sz w:val="16"/>
          <w:szCs w:val="16"/>
        </w:rPr>
      </w:pPr>
    </w:p>
    <w:p>
      <w:pPr>
        <w:pStyle w:val="BodyText"/>
        <w:spacing w:line="451" w:lineRule="auto"/>
        <w:ind w:right="1263" w:firstLine="360"/>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11 </w:t>
      </w:r>
      <w:r>
        <w:rPr/>
        <w:t>月</w:t>
      </w:r>
      <w:r>
        <w:rPr>
          <w:spacing w:val="-48"/>
        </w:rPr>
        <w:t> </w:t>
      </w:r>
      <w:r>
        <w:rPr>
          <w:rFonts w:ascii="Times New Roman" w:hAnsi="Times New Roman" w:cs="Times New Roman" w:eastAsia="Times New Roman" w:hint="default"/>
        </w:rPr>
        <w:t>9 </w:t>
      </w:r>
      <w:r>
        <w:rPr/>
        <w:t>日，太光电信控股股东深圳市太光科技有限公司更名为深圳市申昌科技有限公司（以下简称深圳申昌 科技）。</w:t>
      </w:r>
    </w:p>
    <w:p>
      <w:pPr>
        <w:pStyle w:val="BodyText"/>
        <w:spacing w:line="240" w:lineRule="auto" w:before="74"/>
        <w:ind w:left="513" w:right="0"/>
        <w:jc w:val="left"/>
      </w:pP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4"/>
        </w:rPr>
        <w:t> </w:t>
      </w:r>
      <w:r>
        <w:rPr/>
        <w:t>年太光电信股权变更</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 </w:t>
      </w:r>
      <w:r>
        <w:rPr/>
        <w:t>月</w:t>
      </w:r>
      <w:r>
        <w:rPr>
          <w:spacing w:val="-48"/>
        </w:rPr>
        <w:t> </w:t>
      </w:r>
      <w:r>
        <w:rPr>
          <w:rFonts w:ascii="Times New Roman" w:hAnsi="Times New Roman" w:cs="Times New Roman" w:eastAsia="Times New Roman" w:hint="default"/>
        </w:rPr>
        <w:t>12 </w:t>
      </w:r>
      <w:r>
        <w:rPr/>
        <w:t>日，太光电信第二大股东巨龙信息技术有限责任公司所持有的太光电信</w:t>
      </w:r>
      <w:r>
        <w:rPr>
          <w:spacing w:val="-45"/>
        </w:rPr>
        <w:t> </w:t>
      </w:r>
      <w:r>
        <w:rPr>
          <w:rFonts w:ascii="Times New Roman" w:hAnsi="Times New Roman" w:cs="Times New Roman" w:eastAsia="Times New Roman" w:hint="default"/>
        </w:rPr>
        <w:t>1,375.00</w:t>
      </w:r>
      <w:r>
        <w:rPr>
          <w:rFonts w:ascii="Times New Roman" w:hAnsi="Times New Roman" w:cs="Times New Roman" w:eastAsia="Times New Roman" w:hint="default"/>
          <w:spacing w:val="1"/>
        </w:rPr>
        <w:t> </w:t>
      </w:r>
      <w:r>
        <w:rPr/>
        <w:t>万股股份被拍卖给四</w:t>
      </w:r>
    </w:p>
    <w:p>
      <w:pPr>
        <w:spacing w:line="240" w:lineRule="auto" w:before="9"/>
        <w:rPr>
          <w:rFonts w:ascii="宋体" w:hAnsi="宋体" w:cs="宋体" w:eastAsia="宋体" w:hint="default"/>
          <w:sz w:val="16"/>
          <w:szCs w:val="16"/>
        </w:rPr>
      </w:pPr>
    </w:p>
    <w:p>
      <w:pPr>
        <w:pStyle w:val="BodyText"/>
        <w:spacing w:line="240" w:lineRule="auto"/>
        <w:ind w:right="0"/>
        <w:jc w:val="left"/>
      </w:pPr>
      <w:r>
        <w:rPr/>
        <w:t>家公司，其中上海锯爱企业发展有限公司购买</w:t>
      </w:r>
      <w:r>
        <w:rPr>
          <w:spacing w:val="-47"/>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1"/>
        </w:rPr>
        <w:t> </w:t>
      </w:r>
      <w:r>
        <w:rPr/>
        <w:t>万股，上海优麦点广告有限公司购买</w:t>
      </w:r>
      <w:r>
        <w:rPr>
          <w:spacing w:val="-47"/>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1"/>
        </w:rPr>
        <w:t> </w:t>
      </w:r>
      <w:r>
        <w:rPr/>
        <w:t>万股，陕西瑞发投资有限</w:t>
      </w:r>
    </w:p>
    <w:p>
      <w:pPr>
        <w:spacing w:line="240" w:lineRule="auto" w:before="9"/>
        <w:rPr>
          <w:rFonts w:ascii="宋体" w:hAnsi="宋体" w:cs="宋体" w:eastAsia="宋体" w:hint="default"/>
          <w:sz w:val="16"/>
          <w:szCs w:val="16"/>
        </w:rPr>
      </w:pPr>
    </w:p>
    <w:p>
      <w:pPr>
        <w:pStyle w:val="BodyText"/>
        <w:spacing w:line="240" w:lineRule="auto"/>
        <w:ind w:right="0"/>
        <w:jc w:val="left"/>
      </w:pPr>
      <w:r>
        <w:rPr/>
        <w:t>公司购买</w:t>
      </w:r>
      <w:r>
        <w:rPr>
          <w:spacing w:val="-48"/>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1"/>
        </w:rPr>
        <w:t> </w:t>
      </w:r>
      <w:r>
        <w:rPr/>
        <w:t>万股，海南合旺实业投资有限公司购买</w:t>
      </w:r>
      <w:r>
        <w:rPr>
          <w:spacing w:val="-47"/>
        </w:rPr>
        <w:t> </w:t>
      </w:r>
      <w:r>
        <w:rPr>
          <w:rFonts w:ascii="Times New Roman" w:hAnsi="Times New Roman" w:cs="Times New Roman" w:eastAsia="Times New Roman" w:hint="default"/>
        </w:rPr>
        <w:t>175.00</w:t>
      </w:r>
      <w:r>
        <w:rPr>
          <w:rFonts w:ascii="Times New Roman" w:hAnsi="Times New Roman" w:cs="Times New Roman" w:eastAsia="Times New Roman" w:hint="default"/>
          <w:spacing w:val="-1"/>
        </w:rPr>
        <w:t> </w:t>
      </w:r>
      <w:r>
        <w:rPr/>
        <w:t>万股。巨龙信息技术有限责任公司不再持有太光电信股份。</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年股权分置改革</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5 </w:t>
      </w:r>
      <w:r>
        <w:rPr/>
        <w:t>月</w:t>
      </w:r>
      <w:r>
        <w:rPr>
          <w:spacing w:val="-48"/>
        </w:rPr>
        <w:t> </w:t>
      </w:r>
      <w:r>
        <w:rPr>
          <w:rFonts w:ascii="Times New Roman" w:hAnsi="Times New Roman" w:cs="Times New Roman" w:eastAsia="Times New Roman" w:hint="default"/>
        </w:rPr>
        <w:t>26 </w:t>
      </w:r>
      <w:r>
        <w:rPr/>
        <w:t>日，太光电信召开</w:t>
      </w:r>
      <w:r>
        <w:rPr>
          <w:spacing w:val="-4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年第二次临时股东大会审议通过了股权分置改革方案：以</w:t>
      </w:r>
      <w:r>
        <w:rPr>
          <w:spacing w:val="-45"/>
        </w:rPr>
        <w:t> </w:t>
      </w:r>
      <w:r>
        <w:rPr>
          <w:rFonts w:ascii="Times New Roman" w:hAnsi="Times New Roman" w:cs="Times New Roman" w:eastAsia="Times New Roman" w:hint="default"/>
        </w:rPr>
        <w:t>2005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 </w:t>
      </w:r>
      <w:r>
        <w:rPr/>
        <w:t>日</w:t>
      </w:r>
    </w:p>
    <w:p>
      <w:pPr>
        <w:spacing w:line="240" w:lineRule="auto" w:before="10"/>
        <w:rPr>
          <w:rFonts w:ascii="宋体" w:hAnsi="宋体" w:cs="宋体" w:eastAsia="宋体" w:hint="default"/>
          <w:sz w:val="16"/>
          <w:szCs w:val="16"/>
        </w:rPr>
      </w:pPr>
    </w:p>
    <w:p>
      <w:pPr>
        <w:pStyle w:val="BodyText"/>
        <w:spacing w:line="240" w:lineRule="auto"/>
        <w:ind w:right="0"/>
        <w:jc w:val="left"/>
      </w:pPr>
      <w:r>
        <w:rPr/>
        <w:t>流通股</w:t>
      </w:r>
      <w:r>
        <w:rPr>
          <w:spacing w:val="-47"/>
        </w:rPr>
        <w:t> </w:t>
      </w:r>
      <w:r>
        <w:rPr>
          <w:rFonts w:ascii="Times New Roman" w:hAnsi="Times New Roman" w:cs="Times New Roman" w:eastAsia="Times New Roman" w:hint="default"/>
        </w:rPr>
        <w:t>2,200.00 </w:t>
      </w:r>
      <w:r>
        <w:rPr/>
        <w:t>万股为基数，按每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股的比例，以资本公积金向全体流通股股东转增股本。股权分置改革完成</w:t>
      </w:r>
    </w:p>
    <w:p>
      <w:pPr>
        <w:spacing w:line="240" w:lineRule="auto" w:before="9"/>
        <w:rPr>
          <w:rFonts w:ascii="宋体" w:hAnsi="宋体" w:cs="宋体" w:eastAsia="宋体" w:hint="default"/>
          <w:sz w:val="16"/>
          <w:szCs w:val="16"/>
        </w:rPr>
      </w:pPr>
    </w:p>
    <w:p>
      <w:pPr>
        <w:pStyle w:val="BodyText"/>
        <w:spacing w:line="240" w:lineRule="auto"/>
        <w:ind w:right="0"/>
        <w:jc w:val="left"/>
      </w:pPr>
      <w:r>
        <w:rPr/>
        <w:t>后，太光电信总股本增至</w:t>
      </w:r>
      <w:r>
        <w:rPr>
          <w:spacing w:val="-46"/>
        </w:rPr>
        <w:t> </w:t>
      </w:r>
      <w:r>
        <w:rPr>
          <w:rFonts w:ascii="Times New Roman" w:hAnsi="Times New Roman" w:cs="Times New Roman" w:eastAsia="Times New Roman" w:hint="default"/>
        </w:rPr>
        <w:t>9,062.77</w:t>
      </w:r>
      <w:r>
        <w:rPr>
          <w:rFonts w:ascii="Times New Roman" w:hAnsi="Times New Roman" w:cs="Times New Roman" w:eastAsia="Times New Roman" w:hint="default"/>
          <w:spacing w:val="2"/>
        </w:rPr>
        <w:t> </w:t>
      </w:r>
      <w:r>
        <w:rPr/>
        <w:t>万股。</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年太光电信控股股东更名</w:t>
      </w:r>
    </w:p>
    <w:p>
      <w:pPr>
        <w:spacing w:line="240" w:lineRule="auto" w:before="9"/>
        <w:rPr>
          <w:rFonts w:ascii="宋体" w:hAnsi="宋体" w:cs="宋体" w:eastAsia="宋体" w:hint="default"/>
          <w:sz w:val="16"/>
          <w:szCs w:val="16"/>
        </w:rPr>
      </w:pPr>
    </w:p>
    <w:p>
      <w:pPr>
        <w:pStyle w:val="BodyText"/>
        <w:spacing w:line="240" w:lineRule="auto"/>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 </w:t>
      </w:r>
      <w:r>
        <w:rPr/>
        <w:t>月</w:t>
      </w:r>
      <w:r>
        <w:rPr>
          <w:spacing w:val="-48"/>
        </w:rPr>
        <w:t> </w:t>
      </w:r>
      <w:r>
        <w:rPr>
          <w:rFonts w:ascii="Times New Roman" w:hAnsi="Times New Roman" w:cs="Times New Roman" w:eastAsia="Times New Roman" w:hint="default"/>
        </w:rPr>
        <w:t>8 </w:t>
      </w:r>
      <w:r>
        <w:rPr/>
        <w:t>日，太光电信控股股东深圳申昌科技更名为昆山市申昌科技有限公司（以下简称申昌科技）。截至</w:t>
      </w:r>
      <w:r>
        <w:rPr>
          <w:spacing w:val="-44"/>
        </w:rPr>
        <w:t> </w:t>
      </w:r>
      <w:r>
        <w:rPr>
          <w:rFonts w:ascii="Times New Roman" w:hAnsi="Times New Roman" w:cs="Times New Roman" w:eastAsia="Times New Roman" w:hint="default"/>
        </w:rPr>
        <w:t>2013</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left"/>
      </w:pP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日前，申昌科技持有太光电信</w:t>
      </w:r>
      <w:r>
        <w:rPr>
          <w:spacing w:val="-46"/>
        </w:rPr>
        <w:t> </w:t>
      </w:r>
      <w:r>
        <w:rPr>
          <w:rFonts w:ascii="Times New Roman" w:hAnsi="Times New Roman" w:cs="Times New Roman" w:eastAsia="Times New Roman" w:hint="default"/>
        </w:rPr>
        <w:t>1,989.71 </w:t>
      </w:r>
      <w:r>
        <w:rPr/>
        <w:t>万股，持股比例</w:t>
      </w:r>
      <w:r>
        <w:rPr>
          <w:spacing w:val="-47"/>
        </w:rPr>
        <w:t> </w:t>
      </w:r>
      <w:r>
        <w:rPr>
          <w:rFonts w:ascii="Times New Roman" w:hAnsi="Times New Roman" w:cs="Times New Roman" w:eastAsia="Times New Roman" w:hint="default"/>
        </w:rPr>
        <w:t>21.95%</w:t>
      </w:r>
      <w:r>
        <w:rPr/>
        <w:t>。</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年度重大资产重组</w:t>
      </w:r>
    </w:p>
    <w:p>
      <w:pPr>
        <w:spacing w:line="240" w:lineRule="auto" w:before="9"/>
        <w:rPr>
          <w:rFonts w:ascii="宋体" w:hAnsi="宋体" w:cs="宋体" w:eastAsia="宋体" w:hint="default"/>
          <w:sz w:val="16"/>
          <w:szCs w:val="16"/>
        </w:rPr>
      </w:pPr>
    </w:p>
    <w:p>
      <w:pPr>
        <w:pStyle w:val="BodyText"/>
        <w:spacing w:line="463" w:lineRule="auto"/>
        <w:ind w:right="1125" w:firstLine="360"/>
        <w:jc w:val="left"/>
      </w:pPr>
      <w:r>
        <w:rPr/>
        <w:t>根据太光电信</w:t>
      </w:r>
      <w:r>
        <w:rPr>
          <w:spacing w:val="-47"/>
        </w:rPr>
        <w:t> </w:t>
      </w:r>
      <w:r>
        <w:rPr>
          <w:rFonts w:ascii="Times New Roman" w:hAnsi="Times New Roman" w:cs="Times New Roman" w:eastAsia="Times New Roman" w:hint="default"/>
        </w:rPr>
        <w:t>2013 </w:t>
      </w:r>
      <w:r>
        <w:rPr/>
        <w:t>年第二次临时股东大会决议通过的《关于公司吸收合并神州信息并募集配套资金构成重大资产重组 且构成关联交易的议案》、《关于公司吸收合并神州信息并募集配套资金具体方案的议案（修订）》、《关于公司与申昌 科技签署</w:t>
      </w:r>
      <w:r>
        <w:rPr>
          <w:rFonts w:ascii="Times New Roman" w:hAnsi="Times New Roman" w:cs="Times New Roman" w:eastAsia="Times New Roman" w:hint="default"/>
        </w:rPr>
        <w:t>&lt;</w:t>
      </w:r>
      <w:r>
        <w:rPr/>
        <w:t>关于深圳市太光电信股份有限公司向特定对象发行股份之股份认购协议</w:t>
      </w:r>
      <w:r>
        <w:rPr>
          <w:rFonts w:ascii="Times New Roman" w:hAnsi="Times New Roman" w:cs="Times New Roman" w:eastAsia="Times New Roman" w:hint="default"/>
        </w:rPr>
        <w:t>&gt;</w:t>
      </w:r>
      <w:r>
        <w:rPr/>
        <w:t>的议案》、《关于公司与神州信息签署 的</w:t>
      </w:r>
      <w:r>
        <w:rPr>
          <w:rFonts w:ascii="Times New Roman" w:hAnsi="Times New Roman" w:cs="Times New Roman" w:eastAsia="Times New Roman" w:hint="default"/>
        </w:rPr>
        <w:t>&lt;</w:t>
      </w:r>
      <w:r>
        <w:rPr/>
        <w:t>吸收合并协议</w:t>
      </w:r>
      <w:r>
        <w:rPr>
          <w:rFonts w:ascii="Times New Roman" w:hAnsi="Times New Roman" w:cs="Times New Roman" w:eastAsia="Times New Roman" w:hint="default"/>
        </w:rPr>
        <w:t>&gt;</w:t>
      </w:r>
      <w:r>
        <w:rPr/>
        <w:t>及其补充协议的议案》，并经中国证券监督管理委员会证监许可</w:t>
      </w:r>
      <w:r>
        <w:rPr>
          <w:rFonts w:ascii="Times New Roman" w:hAnsi="Times New Roman" w:cs="Times New Roman" w:eastAsia="Times New Roman" w:hint="default"/>
        </w:rPr>
        <w:t>[2013]1578 </w:t>
      </w:r>
      <w:r>
        <w:rPr/>
        <w:t>号《关于核准深圳市太光电 信股份有限公司吸收合并神州数码信息服务股份有限公司并募集配套资金的批复》的核准，太光电信向神州信息的股东神 州数码软件有限公司（以下简称神码软件）、天津信锐投资合伙企业（有限合伙）（以下简称天津信锐）、中新苏州工业 园区创业投资有限公司（以下简称中新创投）、</w:t>
      </w:r>
      <w:r>
        <w:rPr>
          <w:rFonts w:ascii="Times New Roman" w:hAnsi="Times New Roman" w:cs="Times New Roman" w:eastAsia="Times New Roman" w:hint="default"/>
        </w:rPr>
        <w:t>Infinity I-China Investments (Israel),</w:t>
      </w:r>
      <w:r>
        <w:rPr>
          <w:rFonts w:ascii="Times New Roman" w:hAnsi="Times New Roman" w:cs="Times New Roman" w:eastAsia="Times New Roman" w:hint="default"/>
          <w:spacing w:val="-11"/>
        </w:rPr>
        <w:t> </w:t>
      </w:r>
      <w:r>
        <w:rPr>
          <w:rFonts w:ascii="Times New Roman" w:hAnsi="Times New Roman" w:cs="Times New Roman" w:eastAsia="Times New Roman" w:hint="default"/>
        </w:rPr>
        <w:t>L.P.</w:t>
      </w:r>
      <w:r>
        <w:rPr/>
        <w:t>（以下简称华亿投资）、南京汇庆</w:t>
      </w:r>
    </w:p>
    <w:p>
      <w:pPr>
        <w:spacing w:after="0" w:line="463"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240" w:lineRule="auto" w:before="44"/>
        <w:ind w:right="0"/>
        <w:jc w:val="left"/>
      </w:pPr>
      <w:r>
        <w:rPr/>
        <w:t>天下科技有限公司（以下简称南京汇庆）发行</w:t>
      </w:r>
      <w:r>
        <w:rPr>
          <w:spacing w:val="-48"/>
        </w:rPr>
        <w:t> </w:t>
      </w:r>
      <w:r>
        <w:rPr>
          <w:rFonts w:ascii="Times New Roman" w:hAnsi="Times New Roman" w:cs="Times New Roman" w:eastAsia="Times New Roman" w:hint="default"/>
        </w:rPr>
        <w:t>319,399,894.00</w:t>
      </w:r>
      <w:r>
        <w:rPr>
          <w:rFonts w:ascii="Times New Roman" w:hAnsi="Times New Roman" w:cs="Times New Roman" w:eastAsia="Times New Roman" w:hint="default"/>
          <w:spacing w:val="-1"/>
        </w:rPr>
        <w:t> </w:t>
      </w:r>
      <w:r>
        <w:rPr/>
        <w:t>股股份（每股面值人民币</w:t>
      </w:r>
      <w:r>
        <w:rPr>
          <w:spacing w:val="-48"/>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元）吸收合并神州信息，向控</w:t>
      </w:r>
    </w:p>
    <w:p>
      <w:pPr>
        <w:spacing w:line="240" w:lineRule="auto" w:before="9"/>
        <w:rPr>
          <w:rFonts w:ascii="宋体" w:hAnsi="宋体" w:cs="宋体" w:eastAsia="宋体" w:hint="default"/>
          <w:sz w:val="16"/>
          <w:szCs w:val="16"/>
        </w:rPr>
      </w:pPr>
    </w:p>
    <w:p>
      <w:pPr>
        <w:pStyle w:val="BodyText"/>
        <w:spacing w:line="240" w:lineRule="auto"/>
        <w:ind w:right="0"/>
        <w:jc w:val="left"/>
      </w:pPr>
      <w:r>
        <w:rPr/>
        <w:t>股股东申昌科技发行新股</w:t>
      </w:r>
      <w:r>
        <w:rPr>
          <w:spacing w:val="-48"/>
        </w:rPr>
        <w:t> </w:t>
      </w:r>
      <w:r>
        <w:rPr>
          <w:rFonts w:ascii="Times New Roman" w:hAnsi="Times New Roman" w:cs="Times New Roman" w:eastAsia="Times New Roman" w:hint="default"/>
        </w:rPr>
        <w:t>21,186,440.00 </w:t>
      </w:r>
      <w:r>
        <w:rPr/>
        <w:t>股募集配套资金，并申请增加注册资本人民币</w:t>
      </w:r>
      <w:r>
        <w:rPr>
          <w:spacing w:val="-47"/>
        </w:rPr>
        <w:t> </w:t>
      </w:r>
      <w:r>
        <w:rPr>
          <w:rFonts w:ascii="Times New Roman" w:hAnsi="Times New Roman" w:cs="Times New Roman" w:eastAsia="Times New Roman" w:hint="default"/>
        </w:rPr>
        <w:t>340,586,334.00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16"/>
          <w:szCs w:val="16"/>
        </w:rPr>
      </w:pPr>
    </w:p>
    <w:p>
      <w:pPr>
        <w:pStyle w:val="BodyText"/>
        <w:spacing w:line="458" w:lineRule="auto"/>
        <w:ind w:right="1169" w:firstLine="360"/>
        <w:jc w:val="left"/>
      </w:pPr>
      <w:r>
        <w:rPr/>
        <w:t>根据《吸收合并协议》及补充协议，太光电信向神州信息股东发行股份</w:t>
      </w:r>
      <w:r>
        <w:rPr>
          <w:spacing w:val="-47"/>
        </w:rPr>
        <w:t> </w:t>
      </w:r>
      <w:r>
        <w:rPr>
          <w:rFonts w:ascii="Times New Roman" w:hAnsi="Times New Roman" w:cs="Times New Roman" w:eastAsia="Times New Roman" w:hint="default"/>
        </w:rPr>
        <w:t>319,399,894.00 </w:t>
      </w:r>
      <w:r>
        <w:rPr/>
        <w:t>股（发行价格为</w:t>
      </w:r>
      <w:r>
        <w:rPr>
          <w:spacing w:val="-48"/>
        </w:rPr>
        <w:t> </w:t>
      </w:r>
      <w:r>
        <w:rPr>
          <w:rFonts w:ascii="Times New Roman" w:hAnsi="Times New Roman" w:cs="Times New Roman" w:eastAsia="Times New Roman" w:hint="default"/>
        </w:rPr>
        <w:t>9.44</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 用以支付吸收合并之对价；神州信息股东神码软件、天津信锐、中新创投、华亿投资、南京汇庆以其持有的神州信息的全 部资产、负债及业务认购</w:t>
      </w:r>
      <w:r>
        <w:rPr>
          <w:spacing w:val="-47"/>
        </w:rPr>
        <w:t> </w:t>
      </w:r>
      <w:r>
        <w:rPr>
          <w:rFonts w:ascii="Times New Roman" w:hAnsi="Times New Roman" w:cs="Times New Roman" w:eastAsia="Times New Roman" w:hint="default"/>
        </w:rPr>
        <w:t>319,399,894.00</w:t>
      </w:r>
      <w:r>
        <w:rPr>
          <w:rFonts w:ascii="Times New Roman" w:hAnsi="Times New Roman" w:cs="Times New Roman" w:eastAsia="Times New Roman" w:hint="default"/>
          <w:spacing w:val="1"/>
        </w:rPr>
        <w:t> </w:t>
      </w:r>
      <w:r>
        <w:rPr/>
        <w:t>股股份。太光电信向控股股东申昌科技发行股份募集配套资金的发行价格与向神 州信息股东发行股份价格一致。</w:t>
      </w:r>
    </w:p>
    <w:p>
      <w:pPr>
        <w:pStyle w:val="BodyText"/>
        <w:spacing w:line="463" w:lineRule="auto" w:before="68"/>
        <w:ind w:right="1231" w:firstLine="36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17 </w:t>
      </w:r>
      <w:r>
        <w:rPr/>
        <w:t>日，太光电信与神州信息签署《资产交割确认书》，自资产交割日</w:t>
      </w:r>
      <w:r>
        <w:rPr>
          <w:spacing w:val="-4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17 </w:t>
      </w:r>
      <w:r>
        <w:rPr/>
        <w:t>日起，神州信息 的全部资产、负债、业务由太光电信享有和承担；神州信息的业务随资产、负债转由太光电信承担，由此产生的收益、风 险由太光电信承担。</w:t>
      </w:r>
    </w:p>
    <w:p>
      <w:pPr>
        <w:pStyle w:val="BodyText"/>
        <w:spacing w:line="240" w:lineRule="auto" w:before="65"/>
        <w:ind w:left="513" w:right="0"/>
        <w:jc w:val="left"/>
      </w:pPr>
      <w:r>
        <w:rPr>
          <w:rFonts w:ascii="Times New Roman" w:hAnsi="Times New Roman" w:cs="Times New Roman" w:eastAsia="Times New Roman" w:hint="default"/>
        </w:rPr>
        <w:t>2013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日，太光电信在资产过户完成后即向中国证券登记结算有限责任公司深圳分公司申请办理增发股份登</w:t>
      </w:r>
    </w:p>
    <w:p>
      <w:pPr>
        <w:spacing w:line="240" w:lineRule="auto" w:before="9"/>
        <w:rPr>
          <w:rFonts w:ascii="宋体" w:hAnsi="宋体" w:cs="宋体" w:eastAsia="宋体" w:hint="default"/>
          <w:sz w:val="16"/>
          <w:szCs w:val="16"/>
        </w:rPr>
      </w:pPr>
    </w:p>
    <w:p>
      <w:pPr>
        <w:pStyle w:val="BodyText"/>
        <w:spacing w:line="240" w:lineRule="auto"/>
        <w:ind w:right="0"/>
        <w:jc w:val="left"/>
      </w:pPr>
      <w:r>
        <w:rPr/>
        <w:t>记事项，新发股份于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30 </w:t>
      </w:r>
      <w:r>
        <w:rPr/>
        <w:t>日正式上市。</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9"/>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日，太光电信注册资本变更为</w:t>
      </w:r>
      <w:r>
        <w:rPr>
          <w:spacing w:val="-47"/>
        </w:rPr>
        <w:t> </w:t>
      </w:r>
      <w:r>
        <w:rPr>
          <w:rFonts w:ascii="Times New Roman" w:hAnsi="Times New Roman" w:cs="Times New Roman" w:eastAsia="Times New Roman" w:hint="default"/>
        </w:rPr>
        <w:t>431,214,014.00 </w:t>
      </w:r>
      <w:r>
        <w:rPr/>
        <w:t>元，并业经信永中和会计师事务所出具的</w:t>
      </w:r>
    </w:p>
    <w:p>
      <w:pPr>
        <w:spacing w:line="240" w:lineRule="auto" w:before="9"/>
        <w:rPr>
          <w:rFonts w:ascii="宋体" w:hAnsi="宋体" w:cs="宋体" w:eastAsia="宋体" w:hint="default"/>
          <w:sz w:val="16"/>
          <w:szCs w:val="16"/>
        </w:rPr>
      </w:pPr>
    </w:p>
    <w:p>
      <w:pPr>
        <w:pStyle w:val="BodyText"/>
        <w:spacing w:line="451" w:lineRule="auto"/>
        <w:ind w:left="513" w:right="1213" w:hanging="360"/>
        <w:jc w:val="left"/>
      </w:pPr>
      <w:r>
        <w:rPr>
          <w:rFonts w:ascii="Times New Roman" w:hAnsi="Times New Roman" w:cs="Times New Roman" w:eastAsia="Times New Roman" w:hint="default"/>
        </w:rPr>
        <w:t>XYZH/2012A1055-8 </w:t>
      </w:r>
      <w:r>
        <w:rPr/>
        <w:t>号《验资报告》验证。 太光电信吸收合并完成前控股股东为昆山市申昌科技有限公司；吸收合并完成后控股股东变更为神州数码软件有限公</w:t>
      </w:r>
    </w:p>
    <w:p>
      <w:pPr>
        <w:pStyle w:val="BodyText"/>
        <w:spacing w:line="240" w:lineRule="auto" w:before="74"/>
        <w:ind w:right="0"/>
        <w:jc w:val="left"/>
      </w:pPr>
      <w:r>
        <w:rPr/>
        <w:t>司（持股比例</w:t>
      </w:r>
      <w:r>
        <w:rPr>
          <w:spacing w:val="-44"/>
        </w:rPr>
        <w:t> </w:t>
      </w:r>
      <w:r>
        <w:rPr>
          <w:rFonts w:ascii="Times New Roman" w:hAnsi="Times New Roman" w:cs="Times New Roman" w:eastAsia="Times New Roman" w:hint="default"/>
        </w:rPr>
        <w:t>45.17%</w:t>
      </w:r>
      <w:r>
        <w:rPr/>
        <w:t>）。</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2014 </w:t>
      </w:r>
      <w:r>
        <w:rPr/>
        <w:t>年</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日，经国家工商总局和深圳市市场监督管理局核准，太光电信完成了工商变更登记手续，公司名称由</w:t>
      </w:r>
    </w:p>
    <w:p>
      <w:pPr>
        <w:spacing w:line="240" w:lineRule="auto" w:before="10"/>
        <w:rPr>
          <w:rFonts w:ascii="宋体" w:hAnsi="宋体" w:cs="宋体" w:eastAsia="宋体" w:hint="default"/>
          <w:sz w:val="16"/>
          <w:szCs w:val="16"/>
        </w:rPr>
      </w:pPr>
    </w:p>
    <w:p>
      <w:pPr>
        <w:pStyle w:val="BodyText"/>
        <w:spacing w:line="451" w:lineRule="auto"/>
        <w:ind w:right="1259"/>
        <w:jc w:val="left"/>
      </w:pPr>
      <w:r>
        <w:rPr>
          <w:rFonts w:ascii="Times New Roman" w:hAnsi="Times New Roman" w:cs="Times New Roman" w:eastAsia="Times New Roman" w:hint="default"/>
        </w:rPr>
        <w:t>“</w:t>
      </w:r>
      <w:r>
        <w:rPr/>
        <w:t>深圳市太光电信股份有限公司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神州数码信息服务股份有限公司</w:t>
      </w:r>
      <w:r>
        <w:rPr>
          <w:rFonts w:ascii="Times New Roman" w:hAnsi="Times New Roman" w:cs="Times New Roman" w:eastAsia="Times New Roman" w:hint="default"/>
        </w:rPr>
        <w:t>”</w:t>
      </w:r>
      <w:r>
        <w:rPr/>
        <w:t>（以</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2 </w:t>
      </w:r>
      <w:r>
        <w:rPr/>
        <w:t>月</w:t>
      </w:r>
      <w:r>
        <w:rPr>
          <w:spacing w:val="-48"/>
        </w:rPr>
        <w:t> </w:t>
      </w:r>
      <w:r>
        <w:rPr>
          <w:rFonts w:ascii="Times New Roman" w:hAnsi="Times New Roman" w:cs="Times New Roman" w:eastAsia="Times New Roman" w:hint="default"/>
        </w:rPr>
        <w:t>26 </w:t>
      </w:r>
      <w:r>
        <w:rPr/>
        <w:t>日为界限，之前公司名称为 </w:t>
      </w:r>
      <w:r>
        <w:rPr>
          <w:rFonts w:ascii="Times New Roman" w:hAnsi="Times New Roman" w:cs="Times New Roman" w:eastAsia="Times New Roman" w:hint="default"/>
        </w:rPr>
        <w:t>“</w:t>
      </w:r>
      <w:r>
        <w:rPr/>
        <w:t>深圳市太光电信股份有限公司</w:t>
      </w:r>
      <w:r>
        <w:rPr>
          <w:rFonts w:ascii="Times New Roman" w:hAnsi="Times New Roman" w:cs="Times New Roman" w:eastAsia="Times New Roman" w:hint="default"/>
        </w:rPr>
        <w:t>”</w:t>
      </w:r>
      <w:r>
        <w:rPr/>
        <w:t>，之后公司名称为</w:t>
      </w:r>
      <w:r>
        <w:rPr>
          <w:rFonts w:ascii="Times New Roman" w:hAnsi="Times New Roman" w:cs="Times New Roman" w:eastAsia="Times New Roman" w:hint="default"/>
        </w:rPr>
        <w:t>“</w:t>
      </w:r>
      <w:r>
        <w:rPr/>
        <w:t>神州数码信息服务股份有限公司</w:t>
      </w:r>
      <w:r>
        <w:rPr>
          <w:rFonts w:ascii="Times New Roman" w:hAnsi="Times New Roman" w:cs="Times New Roman" w:eastAsia="Times New Roman" w:hint="default"/>
        </w:rPr>
        <w:t>”</w:t>
      </w:r>
      <w:r>
        <w:rPr/>
        <w:t>），法定代表人由</w:t>
      </w:r>
      <w:r>
        <w:rPr>
          <w:rFonts w:ascii="Times New Roman" w:hAnsi="Times New Roman" w:cs="Times New Roman" w:eastAsia="Times New Roman" w:hint="default"/>
        </w:rPr>
        <w:t>“</w:t>
      </w:r>
      <w:r>
        <w:rPr/>
        <w:t>宋波</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郭 为</w:t>
      </w:r>
      <w:r>
        <w:rPr>
          <w:rFonts w:ascii="Times New Roman" w:hAnsi="Times New Roman" w:cs="Times New Roman" w:eastAsia="Times New Roman" w:hint="default"/>
        </w:rPr>
        <w:t>”</w:t>
      </w:r>
      <w:r>
        <w:rPr/>
        <w:t>。</w:t>
      </w:r>
    </w:p>
    <w:p>
      <w:pPr>
        <w:pStyle w:val="BodyText"/>
        <w:spacing w:line="240" w:lineRule="auto" w:before="43"/>
        <w:ind w:left="513" w:right="0"/>
        <w:jc w:val="left"/>
      </w:pP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年度发行股份及支付现金购买资产事项</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根据神州信息第六届董事会</w:t>
      </w:r>
      <w:r>
        <w:rPr>
          <w:spacing w:val="-46"/>
        </w:rPr>
        <w:t> </w:t>
      </w:r>
      <w:r>
        <w:rPr>
          <w:rFonts w:ascii="Times New Roman" w:hAnsi="Times New Roman" w:cs="Times New Roman" w:eastAsia="Times New Roman" w:hint="default"/>
        </w:rPr>
        <w:t>2014 </w:t>
      </w:r>
      <w:r>
        <w:rPr/>
        <w:t>年第七次临时会议决议通过的《关于公司向特定对象发行股份购买资产并募集配套资</w:t>
      </w:r>
    </w:p>
    <w:p>
      <w:pPr>
        <w:spacing w:line="240" w:lineRule="auto" w:before="9"/>
        <w:rPr>
          <w:rFonts w:ascii="宋体" w:hAnsi="宋体" w:cs="宋体" w:eastAsia="宋体" w:hint="default"/>
          <w:sz w:val="16"/>
          <w:szCs w:val="16"/>
        </w:rPr>
      </w:pPr>
    </w:p>
    <w:p>
      <w:pPr>
        <w:pStyle w:val="BodyText"/>
        <w:spacing w:line="468" w:lineRule="auto"/>
        <w:ind w:right="1227"/>
        <w:jc w:val="both"/>
      </w:pPr>
      <w:r>
        <w:rPr/>
        <w:t>金方案的议案》、第六届董事会</w:t>
      </w:r>
      <w:r>
        <w:rPr>
          <w:spacing w:val="-46"/>
        </w:rPr>
        <w:t> </w:t>
      </w:r>
      <w:r>
        <w:rPr>
          <w:rFonts w:ascii="Times New Roman" w:hAnsi="Times New Roman" w:cs="Times New Roman" w:eastAsia="Times New Roman" w:hint="default"/>
        </w:rPr>
        <w:t>2014 </w:t>
      </w:r>
      <w:r>
        <w:rPr/>
        <w:t>年第九次临时会议决议及</w:t>
      </w:r>
      <w:r>
        <w:rPr>
          <w:spacing w:val="-47"/>
        </w:rPr>
        <w:t> </w:t>
      </w:r>
      <w:r>
        <w:rPr>
          <w:rFonts w:ascii="Times New Roman" w:hAnsi="Times New Roman" w:cs="Times New Roman" w:eastAsia="Times New Roman" w:hint="default"/>
        </w:rPr>
        <w:t>2014 </w:t>
      </w:r>
      <w:r>
        <w:rPr/>
        <w:t>年度第四次临时股东大会决议通过的《关于公司向特 定对象发行股份购买资产并募集配套资金方案的议案（修订）》及神州信息与北京中农信达信息技术有限公司（以下简称 中农信达）全体股东签署的《发行股份及支付现金购买资产协议》与《发行股份及支付现金购买资产协议之补充协议》， 神州信息拟购买中农信达</w:t>
      </w:r>
      <w:r>
        <w:rPr>
          <w:spacing w:val="-46"/>
        </w:rPr>
        <w:t> </w:t>
      </w:r>
      <w:r>
        <w:rPr>
          <w:rFonts w:ascii="Times New Roman" w:hAnsi="Times New Roman" w:cs="Times New Roman" w:eastAsia="Times New Roman" w:hint="default"/>
        </w:rPr>
        <w:t>100.00%</w:t>
      </w:r>
      <w:r>
        <w:rPr/>
        <w:t>股权。</w:t>
      </w:r>
    </w:p>
    <w:p>
      <w:pPr>
        <w:pStyle w:val="BodyText"/>
        <w:spacing w:line="451" w:lineRule="auto" w:before="29"/>
        <w:ind w:right="1135" w:firstLine="360"/>
        <w:jc w:val="left"/>
      </w:pPr>
      <w:r>
        <w:rPr/>
        <w:t>中国证券监督管理委员会下发证监许可</w:t>
      </w:r>
      <w:r>
        <w:rPr>
          <w:rFonts w:ascii="Times New Roman" w:hAnsi="Times New Roman" w:cs="Times New Roman" w:eastAsia="Times New Roman" w:hint="default"/>
        </w:rPr>
        <w:t>[2014]1258 </w:t>
      </w:r>
      <w:r>
        <w:rPr/>
        <w:t>号《关于核准神州数码信息服务股份有限公司向冯健刚等发行股份 购买资产并募集配套资金的批复》，核准神州信息向冯健刚发行</w:t>
      </w:r>
      <w:r>
        <w:rPr>
          <w:spacing w:val="-49"/>
        </w:rPr>
        <w:t> </w:t>
      </w:r>
      <w:r>
        <w:rPr>
          <w:rFonts w:ascii="Times New Roman" w:hAnsi="Times New Roman" w:cs="Times New Roman" w:eastAsia="Times New Roman" w:hint="default"/>
        </w:rPr>
        <w:t>6,073,988.00</w:t>
      </w:r>
      <w:r>
        <w:rPr>
          <w:rFonts w:ascii="Times New Roman" w:hAnsi="Times New Roman" w:cs="Times New Roman" w:eastAsia="Times New Roman" w:hint="default"/>
          <w:spacing w:val="-2"/>
        </w:rPr>
        <w:t> </w:t>
      </w:r>
      <w:r>
        <w:rPr/>
        <w:t>股股份、向王宇飞发行</w:t>
      </w:r>
      <w:r>
        <w:rPr>
          <w:spacing w:val="-49"/>
        </w:rPr>
        <w:t> </w:t>
      </w:r>
      <w:r>
        <w:rPr>
          <w:rFonts w:ascii="Times New Roman" w:hAnsi="Times New Roman" w:cs="Times New Roman" w:eastAsia="Times New Roman" w:hint="default"/>
        </w:rPr>
        <w:t>5,540,462.00</w:t>
      </w:r>
      <w:r>
        <w:rPr>
          <w:rFonts w:ascii="Times New Roman" w:hAnsi="Times New Roman" w:cs="Times New Roman" w:eastAsia="Times New Roman" w:hint="default"/>
          <w:spacing w:val="-2"/>
        </w:rPr>
        <w:t> </w:t>
      </w:r>
      <w:r>
        <w:rPr/>
        <w:t>股股份、</w:t>
      </w:r>
    </w:p>
    <w:p>
      <w:pPr>
        <w:pStyle w:val="BodyText"/>
        <w:spacing w:line="240" w:lineRule="auto" w:before="43"/>
        <w:ind w:right="0"/>
        <w:jc w:val="left"/>
      </w:pPr>
      <w:r>
        <w:rPr/>
        <w:t>向张丹丹发行</w:t>
      </w:r>
      <w:r>
        <w:rPr>
          <w:spacing w:val="-48"/>
        </w:rPr>
        <w:t> </w:t>
      </w:r>
      <w:r>
        <w:rPr>
          <w:rFonts w:ascii="Times New Roman" w:hAnsi="Times New Roman" w:cs="Times New Roman" w:eastAsia="Times New Roman" w:hint="default"/>
        </w:rPr>
        <w:t>4,432,369.00 </w:t>
      </w:r>
      <w:r>
        <w:rPr/>
        <w:t>股股份、向贺胜龙发行</w:t>
      </w:r>
      <w:r>
        <w:rPr>
          <w:spacing w:val="-47"/>
        </w:rPr>
        <w:t> </w:t>
      </w:r>
      <w:r>
        <w:rPr>
          <w:rFonts w:ascii="Times New Roman" w:hAnsi="Times New Roman" w:cs="Times New Roman" w:eastAsia="Times New Roman" w:hint="default"/>
        </w:rPr>
        <w:t>3,078,033.00 </w:t>
      </w:r>
      <w:r>
        <w:rPr/>
        <w:t>股股份、向王正发行</w:t>
      </w:r>
      <w:r>
        <w:rPr>
          <w:spacing w:val="-50"/>
        </w:rPr>
        <w:t> </w:t>
      </w:r>
      <w:r>
        <w:rPr>
          <w:rFonts w:ascii="Times New Roman" w:hAnsi="Times New Roman" w:cs="Times New Roman" w:eastAsia="Times New Roman" w:hint="default"/>
        </w:rPr>
        <w:t>820,809.00</w:t>
      </w:r>
      <w:r>
        <w:rPr>
          <w:rFonts w:ascii="Times New Roman" w:hAnsi="Times New Roman" w:cs="Times New Roman" w:eastAsia="Times New Roman" w:hint="default"/>
          <w:spacing w:val="-1"/>
        </w:rPr>
        <w:t> </w:t>
      </w:r>
      <w:r>
        <w:rPr/>
        <w:t>股股份、向蒋云发行</w:t>
      </w:r>
    </w:p>
    <w:p>
      <w:pPr>
        <w:spacing w:after="0" w:line="240"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51" w:lineRule="auto" w:before="44"/>
        <w:ind w:right="1227"/>
        <w:jc w:val="left"/>
      </w:pPr>
      <w:r>
        <w:rPr>
          <w:rFonts w:ascii="Times New Roman" w:hAnsi="Times New Roman" w:cs="Times New Roman" w:eastAsia="Times New Roman" w:hint="default"/>
        </w:rPr>
        <w:t>287,283.00</w:t>
      </w:r>
      <w:r>
        <w:rPr>
          <w:rFonts w:ascii="Times New Roman" w:hAnsi="Times New Roman" w:cs="Times New Roman" w:eastAsia="Times New Roman" w:hint="default"/>
          <w:spacing w:val="-3"/>
        </w:rPr>
        <w:t> </w:t>
      </w:r>
      <w:r>
        <w:rPr/>
        <w:t>股股份、向王建林发行</w:t>
      </w:r>
      <w:r>
        <w:rPr>
          <w:spacing w:val="-48"/>
        </w:rPr>
        <w:t> </w:t>
      </w:r>
      <w:r>
        <w:rPr>
          <w:rFonts w:ascii="Times New Roman" w:hAnsi="Times New Roman" w:cs="Times New Roman" w:eastAsia="Times New Roman" w:hint="default"/>
        </w:rPr>
        <w:t>287,283.00</w:t>
      </w:r>
      <w:r>
        <w:rPr>
          <w:rFonts w:ascii="Times New Roman" w:hAnsi="Times New Roman" w:cs="Times New Roman" w:eastAsia="Times New Roman" w:hint="default"/>
          <w:spacing w:val="-3"/>
        </w:rPr>
        <w:t> </w:t>
      </w:r>
      <w:r>
        <w:rPr/>
        <w:t>股股份购买相关资产，核准神州信息非公开发行不超过</w:t>
      </w:r>
      <w:r>
        <w:rPr>
          <w:spacing w:val="-48"/>
        </w:rPr>
        <w:t> </w:t>
      </w:r>
      <w:r>
        <w:rPr>
          <w:rFonts w:ascii="Times New Roman" w:hAnsi="Times New Roman" w:cs="Times New Roman" w:eastAsia="Times New Roman" w:hint="default"/>
        </w:rPr>
        <w:t>10,856,269.00</w:t>
      </w:r>
      <w:r>
        <w:rPr>
          <w:rFonts w:ascii="Times New Roman" w:hAnsi="Times New Roman" w:cs="Times New Roman" w:eastAsia="Times New Roman" w:hint="default"/>
          <w:spacing w:val="-2"/>
        </w:rPr>
        <w:t> </w:t>
      </w:r>
      <w:r>
        <w:rPr/>
        <w:t>股新股 募集上述发行股份购买资产的配套资金。</w:t>
      </w:r>
    </w:p>
    <w:p>
      <w:pPr>
        <w:pStyle w:val="BodyText"/>
        <w:spacing w:line="477" w:lineRule="auto" w:before="74"/>
        <w:ind w:right="0" w:firstLine="360"/>
        <w:jc w:val="left"/>
      </w:pPr>
      <w:r>
        <w:rPr/>
        <w:t>根据《发行股份及支付现金购买资产协议》与《发行股份及支付现金购买资产协议之补充协议》，神州信息向前述的 中农信达原股东发行股份共计</w:t>
      </w:r>
      <w:r>
        <w:rPr>
          <w:spacing w:val="-46"/>
        </w:rPr>
        <w:t> </w:t>
      </w:r>
      <w:r>
        <w:rPr>
          <w:rFonts w:ascii="Times New Roman" w:hAnsi="Times New Roman" w:cs="Times New Roman" w:eastAsia="Times New Roman" w:hint="default"/>
        </w:rPr>
        <w:t>20,520,227.00</w:t>
      </w:r>
      <w:r>
        <w:rPr>
          <w:rFonts w:ascii="Times New Roman" w:hAnsi="Times New Roman" w:cs="Times New Roman" w:eastAsia="Times New Roman" w:hint="default"/>
          <w:spacing w:val="1"/>
        </w:rPr>
        <w:t> </w:t>
      </w:r>
      <w:r>
        <w:rPr/>
        <w:t>股（发行价格为</w:t>
      </w:r>
      <w:r>
        <w:rPr>
          <w:spacing w:val="-49"/>
        </w:rPr>
        <w:t> </w:t>
      </w:r>
      <w:r>
        <w:rPr>
          <w:rFonts w:ascii="Times New Roman" w:hAnsi="Times New Roman" w:cs="Times New Roman" w:eastAsia="Times New Roman" w:hint="default"/>
        </w:rPr>
        <w:t>24.22 </w:t>
      </w:r>
      <w:r>
        <w:rPr/>
        <w:t>元</w:t>
      </w:r>
      <w:r>
        <w:rPr>
          <w:rFonts w:ascii="Times New Roman" w:hAnsi="Times New Roman" w:cs="Times New Roman" w:eastAsia="Times New Roman" w:hint="default"/>
        </w:rPr>
        <w:t>/</w:t>
      </w:r>
      <w:r>
        <w:rPr/>
        <w:t>股）。截至</w:t>
      </w:r>
      <w:r>
        <w:rPr>
          <w:spacing w:val="-47"/>
        </w:rPr>
        <w:t> </w:t>
      </w:r>
      <w:r>
        <w:rPr>
          <w:rFonts w:ascii="Times New Roman" w:hAnsi="Times New Roman" w:cs="Times New Roman" w:eastAsia="Times New Roman" w:hint="default"/>
        </w:rPr>
        <w:t>2014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日止，公司已收到新增注</w:t>
      </w:r>
    </w:p>
    <w:p>
      <w:pPr>
        <w:pStyle w:val="BodyText"/>
        <w:spacing w:line="240" w:lineRule="auto" w:before="21"/>
        <w:ind w:right="0"/>
        <w:jc w:val="both"/>
      </w:pPr>
      <w:r>
        <w:rPr/>
        <w:t>册资本人民币</w:t>
      </w:r>
      <w:r>
        <w:rPr>
          <w:spacing w:val="-49"/>
        </w:rPr>
        <w:t> </w:t>
      </w:r>
      <w:r>
        <w:rPr>
          <w:rFonts w:ascii="Times New Roman" w:hAnsi="Times New Roman" w:cs="Times New Roman" w:eastAsia="Times New Roman" w:hint="default"/>
        </w:rPr>
        <w:t>20,520,227.00</w:t>
      </w:r>
      <w:r>
        <w:rPr>
          <w:rFonts w:ascii="Times New Roman" w:hAnsi="Times New Roman" w:cs="Times New Roman" w:eastAsia="Times New Roman" w:hint="default"/>
          <w:spacing w:val="-1"/>
        </w:rPr>
        <w:t> </w:t>
      </w:r>
      <w:r>
        <w:rPr/>
        <w:t>元，变更后的注册资本为人民币</w:t>
      </w:r>
      <w:r>
        <w:rPr>
          <w:spacing w:val="-49"/>
        </w:rPr>
        <w:t> </w:t>
      </w:r>
      <w:r>
        <w:rPr>
          <w:rFonts w:ascii="Times New Roman" w:hAnsi="Times New Roman" w:cs="Times New Roman" w:eastAsia="Times New Roman" w:hint="default"/>
        </w:rPr>
        <w:t>451,734,241.00</w:t>
      </w:r>
      <w:r>
        <w:rPr>
          <w:rFonts w:ascii="Times New Roman" w:hAnsi="Times New Roman" w:cs="Times New Roman" w:eastAsia="Times New Roman" w:hint="default"/>
          <w:spacing w:val="-1"/>
        </w:rPr>
        <w:t> </w:t>
      </w:r>
      <w:r>
        <w:rPr/>
        <w:t>元，并业经信永中和会计师事务所出具的</w:t>
      </w:r>
    </w:p>
    <w:p>
      <w:pPr>
        <w:spacing w:line="240" w:lineRule="auto" w:before="9"/>
        <w:rPr>
          <w:rFonts w:ascii="宋体" w:hAnsi="宋体" w:cs="宋体" w:eastAsia="宋体" w:hint="default"/>
          <w:sz w:val="16"/>
          <w:szCs w:val="16"/>
        </w:rPr>
      </w:pPr>
    </w:p>
    <w:p>
      <w:pPr>
        <w:pStyle w:val="BodyText"/>
        <w:spacing w:line="451" w:lineRule="auto"/>
        <w:ind w:left="513" w:right="1933" w:hanging="360"/>
        <w:jc w:val="left"/>
      </w:pPr>
      <w:r>
        <w:rPr>
          <w:rFonts w:ascii="Times New Roman" w:hAnsi="Times New Roman" w:cs="Times New Roman" w:eastAsia="Times New Roman" w:hint="default"/>
        </w:rPr>
        <w:t>XYZH/2014A1054-5 </w:t>
      </w:r>
      <w:r>
        <w:rPr/>
        <w:t>号《验资报告》验证。 根据《发行股份及支付现金购买资产协议》、《发行股份及支付现金购买资产协议之补充协议》及证监许可</w:t>
      </w:r>
    </w:p>
    <w:p>
      <w:pPr>
        <w:pStyle w:val="BodyText"/>
        <w:spacing w:line="463" w:lineRule="auto" w:before="74"/>
        <w:ind w:right="1222"/>
        <w:jc w:val="both"/>
      </w:pPr>
      <w:r>
        <w:rPr>
          <w:rFonts w:ascii="Times New Roman" w:hAnsi="Times New Roman" w:cs="Times New Roman" w:eastAsia="Times New Roman" w:hint="default"/>
        </w:rPr>
        <w:t>[2014]1258</w:t>
      </w:r>
      <w:r>
        <w:rPr>
          <w:rFonts w:ascii="Times New Roman" w:hAnsi="Times New Roman" w:cs="Times New Roman" w:eastAsia="Times New Roman" w:hint="default"/>
          <w:spacing w:val="-1"/>
        </w:rPr>
        <w:t> </w:t>
      </w:r>
      <w:r>
        <w:rPr/>
        <w:t>号《关于核准神州数码信息服务股份有限公司向冯健刚等发行股份购买资产并募集配套资金的批复》，神州信</w:t>
      </w:r>
      <w:r>
        <w:rPr>
          <w:w w:val="99"/>
        </w:rPr>
        <w:t> </w:t>
      </w:r>
      <w:r>
        <w:rPr/>
        <w:t>息向财通基金管理有限公司、华安基金管理有限公司、华商基金管理有限公司、泰康资产管理有限责任公司、兴业全球基</w:t>
      </w:r>
      <w:r>
        <w:rPr>
          <w:w w:val="99"/>
        </w:rPr>
        <w:t> </w:t>
      </w:r>
      <w:r>
        <w:rPr/>
        <w:t>金管理有限公司发行股份共计</w:t>
      </w:r>
      <w:r>
        <w:rPr>
          <w:spacing w:val="-47"/>
        </w:rPr>
        <w:t> </w:t>
      </w:r>
      <w:r>
        <w:rPr>
          <w:rFonts w:ascii="Times New Roman" w:hAnsi="Times New Roman" w:cs="Times New Roman" w:eastAsia="Times New Roman" w:hint="default"/>
        </w:rPr>
        <w:t>7,171,717.00</w:t>
      </w:r>
      <w:r>
        <w:rPr>
          <w:rFonts w:ascii="Times New Roman" w:hAnsi="Times New Roman" w:cs="Times New Roman" w:eastAsia="Times New Roman" w:hint="default"/>
          <w:spacing w:val="-1"/>
        </w:rPr>
        <w:t> </w:t>
      </w:r>
      <w:r>
        <w:rPr/>
        <w:t>股并募集配套资金</w:t>
      </w:r>
      <w:r>
        <w:rPr>
          <w:spacing w:val="-48"/>
        </w:rPr>
        <w:t> </w:t>
      </w:r>
      <w:r>
        <w:rPr>
          <w:rFonts w:ascii="Times New Roman" w:hAnsi="Times New Roman" w:cs="Times New Roman" w:eastAsia="Times New Roman" w:hint="default"/>
        </w:rPr>
        <w:t>236,666,661.00 </w:t>
      </w:r>
      <w:r>
        <w:rPr/>
        <w:t>元（发行价格为</w:t>
      </w:r>
      <w:r>
        <w:rPr>
          <w:spacing w:val="-47"/>
        </w:rPr>
        <w:t> </w:t>
      </w:r>
      <w:r>
        <w:rPr>
          <w:rFonts w:ascii="Times New Roman" w:hAnsi="Times New Roman" w:cs="Times New Roman" w:eastAsia="Times New Roman" w:hint="default"/>
        </w:rPr>
        <w:t>33.00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股），截至</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p>
    <w:p>
      <w:pPr>
        <w:pStyle w:val="BodyText"/>
        <w:spacing w:line="240" w:lineRule="auto" w:before="33"/>
        <w:ind w:right="0"/>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日止，公司已收到募集资金</w:t>
      </w:r>
      <w:r>
        <w:rPr>
          <w:spacing w:val="-47"/>
        </w:rPr>
        <w:t> </w:t>
      </w:r>
      <w:r>
        <w:rPr>
          <w:rFonts w:ascii="Times New Roman" w:hAnsi="Times New Roman" w:cs="Times New Roman" w:eastAsia="Times New Roman" w:hint="default"/>
        </w:rPr>
        <w:t>236,666,661.00 </w:t>
      </w:r>
      <w:r>
        <w:rPr/>
        <w:t>元，扣除公司依据协议应支付给西南证券股份有限公司的财务顾问费用</w:t>
      </w:r>
    </w:p>
    <w:p>
      <w:pPr>
        <w:spacing w:line="240" w:lineRule="auto" w:before="9"/>
        <w:rPr>
          <w:rFonts w:ascii="宋体" w:hAnsi="宋体" w:cs="宋体" w:eastAsia="宋体" w:hint="default"/>
          <w:sz w:val="16"/>
          <w:szCs w:val="16"/>
        </w:rPr>
      </w:pPr>
    </w:p>
    <w:p>
      <w:pPr>
        <w:pStyle w:val="BodyText"/>
        <w:spacing w:line="451" w:lineRule="auto"/>
        <w:ind w:right="1125"/>
        <w:jc w:val="left"/>
      </w:pPr>
      <w:r>
        <w:rPr>
          <w:rFonts w:ascii="Times New Roman" w:hAnsi="Times New Roman" w:cs="Times New Roman" w:eastAsia="Times New Roman" w:hint="default"/>
        </w:rPr>
        <w:t>10,000,000.00</w:t>
      </w:r>
      <w:r>
        <w:rPr>
          <w:rFonts w:ascii="Times New Roman" w:hAnsi="Times New Roman" w:cs="Times New Roman" w:eastAsia="Times New Roman" w:hint="default"/>
          <w:spacing w:val="-2"/>
        </w:rPr>
        <w:t> </w:t>
      </w:r>
      <w:r>
        <w:rPr/>
        <w:t>元后，实际募集资金净额为</w:t>
      </w:r>
      <w:r>
        <w:rPr>
          <w:spacing w:val="-49"/>
        </w:rPr>
        <w:t> </w:t>
      </w:r>
      <w:r>
        <w:rPr>
          <w:rFonts w:ascii="Times New Roman" w:hAnsi="Times New Roman" w:cs="Times New Roman" w:eastAsia="Times New Roman" w:hint="default"/>
        </w:rPr>
        <w:t>226,666,661.00</w:t>
      </w:r>
      <w:r>
        <w:rPr>
          <w:rFonts w:ascii="Times New Roman" w:hAnsi="Times New Roman" w:cs="Times New Roman" w:eastAsia="Times New Roman" w:hint="default"/>
          <w:spacing w:val="-2"/>
        </w:rPr>
        <w:t> </w:t>
      </w:r>
      <w:r>
        <w:rPr/>
        <w:t>元，其中新增注册资本</w:t>
      </w:r>
      <w:r>
        <w:rPr>
          <w:spacing w:val="-50"/>
        </w:rPr>
        <w:t> </w:t>
      </w:r>
      <w:r>
        <w:rPr>
          <w:rFonts w:ascii="Times New Roman" w:hAnsi="Times New Roman" w:cs="Times New Roman" w:eastAsia="Times New Roman" w:hint="default"/>
        </w:rPr>
        <w:t>7,171,717.00</w:t>
      </w:r>
      <w:r>
        <w:rPr>
          <w:rFonts w:ascii="Times New Roman" w:hAnsi="Times New Roman" w:cs="Times New Roman" w:eastAsia="Times New Roman" w:hint="default"/>
          <w:spacing w:val="-2"/>
        </w:rPr>
        <w:t> </w:t>
      </w:r>
      <w:r>
        <w:rPr/>
        <w:t>元，变更后的注册资本为人民 币</w:t>
      </w:r>
      <w:r>
        <w:rPr>
          <w:spacing w:val="-49"/>
        </w:rPr>
        <w:t> </w:t>
      </w:r>
      <w:r>
        <w:rPr>
          <w:rFonts w:ascii="Times New Roman" w:hAnsi="Times New Roman" w:cs="Times New Roman" w:eastAsia="Times New Roman" w:hint="default"/>
        </w:rPr>
        <w:t>458,905,958.00</w:t>
      </w:r>
      <w:r>
        <w:rPr>
          <w:rFonts w:ascii="Times New Roman" w:hAnsi="Times New Roman" w:cs="Times New Roman" w:eastAsia="Times New Roman" w:hint="default"/>
          <w:spacing w:val="-2"/>
        </w:rPr>
        <w:t> </w:t>
      </w:r>
      <w:r>
        <w:rPr/>
        <w:t>元，并业经信永中和会计师事务所出具的</w:t>
      </w:r>
      <w:r>
        <w:rPr>
          <w:spacing w:val="-48"/>
        </w:rPr>
        <w:t> </w:t>
      </w:r>
      <w:r>
        <w:rPr>
          <w:rFonts w:ascii="Times New Roman" w:hAnsi="Times New Roman" w:cs="Times New Roman" w:eastAsia="Times New Roman" w:hint="default"/>
        </w:rPr>
        <w:t>XYZH/2014A1054-6</w:t>
      </w:r>
      <w:r>
        <w:rPr>
          <w:rFonts w:ascii="Times New Roman" w:hAnsi="Times New Roman" w:cs="Times New Roman" w:eastAsia="Times New Roman" w:hint="default"/>
          <w:spacing w:val="-3"/>
        </w:rPr>
        <w:t> </w:t>
      </w:r>
      <w:r>
        <w:rPr/>
        <w:t>号《验资报告》验证。</w:t>
      </w:r>
    </w:p>
    <w:p>
      <w:pPr>
        <w:pStyle w:val="BodyText"/>
        <w:spacing w:line="463" w:lineRule="auto" w:before="43"/>
        <w:ind w:right="1231" w:firstLine="360"/>
        <w:jc w:val="both"/>
      </w:pPr>
      <w:r>
        <w:rPr/>
        <w:t>被购买资产作价依据为经北京中同华资产评估有限公司出具的中同华评报字</w:t>
      </w:r>
      <w:r>
        <w:rPr>
          <w:rFonts w:ascii="Times New Roman" w:hAnsi="Times New Roman" w:cs="Times New Roman" w:eastAsia="Times New Roman" w:hint="default"/>
        </w:rPr>
        <w:t>(2014)</w:t>
      </w:r>
      <w:r>
        <w:rPr/>
        <w:t>第</w:t>
      </w:r>
      <w:r>
        <w:rPr>
          <w:spacing w:val="-47"/>
        </w:rPr>
        <w:t> </w:t>
      </w:r>
      <w:r>
        <w:rPr>
          <w:rFonts w:ascii="Times New Roman" w:hAnsi="Times New Roman" w:cs="Times New Roman" w:eastAsia="Times New Roman" w:hint="default"/>
        </w:rPr>
        <w:t>406</w:t>
      </w:r>
      <w:r>
        <w:rPr>
          <w:rFonts w:ascii="Times New Roman" w:hAnsi="Times New Roman" w:cs="Times New Roman" w:eastAsia="Times New Roman" w:hint="default"/>
          <w:spacing w:val="-1"/>
        </w:rPr>
        <w:t> </w:t>
      </w:r>
      <w:r>
        <w:rPr/>
        <w:t>号《神州数码信息服务股份 有限公司向特定对象发行股份购买资产并募集配套资金所涉及北京中农信达信息技术有限公司股权评估项目资产评估报告 书》。</w:t>
      </w:r>
    </w:p>
    <w:p>
      <w:pPr>
        <w:pStyle w:val="BodyText"/>
        <w:spacing w:line="240" w:lineRule="auto" w:before="65"/>
        <w:ind w:left="513" w:right="0"/>
        <w:jc w:val="left"/>
      </w:pPr>
      <w:r>
        <w:rPr/>
        <w:t>（</w:t>
      </w:r>
      <w:r>
        <w:rPr>
          <w:rFonts w:ascii="Times New Roman" w:hAnsi="Times New Roman" w:cs="Times New Roman" w:eastAsia="Times New Roman" w:hint="default"/>
        </w:rPr>
        <w:t>11</w:t>
      </w:r>
      <w:r>
        <w:rPr/>
        <w:t>）资本公积转股事项</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2015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本公司召开的第六届董事会第十二次会议决议通过了《关于</w:t>
      </w:r>
      <w:r>
        <w:rPr>
          <w:spacing w:val="-46"/>
        </w:rPr>
        <w:t> </w:t>
      </w:r>
      <w:r>
        <w:rPr>
          <w:rFonts w:ascii="Times New Roman" w:hAnsi="Times New Roman" w:cs="Times New Roman" w:eastAsia="Times New Roman" w:hint="default"/>
        </w:rPr>
        <w:t>2015 </w:t>
      </w:r>
      <w:r>
        <w:rPr/>
        <w:t>年半年度资本公积金转增股本预案</w:t>
      </w:r>
    </w:p>
    <w:p>
      <w:pPr>
        <w:spacing w:line="240" w:lineRule="auto" w:before="9"/>
        <w:rPr>
          <w:rFonts w:ascii="宋体" w:hAnsi="宋体" w:cs="宋体" w:eastAsia="宋体" w:hint="default"/>
          <w:sz w:val="16"/>
          <w:szCs w:val="16"/>
        </w:rPr>
      </w:pPr>
    </w:p>
    <w:p>
      <w:pPr>
        <w:pStyle w:val="BodyText"/>
        <w:spacing w:line="240" w:lineRule="auto"/>
        <w:ind w:right="0"/>
        <w:jc w:val="both"/>
        <w:rPr>
          <w:rFonts w:ascii="Times New Roman" w:hAnsi="Times New Roman" w:cs="Times New Roman" w:eastAsia="Times New Roman" w:hint="default"/>
        </w:rPr>
      </w:pPr>
      <w:r>
        <w:rPr/>
        <w:t>的议案》，以公司总股本</w:t>
      </w:r>
      <w:r>
        <w:rPr>
          <w:spacing w:val="-47"/>
        </w:rPr>
        <w:t> </w:t>
      </w:r>
      <w:r>
        <w:rPr>
          <w:rFonts w:ascii="Times New Roman" w:hAnsi="Times New Roman" w:cs="Times New Roman" w:eastAsia="Times New Roman" w:hint="default"/>
        </w:rPr>
        <w:t>458,905,958.00</w:t>
      </w:r>
      <w:r>
        <w:rPr>
          <w:rFonts w:ascii="Times New Roman" w:hAnsi="Times New Roman" w:cs="Times New Roman" w:eastAsia="Times New Roman" w:hint="default"/>
          <w:spacing w:val="1"/>
        </w:rPr>
        <w:t> </w:t>
      </w:r>
      <w:r>
        <w:rPr/>
        <w:t>股为基数，以资本公积向全体股东每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股，本议案已经公司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9</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both"/>
        <w:rPr>
          <w:rFonts w:ascii="Times New Roman" w:hAnsi="Times New Roman" w:cs="Times New Roman" w:eastAsia="Times New Roman" w:hint="default"/>
        </w:rPr>
      </w:pPr>
      <w:r>
        <w:rPr/>
        <w:t>月</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日召开的</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年度第三次临时股东大会审议通过，转增完成后公司总股本由</w:t>
      </w:r>
      <w:r>
        <w:rPr>
          <w:spacing w:val="-47"/>
        </w:rPr>
        <w:t> </w:t>
      </w:r>
      <w:r>
        <w:rPr>
          <w:rFonts w:ascii="Times New Roman" w:hAnsi="Times New Roman" w:cs="Times New Roman" w:eastAsia="Times New Roman" w:hint="default"/>
        </w:rPr>
        <w:t>458,905,958.00 </w:t>
      </w:r>
      <w:r>
        <w:rPr/>
        <w:t>股增加至</w:t>
      </w:r>
      <w:r>
        <w:rPr>
          <w:spacing w:val="-50"/>
        </w:rPr>
        <w:t> </w:t>
      </w:r>
      <w:r>
        <w:rPr>
          <w:rFonts w:ascii="Times New Roman" w:hAnsi="Times New Roman" w:cs="Times New Roman" w:eastAsia="Times New Roman" w:hint="default"/>
        </w:rPr>
        <w:t>917,811,916.00</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both"/>
      </w:pPr>
      <w:r>
        <w:rPr/>
        <w:t>股。</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w:t>
      </w:r>
      <w:r>
        <w:rPr/>
        <w:t>本公司注册资本变更为</w:t>
      </w:r>
      <w:r>
        <w:rPr>
          <w:spacing w:val="-47"/>
        </w:rPr>
        <w:t> </w:t>
      </w:r>
      <w:r>
        <w:rPr>
          <w:rFonts w:ascii="Times New Roman" w:hAnsi="Times New Roman" w:cs="Times New Roman" w:eastAsia="Times New Roman" w:hint="default"/>
        </w:rPr>
        <w:t>917,811,916.00 </w:t>
      </w:r>
      <w:r>
        <w:rPr/>
        <w:t>元，并业经信永中和会计师事务所出具的</w:t>
      </w:r>
    </w:p>
    <w:p>
      <w:pPr>
        <w:spacing w:line="240" w:lineRule="auto" w:before="9"/>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XYZH/2015BJA10125</w:t>
      </w:r>
      <w:r>
        <w:rPr>
          <w:rFonts w:ascii="Times New Roman" w:hAnsi="Times New Roman" w:cs="Times New Roman" w:eastAsia="Times New Roman" w:hint="default"/>
          <w:spacing w:val="-6"/>
        </w:rPr>
        <w:t> </w:t>
      </w:r>
      <w:r>
        <w:rPr/>
        <w:t>号《验资报告》验证。</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年度发行股份及支付现金购买资产事项</w:t>
      </w:r>
    </w:p>
    <w:p>
      <w:pPr>
        <w:spacing w:line="240" w:lineRule="auto" w:before="10"/>
        <w:rPr>
          <w:rFonts w:ascii="宋体" w:hAnsi="宋体" w:cs="宋体" w:eastAsia="宋体" w:hint="default"/>
          <w:sz w:val="16"/>
          <w:szCs w:val="16"/>
        </w:rPr>
      </w:pPr>
    </w:p>
    <w:p>
      <w:pPr>
        <w:pStyle w:val="BodyText"/>
        <w:spacing w:line="240" w:lineRule="auto"/>
        <w:ind w:left="513" w:right="0"/>
        <w:jc w:val="left"/>
      </w:pPr>
      <w:r>
        <w:rPr/>
        <w:t>根据神州信息第七届董事会</w:t>
      </w:r>
      <w:r>
        <w:rPr>
          <w:spacing w:val="-46"/>
        </w:rPr>
        <w:t> </w:t>
      </w:r>
      <w:r>
        <w:rPr>
          <w:rFonts w:ascii="Times New Roman" w:hAnsi="Times New Roman" w:cs="Times New Roman" w:eastAsia="Times New Roman" w:hint="default"/>
        </w:rPr>
        <w:t>2016 </w:t>
      </w:r>
      <w:r>
        <w:rPr/>
        <w:t>年第三次临时会议决议通过的《关于公司符合发行股份及支付现金购买资产并募集配</w:t>
      </w:r>
    </w:p>
    <w:p>
      <w:pPr>
        <w:spacing w:line="240" w:lineRule="auto" w:before="9"/>
        <w:rPr>
          <w:rFonts w:ascii="宋体" w:hAnsi="宋体" w:cs="宋体" w:eastAsia="宋体" w:hint="default"/>
          <w:sz w:val="16"/>
          <w:szCs w:val="16"/>
        </w:rPr>
      </w:pPr>
    </w:p>
    <w:p>
      <w:pPr>
        <w:pStyle w:val="BodyText"/>
        <w:spacing w:line="240" w:lineRule="auto"/>
        <w:ind w:right="0"/>
        <w:jc w:val="both"/>
      </w:pPr>
      <w:r>
        <w:rPr/>
        <w:t>套资金条件的议案》，神州信息与南京华苏科技有限公司（以下简称华苏科技）控股股东吴冬华、程艳云及其他</w:t>
      </w:r>
      <w:r>
        <w:rPr>
          <w:spacing w:val="-44"/>
        </w:rPr>
        <w:t> </w:t>
      </w:r>
      <w:r>
        <w:rPr>
          <w:rFonts w:ascii="Times New Roman" w:hAnsi="Times New Roman" w:cs="Times New Roman" w:eastAsia="Times New Roman" w:hint="default"/>
        </w:rPr>
        <w:t>10 </w:t>
      </w:r>
      <w:r>
        <w:rPr/>
        <w:t>名股东</w:t>
      </w:r>
    </w:p>
    <w:p>
      <w:pPr>
        <w:spacing w:line="240" w:lineRule="auto" w:before="9"/>
        <w:rPr>
          <w:rFonts w:ascii="宋体" w:hAnsi="宋体" w:cs="宋体" w:eastAsia="宋体" w:hint="default"/>
          <w:sz w:val="16"/>
          <w:szCs w:val="16"/>
        </w:rPr>
      </w:pPr>
    </w:p>
    <w:p>
      <w:pPr>
        <w:pStyle w:val="BodyText"/>
        <w:spacing w:line="451" w:lineRule="auto"/>
        <w:ind w:right="1339"/>
        <w:jc w:val="left"/>
      </w:pPr>
      <w:r>
        <w:rPr/>
        <w:t>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24 </w:t>
      </w:r>
      <w:r>
        <w:rPr/>
        <w:t>日签订了附生效条件的《发行股份及支付现金购买资产协议》，神州信息拟购买华苏科技</w:t>
      </w:r>
      <w:r>
        <w:rPr>
          <w:spacing w:val="-44"/>
        </w:rPr>
        <w:t> </w:t>
      </w:r>
      <w:r>
        <w:rPr>
          <w:rFonts w:ascii="Times New Roman" w:hAnsi="Times New Roman" w:cs="Times New Roman" w:eastAsia="Times New Roman" w:hint="default"/>
        </w:rPr>
        <w:t>96.03%</w:t>
      </w:r>
      <w:r>
        <w:rPr/>
        <w:t>的股 权。</w:t>
      </w:r>
    </w:p>
    <w:p>
      <w:pPr>
        <w:pStyle w:val="BodyText"/>
        <w:spacing w:line="240" w:lineRule="auto" w:before="74"/>
        <w:ind w:left="513" w:right="0"/>
        <w:jc w:val="left"/>
      </w:pPr>
      <w:r>
        <w:rPr>
          <w:rFonts w:ascii="Times New Roman" w:hAnsi="Times New Roman" w:cs="Times New Roman" w:eastAsia="Times New Roman" w:hint="default"/>
        </w:rPr>
        <w:t>2016 </w:t>
      </w:r>
      <w:r>
        <w:rPr/>
        <w:t>年</w:t>
      </w:r>
      <w:r>
        <w:rPr>
          <w:spacing w:val="-49"/>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日，中国证券监督管理委员会下发证监许可</w:t>
      </w:r>
      <w:r>
        <w:rPr>
          <w:rFonts w:ascii="Times New Roman" w:hAnsi="Times New Roman" w:cs="Times New Roman" w:eastAsia="Times New Roman" w:hint="default"/>
        </w:rPr>
        <w:t>[2016]2517 </w:t>
      </w:r>
      <w:r>
        <w:rPr/>
        <w:t>号《关于核准神州数码信息服务股份有限公司</w:t>
      </w:r>
    </w:p>
    <w:p>
      <w:pPr>
        <w:spacing w:line="240" w:lineRule="auto" w:before="9"/>
        <w:rPr>
          <w:rFonts w:ascii="宋体" w:hAnsi="宋体" w:cs="宋体" w:eastAsia="宋体" w:hint="default"/>
          <w:sz w:val="16"/>
          <w:szCs w:val="16"/>
        </w:rPr>
      </w:pPr>
    </w:p>
    <w:p>
      <w:pPr>
        <w:pStyle w:val="BodyText"/>
        <w:spacing w:line="240" w:lineRule="auto"/>
        <w:ind w:right="0"/>
        <w:jc w:val="both"/>
      </w:pPr>
      <w:r>
        <w:rPr/>
        <w:t>向程艳云等发行股份购买资产并募集配套资金的批复》，核准公司向程艳云发行</w:t>
      </w:r>
      <w:r>
        <w:rPr>
          <w:spacing w:val="-46"/>
        </w:rPr>
        <w:t> </w:t>
      </w:r>
      <w:r>
        <w:rPr>
          <w:rFonts w:ascii="Times New Roman" w:hAnsi="Times New Roman" w:cs="Times New Roman" w:eastAsia="Times New Roman" w:hint="default"/>
        </w:rPr>
        <w:t>8,527,926.00 </w:t>
      </w:r>
      <w:r>
        <w:rPr/>
        <w:t>股股份、向吴冬华发行</w:t>
      </w:r>
    </w:p>
    <w:p>
      <w:pPr>
        <w:spacing w:after="0" w:line="240" w:lineRule="auto"/>
        <w:jc w:val="both"/>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240" w:lineRule="auto" w:before="44"/>
        <w:ind w:right="0"/>
        <w:jc w:val="left"/>
      </w:pPr>
      <w:r>
        <w:rPr>
          <w:rFonts w:ascii="Times New Roman" w:hAnsi="Times New Roman" w:cs="Times New Roman" w:eastAsia="Times New Roman" w:hint="default"/>
        </w:rPr>
        <w:t>7,735,638.00</w:t>
      </w:r>
      <w:r>
        <w:rPr>
          <w:rFonts w:ascii="Times New Roman" w:hAnsi="Times New Roman" w:cs="Times New Roman" w:eastAsia="Times New Roman" w:hint="default"/>
          <w:spacing w:val="-2"/>
        </w:rPr>
        <w:t> </w:t>
      </w:r>
      <w:r>
        <w:rPr/>
        <w:t>股股份、向南京博飞信投资管理有限公司发行</w:t>
      </w:r>
      <w:r>
        <w:rPr>
          <w:spacing w:val="-48"/>
        </w:rPr>
        <w:t> </w:t>
      </w:r>
      <w:r>
        <w:rPr>
          <w:rFonts w:ascii="Times New Roman" w:hAnsi="Times New Roman" w:cs="Times New Roman" w:eastAsia="Times New Roman" w:hint="default"/>
        </w:rPr>
        <w:t>2,808,225.00</w:t>
      </w:r>
      <w:r>
        <w:rPr>
          <w:rFonts w:ascii="Times New Roman" w:hAnsi="Times New Roman" w:cs="Times New Roman" w:eastAsia="Times New Roman" w:hint="default"/>
          <w:spacing w:val="-1"/>
        </w:rPr>
        <w:t> </w:t>
      </w:r>
      <w:r>
        <w:rPr/>
        <w:t>股股份、向上海瑞经达创业投资有限公司（以下简</w:t>
      </w:r>
    </w:p>
    <w:p>
      <w:pPr>
        <w:spacing w:line="240" w:lineRule="auto" w:before="9"/>
        <w:rPr>
          <w:rFonts w:ascii="宋体" w:hAnsi="宋体" w:cs="宋体" w:eastAsia="宋体" w:hint="default"/>
          <w:sz w:val="16"/>
          <w:szCs w:val="16"/>
        </w:rPr>
      </w:pPr>
    </w:p>
    <w:p>
      <w:pPr>
        <w:pStyle w:val="BodyText"/>
        <w:spacing w:line="240" w:lineRule="auto"/>
        <w:ind w:right="0"/>
        <w:jc w:val="left"/>
      </w:pPr>
      <w:r>
        <w:rPr/>
        <w:t>称瑞经达）发行</w:t>
      </w:r>
      <w:r>
        <w:rPr>
          <w:spacing w:val="-49"/>
        </w:rPr>
        <w:t> </w:t>
      </w:r>
      <w:r>
        <w:rPr>
          <w:rFonts w:ascii="Times New Roman" w:hAnsi="Times New Roman" w:cs="Times New Roman" w:eastAsia="Times New Roman" w:hint="default"/>
        </w:rPr>
        <w:t>757,395.00</w:t>
      </w:r>
      <w:r>
        <w:rPr>
          <w:rFonts w:ascii="Times New Roman" w:hAnsi="Times New Roman" w:cs="Times New Roman" w:eastAsia="Times New Roman" w:hint="default"/>
          <w:spacing w:val="-1"/>
        </w:rPr>
        <w:t> </w:t>
      </w:r>
      <w:r>
        <w:rPr/>
        <w:t>股股份、向南京明通投资管理中心（有限合伙）发行</w:t>
      </w:r>
      <w:r>
        <w:rPr>
          <w:spacing w:val="-49"/>
        </w:rPr>
        <w:t> </w:t>
      </w:r>
      <w:r>
        <w:rPr>
          <w:rFonts w:ascii="Times New Roman" w:hAnsi="Times New Roman" w:cs="Times New Roman" w:eastAsia="Times New Roman" w:hint="default"/>
        </w:rPr>
        <w:t>838,887.00</w:t>
      </w:r>
      <w:r>
        <w:rPr>
          <w:rFonts w:ascii="Times New Roman" w:hAnsi="Times New Roman" w:cs="Times New Roman" w:eastAsia="Times New Roman" w:hint="default"/>
          <w:spacing w:val="-1"/>
        </w:rPr>
        <w:t> </w:t>
      </w:r>
      <w:r>
        <w:rPr/>
        <w:t>股股份、向陈大龙发行</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716,097.00</w:t>
      </w:r>
      <w:r>
        <w:rPr>
          <w:rFonts w:ascii="Times New Roman" w:hAnsi="Times New Roman" w:cs="Times New Roman" w:eastAsia="Times New Roman" w:hint="default"/>
          <w:spacing w:val="-3"/>
        </w:rPr>
        <w:t> </w:t>
      </w:r>
      <w:r>
        <w:rPr/>
        <w:t>股股份、向李晶发行</w:t>
      </w:r>
      <w:r>
        <w:rPr>
          <w:spacing w:val="-49"/>
        </w:rPr>
        <w:t> </w:t>
      </w:r>
      <w:r>
        <w:rPr>
          <w:rFonts w:ascii="Times New Roman" w:hAnsi="Times New Roman" w:cs="Times New Roman" w:eastAsia="Times New Roman" w:hint="default"/>
        </w:rPr>
        <w:t>715,698.00</w:t>
      </w:r>
      <w:r>
        <w:rPr>
          <w:rFonts w:ascii="Times New Roman" w:hAnsi="Times New Roman" w:cs="Times New Roman" w:eastAsia="Times New Roman" w:hint="default"/>
          <w:spacing w:val="-3"/>
        </w:rPr>
        <w:t> </w:t>
      </w:r>
      <w:r>
        <w:rPr/>
        <w:t>股股份、向吴秀兰发行</w:t>
      </w:r>
      <w:r>
        <w:rPr>
          <w:spacing w:val="-50"/>
        </w:rPr>
        <w:t> </w:t>
      </w:r>
      <w:r>
        <w:rPr>
          <w:rFonts w:ascii="Times New Roman" w:hAnsi="Times New Roman" w:cs="Times New Roman" w:eastAsia="Times New Roman" w:hint="default"/>
        </w:rPr>
        <w:t>705,251.00</w:t>
      </w:r>
      <w:r>
        <w:rPr>
          <w:rFonts w:ascii="Times New Roman" w:hAnsi="Times New Roman" w:cs="Times New Roman" w:eastAsia="Times New Roman" w:hint="default"/>
          <w:spacing w:val="-3"/>
        </w:rPr>
        <w:t> </w:t>
      </w:r>
      <w:r>
        <w:rPr/>
        <w:t>股股份、向常杰发行</w:t>
      </w:r>
      <w:r>
        <w:rPr>
          <w:spacing w:val="-49"/>
        </w:rPr>
        <w:t> </w:t>
      </w:r>
      <w:r>
        <w:rPr>
          <w:rFonts w:ascii="Times New Roman" w:hAnsi="Times New Roman" w:cs="Times New Roman" w:eastAsia="Times New Roman" w:hint="default"/>
        </w:rPr>
        <w:t>119,349.00</w:t>
      </w:r>
      <w:r>
        <w:rPr>
          <w:rFonts w:ascii="Times New Roman" w:hAnsi="Times New Roman" w:cs="Times New Roman" w:eastAsia="Times New Roman" w:hint="default"/>
          <w:spacing w:val="-3"/>
        </w:rPr>
        <w:t> </w:t>
      </w:r>
      <w:r>
        <w:rPr/>
        <w:t>股股份、向</w:t>
      </w:r>
    </w:p>
    <w:p>
      <w:pPr>
        <w:spacing w:line="240" w:lineRule="auto" w:before="9"/>
        <w:rPr>
          <w:rFonts w:ascii="宋体" w:hAnsi="宋体" w:cs="宋体" w:eastAsia="宋体" w:hint="default"/>
          <w:sz w:val="16"/>
          <w:szCs w:val="16"/>
        </w:rPr>
      </w:pPr>
    </w:p>
    <w:p>
      <w:pPr>
        <w:pStyle w:val="BodyText"/>
        <w:spacing w:line="240" w:lineRule="auto"/>
        <w:ind w:right="0"/>
        <w:jc w:val="left"/>
        <w:rPr>
          <w:rFonts w:ascii="Times New Roman" w:hAnsi="Times New Roman" w:cs="Times New Roman" w:eastAsia="Times New Roman" w:hint="default"/>
        </w:rPr>
      </w:pPr>
      <w:r>
        <w:rPr/>
        <w:t>王计斌发行</w:t>
      </w:r>
      <w:r>
        <w:rPr>
          <w:spacing w:val="-49"/>
        </w:rPr>
        <w:t> </w:t>
      </w:r>
      <w:r>
        <w:rPr>
          <w:rFonts w:ascii="Times New Roman" w:hAnsi="Times New Roman" w:cs="Times New Roman" w:eastAsia="Times New Roman" w:hint="default"/>
        </w:rPr>
        <w:t>105,308.00</w:t>
      </w:r>
      <w:r>
        <w:rPr>
          <w:rFonts w:ascii="Times New Roman" w:hAnsi="Times New Roman" w:cs="Times New Roman" w:eastAsia="Times New Roman" w:hint="default"/>
          <w:spacing w:val="-2"/>
        </w:rPr>
        <w:t> </w:t>
      </w:r>
      <w:r>
        <w:rPr/>
        <w:t>股股份、向施伟发行</w:t>
      </w:r>
      <w:r>
        <w:rPr>
          <w:spacing w:val="-48"/>
        </w:rPr>
        <w:t> </w:t>
      </w:r>
      <w:r>
        <w:rPr>
          <w:rFonts w:ascii="Times New Roman" w:hAnsi="Times New Roman" w:cs="Times New Roman" w:eastAsia="Times New Roman" w:hint="default"/>
        </w:rPr>
        <w:t>63,185.00</w:t>
      </w:r>
      <w:r>
        <w:rPr>
          <w:rFonts w:ascii="Times New Roman" w:hAnsi="Times New Roman" w:cs="Times New Roman" w:eastAsia="Times New Roman" w:hint="default"/>
          <w:spacing w:val="-2"/>
        </w:rPr>
        <w:t> </w:t>
      </w:r>
      <w:r>
        <w:rPr/>
        <w:t>股股份购买相关资产，核准神州信息非公开发行不超过</w:t>
      </w:r>
      <w:r>
        <w:rPr>
          <w:spacing w:val="-48"/>
        </w:rPr>
        <w:t> </w:t>
      </w:r>
      <w:r>
        <w:rPr>
          <w:rFonts w:ascii="Times New Roman" w:hAnsi="Times New Roman" w:cs="Times New Roman" w:eastAsia="Times New Roman" w:hint="default"/>
        </w:rPr>
        <w:t>23,086,172.00</w:t>
      </w:r>
    </w:p>
    <w:p>
      <w:pPr>
        <w:spacing w:line="240" w:lineRule="auto" w:before="0"/>
        <w:rPr>
          <w:rFonts w:ascii="Times New Roman" w:hAnsi="Times New Roman" w:cs="Times New Roman" w:eastAsia="Times New Roman" w:hint="default"/>
          <w:sz w:val="19"/>
          <w:szCs w:val="19"/>
        </w:rPr>
      </w:pPr>
    </w:p>
    <w:p>
      <w:pPr>
        <w:pStyle w:val="BodyText"/>
        <w:spacing w:line="477" w:lineRule="auto"/>
        <w:ind w:left="513" w:right="1168" w:hanging="360"/>
        <w:jc w:val="left"/>
      </w:pPr>
      <w:r>
        <w:rPr/>
        <w:t>股新股募集上述发行股份购买资产的配套资金。 根据《发行股份及支付现金购买资产协议》，神州信息向前述的华苏科技股东发行股份共计</w:t>
      </w:r>
      <w:r>
        <w:rPr>
          <w:spacing w:val="-45"/>
        </w:rPr>
        <w:t> </w:t>
      </w:r>
      <w:r>
        <w:rPr>
          <w:rFonts w:ascii="Times New Roman" w:hAnsi="Times New Roman" w:cs="Times New Roman" w:eastAsia="Times New Roman" w:hint="default"/>
        </w:rPr>
        <w:t>23,092,959.00 </w:t>
      </w:r>
      <w:r>
        <w:rPr/>
        <w:t>股（发行价</w:t>
      </w:r>
    </w:p>
    <w:p>
      <w:pPr>
        <w:pStyle w:val="BodyText"/>
        <w:spacing w:line="451" w:lineRule="auto" w:before="21"/>
        <w:ind w:right="1125"/>
        <w:jc w:val="left"/>
      </w:pPr>
      <w:r>
        <w:rPr/>
        <w:t>格为</w:t>
      </w:r>
      <w:r>
        <w:rPr>
          <w:spacing w:val="-47"/>
        </w:rPr>
        <w:t> </w:t>
      </w:r>
      <w:r>
        <w:rPr>
          <w:rFonts w:ascii="Times New Roman" w:hAnsi="Times New Roman" w:cs="Times New Roman" w:eastAsia="Times New Roman" w:hint="default"/>
        </w:rPr>
        <w:t>24.95 </w:t>
      </w:r>
      <w:r>
        <w:rPr/>
        <w:t>元</w:t>
      </w:r>
      <w:r>
        <w:rPr>
          <w:rFonts w:ascii="Times New Roman" w:hAnsi="Times New Roman" w:cs="Times New Roman" w:eastAsia="Times New Roman" w:hint="default"/>
        </w:rPr>
        <w:t>/</w:t>
      </w:r>
      <w:r>
        <w:rPr/>
        <w:t>股）。截至</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日止，公司已收到新增注册资本人民币</w:t>
      </w:r>
      <w:r>
        <w:rPr>
          <w:spacing w:val="-47"/>
        </w:rPr>
        <w:t> </w:t>
      </w:r>
      <w:r>
        <w:rPr>
          <w:rFonts w:ascii="Times New Roman" w:hAnsi="Times New Roman" w:cs="Times New Roman" w:eastAsia="Times New Roman" w:hint="default"/>
        </w:rPr>
        <w:t>23,092,959.00</w:t>
      </w:r>
      <w:r>
        <w:rPr>
          <w:rFonts w:ascii="Times New Roman" w:hAnsi="Times New Roman" w:cs="Times New Roman" w:eastAsia="Times New Roman" w:hint="default"/>
          <w:spacing w:val="1"/>
        </w:rPr>
        <w:t> </w:t>
      </w:r>
      <w:r>
        <w:rPr/>
        <w:t>元，变更后的注册资本为 人民币</w:t>
      </w:r>
      <w:r>
        <w:rPr>
          <w:spacing w:val="-50"/>
        </w:rPr>
        <w:t> </w:t>
      </w:r>
      <w:r>
        <w:rPr>
          <w:rFonts w:ascii="Times New Roman" w:hAnsi="Times New Roman" w:cs="Times New Roman" w:eastAsia="Times New Roman" w:hint="default"/>
        </w:rPr>
        <w:t>940,904,875.00</w:t>
      </w:r>
      <w:r>
        <w:rPr>
          <w:rFonts w:ascii="Times New Roman" w:hAnsi="Times New Roman" w:cs="Times New Roman" w:eastAsia="Times New Roman" w:hint="default"/>
          <w:spacing w:val="-2"/>
        </w:rPr>
        <w:t> </w:t>
      </w:r>
      <w:r>
        <w:rPr/>
        <w:t>元，并业经信永中和会计师事务所出具的</w:t>
      </w:r>
      <w:r>
        <w:rPr>
          <w:spacing w:val="-49"/>
        </w:rPr>
        <w:t> </w:t>
      </w:r>
      <w:r>
        <w:rPr>
          <w:rFonts w:ascii="Times New Roman" w:hAnsi="Times New Roman" w:cs="Times New Roman" w:eastAsia="Times New Roman" w:hint="default"/>
        </w:rPr>
        <w:t>XYZH/2016BJA10717</w:t>
      </w:r>
      <w:r>
        <w:rPr/>
        <w:t>《验资报告》验证。</w:t>
      </w:r>
    </w:p>
    <w:p>
      <w:pPr>
        <w:pStyle w:val="BodyText"/>
        <w:spacing w:line="468" w:lineRule="auto" w:before="44"/>
        <w:ind w:right="1213" w:firstLine="360"/>
        <w:jc w:val="left"/>
      </w:pPr>
      <w:r>
        <w:rPr/>
        <w:t>根据《发行股份及支付现金购买资产协议》及证监许可</w:t>
      </w:r>
      <w:r>
        <w:rPr>
          <w:rFonts w:ascii="Times New Roman" w:hAnsi="Times New Roman" w:cs="Times New Roman" w:eastAsia="Times New Roman" w:hint="default"/>
        </w:rPr>
        <w:t>[2016]2517</w:t>
      </w:r>
      <w:r>
        <w:rPr>
          <w:rFonts w:ascii="Times New Roman" w:hAnsi="Times New Roman" w:cs="Times New Roman" w:eastAsia="Times New Roman" w:hint="default"/>
          <w:spacing w:val="-2"/>
        </w:rPr>
        <w:t> </w:t>
      </w:r>
      <w:r>
        <w:rPr/>
        <w:t>号《关于核准神州数码信息服务股份有限公司向程 艳云等发行股份购买资产并募集配套资金的批复》，神州信息向嘉实基金管理有限公司、西部证券股份有限公司、九泰基 金管理有限公司、天弘基金管理有限公司、财通基金管理有限公司、平安大华基金管理有限公司发行股份共计 </w:t>
      </w:r>
      <w:r>
        <w:rPr>
          <w:rFonts w:ascii="Times New Roman" w:hAnsi="Times New Roman" w:cs="Times New Roman" w:eastAsia="Times New Roman" w:hint="default"/>
        </w:rPr>
        <w:t>22,526,398.00</w:t>
      </w:r>
      <w:r>
        <w:rPr>
          <w:rFonts w:ascii="Times New Roman" w:hAnsi="Times New Roman" w:cs="Times New Roman" w:eastAsia="Times New Roman" w:hint="default"/>
          <w:spacing w:val="1"/>
        </w:rPr>
        <w:t> </w:t>
      </w:r>
      <w:r>
        <w:rPr/>
        <w:t>股并募集配套资金</w:t>
      </w:r>
      <w:r>
        <w:rPr>
          <w:spacing w:val="-46"/>
        </w:rPr>
        <w:t> </w:t>
      </w:r>
      <w:r>
        <w:rPr>
          <w:rFonts w:ascii="Times New Roman" w:hAnsi="Times New Roman" w:cs="Times New Roman" w:eastAsia="Times New Roman" w:hint="default"/>
        </w:rPr>
        <w:t>575,999,996.86</w:t>
      </w:r>
      <w:r>
        <w:rPr>
          <w:rFonts w:ascii="Times New Roman" w:hAnsi="Times New Roman" w:cs="Times New Roman" w:eastAsia="Times New Roman" w:hint="default"/>
          <w:spacing w:val="1"/>
        </w:rPr>
        <w:t> </w:t>
      </w:r>
      <w:r>
        <w:rPr/>
        <w:t>元（发行价格为</w:t>
      </w:r>
      <w:r>
        <w:rPr>
          <w:spacing w:val="-47"/>
        </w:rPr>
        <w:t> </w:t>
      </w:r>
      <w:r>
        <w:rPr>
          <w:rFonts w:ascii="Times New Roman" w:hAnsi="Times New Roman" w:cs="Times New Roman" w:eastAsia="Times New Roman" w:hint="default"/>
        </w:rPr>
        <w:t>25.57 </w:t>
      </w:r>
      <w:r>
        <w:rPr/>
        <w:t>元</w:t>
      </w:r>
      <w:r>
        <w:rPr>
          <w:rFonts w:ascii="Times New Roman" w:hAnsi="Times New Roman" w:cs="Times New Roman" w:eastAsia="Times New Roman" w:hint="default"/>
        </w:rPr>
        <w:t>/</w:t>
      </w:r>
      <w:r>
        <w:rPr/>
        <w:t>股），截至</w:t>
      </w:r>
      <w:r>
        <w:rPr>
          <w:spacing w:val="-4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日止，公司已收到募</w:t>
      </w:r>
    </w:p>
    <w:p>
      <w:pPr>
        <w:pStyle w:val="BodyText"/>
        <w:spacing w:line="240" w:lineRule="auto" w:before="29"/>
        <w:ind w:right="0"/>
        <w:jc w:val="left"/>
      </w:pPr>
      <w:r>
        <w:rPr/>
        <w:t>集资金</w:t>
      </w:r>
      <w:r>
        <w:rPr>
          <w:spacing w:val="-49"/>
        </w:rPr>
        <w:t> </w:t>
      </w:r>
      <w:r>
        <w:rPr>
          <w:rFonts w:ascii="Times New Roman" w:hAnsi="Times New Roman" w:cs="Times New Roman" w:eastAsia="Times New Roman" w:hint="default"/>
        </w:rPr>
        <w:t>575,999,996.86</w:t>
      </w:r>
      <w:r>
        <w:rPr>
          <w:rFonts w:ascii="Times New Roman" w:hAnsi="Times New Roman" w:cs="Times New Roman" w:eastAsia="Times New Roman" w:hint="default"/>
          <w:spacing w:val="-2"/>
        </w:rPr>
        <w:t> </w:t>
      </w:r>
      <w:r>
        <w:rPr/>
        <w:t>元，扣除公司依据协议应支付给长江证券承销保荐有限公司的财务顾问费及承销费</w:t>
      </w:r>
      <w:r>
        <w:rPr>
          <w:spacing w:val="-47"/>
        </w:rPr>
        <w:t> </w:t>
      </w:r>
      <w:r>
        <w:rPr>
          <w:rFonts w:ascii="Times New Roman" w:hAnsi="Times New Roman" w:cs="Times New Roman" w:eastAsia="Times New Roman" w:hint="default"/>
        </w:rPr>
        <w:t>15,000,000.00</w:t>
      </w:r>
      <w:r>
        <w:rPr>
          <w:rFonts w:ascii="Times New Roman" w:hAnsi="Times New Roman" w:cs="Times New Roman" w:eastAsia="Times New Roman" w:hint="default"/>
          <w:spacing w:val="-4"/>
        </w:rPr>
        <w:t> </w:t>
      </w:r>
      <w:r>
        <w:rPr/>
        <w:t>元</w:t>
      </w:r>
    </w:p>
    <w:p>
      <w:pPr>
        <w:spacing w:line="240" w:lineRule="auto" w:before="9"/>
        <w:rPr>
          <w:rFonts w:ascii="宋体" w:hAnsi="宋体" w:cs="宋体" w:eastAsia="宋体" w:hint="default"/>
          <w:sz w:val="16"/>
          <w:szCs w:val="16"/>
        </w:rPr>
      </w:pPr>
    </w:p>
    <w:p>
      <w:pPr>
        <w:pStyle w:val="BodyText"/>
        <w:spacing w:line="451" w:lineRule="auto"/>
        <w:ind w:right="1133"/>
        <w:jc w:val="left"/>
      </w:pPr>
      <w:r>
        <w:rPr/>
        <w:t>后实际募集资金净额为</w:t>
      </w:r>
      <w:r>
        <w:rPr>
          <w:spacing w:val="-49"/>
        </w:rPr>
        <w:t> </w:t>
      </w:r>
      <w:r>
        <w:rPr>
          <w:rFonts w:ascii="Times New Roman" w:hAnsi="Times New Roman" w:cs="Times New Roman" w:eastAsia="Times New Roman" w:hint="default"/>
        </w:rPr>
        <w:t>560,999,996.86</w:t>
      </w:r>
      <w:r>
        <w:rPr>
          <w:rFonts w:ascii="Times New Roman" w:hAnsi="Times New Roman" w:cs="Times New Roman" w:eastAsia="Times New Roman" w:hint="default"/>
          <w:spacing w:val="-1"/>
        </w:rPr>
        <w:t> </w:t>
      </w:r>
      <w:r>
        <w:rPr/>
        <w:t>元，长江证券承销保荐有限公司已将上述募集资金净额</w:t>
      </w:r>
      <w:r>
        <w:rPr>
          <w:spacing w:val="-48"/>
        </w:rPr>
        <w:t> </w:t>
      </w:r>
      <w:r>
        <w:rPr>
          <w:rFonts w:ascii="Times New Roman" w:hAnsi="Times New Roman" w:cs="Times New Roman" w:eastAsia="Times New Roman" w:hint="default"/>
        </w:rPr>
        <w:t>560,999,996.86</w:t>
      </w:r>
      <w:r>
        <w:rPr>
          <w:rFonts w:ascii="Times New Roman" w:hAnsi="Times New Roman" w:cs="Times New Roman" w:eastAsia="Times New Roman" w:hint="default"/>
          <w:spacing w:val="-2"/>
        </w:rPr>
        <w:t> </w:t>
      </w:r>
      <w:r>
        <w:rPr/>
        <w:t>元划入公司于 招商银行股份有限公司北京双榆树支行开立的银行账户（账号为</w:t>
      </w:r>
      <w:r>
        <w:rPr>
          <w:spacing w:val="-45"/>
        </w:rPr>
        <w:t> </w:t>
      </w:r>
      <w:r>
        <w:rPr>
          <w:rFonts w:ascii="Times New Roman" w:hAnsi="Times New Roman" w:cs="Times New Roman" w:eastAsia="Times New Roman" w:hint="default"/>
        </w:rPr>
        <w:t>755906962410505</w:t>
      </w:r>
      <w:r>
        <w:rPr/>
        <w:t>），其中，新增注册资本人民币 </w:t>
      </w:r>
      <w:r>
        <w:rPr>
          <w:rFonts w:ascii="Times New Roman" w:hAnsi="Times New Roman" w:cs="Times New Roman" w:eastAsia="Times New Roman" w:hint="default"/>
        </w:rPr>
        <w:t>22,526,398.00</w:t>
      </w:r>
      <w:r>
        <w:rPr>
          <w:rFonts w:ascii="Times New Roman" w:hAnsi="Times New Roman" w:cs="Times New Roman" w:eastAsia="Times New Roman" w:hint="default"/>
          <w:spacing w:val="-2"/>
        </w:rPr>
        <w:t> </w:t>
      </w:r>
      <w:r>
        <w:rPr/>
        <w:t>元，增加资本公积</w:t>
      </w:r>
      <w:r>
        <w:rPr>
          <w:spacing w:val="-49"/>
        </w:rPr>
        <w:t> </w:t>
      </w:r>
      <w:r>
        <w:rPr>
          <w:rFonts w:ascii="Times New Roman" w:hAnsi="Times New Roman" w:cs="Times New Roman" w:eastAsia="Times New Roman" w:hint="default"/>
        </w:rPr>
        <w:t>538,473,598.86</w:t>
      </w:r>
      <w:r>
        <w:rPr>
          <w:rFonts w:ascii="Times New Roman" w:hAnsi="Times New Roman" w:cs="Times New Roman" w:eastAsia="Times New Roman" w:hint="default"/>
          <w:spacing w:val="-2"/>
        </w:rPr>
        <w:t> </w:t>
      </w:r>
      <w:r>
        <w:rPr/>
        <w:t>元，变更后的注册资本为人民币</w:t>
      </w:r>
      <w:r>
        <w:rPr>
          <w:spacing w:val="-50"/>
        </w:rPr>
        <w:t> </w:t>
      </w:r>
      <w:r>
        <w:rPr>
          <w:rFonts w:ascii="Times New Roman" w:hAnsi="Times New Roman" w:cs="Times New Roman" w:eastAsia="Times New Roman" w:hint="default"/>
        </w:rPr>
        <w:t>963,431,273.00</w:t>
      </w:r>
      <w:r>
        <w:rPr>
          <w:rFonts w:ascii="Times New Roman" w:hAnsi="Times New Roman" w:cs="Times New Roman" w:eastAsia="Times New Roman" w:hint="default"/>
          <w:spacing w:val="-2"/>
        </w:rPr>
        <w:t> </w:t>
      </w:r>
      <w:r>
        <w:rPr/>
        <w:t>元，并业经信永中和会计师 事务所出具的</w:t>
      </w:r>
      <w:r>
        <w:rPr>
          <w:spacing w:val="-47"/>
        </w:rPr>
        <w:t> </w:t>
      </w:r>
      <w:r>
        <w:rPr>
          <w:rFonts w:ascii="Times New Roman" w:hAnsi="Times New Roman" w:cs="Times New Roman" w:eastAsia="Times New Roman" w:hint="default"/>
        </w:rPr>
        <w:t>XYZH/2016BJA10718 </w:t>
      </w:r>
      <w:r>
        <w:rPr/>
        <w:t>号《验资报告》验证。</w:t>
      </w:r>
    </w:p>
    <w:p>
      <w:pPr>
        <w:pStyle w:val="BodyText"/>
        <w:spacing w:line="240" w:lineRule="auto" w:before="43"/>
        <w:ind w:left="513" w:right="0"/>
        <w:jc w:val="left"/>
      </w:pPr>
      <w:r>
        <w:rPr/>
        <w:t>被购买资产作价依据为经北京中同华资产评估有限公司出具的中同华评报字 </w:t>
      </w:r>
      <w:r>
        <w:rPr>
          <w:rFonts w:ascii="Times New Roman" w:hAnsi="Times New Roman" w:cs="Times New Roman" w:eastAsia="Times New Roman" w:hint="default"/>
        </w:rPr>
        <w:t>(2016)</w:t>
      </w:r>
      <w:r>
        <w:rPr/>
        <w:t>第</w:t>
      </w:r>
      <w:r>
        <w:rPr>
          <w:spacing w:val="-46"/>
        </w:rPr>
        <w:t> </w:t>
      </w:r>
      <w:r>
        <w:rPr>
          <w:rFonts w:ascii="Times New Roman" w:hAnsi="Times New Roman" w:cs="Times New Roman" w:eastAsia="Times New Roman" w:hint="default"/>
        </w:rPr>
        <w:t>256</w:t>
      </w:r>
      <w:r>
        <w:rPr>
          <w:rFonts w:ascii="Times New Roman" w:hAnsi="Times New Roman" w:cs="Times New Roman" w:eastAsia="Times New Roman" w:hint="default"/>
          <w:spacing w:val="-2"/>
        </w:rPr>
        <w:t> </w:t>
      </w:r>
      <w:r>
        <w:rPr/>
        <w:t>号《资产评估报告书》。</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13</w:t>
      </w:r>
      <w:r>
        <w:rPr/>
        <w:t>）向激励对象授予股票期权与限制性股票</w:t>
      </w:r>
    </w:p>
    <w:p>
      <w:pPr>
        <w:spacing w:line="240" w:lineRule="auto" w:before="9"/>
        <w:rPr>
          <w:rFonts w:ascii="宋体" w:hAnsi="宋体" w:cs="宋体" w:eastAsia="宋体" w:hint="default"/>
          <w:sz w:val="16"/>
          <w:szCs w:val="16"/>
        </w:rPr>
      </w:pPr>
    </w:p>
    <w:p>
      <w:pPr>
        <w:pStyle w:val="BodyText"/>
        <w:spacing w:line="451" w:lineRule="auto"/>
        <w:ind w:right="1210" w:firstLine="360"/>
        <w:jc w:val="left"/>
      </w:pPr>
      <w:r>
        <w:rPr>
          <w:rFonts w:ascii="Times New Roman" w:hAnsi="Times New Roman" w:cs="Times New Roman" w:eastAsia="Times New Roman" w:hint="default"/>
        </w:rPr>
        <w:t>2019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日，公司第八届董事会</w:t>
      </w:r>
      <w:r>
        <w:rPr>
          <w:spacing w:val="-46"/>
        </w:rPr>
        <w:t> </w:t>
      </w:r>
      <w:r>
        <w:rPr>
          <w:rFonts w:ascii="Times New Roman" w:hAnsi="Times New Roman" w:cs="Times New Roman" w:eastAsia="Times New Roman" w:hint="default"/>
        </w:rPr>
        <w:t>2019 </w:t>
      </w:r>
      <w:r>
        <w:rPr/>
        <w:t>年第三次临时会议审议通过了《关于公司</w:t>
      </w:r>
      <w:r>
        <w:rPr>
          <w:rFonts w:ascii="Times New Roman" w:hAnsi="Times New Roman" w:cs="Times New Roman" w:eastAsia="Times New Roman" w:hint="default"/>
        </w:rPr>
        <w:t>&lt;2019 </w:t>
      </w:r>
      <w:r>
        <w:rPr/>
        <w:t>年股票期权与限制性股票 激励计划（草案）</w:t>
      </w:r>
      <w:r>
        <w:rPr>
          <w:rFonts w:ascii="Times New Roman" w:hAnsi="Times New Roman" w:cs="Times New Roman" w:eastAsia="Times New Roman" w:hint="default"/>
        </w:rPr>
        <w:t>&gt;</w:t>
      </w:r>
      <w:r>
        <w:rPr/>
        <w:t>及其摘要的议案》、《关于公司</w:t>
      </w:r>
      <w:r>
        <w:rPr>
          <w:rFonts w:ascii="Times New Roman" w:hAnsi="Times New Roman" w:cs="Times New Roman" w:eastAsia="Times New Roman" w:hint="default"/>
        </w:rPr>
        <w:t>&lt;2019</w:t>
      </w:r>
      <w:r>
        <w:rPr>
          <w:rFonts w:ascii="Times New Roman" w:hAnsi="Times New Roman" w:cs="Times New Roman" w:eastAsia="Times New Roman" w:hint="default"/>
          <w:spacing w:val="1"/>
        </w:rPr>
        <w:t> </w:t>
      </w:r>
      <w:r>
        <w:rPr/>
        <w:t>年股票期权与限制性股票激励计划实施考核管理办法</w:t>
      </w:r>
      <w:r>
        <w:rPr>
          <w:rFonts w:ascii="Times New Roman" w:hAnsi="Times New Roman" w:cs="Times New Roman" w:eastAsia="Times New Roman" w:hint="default"/>
        </w:rPr>
        <w:t>&gt;</w:t>
      </w:r>
      <w:r>
        <w:rPr/>
        <w:t>的议 案》、《关于提请股东大会授权董事会办理股权激励相关事宜的议案》。</w:t>
      </w:r>
    </w:p>
    <w:p>
      <w:pPr>
        <w:pStyle w:val="BodyText"/>
        <w:spacing w:line="451" w:lineRule="auto" w:before="74"/>
        <w:ind w:right="1297"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5 </w:t>
      </w:r>
      <w:r>
        <w:rPr/>
        <w:t>月</w:t>
      </w:r>
      <w:r>
        <w:rPr>
          <w:spacing w:val="-48"/>
        </w:rPr>
        <w:t> </w:t>
      </w:r>
      <w:r>
        <w:rPr>
          <w:rFonts w:ascii="Times New Roman" w:hAnsi="Times New Roman" w:cs="Times New Roman" w:eastAsia="Times New Roman" w:hint="default"/>
        </w:rPr>
        <w:t>8 </w:t>
      </w:r>
      <w:r>
        <w:rPr/>
        <w:t>日，公司第八届董事会</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年第四次临时会议审议通过了《关于公司</w:t>
      </w:r>
      <w:r>
        <w:rPr>
          <w:rFonts w:ascii="Times New Roman" w:hAnsi="Times New Roman" w:cs="Times New Roman" w:eastAsia="Times New Roman" w:hint="default"/>
        </w:rPr>
        <w:t>&lt;2019</w:t>
      </w:r>
      <w:r>
        <w:rPr>
          <w:rFonts w:ascii="Times New Roman" w:hAnsi="Times New Roman" w:cs="Times New Roman" w:eastAsia="Times New Roman" w:hint="default"/>
          <w:spacing w:val="-2"/>
        </w:rPr>
        <w:t> </w:t>
      </w:r>
      <w:r>
        <w:rPr/>
        <w:t>年股票期权与限制性股票 激励计划（草案修订稿）</w:t>
      </w:r>
      <w:r>
        <w:rPr>
          <w:rFonts w:ascii="Times New Roman" w:hAnsi="Times New Roman" w:cs="Times New Roman" w:eastAsia="Times New Roman" w:hint="default"/>
        </w:rPr>
        <w:t>&gt;</w:t>
      </w:r>
      <w:r>
        <w:rPr/>
        <w:t>及其摘要的议案》。</w:t>
      </w:r>
    </w:p>
    <w:p>
      <w:pPr>
        <w:pStyle w:val="BodyText"/>
        <w:spacing w:line="451" w:lineRule="auto" w:before="43"/>
        <w:ind w:right="1207"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 </w:t>
      </w:r>
      <w:r>
        <w:rPr/>
        <w:t>月</w:t>
      </w:r>
      <w:r>
        <w:rPr>
          <w:spacing w:val="-48"/>
        </w:rPr>
        <w:t> </w:t>
      </w:r>
      <w:r>
        <w:rPr>
          <w:rFonts w:ascii="Times New Roman" w:hAnsi="Times New Roman" w:cs="Times New Roman" w:eastAsia="Times New Roman" w:hint="default"/>
        </w:rPr>
        <w:t>16 </w:t>
      </w:r>
      <w:r>
        <w:rPr/>
        <w:t>日，公司</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年度第三次临时股东大会审议并通过了《关于公司</w:t>
      </w:r>
      <w:r>
        <w:rPr>
          <w:rFonts w:ascii="Times New Roman" w:hAnsi="Times New Roman" w:cs="Times New Roman" w:eastAsia="Times New Roman" w:hint="default"/>
        </w:rPr>
        <w:t>&lt;2019</w:t>
      </w:r>
      <w:r>
        <w:rPr>
          <w:rFonts w:ascii="Times New Roman" w:hAnsi="Times New Roman" w:cs="Times New Roman" w:eastAsia="Times New Roman" w:hint="default"/>
          <w:spacing w:val="1"/>
        </w:rPr>
        <w:t> </w:t>
      </w:r>
      <w:r>
        <w:rPr/>
        <w:t>年股票期权与限制性股票激励 计划（草案修订稿）</w:t>
      </w:r>
      <w:r>
        <w:rPr>
          <w:rFonts w:ascii="Times New Roman" w:hAnsi="Times New Roman" w:cs="Times New Roman" w:eastAsia="Times New Roman" w:hint="default"/>
        </w:rPr>
        <w:t>&gt;</w:t>
      </w:r>
      <w:r>
        <w:rPr/>
        <w:t>及其摘要的议案》、《关于公司</w:t>
      </w:r>
      <w:r>
        <w:rPr>
          <w:rFonts w:ascii="Times New Roman" w:hAnsi="Times New Roman" w:cs="Times New Roman" w:eastAsia="Times New Roman" w:hint="default"/>
        </w:rPr>
        <w:t>&lt;2019</w:t>
      </w:r>
      <w:r>
        <w:rPr>
          <w:rFonts w:ascii="Times New Roman" w:hAnsi="Times New Roman" w:cs="Times New Roman" w:eastAsia="Times New Roman" w:hint="default"/>
          <w:spacing w:val="-1"/>
        </w:rPr>
        <w:t> </w:t>
      </w:r>
      <w:r>
        <w:rPr/>
        <w:t>年股票期权与限制性股票激励计划实施考核管理办法</w:t>
      </w:r>
      <w:r>
        <w:rPr>
          <w:rFonts w:ascii="Times New Roman" w:hAnsi="Times New Roman" w:cs="Times New Roman" w:eastAsia="Times New Roman" w:hint="default"/>
        </w:rPr>
        <w:t>&gt;</w:t>
      </w:r>
      <w:r>
        <w:rPr/>
        <w:t>的议 案》、《关于提请股东大会授权董事会办理股权激励相关事宜的议案》。</w:t>
      </w:r>
    </w:p>
    <w:p>
      <w:pPr>
        <w:pStyle w:val="BodyText"/>
        <w:spacing w:line="240" w:lineRule="auto" w:before="74"/>
        <w:ind w:left="513" w:right="0"/>
        <w:jc w:val="left"/>
      </w:pPr>
      <w:r>
        <w:rPr/>
        <w:t>公司于</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17 </w:t>
      </w:r>
      <w:r>
        <w:rPr/>
        <w:t>日召开了第八届董事会</w:t>
      </w:r>
      <w:r>
        <w:rPr>
          <w:spacing w:val="-47"/>
        </w:rPr>
        <w:t> </w:t>
      </w:r>
      <w:r>
        <w:rPr>
          <w:rFonts w:ascii="Times New Roman" w:hAnsi="Times New Roman" w:cs="Times New Roman" w:eastAsia="Times New Roman" w:hint="default"/>
        </w:rPr>
        <w:t>2019 </w:t>
      </w:r>
      <w:r>
        <w:rPr/>
        <w:t>年第七次临时会议，审议通过了《关于向激励对象授予股票期权与</w:t>
      </w:r>
    </w:p>
    <w:p>
      <w:pPr>
        <w:spacing w:line="240" w:lineRule="auto" w:before="9"/>
        <w:rPr>
          <w:rFonts w:ascii="宋体" w:hAnsi="宋体" w:cs="宋体" w:eastAsia="宋体" w:hint="default"/>
          <w:sz w:val="16"/>
          <w:szCs w:val="16"/>
        </w:rPr>
      </w:pPr>
    </w:p>
    <w:p>
      <w:pPr>
        <w:pStyle w:val="BodyText"/>
        <w:spacing w:line="240" w:lineRule="auto"/>
        <w:ind w:right="0"/>
        <w:jc w:val="left"/>
      </w:pPr>
      <w:r>
        <w:rPr/>
        <w:t>限制性股票的议案》，确定股票期权与限制性股票的授予日为</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17 </w:t>
      </w:r>
      <w:r>
        <w:rPr/>
        <w:t>日。</w:t>
      </w:r>
    </w:p>
    <w:p>
      <w:pPr>
        <w:spacing w:after="0" w:line="240"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77" w:lineRule="auto" w:before="44"/>
        <w:ind w:right="1184" w:firstLine="360"/>
        <w:jc w:val="both"/>
      </w:pPr>
      <w:r>
        <w:rPr/>
        <w:t>根据中国证券监督管理委员会《上市公司股权激励管理办法》、深圳证券交易所、中国证券登记结算有限责任公司深 圳分公司有关规则，公司于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10 </w:t>
      </w:r>
      <w:r>
        <w:rPr/>
        <w:t>月</w:t>
      </w:r>
      <w:r>
        <w:rPr>
          <w:spacing w:val="-46"/>
        </w:rPr>
        <w:t> </w:t>
      </w:r>
      <w:r>
        <w:rPr>
          <w:rFonts w:ascii="Times New Roman" w:hAnsi="Times New Roman" w:cs="Times New Roman" w:eastAsia="Times New Roman" w:hint="default"/>
        </w:rPr>
        <w:t>30 </w:t>
      </w:r>
      <w:r>
        <w:rPr/>
        <w:t>日完成了</w:t>
      </w:r>
      <w:r>
        <w:rPr>
          <w:spacing w:val="-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年限制性股票激励计划首次授予登记工作。公司向激励对象定</w:t>
      </w:r>
    </w:p>
    <w:p>
      <w:pPr>
        <w:pStyle w:val="BodyText"/>
        <w:spacing w:line="240" w:lineRule="auto" w:before="21"/>
        <w:ind w:right="0"/>
        <w:jc w:val="both"/>
      </w:pPr>
      <w:r>
        <w:rPr/>
        <w:t>向发行公司</w:t>
      </w:r>
      <w:r>
        <w:rPr>
          <w:spacing w:val="-1"/>
        </w:rPr>
        <w:t> </w:t>
      </w:r>
      <w:r>
        <w:rPr>
          <w:rFonts w:ascii="Times New Roman" w:hAnsi="Times New Roman" w:cs="Times New Roman" w:eastAsia="Times New Roman" w:hint="default"/>
        </w:rPr>
        <w:t>A</w:t>
      </w:r>
      <w:r>
        <w:rPr>
          <w:rFonts w:ascii="Times New Roman" w:hAnsi="Times New Roman" w:cs="Times New Roman" w:eastAsia="Times New Roman" w:hint="default"/>
          <w:spacing w:val="41"/>
        </w:rPr>
        <w:t> </w:t>
      </w:r>
      <w:r>
        <w:rPr/>
        <w:t>股普通股，授予日为</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日，授予价格为</w:t>
      </w:r>
      <w:r>
        <w:rPr>
          <w:spacing w:val="-46"/>
        </w:rPr>
        <w:t> </w:t>
      </w:r>
      <w:r>
        <w:rPr>
          <w:rFonts w:ascii="Times New Roman" w:hAnsi="Times New Roman" w:cs="Times New Roman" w:eastAsia="Times New Roman" w:hint="default"/>
        </w:rPr>
        <w:t>6.345 </w:t>
      </w:r>
      <w:r>
        <w:rPr/>
        <w:t>元</w:t>
      </w:r>
      <w:r>
        <w:rPr>
          <w:rFonts w:ascii="Times New Roman" w:hAnsi="Times New Roman" w:cs="Times New Roman" w:eastAsia="Times New Roman" w:hint="default"/>
        </w:rPr>
        <w:t>/</w:t>
      </w:r>
      <w:r>
        <w:rPr/>
        <w:t>股，授予</w:t>
      </w:r>
      <w:r>
        <w:rPr>
          <w:spacing w:val="-48"/>
        </w:rPr>
        <w:t> </w:t>
      </w:r>
      <w:r>
        <w:rPr>
          <w:rFonts w:ascii="Times New Roman" w:hAnsi="Times New Roman" w:cs="Times New Roman" w:eastAsia="Times New Roman" w:hint="default"/>
        </w:rPr>
        <w:t>6,950,000.00</w:t>
      </w:r>
      <w:r>
        <w:rPr>
          <w:rFonts w:ascii="Times New Roman" w:hAnsi="Times New Roman" w:cs="Times New Roman" w:eastAsia="Times New Roman" w:hint="default"/>
          <w:spacing w:val="1"/>
        </w:rPr>
        <w:t> </w:t>
      </w:r>
      <w:r>
        <w:rPr/>
        <w:t>股限制性股票。公司本</w:t>
      </w:r>
    </w:p>
    <w:p>
      <w:pPr>
        <w:spacing w:line="240" w:lineRule="auto" w:before="9"/>
        <w:rPr>
          <w:rFonts w:ascii="宋体" w:hAnsi="宋体" w:cs="宋体" w:eastAsia="宋体" w:hint="default"/>
          <w:sz w:val="16"/>
          <w:szCs w:val="16"/>
        </w:rPr>
      </w:pPr>
    </w:p>
    <w:p>
      <w:pPr>
        <w:pStyle w:val="BodyText"/>
        <w:spacing w:line="240" w:lineRule="auto"/>
        <w:ind w:right="0"/>
        <w:jc w:val="both"/>
        <w:rPr>
          <w:rFonts w:ascii="Times New Roman" w:hAnsi="Times New Roman" w:cs="Times New Roman" w:eastAsia="Times New Roman" w:hint="default"/>
        </w:rPr>
      </w:pPr>
      <w:r>
        <w:rPr/>
        <w:t>次限制性股票授予完成后，公司的总股本增加至</w:t>
      </w:r>
      <w:r>
        <w:rPr>
          <w:spacing w:val="-48"/>
        </w:rPr>
        <w:t> </w:t>
      </w:r>
      <w:r>
        <w:rPr>
          <w:rFonts w:ascii="Times New Roman" w:hAnsi="Times New Roman" w:cs="Times New Roman" w:eastAsia="Times New Roman" w:hint="default"/>
        </w:rPr>
        <w:t>970,381,273.00 </w:t>
      </w:r>
      <w:r>
        <w:rPr/>
        <w:t>元。北京兴华会计师事务所（特殊普通合伙）于</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10</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both"/>
      </w:pP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日出具（</w:t>
      </w:r>
      <w:r>
        <w:rPr>
          <w:rFonts w:ascii="Times New Roman" w:hAnsi="Times New Roman" w:cs="Times New Roman" w:eastAsia="Times New Roman" w:hint="default"/>
        </w:rPr>
        <w:t>2019</w:t>
      </w:r>
      <w:r>
        <w:rPr/>
        <w:t>）京会兴验字第</w:t>
      </w:r>
      <w:r>
        <w:rPr>
          <w:spacing w:val="-46"/>
        </w:rPr>
        <w:t> </w:t>
      </w:r>
      <w:r>
        <w:rPr>
          <w:rFonts w:ascii="Times New Roman" w:hAnsi="Times New Roman" w:cs="Times New Roman" w:eastAsia="Times New Roman" w:hint="default"/>
        </w:rPr>
        <w:t>64000003 </w:t>
      </w:r>
      <w:r>
        <w:rPr/>
        <w:t>号验资报告，对本公司截止</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10 </w:t>
      </w:r>
      <w:r>
        <w:rPr/>
        <w:t>月</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日的出资情况进行审验，本公司</w:t>
      </w:r>
    </w:p>
    <w:p>
      <w:pPr>
        <w:spacing w:line="240" w:lineRule="auto" w:before="9"/>
        <w:rPr>
          <w:rFonts w:ascii="宋体" w:hAnsi="宋体" w:cs="宋体" w:eastAsia="宋体" w:hint="default"/>
          <w:sz w:val="16"/>
          <w:szCs w:val="16"/>
        </w:rPr>
      </w:pPr>
    </w:p>
    <w:p>
      <w:pPr>
        <w:pStyle w:val="BodyText"/>
        <w:spacing w:line="451" w:lineRule="auto"/>
        <w:ind w:right="2085"/>
        <w:jc w:val="left"/>
      </w:pPr>
      <w:r>
        <w:rPr/>
        <w:t>的募集资金账户共收到</w:t>
      </w:r>
      <w:r>
        <w:rPr>
          <w:spacing w:val="-48"/>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t>名激励对象入资款</w:t>
      </w:r>
      <w:r>
        <w:rPr>
          <w:spacing w:val="-47"/>
        </w:rPr>
        <w:t> </w:t>
      </w:r>
      <w:r>
        <w:rPr>
          <w:rFonts w:ascii="Times New Roman" w:hAnsi="Times New Roman" w:cs="Times New Roman" w:eastAsia="Times New Roman" w:hint="default"/>
        </w:rPr>
        <w:t>44,097,750.00 </w:t>
      </w:r>
      <w:r>
        <w:rPr/>
        <w:t>元。其中按照激励计划购买公司限制性股票增加</w:t>
      </w:r>
      <w:r>
        <w:rPr>
          <w:rFonts w:ascii="Times New Roman" w:hAnsi="Times New Roman" w:cs="Times New Roman" w:eastAsia="Times New Roman" w:hint="default"/>
        </w:rPr>
        <w:t>“</w:t>
      </w:r>
      <w:r>
        <w:rPr/>
        <w:t>股 本</w:t>
      </w:r>
      <w:r>
        <w:rPr>
          <w:rFonts w:ascii="Times New Roman" w:hAnsi="Times New Roman" w:cs="Times New Roman" w:eastAsia="Times New Roman" w:hint="default"/>
        </w:rPr>
        <w:t>”6,950,000.00</w:t>
      </w:r>
      <w:r>
        <w:rPr>
          <w:rFonts w:ascii="Times New Roman" w:hAnsi="Times New Roman" w:cs="Times New Roman" w:eastAsia="Times New Roman" w:hint="default"/>
          <w:spacing w:val="-3"/>
        </w:rPr>
        <w:t> </w:t>
      </w:r>
      <w:r>
        <w:rPr/>
        <w:t>元，出资款超过限制性股票成本</w:t>
      </w:r>
      <w:r>
        <w:rPr>
          <w:spacing w:val="-49"/>
        </w:rPr>
        <w:t> </w:t>
      </w:r>
      <w:r>
        <w:rPr>
          <w:rFonts w:ascii="Times New Roman" w:hAnsi="Times New Roman" w:cs="Times New Roman" w:eastAsia="Times New Roman" w:hint="default"/>
        </w:rPr>
        <w:t>37,147,750.00</w:t>
      </w:r>
      <w:r>
        <w:rPr>
          <w:rFonts w:ascii="Times New Roman" w:hAnsi="Times New Roman" w:cs="Times New Roman" w:eastAsia="Times New Roman" w:hint="default"/>
          <w:spacing w:val="-2"/>
        </w:rPr>
        <w:t> </w:t>
      </w:r>
      <w:r>
        <w:rPr/>
        <w:t>元增加</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w:t>
      </w:r>
    </w:p>
    <w:p>
      <w:pPr>
        <w:pStyle w:val="Heading4"/>
        <w:spacing w:line="245" w:lineRule="exact"/>
        <w:ind w:left="513" w:right="0"/>
        <w:jc w:val="left"/>
        <w:rPr>
          <w:b w:val="0"/>
          <w:bCs w:val="0"/>
        </w:rPr>
      </w:pPr>
      <w:r>
        <w:rPr>
          <w:rFonts w:ascii="Calibri" w:hAnsi="Calibri" w:cs="Calibri" w:eastAsia="Calibri" w:hint="default"/>
        </w:rPr>
        <w:t>3.</w:t>
      </w:r>
      <w:r>
        <w:rPr/>
        <w:t>其他基本情况</w:t>
      </w:r>
      <w:r>
        <w:rPr>
          <w:b w:val="0"/>
          <w:bCs w:val="0"/>
        </w:rPr>
      </w:r>
    </w:p>
    <w:p>
      <w:pPr>
        <w:pStyle w:val="BodyText"/>
        <w:spacing w:line="240" w:lineRule="auto" w:before="110"/>
        <w:ind w:left="513" w:right="0"/>
        <w:jc w:val="left"/>
      </w:pPr>
      <w:r>
        <w:rPr/>
        <w:t>注册地址：深圳市南山区科发路</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号金融服务技术创新基地</w:t>
      </w:r>
      <w:r>
        <w:rPr>
          <w:spacing w:val="-49"/>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栋</w:t>
      </w:r>
      <w:r>
        <w:rPr>
          <w:spacing w:val="-47"/>
        </w:rPr>
        <w:t> </w:t>
      </w:r>
      <w:r>
        <w:rPr>
          <w:rFonts w:ascii="Times New Roman" w:hAnsi="Times New Roman" w:cs="Times New Roman" w:eastAsia="Times New Roman" w:hint="default"/>
        </w:rPr>
        <w:t>11B1 </w:t>
      </w:r>
      <w:r>
        <w:rPr/>
        <w:t>单元；本公司统一社会信用代码</w:t>
      </w:r>
    </w:p>
    <w:p>
      <w:pPr>
        <w:spacing w:line="240" w:lineRule="auto" w:before="9"/>
        <w:rPr>
          <w:rFonts w:ascii="宋体" w:hAnsi="宋体" w:cs="宋体" w:eastAsia="宋体" w:hint="default"/>
          <w:sz w:val="16"/>
          <w:szCs w:val="16"/>
        </w:rPr>
      </w:pPr>
    </w:p>
    <w:p>
      <w:pPr>
        <w:pStyle w:val="BodyText"/>
        <w:spacing w:line="240" w:lineRule="auto"/>
        <w:ind w:right="0"/>
        <w:jc w:val="both"/>
      </w:pPr>
      <w:r>
        <w:rPr>
          <w:rFonts w:ascii="Times New Roman" w:hAnsi="Times New Roman" w:cs="Times New Roman" w:eastAsia="Times New Roman" w:hint="default"/>
        </w:rPr>
        <w:t>91440300726198124D</w:t>
      </w:r>
      <w:r>
        <w:rPr/>
        <w:t>。</w:t>
      </w:r>
    </w:p>
    <w:p>
      <w:pPr>
        <w:spacing w:line="240" w:lineRule="auto" w:before="9"/>
        <w:rPr>
          <w:rFonts w:ascii="宋体" w:hAnsi="宋体" w:cs="宋体" w:eastAsia="宋体" w:hint="default"/>
          <w:sz w:val="16"/>
          <w:szCs w:val="16"/>
        </w:rPr>
      </w:pPr>
    </w:p>
    <w:p>
      <w:pPr>
        <w:pStyle w:val="BodyText"/>
        <w:spacing w:line="477" w:lineRule="auto"/>
        <w:ind w:right="1231" w:firstLine="360"/>
        <w:jc w:val="both"/>
      </w:pPr>
      <w:r>
        <w:rPr/>
        <w:t>经营范围：研究、开发金融自助设备及相关应用软件，销售本公司所研发产品并提供售后服务；提供信息技术及相关 技术的咨询、开发、技术服务；软件开发、信息系统的集成并提供售后服务；从事信息系统集成配套计算机硬件及零件、 网络设备、多媒体产品、电子信息产品及通讯产品、办公自动化设备、仪器仪表、电器及印刷照排设备的批发、进出口及 相关业务。</w:t>
      </w:r>
    </w:p>
    <w:p>
      <w:pPr>
        <w:pStyle w:val="BodyText"/>
        <w:spacing w:line="451" w:lineRule="auto" w:before="54"/>
        <w:ind w:left="513" w:right="1213"/>
        <w:jc w:val="left"/>
      </w:pPr>
      <w:r>
        <w:rPr/>
        <w:t>本集团合并财务报表范围包括本公司、神州数码系统集成服务有限公司、神州数码信息系统有限公司等</w:t>
      </w:r>
      <w:r>
        <w:rPr>
          <w:spacing w:val="-43"/>
        </w:rPr>
        <w:t> </w:t>
      </w:r>
      <w:r>
        <w:rPr>
          <w:rFonts w:ascii="Times New Roman" w:hAnsi="Times New Roman" w:cs="Times New Roman" w:eastAsia="Times New Roman" w:hint="default"/>
        </w:rPr>
        <w:t>41</w:t>
      </w:r>
      <w:r>
        <w:rPr>
          <w:rFonts w:ascii="Times New Roman" w:hAnsi="Times New Roman" w:cs="Times New Roman" w:eastAsia="Times New Roman" w:hint="default"/>
          <w:spacing w:val="1"/>
        </w:rPr>
        <w:t> </w:t>
      </w:r>
      <w:r>
        <w:rPr/>
        <w:t>家公司。 与上年相比，本年因非同一控制下企业合并增加神州土地（北京）信息技术有限公司及其子公司枣强县农村产权交易</w:t>
      </w:r>
    </w:p>
    <w:p>
      <w:pPr>
        <w:pStyle w:val="BodyText"/>
        <w:spacing w:line="463" w:lineRule="auto" w:before="74"/>
        <w:ind w:right="1231"/>
        <w:jc w:val="both"/>
      </w:pPr>
      <w:r>
        <w:rPr/>
        <w:t>服务有限公司，因新设增加智慧神州天融（北京）监测技术有限公司、新疆神州三宝信息技术有限公司、北京神州通慧科 技有限公司、神州龙安</w:t>
      </w:r>
      <w:r>
        <w:rPr>
          <w:rFonts w:ascii="Times New Roman" w:hAnsi="Times New Roman" w:cs="Times New Roman" w:eastAsia="Times New Roman" w:hint="default"/>
        </w:rPr>
        <w:t>(</w:t>
      </w:r>
      <w:r>
        <w:rPr/>
        <w:t>金华</w:t>
      </w:r>
      <w:r>
        <w:rPr>
          <w:rFonts w:ascii="Times New Roman" w:hAnsi="Times New Roman" w:cs="Times New Roman" w:eastAsia="Times New Roman" w:hint="default"/>
        </w:rPr>
        <w:t>)</w:t>
      </w:r>
      <w:r>
        <w:rPr/>
        <w:t>信息技术服务有限公司及</w:t>
      </w:r>
      <w:r>
        <w:rPr>
          <w:spacing w:val="-48"/>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3"/>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4"/>
        </w:rPr>
        <w:t> </w:t>
      </w:r>
      <w:r>
        <w:rPr>
          <w:rFonts w:ascii="Times New Roman" w:hAnsi="Times New Roman" w:cs="Times New Roman" w:eastAsia="Times New Roman" w:hint="default"/>
        </w:rPr>
        <w:t>Information</w:t>
      </w:r>
      <w:r>
        <w:rPr>
          <w:rFonts w:ascii="Times New Roman" w:hAnsi="Times New Roman" w:cs="Times New Roman" w:eastAsia="Times New Roman" w:hint="default"/>
          <w:spacing w:val="-2"/>
        </w:rPr>
        <w:t> </w:t>
      </w:r>
      <w:r>
        <w:rPr>
          <w:rFonts w:ascii="Times New Roman" w:hAnsi="Times New Roman" w:cs="Times New Roman" w:eastAsia="Times New Roman" w:hint="default"/>
        </w:rPr>
        <w:t>Technology</w:t>
      </w:r>
      <w:r>
        <w:rPr>
          <w:rFonts w:ascii="Times New Roman" w:hAnsi="Times New Roman" w:cs="Times New Roman" w:eastAsia="Times New Roman" w:hint="default"/>
          <w:spacing w:val="-4"/>
        </w:rPr>
        <w:t> </w:t>
      </w:r>
      <w:r>
        <w:rPr>
          <w:rFonts w:ascii="Times New Roman" w:hAnsi="Times New Roman" w:cs="Times New Roman" w:eastAsia="Times New Roman" w:hint="default"/>
        </w:rPr>
        <w:t>Indonesia,PT</w:t>
      </w:r>
      <w:r>
        <w:rPr/>
        <w:t>，因注销减少昆明 中农信息技术有限公司。</w:t>
      </w:r>
    </w:p>
    <w:p>
      <w:pPr>
        <w:spacing w:line="240" w:lineRule="auto" w:before="4"/>
        <w:rPr>
          <w:rFonts w:ascii="宋体" w:hAnsi="宋体" w:cs="宋体" w:eastAsia="宋体" w:hint="default"/>
          <w:sz w:val="18"/>
          <w:szCs w:val="18"/>
        </w:rPr>
      </w:pPr>
    </w:p>
    <w:p>
      <w:pPr>
        <w:pStyle w:val="Heading2"/>
        <w:spacing w:line="240" w:lineRule="auto"/>
        <w:ind w:right="0"/>
        <w:jc w:val="both"/>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31"/>
          <w:szCs w:val="31"/>
        </w:rPr>
      </w:pPr>
    </w:p>
    <w:p>
      <w:pPr>
        <w:pStyle w:val="Heading5"/>
        <w:spacing w:line="429" w:lineRule="auto"/>
        <w:ind w:right="1193" w:firstLine="384"/>
        <w:jc w:val="both"/>
      </w:pPr>
      <w:r>
        <w:rPr>
          <w:w w:val="95"/>
        </w:rPr>
        <w:t>本集团财务报表以持续经营为基础，根据实际发生的交易和事项，按照财政部颁布的《企业会计准则》及</w:t>
      </w:r>
      <w:r>
        <w:rPr>
          <w:spacing w:val="-28"/>
          <w:w w:val="95"/>
        </w:rPr>
        <w:t> </w:t>
      </w:r>
      <w:r>
        <w:rPr>
          <w:spacing w:val="-28"/>
          <w:w w:val="95"/>
        </w:rPr>
      </w:r>
      <w:r>
        <w:rPr/>
        <w:t>相关规定，并基于本附注</w:t>
      </w:r>
      <w:r>
        <w:rPr>
          <w:rFonts w:ascii="Times New Roman" w:hAnsi="Times New Roman" w:cs="Times New Roman" w:eastAsia="Times New Roman" w:hint="default"/>
        </w:rPr>
        <w:t>“</w:t>
      </w:r>
      <w:r>
        <w:rPr/>
        <w:t>五、重要会计政策及会计估计</w:t>
      </w:r>
      <w:r>
        <w:rPr>
          <w:rFonts w:ascii="Times New Roman" w:hAnsi="Times New Roman" w:cs="Times New Roman" w:eastAsia="Times New Roman" w:hint="default"/>
        </w:rPr>
        <w:t>”</w:t>
      </w:r>
      <w:r>
        <w:rPr/>
        <w:t>所述会计政策和会计估计编制。</w:t>
      </w:r>
    </w:p>
    <w:p>
      <w:pPr>
        <w:spacing w:line="240" w:lineRule="auto" w:before="10"/>
        <w:rPr>
          <w:rFonts w:ascii="宋体" w:hAnsi="宋体" w:cs="宋体" w:eastAsia="宋体" w:hint="default"/>
          <w:sz w:val="17"/>
          <w:szCs w:val="17"/>
        </w:rPr>
      </w:pPr>
    </w:p>
    <w:p>
      <w:pPr>
        <w:pStyle w:val="Heading4"/>
        <w:spacing w:line="240" w:lineRule="auto"/>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2"/>
        <w:rPr>
          <w:rFonts w:ascii="宋体" w:hAnsi="宋体" w:cs="宋体" w:eastAsia="宋体" w:hint="default"/>
          <w:b/>
          <w:bCs/>
          <w:sz w:val="31"/>
          <w:szCs w:val="31"/>
        </w:rPr>
      </w:pPr>
    </w:p>
    <w:p>
      <w:pPr>
        <w:pStyle w:val="Heading5"/>
        <w:spacing w:line="240" w:lineRule="auto"/>
        <w:ind w:left="537" w:right="0"/>
        <w:jc w:val="left"/>
      </w:pPr>
      <w:r>
        <w:rPr/>
        <w:t>本集团不存在导致对报告期末起</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个月内的持续经营假设产生重大疑虑的事项或情况。</w:t>
      </w:r>
    </w:p>
    <w:p>
      <w:pPr>
        <w:spacing w:after="0" w:line="240" w:lineRule="auto"/>
        <w:jc w:val="left"/>
        <w:sectPr>
          <w:pgSz w:w="11910" w:h="16840"/>
          <w:pgMar w:header="916" w:footer="1261" w:top="1120" w:bottom="1460" w:left="980" w:right="0"/>
        </w:sectPr>
      </w:pPr>
    </w:p>
    <w:p>
      <w:pPr>
        <w:spacing w:line="240" w:lineRule="auto" w:before="8"/>
        <w:rPr>
          <w:rFonts w:ascii="宋体" w:hAnsi="宋体" w:cs="宋体" w:eastAsia="宋体" w:hint="default"/>
          <w:sz w:val="18"/>
          <w:szCs w:val="18"/>
        </w:rPr>
      </w:pPr>
    </w:p>
    <w:p>
      <w:pPr>
        <w:pStyle w:val="Heading2"/>
        <w:spacing w:line="240" w:lineRule="auto" w:before="26"/>
        <w:ind w:right="0"/>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31"/>
          <w:szCs w:val="31"/>
        </w:rPr>
      </w:pPr>
    </w:p>
    <w:p>
      <w:pPr>
        <w:pStyle w:val="Heading5"/>
        <w:spacing w:line="429" w:lineRule="auto"/>
        <w:ind w:right="1176" w:firstLine="384"/>
        <w:jc w:val="both"/>
      </w:pPr>
      <w:r>
        <w:rPr/>
        <w:t>具体会计政策和会计估计提示：本集团根据实际生产经营特点制定的具体会计政策和会计估计包括营业周</w:t>
      </w:r>
      <w:r>
        <w:rPr>
          <w:w w:val="99"/>
        </w:rPr>
        <w:t> </w:t>
      </w:r>
      <w:r>
        <w:rPr>
          <w:w w:val="95"/>
        </w:rPr>
        <w:t>期、应收款项坏账准备的确认和计量、发出存货计量、固定资产分类及折旧方法、无形资产摊销、开发支出资</w:t>
      </w:r>
      <w:r>
        <w:rPr>
          <w:spacing w:val="91"/>
          <w:w w:val="95"/>
        </w:rPr>
        <w:t> </w:t>
      </w:r>
      <w:r>
        <w:rPr>
          <w:spacing w:val="91"/>
          <w:w w:val="95"/>
        </w:rPr>
      </w:r>
      <w:r>
        <w:rPr/>
        <w:t>本化条件、商誉减值测试、收入确认和计量等。</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12"/>
        <w:rPr>
          <w:rFonts w:ascii="宋体" w:hAnsi="宋体" w:cs="宋体" w:eastAsia="宋体" w:hint="default"/>
          <w:b/>
          <w:bCs/>
          <w:sz w:val="30"/>
          <w:szCs w:val="30"/>
        </w:rPr>
      </w:pPr>
    </w:p>
    <w:p>
      <w:pPr>
        <w:pStyle w:val="Heading5"/>
        <w:spacing w:line="429" w:lineRule="auto"/>
        <w:ind w:right="1193" w:firstLine="384"/>
        <w:jc w:val="both"/>
      </w:pPr>
      <w:r>
        <w:rPr>
          <w:w w:val="95"/>
        </w:rPr>
        <w:t>本公司编制的财务报表符合企业会计准则的要求，真实、完整地反映了本公司及本集团的财务状况、经营</w:t>
      </w:r>
      <w:r>
        <w:rPr>
          <w:spacing w:val="-28"/>
          <w:w w:val="95"/>
        </w:rPr>
        <w:t> </w:t>
      </w:r>
      <w:r>
        <w:rPr>
          <w:spacing w:val="-28"/>
          <w:w w:val="95"/>
        </w:rPr>
      </w:r>
      <w:r>
        <w:rPr/>
        <w:t>成果和现金流量等有关信息。</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31"/>
          <w:szCs w:val="31"/>
        </w:rPr>
      </w:pPr>
    </w:p>
    <w:p>
      <w:pPr>
        <w:pStyle w:val="Heading5"/>
        <w:spacing w:line="240" w:lineRule="auto"/>
        <w:ind w:left="537" w:right="0"/>
        <w:jc w:val="left"/>
      </w:pPr>
      <w:r>
        <w:rPr/>
        <w:t>本集团的会计期间为公历</w:t>
      </w:r>
      <w:r>
        <w:rPr>
          <w:spacing w:val="-50"/>
        </w:rPr>
        <w:t> </w:t>
      </w:r>
      <w:r>
        <w:rPr>
          <w:rFonts w:ascii="Times New Roman" w:hAnsi="Times New Roman" w:cs="Times New Roman" w:eastAsia="Times New Roman" w:hint="default"/>
        </w:rPr>
        <w:t>1 </w:t>
      </w:r>
      <w:r>
        <w:rPr/>
        <w:t>月</w:t>
      </w:r>
      <w:r>
        <w:rPr>
          <w:spacing w:val="-51"/>
        </w:rPr>
        <w:t> </w:t>
      </w:r>
      <w:r>
        <w:rPr>
          <w:rFonts w:ascii="Times New Roman" w:hAnsi="Times New Roman" w:cs="Times New Roman" w:eastAsia="Times New Roman" w:hint="default"/>
        </w:rPr>
        <w:t>1 </w:t>
      </w:r>
      <w:r>
        <w:rPr/>
        <w:t>日至</w:t>
      </w:r>
      <w:r>
        <w:rPr>
          <w:spacing w:val="-51"/>
        </w:rPr>
        <w:t> </w:t>
      </w:r>
      <w:r>
        <w:rPr>
          <w:rFonts w:ascii="Times New Roman" w:hAnsi="Times New Roman" w:cs="Times New Roman" w:eastAsia="Times New Roman" w:hint="default"/>
        </w:rPr>
        <w:t>12 </w:t>
      </w:r>
      <w:r>
        <w:rPr/>
        <w:t>月</w:t>
      </w:r>
      <w:r>
        <w:rPr>
          <w:spacing w:val="-51"/>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20"/>
          <w:szCs w:val="20"/>
        </w:rPr>
      </w:pPr>
    </w:p>
    <w:p>
      <w:pPr>
        <w:pStyle w:val="Heading4"/>
        <w:spacing w:line="240" w:lineRule="auto" w:before="145"/>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12"/>
        <w:rPr>
          <w:rFonts w:ascii="宋体" w:hAnsi="宋体" w:cs="宋体" w:eastAsia="宋体" w:hint="default"/>
          <w:b/>
          <w:bCs/>
          <w:sz w:val="30"/>
          <w:szCs w:val="30"/>
        </w:rPr>
      </w:pPr>
    </w:p>
    <w:p>
      <w:pPr>
        <w:pStyle w:val="Heading5"/>
        <w:spacing w:line="240" w:lineRule="auto"/>
        <w:ind w:left="537" w:right="0"/>
        <w:jc w:val="left"/>
      </w:pPr>
      <w:r>
        <w:rPr/>
        <w:t>本集团的营业周期为公历</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日至</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 </w:t>
      </w:r>
      <w:r>
        <w:rPr/>
        <w:t>日，并且作为资产和负债的流动性划分标准。</w:t>
      </w:r>
    </w:p>
    <w:p>
      <w:pPr>
        <w:spacing w:line="240" w:lineRule="auto" w:before="0"/>
        <w:rPr>
          <w:rFonts w:ascii="宋体" w:hAnsi="宋体" w:cs="宋体" w:eastAsia="宋体" w:hint="default"/>
          <w:sz w:val="20"/>
          <w:szCs w:val="20"/>
        </w:rPr>
      </w:pPr>
    </w:p>
    <w:p>
      <w:pPr>
        <w:pStyle w:val="Heading4"/>
        <w:spacing w:line="240" w:lineRule="auto" w:before="145"/>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31"/>
          <w:szCs w:val="31"/>
        </w:rPr>
      </w:pPr>
    </w:p>
    <w:p>
      <w:pPr>
        <w:pStyle w:val="Heading5"/>
        <w:spacing w:line="240" w:lineRule="auto"/>
        <w:ind w:left="537" w:right="0"/>
        <w:jc w:val="left"/>
      </w:pPr>
      <w:r>
        <w:rPr/>
        <w:t>本集团以人民币为记账本位币。</w:t>
      </w:r>
    </w:p>
    <w:p>
      <w:pPr>
        <w:spacing w:line="240" w:lineRule="auto" w:before="0"/>
        <w:rPr>
          <w:rFonts w:ascii="宋体" w:hAnsi="宋体" w:cs="宋体" w:eastAsia="宋体" w:hint="default"/>
          <w:sz w:val="20"/>
          <w:szCs w:val="20"/>
        </w:rPr>
      </w:pPr>
    </w:p>
    <w:p>
      <w:pPr>
        <w:pStyle w:val="Heading4"/>
        <w:spacing w:line="240" w:lineRule="auto" w:before="161"/>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2"/>
        <w:rPr>
          <w:rFonts w:ascii="宋体" w:hAnsi="宋体" w:cs="宋体" w:eastAsia="宋体" w:hint="default"/>
          <w:b/>
          <w:bCs/>
          <w:sz w:val="30"/>
          <w:szCs w:val="30"/>
        </w:rPr>
      </w:pPr>
    </w:p>
    <w:p>
      <w:pPr>
        <w:pStyle w:val="Heading5"/>
        <w:spacing w:line="429" w:lineRule="auto"/>
        <w:ind w:right="1176" w:firstLine="384"/>
        <w:jc w:val="both"/>
      </w:pPr>
      <w:r>
        <w:rPr/>
        <w:t>本集团作为合并方，在同一控制下企业合并中取得的资产和负债，在合并日按被合并方在最终控制方合并</w:t>
      </w:r>
      <w:r>
        <w:rPr>
          <w:w w:val="99"/>
        </w:rPr>
        <w:t> </w:t>
      </w:r>
      <w:r>
        <w:rPr>
          <w:w w:val="95"/>
        </w:rPr>
        <w:t>报表中的账面价值计量。取得的净资产账面价值与支付的合并对价账面价值的差额，调整资本公积；资本公积</w:t>
      </w:r>
      <w:r>
        <w:rPr>
          <w:spacing w:val="91"/>
          <w:w w:val="95"/>
        </w:rPr>
        <w:t> </w:t>
      </w:r>
      <w:r>
        <w:rPr>
          <w:spacing w:val="91"/>
          <w:w w:val="95"/>
        </w:rPr>
      </w:r>
      <w:r>
        <w:rPr/>
        <w:t>不足冲减的，调整留存收益。</w:t>
      </w:r>
    </w:p>
    <w:p>
      <w:pPr>
        <w:pStyle w:val="Heading5"/>
        <w:spacing w:line="429" w:lineRule="auto" w:before="48"/>
        <w:ind w:right="1172" w:firstLine="384"/>
        <w:jc w:val="both"/>
      </w:pPr>
      <w:r>
        <w:rPr/>
        <w:t>在非同一控制下企业合并中取得的被购买方可辨认资产、负债及或有负债在收购日以公允价值计量。合并</w:t>
      </w:r>
      <w:r>
        <w:rPr>
          <w:w w:val="99"/>
        </w:rPr>
        <w:t> </w:t>
      </w:r>
      <w:r>
        <w:rPr/>
        <w:t>成本为本集团在购买日为取得对被购买方的控制权而支付的现金或非现金资产、发行或承担的负债、发行的权</w:t>
      </w:r>
      <w:r>
        <w:rPr>
          <w:w w:val="99"/>
        </w:rPr>
        <w:t> </w:t>
      </w:r>
      <w:r>
        <w:rPr/>
        <w:t>益性证券等的公允价值以及在企业合并中发生的各项直接相关费用之和（通过多次交易分步实现的企业合并，</w:t>
      </w:r>
      <w:r>
        <w:rPr>
          <w:w w:val="99"/>
        </w:rPr>
        <w:t> </w:t>
      </w:r>
      <w:r>
        <w:rPr/>
        <w:t>其合并成本为每一单项交易的成本之和）。合并成本大于合并中取得的被购买方可辨认净资产公允价值份额的</w:t>
      </w:r>
      <w:r>
        <w:rPr>
          <w:w w:val="99"/>
        </w:rPr>
        <w:t> </w:t>
      </w:r>
      <w:r>
        <w:rPr/>
        <w:t>差额，确认为商誉；合并成本小于合并中取得的被购买方可辨认净资产公允价值份额的，首先对合并中取得的</w:t>
      </w:r>
      <w:r>
        <w:rPr>
          <w:w w:val="99"/>
        </w:rPr>
        <w:t> </w:t>
      </w:r>
      <w:r>
        <w:rPr/>
        <w:t>各项可辨认资产、负债及或有负债的公允价值、以及合并对价的非现金资产或发行的权益性证券等的公允价值</w:t>
      </w:r>
    </w:p>
    <w:p>
      <w:pPr>
        <w:spacing w:after="0" w:line="429" w:lineRule="auto"/>
        <w:jc w:val="both"/>
        <w:sectPr>
          <w:pgSz w:w="11910" w:h="16840"/>
          <w:pgMar w:header="916" w:footer="1261" w:top="1120" w:bottom="1460" w:left="980" w:right="0"/>
        </w:sectPr>
      </w:pPr>
    </w:p>
    <w:p>
      <w:pPr>
        <w:spacing w:line="240" w:lineRule="auto" w:before="1"/>
        <w:rPr>
          <w:rFonts w:ascii="宋体" w:hAnsi="宋体" w:cs="宋体" w:eastAsia="宋体" w:hint="default"/>
          <w:sz w:val="26"/>
          <w:szCs w:val="26"/>
        </w:rPr>
      </w:pPr>
    </w:p>
    <w:p>
      <w:pPr>
        <w:pStyle w:val="Heading5"/>
        <w:spacing w:line="429" w:lineRule="auto" w:before="37"/>
        <w:ind w:right="0"/>
        <w:jc w:val="left"/>
      </w:pPr>
      <w:r>
        <w:rPr>
          <w:w w:val="95"/>
        </w:rPr>
        <w:t>进行复核，经复核后，合并成本仍小于合并中取得的被购买方可辨认净资产公允价值份额的，将其差额计入合</w:t>
      </w:r>
      <w:r>
        <w:rPr>
          <w:spacing w:val="91"/>
          <w:w w:val="95"/>
        </w:rPr>
        <w:t> </w:t>
      </w:r>
      <w:r>
        <w:rPr>
          <w:spacing w:val="91"/>
          <w:w w:val="95"/>
        </w:rPr>
      </w:r>
      <w:r>
        <w:rPr/>
        <w:t>并当期营业外收入。</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31"/>
          <w:szCs w:val="31"/>
        </w:rPr>
      </w:pPr>
    </w:p>
    <w:p>
      <w:pPr>
        <w:pStyle w:val="Heading5"/>
        <w:spacing w:line="429" w:lineRule="auto"/>
        <w:ind w:left="537" w:right="0"/>
        <w:jc w:val="left"/>
      </w:pPr>
      <w:r>
        <w:rPr/>
        <w:t>本集团将所有控制的子公司及结构化主体纳入合并财务报表范围。</w:t>
      </w:r>
      <w:r>
        <w:rPr>
          <w:w w:val="99"/>
        </w:rPr>
        <w:t> </w:t>
      </w:r>
      <w:r>
        <w:rPr>
          <w:w w:val="95"/>
        </w:rPr>
        <w:t>在编制合并财务报表时，子公司与本公司采用的会计政策或会计期间不一致的，按照本公司的会计政策或</w:t>
      </w:r>
      <w:r>
        <w:rPr/>
      </w:r>
    </w:p>
    <w:p>
      <w:pPr>
        <w:pStyle w:val="Heading5"/>
        <w:spacing w:line="429" w:lineRule="auto" w:before="48"/>
        <w:ind w:left="537" w:right="0" w:hanging="384"/>
        <w:jc w:val="left"/>
      </w:pPr>
      <w:r>
        <w:rPr/>
        <w:t>会计期间对子公司财务报表进行必要的调整。</w:t>
      </w:r>
      <w:r>
        <w:rPr>
          <w:w w:val="99"/>
        </w:rPr>
        <w:t> </w:t>
      </w:r>
      <w:r>
        <w:rPr>
          <w:w w:val="95"/>
        </w:rPr>
        <w:t>合并范围内的所有重大内部交易、往来余额及未实现利润在合并报表编制时予以抵销。子公司的所有者权</w:t>
      </w:r>
      <w:r>
        <w:rPr/>
      </w:r>
    </w:p>
    <w:p>
      <w:pPr>
        <w:pStyle w:val="Heading5"/>
        <w:spacing w:line="417" w:lineRule="auto" w:before="49"/>
        <w:ind w:right="0"/>
        <w:jc w:val="left"/>
      </w:pPr>
      <w:r>
        <w:rPr>
          <w:w w:val="95"/>
        </w:rPr>
        <w:t>益中不属于母公司的份额以及当期净损益、其他综合收益及综合收益总额中属于少数股东权益的份额，分别在</w:t>
      </w:r>
      <w:r>
        <w:rPr>
          <w:spacing w:val="91"/>
          <w:w w:val="95"/>
        </w:rPr>
        <w:t> </w:t>
      </w:r>
      <w:r>
        <w:rPr>
          <w:spacing w:val="91"/>
          <w:w w:val="95"/>
        </w:rPr>
      </w:r>
      <w:r>
        <w:rPr/>
        <w:t>合并财务报表</w:t>
      </w:r>
      <w:r>
        <w:rPr>
          <w:rFonts w:ascii="Times New Roman" w:hAnsi="Times New Roman" w:cs="Times New Roman" w:eastAsia="Times New Roman" w:hint="default"/>
        </w:rPr>
        <w:t>“</w:t>
      </w:r>
      <w:r>
        <w:rPr/>
        <w:t>少数股东权益、少数股东损益、归属于少数股东的其他综合收益及归属于少数股东的综合收益</w:t>
      </w:r>
      <w:r>
        <w:rPr>
          <w:w w:val="99"/>
        </w:rPr>
        <w:t> </w:t>
      </w:r>
      <w:r>
        <w:rPr/>
        <w:t>总额</w:t>
      </w:r>
      <w:r>
        <w:rPr>
          <w:rFonts w:ascii="Times New Roman" w:hAnsi="Times New Roman" w:cs="Times New Roman" w:eastAsia="Times New Roman" w:hint="default"/>
        </w:rPr>
        <w:t>”</w:t>
      </w:r>
      <w:r>
        <w:rPr/>
        <w:t>项目列示。</w:t>
      </w:r>
    </w:p>
    <w:p>
      <w:pPr>
        <w:pStyle w:val="Heading5"/>
        <w:spacing w:line="429" w:lineRule="auto" w:before="27"/>
        <w:ind w:right="1176" w:firstLine="384"/>
        <w:jc w:val="both"/>
      </w:pPr>
      <w:r>
        <w:rPr/>
        <w:t>对于同一控制下企业合并取得的子公司，其经营成果和现金流量自合并当期期初纳入合并财务报表。编制</w:t>
      </w:r>
      <w:r>
        <w:rPr>
          <w:w w:val="99"/>
        </w:rPr>
        <w:t> </w:t>
      </w:r>
      <w:r>
        <w:rPr>
          <w:w w:val="95"/>
        </w:rPr>
        <w:t>比较合并财务报表时，对上年财务报表的相关项目进行调整，视同合并后形成的报告主体自最终控制方开始控</w:t>
      </w:r>
      <w:r>
        <w:rPr>
          <w:spacing w:val="91"/>
          <w:w w:val="95"/>
        </w:rPr>
        <w:t> </w:t>
      </w:r>
      <w:r>
        <w:rPr>
          <w:spacing w:val="91"/>
          <w:w w:val="95"/>
        </w:rPr>
      </w:r>
      <w:r>
        <w:rPr/>
        <w:t>制时点起一直存在。</w:t>
      </w:r>
    </w:p>
    <w:p>
      <w:pPr>
        <w:pStyle w:val="Heading5"/>
        <w:spacing w:line="429" w:lineRule="auto" w:before="48"/>
        <w:ind w:right="1176" w:firstLine="384"/>
        <w:jc w:val="both"/>
      </w:pPr>
      <w:r>
        <w:rPr/>
        <w:t>对于非同一控制下企业合并取得子公司，经营成果和现金流量自本集团取得控制权之日起纳入合并财务报</w:t>
      </w:r>
      <w:r>
        <w:rPr>
          <w:w w:val="99"/>
        </w:rPr>
        <w:t> </w:t>
      </w:r>
      <w:r>
        <w:rPr>
          <w:w w:val="95"/>
        </w:rPr>
        <w:t>表。在编制合并财务报表时，以购买日确定的各项可辨认资产、负债及或有负债的公允价值为基础对子公司的</w:t>
      </w:r>
      <w:r>
        <w:rPr>
          <w:spacing w:val="91"/>
          <w:w w:val="95"/>
        </w:rPr>
        <w:t> </w:t>
      </w:r>
      <w:r>
        <w:rPr>
          <w:spacing w:val="91"/>
          <w:w w:val="95"/>
        </w:rPr>
      </w:r>
      <w:r>
        <w:rPr/>
        <w:t>财务报表进行调整。</w:t>
      </w:r>
    </w:p>
    <w:p>
      <w:pPr>
        <w:spacing w:line="240" w:lineRule="auto" w:before="0"/>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31"/>
          <w:szCs w:val="31"/>
        </w:rPr>
      </w:pPr>
    </w:p>
    <w:p>
      <w:pPr>
        <w:pStyle w:val="Heading5"/>
        <w:spacing w:line="422" w:lineRule="auto"/>
        <w:ind w:right="1140" w:firstLine="384"/>
        <w:jc w:val="both"/>
      </w:pPr>
      <w:r>
        <w:rPr>
          <w:w w:val="95"/>
        </w:rPr>
        <w:t>本集团的合营安排包括共同经营和合营企业。对于共同经营项目</w:t>
      </w:r>
      <w:r>
        <w:rPr>
          <w:rFonts w:ascii="Times New Roman" w:hAnsi="Times New Roman" w:cs="Times New Roman" w:eastAsia="Times New Roman" w:hint="default"/>
          <w:w w:val="95"/>
        </w:rPr>
        <w:t>,</w:t>
      </w:r>
      <w:r>
        <w:rPr>
          <w:w w:val="95"/>
        </w:rPr>
        <w:t>本集团作为共同经营中的合营方确认单独</w:t>
      </w:r>
      <w:r>
        <w:rPr>
          <w:spacing w:val="-24"/>
          <w:w w:val="95"/>
        </w:rPr>
        <w:t> </w:t>
      </w:r>
      <w:r>
        <w:rPr>
          <w:spacing w:val="-24"/>
          <w:w w:val="95"/>
        </w:rPr>
      </w:r>
      <w:r>
        <w:rPr/>
        <w:t>持有的资产和承担的负债，以及按份额确认持有的资产和承担的负债，根据相关约定单独或按份额确认相关的</w:t>
      </w:r>
      <w:r>
        <w:rPr>
          <w:w w:val="99"/>
        </w:rPr>
        <w:t> </w:t>
      </w:r>
      <w:r>
        <w:rPr/>
        <w:t>收入和费用。与共同经营发生购买、销售不构成业务的资产交易的，仅确认因该交易产生的损益中归属于共同</w:t>
      </w:r>
      <w:r>
        <w:rPr>
          <w:w w:val="99"/>
        </w:rPr>
        <w:t> </w:t>
      </w:r>
      <w:r>
        <w:rPr/>
        <w:t>经营其他参与方的部分。</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2"/>
        <w:rPr>
          <w:rFonts w:ascii="宋体" w:hAnsi="宋体" w:cs="宋体" w:eastAsia="宋体" w:hint="default"/>
          <w:b/>
          <w:bCs/>
          <w:sz w:val="31"/>
          <w:szCs w:val="31"/>
        </w:rPr>
      </w:pPr>
    </w:p>
    <w:p>
      <w:pPr>
        <w:pStyle w:val="Heading5"/>
        <w:spacing w:line="429" w:lineRule="auto"/>
        <w:ind w:right="1193" w:firstLine="384"/>
        <w:jc w:val="both"/>
      </w:pPr>
      <w:r>
        <w:rPr>
          <w:w w:val="95"/>
        </w:rPr>
        <w:t>本集团现金流量表之现金指库存现金以及可以随时用于支付的存款。现金流量表之现金等价物指持有期限</w:t>
      </w:r>
      <w:r>
        <w:rPr>
          <w:spacing w:val="-28"/>
          <w:w w:val="95"/>
        </w:rPr>
        <w:t> </w:t>
      </w:r>
      <w:r>
        <w:rPr>
          <w:spacing w:val="-28"/>
          <w:w w:val="95"/>
        </w:rPr>
      </w:r>
      <w:r>
        <w:rPr/>
        <w:t>不超过</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个月、流动性强、易于转换为已知金额现金且价值变动风险很小的投资。</w:t>
      </w:r>
    </w:p>
    <w:p>
      <w:pPr>
        <w:spacing w:line="240" w:lineRule="auto" w:before="10"/>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3" w:right="0"/>
        <w:jc w:val="left"/>
      </w:pPr>
      <w:r>
        <w:rPr/>
        <w:t>（</w:t>
      </w:r>
      <w:r>
        <w:rPr>
          <w:rFonts w:ascii="Times New Roman" w:hAnsi="Times New Roman" w:cs="Times New Roman" w:eastAsia="Times New Roman" w:hint="default"/>
        </w:rPr>
        <w:t>1</w:t>
      </w:r>
      <w:r>
        <w:rPr/>
        <w:t>）外币交易</w:t>
      </w:r>
    </w:p>
    <w:p>
      <w:pPr>
        <w:spacing w:after="0" w:line="240"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77" w:lineRule="auto" w:before="44"/>
        <w:ind w:right="1213" w:firstLine="360"/>
        <w:jc w:val="left"/>
      </w:pPr>
      <w:r>
        <w:rPr/>
        <w:t>本集团外币交易按交易发生日的即期汇率将外币金额折算为人民币金额。于资产负债表日，外币货币性项目采用资产 负债表日的即期汇率折算为人民币，所产生的折算差额除了为购建或生产符合资本化条件的资产而借入的外币专门借款产 生的汇兑差额按资本化的原则处理外，直接计入当期损益。以公允价值计量的外币非货币性项目，采用公允价值确定日的 即期汇率折算为人民币，所产生的折算差额，作为公允价值变动直接计入当期损益。以历史成本计量的外币非货币性项 目，仍采用交易发生日的即期汇率折算，不改变其人民币金额。</w:t>
      </w:r>
    </w:p>
    <w:p>
      <w:pPr>
        <w:pStyle w:val="BodyText"/>
        <w:spacing w:line="451" w:lineRule="auto" w:before="54"/>
        <w:ind w:left="513" w:right="1233"/>
        <w:jc w:val="left"/>
      </w:pPr>
      <w:r>
        <w:rPr/>
        <w:t>（</w:t>
      </w:r>
      <w:r>
        <w:rPr>
          <w:rFonts w:ascii="Times New Roman" w:hAnsi="Times New Roman" w:cs="Times New Roman" w:eastAsia="Times New Roman" w:hint="default"/>
        </w:rPr>
        <w:t>2</w:t>
      </w:r>
      <w:r>
        <w:rPr/>
        <w:t>）外币财务报表的折算 外币资产负债表中资产、负债类项目采用资产负债表日的即期汇率折算；所有者权益类项目除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外，均按</w:t>
      </w:r>
    </w:p>
    <w:p>
      <w:pPr>
        <w:pStyle w:val="BodyText"/>
        <w:spacing w:line="477" w:lineRule="auto" w:before="43"/>
        <w:ind w:right="1231"/>
        <w:jc w:val="both"/>
      </w:pPr>
      <w:r>
        <w:rPr/>
        <w:t>业务发生时的即期汇率折算；利润表中的收入与费用项目，采用交易发生日的即期汇率折算。上述折算产生的外币报表折 算差额，在其他综合收益项目中列示。外币现金流量采用现金流量发生日的即期汇率折算。汇率变动对现金的影响额，在 现金流量表中单独列示。</w:t>
      </w:r>
    </w:p>
    <w:p>
      <w:pPr>
        <w:spacing w:line="240" w:lineRule="auto" w:before="6"/>
        <w:rPr>
          <w:rFonts w:ascii="宋体" w:hAnsi="宋体" w:cs="宋体" w:eastAsia="宋体" w:hint="default"/>
          <w:sz w:val="19"/>
          <w:szCs w:val="19"/>
        </w:rPr>
      </w:pPr>
    </w:p>
    <w:p>
      <w:pPr>
        <w:pStyle w:val="Heading4"/>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513" w:right="0"/>
        <w:jc w:val="left"/>
      </w:pPr>
      <w:r>
        <w:rPr/>
        <w:t>本集团成为金融工具合同的一方时确认一项金融资产或金融负债。</w:t>
      </w:r>
    </w:p>
    <w:p>
      <w:pPr>
        <w:spacing w:line="240" w:lineRule="auto" w:before="10"/>
        <w:rPr>
          <w:rFonts w:ascii="宋体" w:hAnsi="宋体" w:cs="宋体" w:eastAsia="宋体" w:hint="default"/>
          <w:sz w:val="17"/>
          <w:szCs w:val="17"/>
        </w:rPr>
      </w:pPr>
    </w:p>
    <w:p>
      <w:pPr>
        <w:pStyle w:val="BodyText"/>
        <w:spacing w:line="240" w:lineRule="auto"/>
        <w:ind w:left="443" w:right="0"/>
        <w:jc w:val="left"/>
      </w:pPr>
      <w:r>
        <w:rPr/>
        <w:t>（</w:t>
      </w:r>
      <w:r>
        <w:rPr>
          <w:rFonts w:ascii="Times New Roman" w:hAnsi="Times New Roman" w:cs="Times New Roman" w:eastAsia="Times New Roman" w:hint="default"/>
        </w:rPr>
        <w:t>1</w:t>
      </w:r>
      <w:r>
        <w:rPr/>
        <w:t>）金融资产</w:t>
      </w:r>
    </w:p>
    <w:p>
      <w:pPr>
        <w:spacing w:line="240" w:lineRule="auto" w:before="9"/>
        <w:rPr>
          <w:rFonts w:ascii="宋体" w:hAnsi="宋体" w:cs="宋体" w:eastAsia="宋体" w:hint="default"/>
          <w:sz w:val="16"/>
          <w:szCs w:val="16"/>
        </w:rPr>
      </w:pPr>
    </w:p>
    <w:p>
      <w:pPr>
        <w:pStyle w:val="BodyText"/>
        <w:spacing w:line="451" w:lineRule="auto"/>
        <w:ind w:left="513" w:right="1213"/>
        <w:jc w:val="left"/>
      </w:pPr>
      <w:r>
        <w:rPr>
          <w:rFonts w:ascii="Times New Roman" w:hAnsi="Times New Roman" w:cs="Times New Roman" w:eastAsia="Times New Roman" w:hint="default"/>
        </w:rPr>
        <w:t>1</w:t>
      </w:r>
      <w:r>
        <w:rPr/>
        <w:t>）金融资产分类、确认依据和计量方法 本集团根据管理金融资产的业务模式和金融资产的合同现金流特征，将金融资产分类为以摊余成本计量的金融资产、</w:t>
      </w:r>
    </w:p>
    <w:p>
      <w:pPr>
        <w:pStyle w:val="BodyText"/>
        <w:spacing w:line="475" w:lineRule="auto" w:before="74"/>
        <w:ind w:left="513" w:right="1213" w:hanging="360"/>
        <w:jc w:val="left"/>
      </w:pPr>
      <w:r>
        <w:rPr/>
        <w:t>以公允价值计量且其变动计入其他综合收益的金融资产、以公允价值计量且其变动计入当期损益的金融资产。 本集团将同时符合下列条件的金融资产分类为以摊余成本计量的金融资产：①管理该金融资产的业务模式是以收取合</w:t>
      </w:r>
    </w:p>
    <w:p>
      <w:pPr>
        <w:pStyle w:val="BodyText"/>
        <w:spacing w:line="477" w:lineRule="auto" w:before="56"/>
        <w:ind w:right="1230"/>
        <w:jc w:val="both"/>
      </w:pPr>
      <w:r>
        <w:rPr/>
        <w:t>同现金流量为目标。②该金融资产的合同条款规定，在特定日期产生的现金流量，仅为对本金和以未偿付本金金额为基础 的利息的支付。此类金融资产按照公允价值进行初始计量，相关交易费用计入初始确认金额；以摊余成本进行后续计量。 除被指定为被套期项目的，按照实际利率法摊销初始金额与到期金额之间的差额，其摊销、减值、汇兑损益以及终止确认 时产生的利得或损失，计入当期损益。</w:t>
      </w:r>
    </w:p>
    <w:p>
      <w:pPr>
        <w:pStyle w:val="BodyText"/>
        <w:spacing w:line="477" w:lineRule="auto" w:before="54"/>
        <w:ind w:right="1229" w:firstLine="360"/>
        <w:jc w:val="both"/>
      </w:pPr>
      <w:r>
        <w:rPr/>
        <w:t>本集团将同时符合下列条件的金融资产分类为以公允价值计量且其变动计入其他综合收益的金融资产：①管理该金融 资产的业务模式既以收取合同现金流量为目标又以出售该金融资产为目标。②该金融资产的合同条款规定，在特定日期产 生的现金流量，仅为对本金和以未偿付本金金额为基础的利息的支付。此类金融资产按照公允价值进行初始计量，相关交 易费用计入初始确认金额。除被指定为被套期项目的，此类金融资产，除信用减值损失或利得、汇兑损益和按照实际利率 法计算的该金融资产利息之外，所产生的其他利得或损失，均计入其他综合收益；金融资产终止确认时，之前计入其他综 合收益的累计利得或损失应当从其他综合收益中转出，计入当期损益。</w:t>
      </w:r>
    </w:p>
    <w:p>
      <w:pPr>
        <w:pStyle w:val="BodyText"/>
        <w:spacing w:line="240" w:lineRule="auto" w:before="54"/>
        <w:ind w:right="0" w:firstLine="360"/>
        <w:jc w:val="left"/>
      </w:pPr>
      <w:r>
        <w:rPr/>
        <w:t>本集团按照实际利率法确认利息收入。利息收入根据金融资产账面余额乘以实际利率计算确定，但下列情况除外：①</w:t>
      </w:r>
    </w:p>
    <w:p>
      <w:pPr>
        <w:spacing w:line="240" w:lineRule="auto" w:before="10"/>
        <w:rPr>
          <w:rFonts w:ascii="宋体" w:hAnsi="宋体" w:cs="宋体" w:eastAsia="宋体" w:hint="default"/>
          <w:sz w:val="17"/>
          <w:szCs w:val="17"/>
        </w:rPr>
      </w:pPr>
    </w:p>
    <w:p>
      <w:pPr>
        <w:pStyle w:val="BodyText"/>
        <w:spacing w:line="240" w:lineRule="auto"/>
        <w:ind w:right="0"/>
        <w:jc w:val="both"/>
      </w:pPr>
      <w:r>
        <w:rPr/>
        <w:t>对于购入或源生的已发生信用减值的金融资产，自初始确认起，按照该金融资产的摊余成本和经信用调整的实际利率计算</w:t>
      </w:r>
    </w:p>
    <w:p>
      <w:pPr>
        <w:spacing w:after="0" w:line="240" w:lineRule="auto"/>
        <w:jc w:val="both"/>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77" w:lineRule="auto" w:before="44"/>
        <w:ind w:right="1213"/>
        <w:jc w:val="left"/>
      </w:pPr>
      <w:r>
        <w:rPr/>
        <w:t>确定其利息收入。②对于购入或源生的未发生信用减值、但在后续期间成为已发生信用减值的金融资产，在后续期间，按 照该金融资产的摊余成本和实际利率计算确定其利息收入。</w:t>
      </w:r>
    </w:p>
    <w:p>
      <w:pPr>
        <w:pStyle w:val="BodyText"/>
        <w:spacing w:line="477" w:lineRule="auto" w:before="54"/>
        <w:ind w:right="1213" w:firstLine="360"/>
        <w:jc w:val="left"/>
      </w:pPr>
      <w:r>
        <w:rPr/>
        <w:t>本集团将非交易性权益工具投资指定为以公允价值计量且其变动计入其他综合收益的金融资产。该指定一经作出，不 得撤销。本集团指定的以公允价值计量且其变动计入其他综合收益的非交易性权益工具投资，按照公允价值进行初始计 量，相关交易费用计入初始确认金额；除了获得股利（属于投资成本收回部分的除外）计入当期损益外，其他相关的利得 和损失（包括汇兑损益）均计入其他综合收益，且后续不得转入当期损益。当其终止确认时，之前计入其他综合收益的累 计利得或损失从其他综合收益中转出，计入留存收益。</w:t>
      </w:r>
    </w:p>
    <w:p>
      <w:pPr>
        <w:pStyle w:val="BodyText"/>
        <w:spacing w:line="477" w:lineRule="auto" w:before="54"/>
        <w:ind w:right="1231" w:firstLine="360"/>
        <w:jc w:val="both"/>
      </w:pPr>
      <w:r>
        <w:rPr/>
        <w:t>除上述分类为以摊余成本计量的金融资产和分类为以公允价值计量且其变动计入其他综合收益的金融资产之外的金融 资产，本集团将其分类为以公允价值计量且其变动计入当期损益的金融资产。此类金融资产按照公允价值进行初始计量， 相关交易费用直接计入当期损益。此类金融资产的利得或损失，计入当期损益。</w:t>
      </w:r>
    </w:p>
    <w:p>
      <w:pPr>
        <w:pStyle w:val="BodyText"/>
        <w:spacing w:line="477" w:lineRule="auto" w:before="54"/>
        <w:ind w:right="1213" w:firstLine="360"/>
        <w:jc w:val="left"/>
      </w:pPr>
      <w:r>
        <w:rPr/>
        <w:t>本集团在非同一控制下的企业合并中确认的或有对价构成金融资产的，该金融资产分类为以公允价值计量且其变动计 入当期损益的金融资产。</w:t>
      </w:r>
    </w:p>
    <w:p>
      <w:pPr>
        <w:pStyle w:val="BodyText"/>
        <w:spacing w:line="451" w:lineRule="auto" w:before="54"/>
        <w:ind w:left="513" w:right="1213"/>
        <w:jc w:val="left"/>
      </w:pPr>
      <w:r>
        <w:rPr>
          <w:rFonts w:ascii="Times New Roman" w:hAnsi="Times New Roman" w:cs="Times New Roman" w:eastAsia="Times New Roman" w:hint="default"/>
        </w:rPr>
        <w:t>2</w:t>
      </w:r>
      <w:r>
        <w:rPr/>
        <w:t>）金融资产转移的确认依据和计量方法 本集团将满足下列条件之一的金融资产予以终止确认：①收取该金融资产现金流量的合同权利终止；②金融资产发生</w:t>
      </w:r>
    </w:p>
    <w:p>
      <w:pPr>
        <w:pStyle w:val="BodyText"/>
        <w:spacing w:line="477" w:lineRule="auto" w:before="74"/>
        <w:ind w:right="1213"/>
        <w:jc w:val="left"/>
      </w:pPr>
      <w:r>
        <w:rPr/>
        <w:t>转移，本集团转移了金融资产所有权上几乎所有风险和报酬；③金融资产发生转移，本集团既没有转移也没有保留金融资 产所有权上几乎所有风险和报酬，且未保留对该金融资产控制的。</w:t>
      </w:r>
    </w:p>
    <w:p>
      <w:pPr>
        <w:pStyle w:val="BodyText"/>
        <w:spacing w:line="477" w:lineRule="auto" w:before="54"/>
        <w:ind w:right="1231" w:firstLine="360"/>
        <w:jc w:val="both"/>
      </w:pPr>
      <w:r>
        <w:rPr/>
        <w:t>金融资产整体转移满足终止确认条件的，将所转移金融资产的账面价值，与因转移而收到的对价及原直接计入其他综 合收益的公允价值变动累计额中对应终止确认部分的金额（涉及转移的金融资产的合同条款规定，在特定日期产生的现金 流量，仅为对本金和以未偿付本金金额为基础的利息的支付）之和的差额计入当期损益。</w:t>
      </w:r>
    </w:p>
    <w:p>
      <w:pPr>
        <w:pStyle w:val="BodyText"/>
        <w:spacing w:line="477" w:lineRule="auto" w:before="54"/>
        <w:ind w:right="1213" w:firstLine="360"/>
        <w:jc w:val="left"/>
      </w:pPr>
      <w:r>
        <w:rPr/>
        <w:t>金融资产部分转移满足终止确认条件的，将所转移金融资产整体的账面价值，在终止确认部分和未终止确认部分之 间，按照各自的相对公允价值进行分摊，并将因转移而收到的对价及应分摊至终止确认部分的原计入其他综合收益的公允 价值变动累计额中对应终止确认部分的金额（涉及转移的金融资产的合同条款规定，在特定日期产生的现金流量，仅为对 本金和以未偿付本金金额为基础的利息的支付）之和，与分摊的前述金融资产整体账面价值的差额计入当期损益。</w:t>
      </w:r>
    </w:p>
    <w:p>
      <w:pPr>
        <w:pStyle w:val="BodyText"/>
        <w:spacing w:line="240" w:lineRule="auto" w:before="55"/>
        <w:ind w:left="513" w:right="0"/>
        <w:jc w:val="left"/>
      </w:pPr>
      <w:r>
        <w:rPr/>
        <w:t>（</w:t>
      </w:r>
      <w:r>
        <w:rPr>
          <w:rFonts w:ascii="Times New Roman" w:hAnsi="Times New Roman" w:cs="Times New Roman" w:eastAsia="Times New Roman" w:hint="default"/>
        </w:rPr>
        <w:t>2</w:t>
      </w:r>
      <w:r>
        <w:rPr/>
        <w:t>）金融负债</w:t>
      </w:r>
    </w:p>
    <w:p>
      <w:pPr>
        <w:spacing w:line="240" w:lineRule="auto" w:before="9"/>
        <w:rPr>
          <w:rFonts w:ascii="宋体" w:hAnsi="宋体" w:cs="宋体" w:eastAsia="宋体" w:hint="default"/>
          <w:sz w:val="16"/>
          <w:szCs w:val="16"/>
        </w:rPr>
      </w:pPr>
    </w:p>
    <w:p>
      <w:pPr>
        <w:pStyle w:val="BodyText"/>
        <w:spacing w:line="463" w:lineRule="auto"/>
        <w:ind w:left="513" w:right="1213"/>
        <w:jc w:val="left"/>
      </w:pPr>
      <w:r>
        <w:rPr>
          <w:rFonts w:ascii="Times New Roman" w:hAnsi="Times New Roman" w:cs="Times New Roman" w:eastAsia="Times New Roman" w:hint="default"/>
        </w:rPr>
        <w:t>1</w:t>
      </w:r>
      <w:r>
        <w:rPr/>
        <w:t>）金融负债分类、确认依据和计量方法 本集团的金融负债于初始确认时分类为以公允价值计量且其变动计入当期损益的金融负债和其他金融负债。 以公允价值计量且其变动计入当期损益的金融负债，包括交易性金融负债和初始确认时指定为以公允价值计量且其变</w:t>
      </w:r>
    </w:p>
    <w:p>
      <w:pPr>
        <w:pStyle w:val="BodyText"/>
        <w:spacing w:line="477" w:lineRule="auto" w:before="65"/>
        <w:ind w:right="1213"/>
        <w:jc w:val="left"/>
      </w:pPr>
      <w:r>
        <w:rPr/>
        <w:t>动计入当期损益的金融负债。交易性金融负债，是指满足下列条件之一的金融负债：承担该金融负债的目的是为了在近期 内回购；属于进行集中管理的可辨认金融工具组合的一部分，且有客观证据表明企业近期采用短期获利方式对该组合进行</w:t>
      </w:r>
    </w:p>
    <w:p>
      <w:pPr>
        <w:spacing w:after="0" w:line="477"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77" w:lineRule="auto" w:before="44"/>
        <w:ind w:right="1229"/>
        <w:jc w:val="both"/>
      </w:pPr>
      <w:r>
        <w:rPr/>
        <w:t>管理；属于衍生工具，但是，被指定且为有效套期工具的衍生工具、属于财务担保合同的衍生工具、与在活跃市场中没有 报价且其公允价值不能可靠计量的权益工具投资挂钩并须通过交付该权益工具结算的衍生工具除外。对于此类金融负债， 按照公允价值进行后续计量，所有已实现和未实现的损益均计入当期损益。</w:t>
      </w:r>
    </w:p>
    <w:p>
      <w:pPr>
        <w:pStyle w:val="BodyText"/>
        <w:spacing w:line="477" w:lineRule="auto" w:before="54"/>
        <w:ind w:right="1229" w:firstLine="360"/>
        <w:jc w:val="both"/>
      </w:pPr>
      <w:r>
        <w:rPr/>
        <w:t>其他金融负债，采用实际利率法，按照摊余成本进行后续计量。除下列各项外，本集团将金融负债分类为以摊余成本 计量的金融负债：①以公允价值计量且其变动计入当期损益的金融负债，包括交易性金融负债（含属于金融负债的衍生工 具）和指定为以公允价值计量且其变动计入当期损益的金融负债。②不符合终止确认条件的金融资产转移或继续涉入被转 移金融资产所形成的金融负债。③不属于以上①或②情形的财务担保合同，以及不属于以上①情形的以低于市场利率贷款 的贷款承诺。</w:t>
      </w:r>
    </w:p>
    <w:p>
      <w:pPr>
        <w:pStyle w:val="BodyText"/>
        <w:spacing w:line="451" w:lineRule="auto" w:before="55"/>
        <w:ind w:left="513" w:right="1213"/>
        <w:jc w:val="left"/>
      </w:pPr>
      <w:r>
        <w:rPr>
          <w:rFonts w:ascii="Times New Roman" w:hAnsi="Times New Roman" w:cs="Times New Roman" w:eastAsia="Times New Roman" w:hint="default"/>
        </w:rPr>
        <w:t>2</w:t>
      </w:r>
      <w:r>
        <w:rPr/>
        <w:t>）金融负债终止确认条件 当金融负债的现时义务全部或部分已经解除时，终止确认该金融负债或义务已解除的部分。本集团与债权人之间签订</w:t>
      </w:r>
    </w:p>
    <w:p>
      <w:pPr>
        <w:pStyle w:val="BodyText"/>
        <w:spacing w:line="477" w:lineRule="auto" w:before="74"/>
        <w:ind w:right="1231"/>
        <w:jc w:val="both"/>
      </w:pPr>
      <w:r>
        <w:rPr/>
        <w:t>协议，以承担新金融负债方式替换现存金融负债，且新金融负债与现存金融负债的合同条款实质上不同的，终止确认现存 金融负债，并同时确认新金融负债。本集团对现存金融负债全部或部分的合同条款作出实质性修改的，终止确认现存金融 负债或其一部分，同时将修改条款后的金融负债确认为一项新金融负债。终止确认部分的账面价值与支付的对价之间的差 额，计入当期损益。</w:t>
      </w:r>
    </w:p>
    <w:p>
      <w:pPr>
        <w:pStyle w:val="BodyText"/>
        <w:spacing w:line="451" w:lineRule="auto" w:before="54"/>
        <w:ind w:left="513" w:right="1213"/>
        <w:jc w:val="left"/>
      </w:pPr>
      <w:r>
        <w:rPr/>
        <w:t>（</w:t>
      </w:r>
      <w:r>
        <w:rPr>
          <w:rFonts w:ascii="Times New Roman" w:hAnsi="Times New Roman" w:cs="Times New Roman" w:eastAsia="Times New Roman" w:hint="default"/>
        </w:rPr>
        <w:t>3</w:t>
      </w:r>
      <w:r>
        <w:rPr/>
        <w:t>）金融资产和金融负债的公允价值确定方法 本集团以主要市场的价格计量金融资产和金融负债的公允价值，不存在主要市场的，以最有利市场的价格计量金融资</w:t>
      </w:r>
    </w:p>
    <w:p>
      <w:pPr>
        <w:pStyle w:val="BodyText"/>
        <w:spacing w:line="477" w:lineRule="auto" w:before="74"/>
        <w:ind w:right="1229"/>
        <w:jc w:val="both"/>
      </w:pPr>
      <w:r>
        <w:rPr/>
        <w:t>产和金融负债的公允价值，并且采用当时适用并且有足够可利用数据和其他信息支持的估值技术。公允价值计量所使用的 输入值分为三个层次，即第一层次输入值是计量日能够取得的相同资产或负债在活跃市场上未经调整的报价；第二层次输 入值是除第一层次输入值外相关资产或负债直接或间接可观察的输入值；第三层次输入值是相关资产或负债的不可观察输 入值。本集团优先使用第一层次输入值，最后再使用第三层次输入值。公允价值计量结果所属的层次，由对公允价值计量 整体而言具有重大意义的输入值所属的最低层次决定。</w:t>
      </w:r>
    </w:p>
    <w:p>
      <w:pPr>
        <w:pStyle w:val="BodyText"/>
        <w:spacing w:line="451" w:lineRule="auto" w:before="54"/>
        <w:ind w:left="513" w:right="1213"/>
        <w:jc w:val="left"/>
      </w:pPr>
      <w:r>
        <w:rPr/>
        <w:t>（</w:t>
      </w:r>
      <w:r>
        <w:rPr>
          <w:rFonts w:ascii="Times New Roman" w:hAnsi="Times New Roman" w:cs="Times New Roman" w:eastAsia="Times New Roman" w:hint="default"/>
        </w:rPr>
        <w:t>4</w:t>
      </w:r>
      <w:r>
        <w:rPr/>
        <w:t>）金融资产和金融负债的抵销 本集团的金融资产和金融负债在资产负债表内分别列示，不相互抵销。但同时满足下列条件时，以相互抵销后的净额</w:t>
      </w:r>
    </w:p>
    <w:p>
      <w:pPr>
        <w:pStyle w:val="BodyText"/>
        <w:spacing w:line="451" w:lineRule="auto" w:before="74"/>
        <w:ind w:right="1227"/>
        <w:jc w:val="both"/>
      </w:pPr>
      <w:r>
        <w:rPr/>
        <w:t>在资产负债表内列示：</w:t>
      </w:r>
      <w:r>
        <w:rPr>
          <w:rFonts w:ascii="Times New Roman" w:hAnsi="Times New Roman" w:cs="Times New Roman" w:eastAsia="Times New Roman" w:hint="default"/>
        </w:rPr>
        <w:t>1</w:t>
      </w:r>
      <w:r>
        <w:rPr/>
        <w:t>）本集团具有抵销已确认金额的法定权利，且该种法定权利是当前可执行的；</w:t>
      </w:r>
      <w:r>
        <w:rPr>
          <w:rFonts w:ascii="Times New Roman" w:hAnsi="Times New Roman" w:cs="Times New Roman" w:eastAsia="Times New Roman" w:hint="default"/>
        </w:rPr>
        <w:t>2</w:t>
      </w:r>
      <w:r>
        <w:rPr/>
        <w:t>）本集团计划以净 额结算，或同时变现该金融资产和清偿该金融负债。</w:t>
      </w:r>
    </w:p>
    <w:p>
      <w:pPr>
        <w:pStyle w:val="BodyText"/>
        <w:spacing w:line="451" w:lineRule="auto" w:before="74"/>
        <w:ind w:left="513" w:right="1123"/>
        <w:jc w:val="left"/>
      </w:pPr>
      <w:r>
        <w:rPr/>
        <w:t>（</w:t>
      </w:r>
      <w:r>
        <w:rPr>
          <w:rFonts w:ascii="Times New Roman" w:hAnsi="Times New Roman" w:cs="Times New Roman" w:eastAsia="Times New Roman" w:hint="default"/>
        </w:rPr>
        <w:t>5</w:t>
      </w:r>
      <w:r>
        <w:rPr/>
        <w:t>）金融负债与权益工具的区分及相关处理方法 本集团按照以下原则区分金融负债与权益工具：</w:t>
      </w:r>
      <w:r>
        <w:rPr>
          <w:rFonts w:ascii="Times New Roman" w:hAnsi="Times New Roman" w:cs="Times New Roman" w:eastAsia="Times New Roman" w:hint="default"/>
        </w:rPr>
        <w:t>1</w:t>
      </w:r>
      <w:r>
        <w:rPr/>
        <w:t>）如果本集团不能无条件地避免以交付现金或其他金融资产来履行一</w:t>
      </w:r>
    </w:p>
    <w:p>
      <w:pPr>
        <w:pStyle w:val="BodyText"/>
        <w:spacing w:line="477" w:lineRule="auto" w:before="43"/>
        <w:ind w:right="1140"/>
        <w:jc w:val="both"/>
      </w:pPr>
      <w:r>
        <w:rPr/>
        <w:t>项合同义务，则该合同义务符合金融负债的定义。有些金融工具虽然没有明确地包含交付现金或其他金融资产义务的条款 和条件，但有可能通过其他条款和条件间接地形成合同义务。</w:t>
      </w:r>
      <w:r>
        <w:rPr>
          <w:rFonts w:ascii="Times New Roman" w:hAnsi="Times New Roman" w:cs="Times New Roman" w:eastAsia="Times New Roman" w:hint="default"/>
        </w:rPr>
        <w:t>2</w:t>
      </w:r>
      <w:r>
        <w:rPr/>
        <w:t>）如果一项金融工具须用或可用本集团自身权益工具进行结</w:t>
      </w:r>
    </w:p>
    <w:p>
      <w:pPr>
        <w:spacing w:after="0" w:line="477" w:lineRule="auto"/>
        <w:jc w:val="both"/>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77" w:lineRule="auto" w:before="44"/>
        <w:ind w:right="1229"/>
        <w:jc w:val="both"/>
      </w:pPr>
      <w:r>
        <w:rPr/>
        <w:t>算，需要考虑用于结算该工具的本集团自身权益工具，是作为现金或其他金融资产的替代品，还是为了使该工具持有方享 有在发行方扣除所有负债后的资产中的剩余权益。如果是前者，该工具是发行方的金融负债；如果是后者，该工具是发行 方的权益工具。在某些情况下，一项金融工具合同规定本集团须用或可用自身权益工具结算该金融工具，其中合同权利或 合同义务的金额等于可获取或需交付的自身权益工具的数量乘以其结算时的公允价值，则无论该合同权利或义务的金额是 固定的，还是完全或部分地基于除本集团自身权益工具的市场价格以外的变量（例如利率、某种商品的价格或某项金融工 具的价格）的变动而变动，该合同分类为金融负债。</w:t>
      </w:r>
    </w:p>
    <w:p>
      <w:pPr>
        <w:pStyle w:val="BodyText"/>
        <w:spacing w:line="477" w:lineRule="auto" w:before="54"/>
        <w:ind w:right="1231" w:firstLine="360"/>
        <w:jc w:val="both"/>
      </w:pPr>
      <w:r>
        <w:rPr/>
        <w:t>本集团在合并报表中对金融工具（或其组成部分）进行分类时，考虑了集团成员和金融工具持有方之间达成的所有条 款和条件。如果集团作为一个整体由于该工具而承担了交付现金、其他金融资产或者以其他导致该工具成为金融负债的方 式进行结算的义务，则该工具应当分类为金融负债。</w:t>
      </w:r>
    </w:p>
    <w:p>
      <w:pPr>
        <w:pStyle w:val="BodyText"/>
        <w:spacing w:line="477" w:lineRule="auto" w:before="54"/>
        <w:ind w:right="1231" w:firstLine="360"/>
        <w:jc w:val="both"/>
      </w:pPr>
      <w:r>
        <w:rPr/>
        <w:t>金融工具或其组成部分属于金融负债的，相关利息、股利（或股息）、利得或损失，以及赎回或再融资产生的利得或 损失等，本集团计入当期损益。</w:t>
      </w:r>
    </w:p>
    <w:p>
      <w:pPr>
        <w:pStyle w:val="BodyText"/>
        <w:spacing w:line="477" w:lineRule="auto" w:before="54"/>
        <w:ind w:right="1231" w:firstLine="360"/>
        <w:jc w:val="both"/>
      </w:pPr>
      <w:r>
        <w:rPr/>
        <w:t>金融工具或其组成部分属于权益工具的，其发行（含再融资）、回购、出售或注销时，本集团作为权益的变动处理， 不确认权益工具的公允价值变动。</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11</w:t>
      </w:r>
      <w:r>
        <w:rPr/>
        <w:t>、金融工具减值</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231" w:firstLine="360"/>
        <w:jc w:val="both"/>
      </w:pPr>
      <w:r>
        <w:rPr/>
        <w:t>本集团对分类为以摊余成本计量的金融资产、分类为以公允价值计量且其变动计入其他综合收益的金融资产以预期信 用损失为基础确认损失准备。</w:t>
      </w:r>
    </w:p>
    <w:p>
      <w:pPr>
        <w:pStyle w:val="BodyText"/>
        <w:spacing w:line="477" w:lineRule="auto" w:before="52"/>
        <w:ind w:left="513" w:right="1213"/>
        <w:jc w:val="left"/>
      </w:pPr>
      <w:r>
        <w:rPr/>
        <w:t>本集团对由收入准则规范的交易形成的应收账款按照相当于整个存续期内预期信用损失的金额计量损失准备。 对于其他金融工具，除购买或源生的已发生信用减值的金融资产外，本集团在每个资产负债表日评估相关金融工具的</w:t>
      </w:r>
    </w:p>
    <w:p>
      <w:pPr>
        <w:pStyle w:val="BodyText"/>
        <w:spacing w:line="472" w:lineRule="auto" w:before="54"/>
        <w:ind w:right="1124"/>
        <w:jc w:val="left"/>
      </w:pPr>
      <w:r>
        <w:rPr/>
        <w:t>信用风险自初始确认后的变动情况。若该金融工具的信用风险自初始确认后已显著增加，本集团按照相当于该金融工具整 个存续期内预期信用损失的金额计量其损失准备；若该等金融工具的信用风险自初始确认后并未显著增加，本集团按照相 当于该金融工具未来</w:t>
      </w:r>
      <w:r>
        <w:rPr>
          <w:spacing w:val="-46"/>
        </w:rPr>
        <w:t> </w:t>
      </w:r>
      <w:r>
        <w:rPr>
          <w:rFonts w:ascii="Times New Roman" w:hAnsi="Times New Roman" w:cs="Times New Roman" w:eastAsia="Times New Roman" w:hint="default"/>
        </w:rPr>
        <w:t>12 </w:t>
      </w:r>
      <w:r>
        <w:rPr/>
        <w:t>个月内预期信用损失的金额计量其损失准备。信用损失准备的增加或转回金额，除分类为以公允价 值计量且其变动计入其他综合收益的金融资产外，作为减值损失或利得计入当期损益。对于分类为以公允价值计量且其变 动计入其他综合收益的金融资产，本集团在其他综合收益中确认其信用损失准备，并将减值损失或利得计入当期损益，且 不减少该金融资产在资产负债表中列示的账面价值。</w:t>
      </w:r>
    </w:p>
    <w:p>
      <w:pPr>
        <w:pStyle w:val="BodyText"/>
        <w:spacing w:line="463" w:lineRule="auto" w:before="58"/>
        <w:ind w:right="1181" w:firstLine="360"/>
        <w:jc w:val="both"/>
      </w:pPr>
      <w:r>
        <w:rPr/>
        <w:t>本集团在前一会计期间已经按照相当于金融工具整个存续期内预期信用损失的金额计量了损失准备，但在当期资产负 债表日，该金融工具已不再属于自初始确认后信用风险显著增加的情形的，本集团在当期资产负债表日按照相当于未来</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个月内预期信用损失的金额计量该金融工具的损失准备，由此形成的损失准备的转回金额作为减值利得计入当期损益。</w:t>
      </w:r>
    </w:p>
    <w:p>
      <w:pPr>
        <w:pStyle w:val="BodyText"/>
        <w:spacing w:line="240" w:lineRule="auto" w:before="65"/>
        <w:ind w:left="513" w:right="0"/>
        <w:jc w:val="left"/>
      </w:pPr>
      <w:r>
        <w:rPr/>
        <w:t>（</w:t>
      </w:r>
      <w:r>
        <w:rPr>
          <w:rFonts w:ascii="Times New Roman" w:hAnsi="Times New Roman" w:cs="Times New Roman" w:eastAsia="Times New Roman" w:hint="default"/>
        </w:rPr>
        <w:t>1</w:t>
      </w:r>
      <w:r>
        <w:rPr/>
        <w:t>）信用风险显著增加</w:t>
      </w:r>
    </w:p>
    <w:p>
      <w:pPr>
        <w:spacing w:after="0" w:line="240"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77" w:lineRule="auto" w:before="44"/>
        <w:ind w:right="1213" w:firstLine="360"/>
        <w:jc w:val="left"/>
      </w:pPr>
      <w:r>
        <w:rPr/>
        <w:t>本集团利用可获得的合理且有依据的前瞻性信息，通过比较金融工具在资产负债表日发生违约的风险与在初始确认日 发生违约的风险，以确定金融工具的信用风险自初始确认后是否已显著增加。</w:t>
      </w:r>
    </w:p>
    <w:p>
      <w:pPr>
        <w:pStyle w:val="BodyText"/>
        <w:spacing w:line="240" w:lineRule="auto" w:before="54"/>
        <w:ind w:left="513" w:right="0"/>
        <w:jc w:val="left"/>
      </w:pPr>
      <w:r>
        <w:rPr/>
        <w:t>本集团在评估信用风险是否显著增加时会考虑如下因素：</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rPr>
        <w:t>1</w:t>
      </w:r>
      <w:r>
        <w:rPr/>
        <w:t>）金融工具外部信用评级实际或预期是否发生显著变化；</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w:t>
      </w:r>
      <w:r>
        <w:rPr/>
        <w:t>）同一金融工具或具有相同预计存续期的类似金融工具的信用风险的外部市场指标是否发生显著变化；</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3</w:t>
      </w:r>
      <w:r>
        <w:rPr/>
        <w:t>）对债务人实际或预期的内部信用评级是否下调；</w:t>
      </w:r>
    </w:p>
    <w:p>
      <w:pPr>
        <w:spacing w:line="240" w:lineRule="auto" w:before="9"/>
        <w:rPr>
          <w:rFonts w:ascii="宋体" w:hAnsi="宋体" w:cs="宋体" w:eastAsia="宋体" w:hint="default"/>
          <w:sz w:val="16"/>
          <w:szCs w:val="16"/>
        </w:rPr>
      </w:pPr>
    </w:p>
    <w:p>
      <w:pPr>
        <w:pStyle w:val="BodyText"/>
        <w:spacing w:line="451" w:lineRule="auto"/>
        <w:ind w:right="1123" w:firstLine="360"/>
        <w:jc w:val="left"/>
      </w:pPr>
      <w:r>
        <w:rPr>
          <w:rFonts w:ascii="Times New Roman" w:hAnsi="Times New Roman" w:cs="Times New Roman" w:eastAsia="Times New Roman" w:hint="default"/>
        </w:rPr>
        <w:t>4</w:t>
      </w:r>
      <w:r>
        <w:rPr/>
        <w:t>）预期将导致债务人履行其偿债义务的能力发生显著变化的业务、财务或经济状况是否出现不利变化，如债务人市场 份额明显下降、主要产品价格急剧持续下跌、主要原材料价格明显上涨、营运资金严重短缺、资产质量下降等；</w:t>
      </w:r>
    </w:p>
    <w:p>
      <w:pPr>
        <w:pStyle w:val="BodyText"/>
        <w:spacing w:line="451" w:lineRule="auto" w:before="74"/>
        <w:ind w:right="1123" w:firstLine="360"/>
        <w:jc w:val="left"/>
      </w:pPr>
      <w:r>
        <w:rPr>
          <w:rFonts w:ascii="Times New Roman" w:hAnsi="Times New Roman" w:cs="Times New Roman" w:eastAsia="Times New Roman" w:hint="default"/>
        </w:rPr>
        <w:t>5</w:t>
      </w:r>
      <w:r>
        <w:rPr/>
        <w:t>）债务人经营成果实际或预期是否发生显著变化，如收入、利润等经营指标出现明显不利变化且预期短时间内难以好 转；</w:t>
      </w:r>
    </w:p>
    <w:p>
      <w:pPr>
        <w:pStyle w:val="BodyText"/>
        <w:spacing w:line="451" w:lineRule="auto" w:before="74"/>
        <w:ind w:right="1123" w:firstLine="360"/>
        <w:jc w:val="left"/>
      </w:pPr>
      <w:r>
        <w:rPr>
          <w:rFonts w:ascii="Times New Roman" w:hAnsi="Times New Roman" w:cs="Times New Roman" w:eastAsia="Times New Roman" w:hint="default"/>
        </w:rPr>
        <w:t>6</w:t>
      </w:r>
      <w:r>
        <w:rPr/>
        <w:t>）债务人所处的监管、经济或技术环境是否发生显著不利变化，如技术变革、国家或地方政府拟出台相关政策是否对 债务人产生重大不利影响；</w:t>
      </w:r>
    </w:p>
    <w:p>
      <w:pPr>
        <w:pStyle w:val="BodyText"/>
        <w:spacing w:line="240" w:lineRule="auto" w:before="74"/>
        <w:ind w:left="513" w:right="0"/>
        <w:jc w:val="left"/>
      </w:pPr>
      <w:r>
        <w:rPr>
          <w:rFonts w:ascii="Times New Roman" w:hAnsi="Times New Roman" w:cs="Times New Roman" w:eastAsia="Times New Roman" w:hint="default"/>
        </w:rPr>
        <w:t>7</w:t>
      </w:r>
      <w:r>
        <w:rPr/>
        <w:t>）作为债务抵押的担保物价值或第三方提供的担保或信用增级质量的是否发生显著变化；</w:t>
      </w:r>
    </w:p>
    <w:p>
      <w:pPr>
        <w:spacing w:line="240" w:lineRule="auto" w:before="9"/>
        <w:rPr>
          <w:rFonts w:ascii="宋体" w:hAnsi="宋体" w:cs="宋体" w:eastAsia="宋体" w:hint="default"/>
          <w:sz w:val="16"/>
          <w:szCs w:val="16"/>
        </w:rPr>
      </w:pPr>
    </w:p>
    <w:p>
      <w:pPr>
        <w:pStyle w:val="BodyText"/>
        <w:spacing w:line="451" w:lineRule="auto"/>
        <w:ind w:right="1123" w:firstLine="360"/>
        <w:jc w:val="left"/>
      </w:pPr>
      <w:r>
        <w:rPr>
          <w:rFonts w:ascii="Times New Roman" w:hAnsi="Times New Roman" w:cs="Times New Roman" w:eastAsia="Times New Roman" w:hint="default"/>
        </w:rPr>
        <w:t>8</w:t>
      </w:r>
      <w:r>
        <w:rPr/>
        <w:t>）预期将降低债务人按合同约定期限还款的经济动机的是否发生显著变化，如母公司或其他关联公司能够提供的财务 支持减少，或者信用增级质量的显著变化；</w:t>
      </w:r>
    </w:p>
    <w:p>
      <w:pPr>
        <w:pStyle w:val="BodyText"/>
        <w:spacing w:line="240" w:lineRule="auto" w:before="74"/>
        <w:ind w:left="513" w:right="0"/>
        <w:jc w:val="left"/>
      </w:pPr>
      <w:r>
        <w:rPr>
          <w:rFonts w:ascii="Times New Roman" w:hAnsi="Times New Roman" w:cs="Times New Roman" w:eastAsia="Times New Roman" w:hint="default"/>
        </w:rPr>
        <w:t>9</w:t>
      </w:r>
      <w:r>
        <w:rPr/>
        <w:t>）债务人预期表现和还款行为是否发生显著变化；</w:t>
      </w:r>
    </w:p>
    <w:p>
      <w:pPr>
        <w:spacing w:line="240" w:lineRule="auto" w:before="10"/>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10</w:t>
      </w:r>
      <w:r>
        <w:rPr/>
        <w:t>）本集团对金融工具信用管理方法是否发生变化。</w:t>
      </w:r>
    </w:p>
    <w:p>
      <w:pPr>
        <w:spacing w:line="240" w:lineRule="auto" w:before="9"/>
        <w:rPr>
          <w:rFonts w:ascii="宋体" w:hAnsi="宋体" w:cs="宋体" w:eastAsia="宋体" w:hint="default"/>
          <w:sz w:val="16"/>
          <w:szCs w:val="16"/>
        </w:rPr>
      </w:pPr>
    </w:p>
    <w:p>
      <w:pPr>
        <w:pStyle w:val="BodyText"/>
        <w:spacing w:line="451" w:lineRule="auto"/>
        <w:ind w:left="513" w:right="1213"/>
        <w:jc w:val="left"/>
      </w:pPr>
      <w:r>
        <w:rPr/>
        <w:t>（</w:t>
      </w:r>
      <w:r>
        <w:rPr>
          <w:rFonts w:ascii="Times New Roman" w:hAnsi="Times New Roman" w:cs="Times New Roman" w:eastAsia="Times New Roman" w:hint="default"/>
        </w:rPr>
        <w:t>2</w:t>
      </w:r>
      <w:r>
        <w:rPr/>
        <w:t>）已发生信用减值的金融资产 当本集团预期对金融资产未来现金流量具有不利影响的一项或多项事件发生时，该金融资产成为已发生信用减值的金</w:t>
      </w:r>
    </w:p>
    <w:p>
      <w:pPr>
        <w:pStyle w:val="BodyText"/>
        <w:spacing w:line="240" w:lineRule="auto" w:before="74"/>
        <w:ind w:left="0" w:right="5577"/>
        <w:jc w:val="center"/>
      </w:pPr>
      <w:r>
        <w:rPr/>
        <w:t>融资产。金融资产已发生信用减值的证据包括下列可观察信息：</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rPr>
        <w:t>1</w:t>
      </w:r>
      <w:r>
        <w:rPr/>
        <w:t>）发行方或债务人发生重大财务困难；</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2</w:t>
      </w:r>
      <w:r>
        <w:rPr/>
        <w:t>）债务人违反合同，如偿付利息或本金违约或逾期等；</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3</w:t>
      </w:r>
      <w:r>
        <w:rPr/>
        <w:t>）债权人出于与债务人财务困难有关的经济或合同考虑，给予债务人在任何其他情况下都不会做出的让步；</w:t>
      </w:r>
    </w:p>
    <w:p>
      <w:pPr>
        <w:spacing w:line="240" w:lineRule="auto" w:before="10"/>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4</w:t>
      </w:r>
      <w:r>
        <w:rPr/>
        <w:t>）债务人很可能破产或进行其他财务重组；</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5</w:t>
      </w:r>
      <w:r>
        <w:rPr/>
        <w:t>）发行方或债务人财务困难导致该金融资产的活跃市场消失；</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rFonts w:ascii="Times New Roman" w:hAnsi="Times New Roman" w:cs="Times New Roman" w:eastAsia="Times New Roman" w:hint="default"/>
        </w:rPr>
        <w:t>6</w:t>
      </w:r>
      <w:r>
        <w:rPr/>
        <w:t>）以大幅折扣购买或源生一项金融资产，该折扣反映了发生信用损失的事实。</w:t>
      </w:r>
    </w:p>
    <w:p>
      <w:pPr>
        <w:spacing w:line="240" w:lineRule="auto" w:before="9"/>
        <w:rPr>
          <w:rFonts w:ascii="宋体" w:hAnsi="宋体" w:cs="宋体" w:eastAsia="宋体" w:hint="default"/>
          <w:sz w:val="16"/>
          <w:szCs w:val="16"/>
        </w:rPr>
      </w:pPr>
    </w:p>
    <w:p>
      <w:pPr>
        <w:pStyle w:val="BodyText"/>
        <w:spacing w:line="451" w:lineRule="auto"/>
        <w:ind w:left="513" w:right="1213"/>
        <w:jc w:val="left"/>
      </w:pPr>
      <w:r>
        <w:rPr/>
        <w:t>（</w:t>
      </w:r>
      <w:r>
        <w:rPr>
          <w:rFonts w:ascii="Times New Roman" w:hAnsi="Times New Roman" w:cs="Times New Roman" w:eastAsia="Times New Roman" w:hint="default"/>
        </w:rPr>
        <w:t>3</w:t>
      </w:r>
      <w:r>
        <w:rPr/>
        <w:t>）预期信用损失的确定 本集团对应收票据、应收账款、其他应收款等在组合基础上采用减值矩阵确定相关金融工具的信用损失。本集团以共</w:t>
      </w:r>
    </w:p>
    <w:p>
      <w:pPr>
        <w:pStyle w:val="BodyText"/>
        <w:spacing w:line="240" w:lineRule="auto" w:before="74"/>
        <w:ind w:right="0"/>
        <w:jc w:val="left"/>
      </w:pPr>
      <w:r>
        <w:rPr/>
        <w:t>同风险特征为依据，将金融工具分为不同组别。本集团的共同信用风险特征包括：金融工具类型、初始确认日期、剩余合</w:t>
      </w:r>
    </w:p>
    <w:p>
      <w:pPr>
        <w:spacing w:after="0" w:line="240"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77" w:lineRule="auto" w:before="44"/>
        <w:ind w:right="1213"/>
        <w:jc w:val="left"/>
      </w:pPr>
      <w:r>
        <w:rPr/>
        <w:t>同期限、债务人所处行业等。本集团基于历史信用损失经验、使用减值矩阵计算应收款项的预期信用损失，相关历史经验 根据资产负债表日应收对象的特定因素、以及对当前状况和未来经济状况预测的评估进行调整。</w:t>
      </w:r>
    </w:p>
    <w:p>
      <w:pPr>
        <w:pStyle w:val="BodyText"/>
        <w:spacing w:line="477" w:lineRule="auto" w:before="54"/>
        <w:ind w:left="513" w:right="1213"/>
        <w:jc w:val="left"/>
      </w:pPr>
      <w:r>
        <w:rPr/>
        <w:t>本集团按照下列方法确定相关金融工具的预期信用损失： 对于金融资产，信用损失为本集团应收取的合同现金流量与预期收取的现金流量之间差额的现值。 本集团计量金融工具预期信用损失的方法反映的因素包括：通过评价一系列可能的结果而确定的无偏概率加权平均金</w:t>
      </w:r>
    </w:p>
    <w:p>
      <w:pPr>
        <w:pStyle w:val="BodyText"/>
        <w:spacing w:line="477" w:lineRule="auto" w:before="54"/>
        <w:ind w:right="1213"/>
        <w:jc w:val="left"/>
      </w:pPr>
      <w:r>
        <w:rPr/>
        <w:t>额；货币时间价值；在资产负债表日无须付出不必要的额外成本或努力即可获得的有关过去事项、当前状况以及未来经济 状况预测的合理且有依据的信息。</w:t>
      </w:r>
    </w:p>
    <w:p>
      <w:pPr>
        <w:pStyle w:val="BodyText"/>
        <w:spacing w:line="477" w:lineRule="auto" w:before="54"/>
        <w:ind w:right="1213" w:firstLine="360"/>
        <w:jc w:val="left"/>
      </w:pPr>
      <w:r>
        <w:rPr/>
        <w:t>本集团依据信用风险特征将应收款项划分为若干组合，在组合基础上计算预期信用损失。对于划分为组合的应收款 项，本集团参考历史信用损失经验，结合当前状况以及对未来经济状况的预测，编制应收账款账期或账龄与整个存续期预 期信用损失率对照表，计算预期信用损失。</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13" w:right="1213"/>
        <w:jc w:val="left"/>
      </w:pPr>
      <w:r>
        <w:rPr/>
        <w:t>本集团存货主要包括库存商品、在产品、在途物资等。 存货实行永续盘存制。存货在取得时按实际成本计价；领用或发出存货，采用按照项目单独核算的移动加权平均法确</w:t>
      </w:r>
    </w:p>
    <w:p>
      <w:pPr>
        <w:pStyle w:val="BodyText"/>
        <w:spacing w:line="477" w:lineRule="auto" w:before="54"/>
        <w:ind w:left="513" w:right="1393" w:hanging="360"/>
        <w:jc w:val="left"/>
      </w:pPr>
      <w:r>
        <w:rPr/>
        <w:t>定其实际成本。低值易耗品采用一次转销法进行摊销。 年末存货按成本与可变现净值孰低原则计价，对于存货因遭受毁损、全部或部分陈旧过时或销售价格低于成本等原</w:t>
      </w:r>
    </w:p>
    <w:p>
      <w:pPr>
        <w:pStyle w:val="BodyText"/>
        <w:spacing w:line="475" w:lineRule="auto" w:before="54"/>
        <w:ind w:right="1213"/>
        <w:jc w:val="left"/>
      </w:pPr>
      <w:r>
        <w:rPr/>
        <w:t>因，预计其成本不可收回的部分，提取存货跌价准备。库存商品及大宗原材料的存货跌价准备按单个存货项目的成本高于 其可变现净值的差额提取；其他数量繁多、单价较低的原辅材料按类别提取存货跌价准备。</w:t>
      </w:r>
    </w:p>
    <w:p>
      <w:pPr>
        <w:pStyle w:val="BodyText"/>
        <w:spacing w:line="477" w:lineRule="auto" w:before="56"/>
        <w:ind w:right="1231" w:firstLine="360"/>
        <w:jc w:val="both"/>
      </w:pPr>
      <w:r>
        <w:rPr/>
        <w:t>库存商品、在产品和用于出售的材料等直接用于出售的商品存货，其可变现净值按该存货的估计售价减去估计的销售 费用和相关税费后的金额确定；用于生产而持有的材料存货，其可变现净值按所生产的产成品的估计售价减去至完工时估 计将要发生的成本、估计的销售费用和相关税费后的金额确定。</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13" w:right="1213"/>
        <w:jc w:val="left"/>
      </w:pPr>
      <w:r>
        <w:rPr/>
        <w:t>本集团长期股权投资主要是对子公司的投资、对联营企业的投资和对合营企业的投资。 本集团对共同控制的判断依据是所有参与方或参与方组合集体控制该安排，并且该安排相关活动的政策必须经过这些</w:t>
      </w:r>
    </w:p>
    <w:p>
      <w:pPr>
        <w:pStyle w:val="BodyText"/>
        <w:spacing w:line="240" w:lineRule="auto" w:before="54"/>
        <w:ind w:right="0"/>
        <w:jc w:val="left"/>
      </w:pPr>
      <w:r>
        <w:rPr/>
        <w:t>集体控制该安排的参与方一致同意。</w:t>
      </w:r>
    </w:p>
    <w:p>
      <w:pPr>
        <w:pStyle w:val="BodyText"/>
        <w:spacing w:line="468" w:lineRule="exact" w:before="68"/>
        <w:ind w:right="1231" w:firstLine="360"/>
        <w:jc w:val="both"/>
      </w:pPr>
      <w:r>
        <w:rPr/>
        <w:t>本集团直接或通过子公司间接拥有被投资单位</w:t>
      </w:r>
      <w:r>
        <w:rPr>
          <w:spacing w:val="-46"/>
        </w:rPr>
        <w:t> </w:t>
      </w:r>
      <w:r>
        <w:rPr>
          <w:rFonts w:ascii="Times New Roman" w:hAnsi="Times New Roman" w:cs="Times New Roman" w:eastAsia="Times New Roman" w:hint="default"/>
        </w:rPr>
        <w:t>20.00%</w:t>
      </w:r>
      <w:r>
        <w:rPr/>
        <w:t>（含）以上但低于</w:t>
      </w:r>
      <w:r>
        <w:rPr>
          <w:spacing w:val="-47"/>
        </w:rPr>
        <w:t> </w:t>
      </w:r>
      <w:r>
        <w:rPr>
          <w:rFonts w:ascii="Times New Roman" w:hAnsi="Times New Roman" w:cs="Times New Roman" w:eastAsia="Times New Roman" w:hint="default"/>
        </w:rPr>
        <w:t>50.00%</w:t>
      </w:r>
      <w:r>
        <w:rPr/>
        <w:t>的表决权时，通常认为对被投资单位 具有重大影响。持有被投资单位</w:t>
      </w:r>
      <w:r>
        <w:rPr>
          <w:spacing w:val="-45"/>
        </w:rPr>
        <w:t> </w:t>
      </w:r>
      <w:r>
        <w:rPr>
          <w:rFonts w:ascii="Times New Roman" w:hAnsi="Times New Roman" w:cs="Times New Roman" w:eastAsia="Times New Roman" w:hint="default"/>
        </w:rPr>
        <w:t>20.00%</w:t>
      </w:r>
      <w:r>
        <w:rPr/>
        <w:t>以下表决权的，还需要综合考虑在被投资单位的董事会或类似权力机构中派有代 表、或参与被投资单位财务和经营政策制定过程、或与被投资单位之间发生重要交易、或向被投资单位派出管理人员、或 向被投资单位提供关键技术资料等事实和情况判断对被投资单位具有重大影响。</w:t>
      </w:r>
    </w:p>
    <w:p>
      <w:pPr>
        <w:spacing w:after="0" w:line="468" w:lineRule="exact"/>
        <w:jc w:val="both"/>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77" w:lineRule="auto" w:before="44"/>
        <w:ind w:right="1231" w:firstLine="360"/>
        <w:jc w:val="both"/>
      </w:pPr>
      <w:r>
        <w:rPr/>
        <w:t>对被投资单位形成控制的，为本集团的子公司。通过同一控制下的企业合并取得的长期股权投资，在合并日按照取得 被合并方在最终控制方合并报表中净资产的账面价值的份额作为长期股权投资的初始投资成本。被合并方在合并日的净资 产账面价值为负数的，长期股权投资成本按零确定。通过非同一控制下的企业合并取得的长期股权投资，以合并成本作为 初始投资成本。</w:t>
      </w:r>
    </w:p>
    <w:p>
      <w:pPr>
        <w:pStyle w:val="BodyText"/>
        <w:spacing w:line="477" w:lineRule="auto" w:before="54"/>
        <w:ind w:right="1213" w:firstLine="360"/>
        <w:jc w:val="left"/>
      </w:pPr>
      <w:r>
        <w:rPr/>
        <w:t>除上述通过企业合并取得的长期股权投资外，以支付现金取得的长期股权投资，按照实际支付的购买价款作为投资成 本；以发行权益性证券取得的长期股权投资，按照发行权益性证券的公允价值作为投资成本；投资者投入的长期股权投 资，按照投资合同或协议约定的价值作为投资成本；以债务重组、非货币性资产交换等方式取得的长期股权投资，按相关 会计准则的规定确定初始投资成本。</w:t>
      </w:r>
    </w:p>
    <w:p>
      <w:pPr>
        <w:pStyle w:val="BodyText"/>
        <w:spacing w:line="477" w:lineRule="auto" w:before="55"/>
        <w:ind w:left="513" w:right="1213"/>
        <w:jc w:val="left"/>
      </w:pPr>
      <w:r>
        <w:rPr/>
        <w:t>本集团对子公司投资采用成本法核算，对合营企业及联营企业投资采用权益法核算。 后续计量采用成本法核算的长期股权投资，在追加投资时，按照追加投资支付的成本额公允价值及发生的相关交易费</w:t>
      </w:r>
    </w:p>
    <w:p>
      <w:pPr>
        <w:pStyle w:val="BodyText"/>
        <w:spacing w:line="477" w:lineRule="auto" w:before="54"/>
        <w:ind w:left="513" w:right="1213" w:hanging="360"/>
        <w:jc w:val="left"/>
      </w:pPr>
      <w:r>
        <w:rPr/>
        <w:t>用增加长期股权投资成本的账面价值。被投资单位宣告分派的现金股利或利润，按照应享有的金额确认为当期投资收益。 后续计量采用权益法核算的长期股权投资，随着被他投资单位所有者权益的变动相应调整增加或减少长期股权投资的</w:t>
      </w:r>
    </w:p>
    <w:p>
      <w:pPr>
        <w:pStyle w:val="BodyText"/>
        <w:spacing w:line="477" w:lineRule="auto" w:before="54"/>
        <w:ind w:right="1213"/>
        <w:jc w:val="left"/>
      </w:pPr>
      <w:r>
        <w:rPr/>
        <w:t>账面价值。其中在确认应享有被投资单位净损益的份额时，以取得投资时被投资单位各项可辨认资产等的公允价值为基 础，按照本集团的会计政策及会计期间，并抵销与联营企业及合营企业之间发生的内部交易损益按照持股比例计算归属于 投资企业的部分，对被投资单位的净利润进行调整后确认。</w:t>
      </w:r>
    </w:p>
    <w:p>
      <w:pPr>
        <w:pStyle w:val="BodyText"/>
        <w:spacing w:line="477" w:lineRule="auto" w:before="54"/>
        <w:ind w:right="1230" w:firstLine="360"/>
        <w:jc w:val="both"/>
      </w:pPr>
      <w:r>
        <w:rPr/>
        <w:t>处置长期股权投资，其账面价值与实际取得价款的差额，计入当期投资收益。采用权益法核算的长期股权投资，因被 投资单位除净损益以外所有者权益的其他变动而计入所有者权益的，处置该项投资时将原计入所有者权益的部分按相应比 例转入当期投资损益。</w:t>
      </w:r>
    </w:p>
    <w:p>
      <w:pPr>
        <w:pStyle w:val="BodyText"/>
        <w:spacing w:line="477" w:lineRule="auto" w:before="54"/>
        <w:ind w:right="1231" w:firstLine="360"/>
        <w:jc w:val="both"/>
      </w:pPr>
      <w:r>
        <w:rPr/>
        <w:t>因处置部分股权投资等原因丧失了对被投资单位的共同控制或重大影响的，处置后的剩余股权改按可供出售金融资产 核算，剩余股权在丧失共同控制或重大影响之日的公允价值与账面价值之间的差额计入当期损益。原股权投资因采用权益 法核算而确认的其他综合收益，在终止采用权益法核算时采用与被投资单位直接处置相关资产或负债相同的基础进行会计 处理。</w:t>
      </w:r>
    </w:p>
    <w:p>
      <w:pPr>
        <w:pStyle w:val="BodyText"/>
        <w:spacing w:line="477" w:lineRule="auto" w:before="54"/>
        <w:ind w:right="1231" w:firstLine="360"/>
        <w:jc w:val="both"/>
      </w:pPr>
      <w:r>
        <w:rPr/>
        <w:t>因处置部分长期股权投资丧失了对被投资单位控制的，处置后的剩余股权能够对被投资单位实施共同控制或施加重大 影响的，改按权益法核算，处置股权账面价值和处置对价的差额计入投资收益，并对该剩余股权视同自取得时即采用权益 法核算进行调整；处置后的剩余股权不能对被投资单位实施共同控制或施加重大影响的，改按可供出售金融资产的有关规 定进行会计处理，处置股权账面价值和处置对价的差额计入投资收益，剩余股权在丧失控制之日的公允价值与账面价值间 的差额计入当期投资损益。</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投资性房地产计量模式</w:t>
      </w:r>
    </w:p>
    <w:p>
      <w:pPr>
        <w:spacing w:after="0" w:line="240" w:lineRule="auto"/>
        <w:jc w:val="left"/>
        <w:sectPr>
          <w:footerReference w:type="default" r:id="rId79"/>
          <w:pgSz w:w="11910" w:h="16840"/>
          <w:pgMar w:footer="1261" w:header="916" w:top="1120" w:bottom="1460" w:left="980" w:right="0"/>
          <w:pgNumType w:start="156"/>
        </w:sectPr>
      </w:pPr>
    </w:p>
    <w:p>
      <w:pPr>
        <w:spacing w:line="240" w:lineRule="auto" w:before="9"/>
        <w:rPr>
          <w:rFonts w:ascii="宋体" w:hAnsi="宋体" w:cs="宋体" w:eastAsia="宋体" w:hint="default"/>
          <w:sz w:val="20"/>
          <w:szCs w:val="20"/>
        </w:rPr>
      </w:pPr>
    </w:p>
    <w:p>
      <w:pPr>
        <w:pStyle w:val="BodyText"/>
        <w:spacing w:line="240" w:lineRule="auto" w:before="44"/>
        <w:ind w:right="0"/>
        <w:jc w:val="left"/>
      </w:pPr>
      <w:r>
        <w:rPr/>
        <w:t>成本法计量</w:t>
      </w:r>
    </w:p>
    <w:p>
      <w:pPr>
        <w:spacing w:line="240" w:lineRule="auto" w:before="1"/>
        <w:rPr>
          <w:rFonts w:ascii="宋体" w:hAnsi="宋体" w:cs="宋体" w:eastAsia="宋体" w:hint="default"/>
          <w:sz w:val="15"/>
          <w:szCs w:val="15"/>
        </w:rPr>
      </w:pPr>
    </w:p>
    <w:p>
      <w:pPr>
        <w:pStyle w:val="BodyText"/>
        <w:spacing w:line="477" w:lineRule="auto"/>
        <w:ind w:left="513" w:right="1213"/>
        <w:jc w:val="left"/>
      </w:pPr>
      <w:r>
        <w:rPr/>
        <w:t>本集团投资性房地产为已出租的房屋建筑物。 本集团投资性房地产按其成本作为入账价值，外购投资性房地产的成本包括购买价款、相关税费和可直接归属于该资</w:t>
      </w:r>
    </w:p>
    <w:p>
      <w:pPr>
        <w:pStyle w:val="BodyText"/>
        <w:spacing w:line="477" w:lineRule="auto" w:before="54"/>
        <w:ind w:left="513" w:right="1213" w:hanging="360"/>
        <w:jc w:val="left"/>
      </w:pPr>
      <w:r>
        <w:rPr/>
        <w:t>产的其他支出；自行建造投资性房地产的成本，由建造该项资产达到预定可使用状态前所发生的必要支出构成。 本集团对投资性房地产采用成本模式进行后续计量，并按照与房屋建筑物一致的政策进行折旧或摊销。 当投资性房地产的用途改变为自用时，则自改变之日起，将该投资性房地产转换为固定资产或无形资产。自用房地产</w:t>
      </w:r>
    </w:p>
    <w:p>
      <w:pPr>
        <w:pStyle w:val="BodyText"/>
        <w:spacing w:line="477" w:lineRule="auto" w:before="54"/>
        <w:ind w:right="1213"/>
        <w:jc w:val="left"/>
      </w:pPr>
      <w:r>
        <w:rPr/>
        <w:t>的用途改变为赚取租金或资本增值时，则自改变之日起，将固定资产或无形资产转换为投资性房地产。发生转换时，以转 换前的账面价值作为转换后的入账价值。</w:t>
      </w:r>
    </w:p>
    <w:p>
      <w:pPr>
        <w:pStyle w:val="BodyText"/>
        <w:spacing w:line="477" w:lineRule="auto" w:before="55"/>
        <w:ind w:right="1213" w:firstLine="360"/>
        <w:jc w:val="left"/>
      </w:pPr>
      <w:r>
        <w:rPr/>
        <w:t>当投资性房地产被处置，或者永久退出使用且预计不能从其处置中取得经济利益时，终止确认该项投资性房地产。投 资性房地产出售、转让、报废或毁损的处置收入扣除其账面价值和相关税费后的金额计入当期损益。</w:t>
      </w:r>
    </w:p>
    <w:p>
      <w:pPr>
        <w:pStyle w:val="BodyText"/>
        <w:spacing w:line="451" w:lineRule="auto" w:before="54"/>
        <w:ind w:right="1333" w:firstLine="360"/>
        <w:jc w:val="left"/>
      </w:pPr>
      <w:r>
        <w:rPr/>
        <w:pict>
          <v:shape style="position:absolute;margin-left:84.624001pt;margin-top:45.131718pt;width:426.5pt;height:50.2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2177"/>
                    <w:gridCol w:w="1656"/>
                    <w:gridCol w:w="1918"/>
                    <w:gridCol w:w="1676"/>
                  </w:tblGrid>
                  <w:tr>
                    <w:trPr>
                      <w:trHeight w:val="490" w:hRule="exact"/>
                    </w:trPr>
                    <w:tc>
                      <w:tcPr>
                        <w:tcW w:w="1080"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left="89" w:right="0"/>
                          <w:jc w:val="center"/>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2177"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left="93"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1656"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left="94" w:right="0"/>
                          <w:jc w:val="center"/>
                          <w:rPr>
                            <w:rFonts w:ascii="宋体" w:hAnsi="宋体" w:cs="宋体" w:eastAsia="宋体" w:hint="default"/>
                            <w:sz w:val="18"/>
                            <w:szCs w:val="18"/>
                          </w:rPr>
                        </w:pPr>
                        <w:r>
                          <w:rPr>
                            <w:rFonts w:ascii="宋体" w:hAnsi="宋体" w:cs="宋体" w:eastAsia="宋体" w:hint="default"/>
                            <w:sz w:val="18"/>
                            <w:szCs w:val="18"/>
                          </w:rPr>
                          <w:t>折旧年限</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 </w:t>
                        </w:r>
                      </w:p>
                    </w:tc>
                    <w:tc>
                      <w:tcPr>
                        <w:tcW w:w="1918"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预计残值率</w:t>
                        </w:r>
                        <w:r>
                          <w:rPr>
                            <w:rFonts w:ascii="宋体" w:hAnsi="宋体" w:cs="宋体" w:eastAsia="宋体" w:hint="default"/>
                            <w:sz w:val="18"/>
                            <w:szCs w:val="18"/>
                          </w:rPr>
                          <w:t>(%) </w:t>
                        </w:r>
                      </w:p>
                    </w:tc>
                    <w:tc>
                      <w:tcPr>
                        <w:tcW w:w="1676"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 </w:t>
                        </w:r>
                      </w:p>
                    </w:tc>
                  </w:tr>
                  <w:tr>
                    <w:trPr>
                      <w:trHeight w:val="497" w:hRule="exact"/>
                    </w:trPr>
                    <w:tc>
                      <w:tcPr>
                        <w:tcW w:w="108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left="89" w:right="0"/>
                          <w:jc w:val="center"/>
                          <w:rPr>
                            <w:rFonts w:ascii="宋体" w:hAnsi="宋体" w:cs="宋体" w:eastAsia="宋体" w:hint="default"/>
                            <w:sz w:val="18"/>
                            <w:szCs w:val="18"/>
                          </w:rPr>
                        </w:pPr>
                        <w:r>
                          <w:rPr>
                            <w:rFonts w:ascii="宋体"/>
                            <w:sz w:val="18"/>
                          </w:rPr>
                          <w:t>1 </w:t>
                        </w:r>
                      </w:p>
                    </w:tc>
                    <w:tc>
                      <w:tcPr>
                        <w:tcW w:w="21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left="93" w:right="0"/>
                          <w:jc w:val="center"/>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165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40 </w:t>
                        </w:r>
                      </w:p>
                    </w:tc>
                    <w:tc>
                      <w:tcPr>
                        <w:tcW w:w="1918"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left="89" w:right="0"/>
                          <w:jc w:val="center"/>
                          <w:rPr>
                            <w:rFonts w:ascii="宋体" w:hAnsi="宋体" w:cs="宋体" w:eastAsia="宋体" w:hint="default"/>
                            <w:sz w:val="18"/>
                            <w:szCs w:val="18"/>
                          </w:rPr>
                        </w:pPr>
                        <w:r>
                          <w:rPr>
                            <w:rFonts w:ascii="宋体"/>
                            <w:sz w:val="18"/>
                          </w:rPr>
                          <w:t>10 </w:t>
                        </w:r>
                      </w:p>
                    </w:tc>
                    <w:tc>
                      <w:tcPr>
                        <w:tcW w:w="167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left="94" w:right="0"/>
                          <w:jc w:val="center"/>
                          <w:rPr>
                            <w:rFonts w:ascii="宋体" w:hAnsi="宋体" w:cs="宋体" w:eastAsia="宋体" w:hint="default"/>
                            <w:sz w:val="18"/>
                            <w:szCs w:val="18"/>
                          </w:rPr>
                        </w:pPr>
                        <w:r>
                          <w:rPr>
                            <w:rFonts w:ascii="宋体"/>
                            <w:sz w:val="18"/>
                          </w:rPr>
                          <w:t>2.25 </w:t>
                        </w:r>
                      </w:p>
                    </w:tc>
                  </w:tr>
                </w:tbl>
                <w:p>
                  <w:pPr/>
                </w:p>
              </w:txbxContent>
            </v:textbox>
            <w10:wrap type="none"/>
          </v:shape>
        </w:pict>
      </w:r>
      <w:r>
        <w:rPr/>
        <w:t>本集团投资性房地产采用平均年限方法计提折旧或摊销。各类投资性房地产的预计使用寿命、净残值率及年折旧</w:t>
      </w:r>
      <w:r>
        <w:rPr>
          <w:rFonts w:ascii="Times New Roman" w:hAnsi="Times New Roman" w:cs="Times New Roman" w:eastAsia="Times New Roman" w:hint="default"/>
        </w:rPr>
        <w:t>(</w:t>
      </w:r>
      <w:r>
        <w:rPr/>
        <w:t>摊 销</w:t>
      </w:r>
      <w:r>
        <w:rPr>
          <w:rFonts w:ascii="Times New Roman" w:hAnsi="Times New Roman" w:cs="Times New Roman" w:eastAsia="Times New Roman" w:hint="default"/>
        </w:rPr>
        <w:t>)</w:t>
      </w:r>
      <w:r>
        <w:rPr/>
        <w:t>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3"/>
        <w:rPr>
          <w:rFonts w:ascii="宋体" w:hAnsi="宋体" w:cs="宋体" w:eastAsia="宋体" w:hint="default"/>
          <w:b/>
          <w:bCs/>
          <w:sz w:val="32"/>
          <w:szCs w:val="32"/>
        </w:rPr>
      </w:pPr>
    </w:p>
    <w:p>
      <w:pPr>
        <w:pStyle w:val="BodyText"/>
        <w:spacing w:line="477" w:lineRule="auto"/>
        <w:ind w:right="1231" w:firstLine="360"/>
        <w:jc w:val="both"/>
      </w:pPr>
      <w:r>
        <w:rPr/>
        <w:t>本集团固定资产是指公司所拥有或控制的、使用年限在一年以上的，并在使用过程中保持原有实物形态的资产，包括 房屋建筑物、机器设备、运输设备、办公设备。</w:t>
      </w:r>
    </w:p>
    <w:p>
      <w:pPr>
        <w:pStyle w:val="BodyText"/>
        <w:spacing w:line="477" w:lineRule="auto" w:before="54"/>
        <w:ind w:right="1230" w:firstLine="360"/>
        <w:jc w:val="both"/>
      </w:pPr>
      <w:r>
        <w:rPr/>
        <w:t>固定资产按其取得时的成本作为入账的价值，其中，外购的固定资产成本包括买价、相关税费，以及为使固定资产达 到预定可使用状态前所发生的可直接归属于该资产的其他支出；自行建造固定资产的成本，由建造该项资产达到预定可使 用状态前所发生的必要支出构成；投资者投入的固定资产，按投资合同或协议约定的价值作为入账价值，但合同或协议约 定价值不公允的按公允价值入账；融资租赁租入的固定资产，按租赁开始日租赁资产公允价值与最低租赁付款额现值两者 中较低者作为入账价值。</w:t>
      </w:r>
    </w:p>
    <w:p>
      <w:pPr>
        <w:pStyle w:val="BodyText"/>
        <w:spacing w:line="477" w:lineRule="auto" w:before="55"/>
        <w:ind w:right="1231" w:firstLine="360"/>
        <w:jc w:val="both"/>
      </w:pPr>
      <w:r>
        <w:rPr/>
        <w:t>与固定资产有关的后续支出，包括修理支出、更新改造支出等，符合固定资产确认条件的，计入固定资产成本，对于 被替换的部分，终止确认其账面价值；不符合固定资产确认条件的，于发生时计入当期损益。</w:t>
      </w:r>
    </w:p>
    <w:p>
      <w:pPr>
        <w:pStyle w:val="BodyText"/>
        <w:spacing w:line="477" w:lineRule="auto" w:before="54"/>
        <w:ind w:right="1231" w:firstLine="360"/>
        <w:jc w:val="both"/>
      </w:pPr>
      <w:r>
        <w:rPr/>
        <w:pict>
          <v:shape style="position:absolute;margin-left:84.624001pt;margin-top:45.131741pt;width:426.5pt;height:50.2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0"/>
                    <w:gridCol w:w="1899"/>
                    <w:gridCol w:w="1899"/>
                    <w:gridCol w:w="1899"/>
                    <w:gridCol w:w="1740"/>
                  </w:tblGrid>
                  <w:tr>
                    <w:trPr>
                      <w:trHeight w:val="492" w:hRule="exact"/>
                    </w:trPr>
                    <w:tc>
                      <w:tcPr>
                        <w:tcW w:w="1070"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left="89" w:right="0"/>
                          <w:jc w:val="center"/>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1899"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left="88" w:right="0"/>
                          <w:jc w:val="center"/>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1899"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折旧年限</w:t>
                        </w:r>
                        <w:r>
                          <w:rPr>
                            <w:rFonts w:ascii="宋体" w:hAnsi="宋体" w:cs="宋体" w:eastAsia="宋体" w:hint="default"/>
                            <w:sz w:val="18"/>
                            <w:szCs w:val="18"/>
                          </w:rPr>
                          <w:t>(</w:t>
                        </w:r>
                        <w:r>
                          <w:rPr>
                            <w:rFonts w:ascii="宋体" w:hAnsi="宋体" w:cs="宋体" w:eastAsia="宋体" w:hint="default"/>
                            <w:sz w:val="18"/>
                            <w:szCs w:val="18"/>
                          </w:rPr>
                          <w:t>年</w:t>
                        </w:r>
                        <w:r>
                          <w:rPr>
                            <w:rFonts w:ascii="宋体" w:hAnsi="宋体" w:cs="宋体" w:eastAsia="宋体" w:hint="default"/>
                            <w:sz w:val="18"/>
                            <w:szCs w:val="18"/>
                          </w:rPr>
                          <w:t>) </w:t>
                        </w:r>
                      </w:p>
                    </w:tc>
                    <w:tc>
                      <w:tcPr>
                        <w:tcW w:w="1899"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预计残值率</w:t>
                        </w:r>
                        <w:r>
                          <w:rPr>
                            <w:rFonts w:ascii="宋体" w:hAnsi="宋体" w:cs="宋体" w:eastAsia="宋体" w:hint="default"/>
                            <w:sz w:val="18"/>
                            <w:szCs w:val="18"/>
                          </w:rPr>
                          <w:t>(%) </w:t>
                        </w:r>
                      </w:p>
                    </w:tc>
                    <w:tc>
                      <w:tcPr>
                        <w:tcW w:w="1740"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left="94" w:right="0"/>
                          <w:jc w:val="center"/>
                          <w:rPr>
                            <w:rFonts w:ascii="宋体" w:hAnsi="宋体" w:cs="宋体" w:eastAsia="宋体" w:hint="default"/>
                            <w:sz w:val="18"/>
                            <w:szCs w:val="18"/>
                          </w:rPr>
                        </w:pPr>
                        <w:r>
                          <w:rPr>
                            <w:rFonts w:ascii="宋体" w:hAnsi="宋体" w:cs="宋体" w:eastAsia="宋体" w:hint="default"/>
                            <w:sz w:val="18"/>
                            <w:szCs w:val="18"/>
                          </w:rPr>
                          <w:t>年折旧率</w:t>
                        </w:r>
                        <w:r>
                          <w:rPr>
                            <w:rFonts w:ascii="宋体" w:hAnsi="宋体" w:cs="宋体" w:eastAsia="宋体" w:hint="default"/>
                            <w:sz w:val="18"/>
                            <w:szCs w:val="18"/>
                          </w:rPr>
                          <w:t>(%) </w:t>
                        </w:r>
                      </w:p>
                    </w:tc>
                  </w:tr>
                  <w:tr>
                    <w:trPr>
                      <w:trHeight w:val="494" w:hRule="exact"/>
                    </w:trPr>
                    <w:tc>
                      <w:tcPr>
                        <w:tcW w:w="10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left="89" w:right="0"/>
                          <w:jc w:val="center"/>
                          <w:rPr>
                            <w:rFonts w:ascii="宋体" w:hAnsi="宋体" w:cs="宋体" w:eastAsia="宋体" w:hint="default"/>
                            <w:sz w:val="18"/>
                            <w:szCs w:val="18"/>
                          </w:rPr>
                        </w:pPr>
                        <w:r>
                          <w:rPr>
                            <w:rFonts w:ascii="宋体"/>
                            <w:sz w:val="18"/>
                          </w:rPr>
                          <w:t>1 </w:t>
                        </w:r>
                      </w:p>
                    </w:tc>
                    <w:tc>
                      <w:tcPr>
                        <w:tcW w:w="18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left="210" w:right="0"/>
                          <w:jc w:val="center"/>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18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left="95" w:right="0"/>
                          <w:jc w:val="center"/>
                          <w:rPr>
                            <w:rFonts w:ascii="宋体" w:hAnsi="宋体" w:cs="宋体" w:eastAsia="宋体" w:hint="default"/>
                            <w:sz w:val="18"/>
                            <w:szCs w:val="18"/>
                          </w:rPr>
                        </w:pPr>
                        <w:r>
                          <w:rPr>
                            <w:rFonts w:ascii="宋体"/>
                            <w:sz w:val="18"/>
                          </w:rPr>
                          <w:t>40 </w:t>
                        </w:r>
                      </w:p>
                    </w:tc>
                    <w:tc>
                      <w:tcPr>
                        <w:tcW w:w="18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left="89" w:right="0"/>
                          <w:jc w:val="center"/>
                          <w:rPr>
                            <w:rFonts w:ascii="宋体" w:hAnsi="宋体" w:cs="宋体" w:eastAsia="宋体" w:hint="default"/>
                            <w:sz w:val="18"/>
                            <w:szCs w:val="18"/>
                          </w:rPr>
                        </w:pPr>
                        <w:r>
                          <w:rPr>
                            <w:rFonts w:ascii="宋体"/>
                            <w:sz w:val="18"/>
                          </w:rPr>
                          <w:t>10 </w:t>
                        </w:r>
                      </w:p>
                    </w:tc>
                    <w:tc>
                      <w:tcPr>
                        <w:tcW w:w="17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2.25 </w:t>
                        </w:r>
                      </w:p>
                    </w:tc>
                  </w:tr>
                </w:tbl>
                <w:p>
                  <w:pPr/>
                </w:p>
              </w:txbxContent>
            </v:textbox>
            <w10:wrap type="none"/>
          </v:shape>
        </w:pict>
      </w:r>
      <w:r>
        <w:rPr/>
        <w:t>除已提足折旧仍继续使用的固定资产外，本集团对所有固定资产计提折旧。计提折旧时采用平均年限法，并根据用途 分别计入相关资产的成本或当期费用。本集团固定资产的预计净残值率、分类折旧年限、折旧率如下：</w:t>
      </w:r>
    </w:p>
    <w:p>
      <w:pPr>
        <w:spacing w:after="0" w:line="477" w:lineRule="auto"/>
        <w:jc w:val="both"/>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712" w:type="dxa"/>
        <w:tblLayout w:type="fixed"/>
        <w:tblCellMar>
          <w:top w:w="0" w:type="dxa"/>
          <w:left w:w="0" w:type="dxa"/>
          <w:bottom w:w="0" w:type="dxa"/>
          <w:right w:w="0" w:type="dxa"/>
        </w:tblCellMar>
        <w:tblLook w:val="01E0"/>
      </w:tblPr>
      <w:tblGrid>
        <w:gridCol w:w="1070"/>
        <w:gridCol w:w="1899"/>
        <w:gridCol w:w="1899"/>
        <w:gridCol w:w="1899"/>
        <w:gridCol w:w="1740"/>
      </w:tblGrid>
      <w:tr>
        <w:trPr>
          <w:trHeight w:val="495" w:hRule="exact"/>
        </w:trPr>
        <w:tc>
          <w:tcPr>
            <w:tcW w:w="10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0"/>
              <w:ind w:right="390"/>
              <w:jc w:val="right"/>
              <w:rPr>
                <w:rFonts w:ascii="宋体" w:hAnsi="宋体" w:cs="宋体" w:eastAsia="宋体" w:hint="default"/>
                <w:sz w:val="18"/>
                <w:szCs w:val="18"/>
              </w:rPr>
            </w:pPr>
            <w:r>
              <w:rPr>
                <w:rFonts w:ascii="宋体"/>
                <w:sz w:val="18"/>
              </w:rPr>
              <w:t>2 </w:t>
            </w:r>
          </w:p>
        </w:tc>
        <w:tc>
          <w:tcPr>
            <w:tcW w:w="18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0"/>
              <w:ind w:right="431"/>
              <w:jc w:val="righ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8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0"/>
              <w:ind w:right="803"/>
              <w:jc w:val="right"/>
              <w:rPr>
                <w:rFonts w:ascii="宋体" w:hAnsi="宋体" w:cs="宋体" w:eastAsia="宋体" w:hint="default"/>
                <w:sz w:val="18"/>
                <w:szCs w:val="18"/>
              </w:rPr>
            </w:pPr>
            <w:r>
              <w:rPr>
                <w:rFonts w:ascii="宋体"/>
                <w:sz w:val="18"/>
              </w:rPr>
              <w:t>5 </w:t>
            </w:r>
          </w:p>
        </w:tc>
        <w:tc>
          <w:tcPr>
            <w:tcW w:w="18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0"/>
              <w:ind w:right="668"/>
              <w:jc w:val="right"/>
              <w:rPr>
                <w:rFonts w:ascii="宋体" w:hAnsi="宋体" w:cs="宋体" w:eastAsia="宋体" w:hint="default"/>
                <w:sz w:val="18"/>
                <w:szCs w:val="18"/>
              </w:rPr>
            </w:pPr>
            <w:r>
              <w:rPr>
                <w:rFonts w:ascii="宋体"/>
                <w:spacing w:val="-1"/>
                <w:sz w:val="18"/>
              </w:rPr>
              <w:t>0-10</w:t>
            </w:r>
            <w:r>
              <w:rPr>
                <w:rFonts w:ascii="宋体"/>
                <w:sz w:val="18"/>
              </w:rPr>
              <w:t> </w:t>
            </w:r>
          </w:p>
        </w:tc>
        <w:tc>
          <w:tcPr>
            <w:tcW w:w="17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0"/>
              <w:ind w:right="544"/>
              <w:jc w:val="right"/>
              <w:rPr>
                <w:rFonts w:ascii="宋体" w:hAnsi="宋体" w:cs="宋体" w:eastAsia="宋体" w:hint="default"/>
                <w:sz w:val="18"/>
                <w:szCs w:val="18"/>
              </w:rPr>
            </w:pPr>
            <w:r>
              <w:rPr>
                <w:rFonts w:ascii="宋体"/>
                <w:spacing w:val="-1"/>
                <w:sz w:val="18"/>
              </w:rPr>
              <w:t>18-20</w:t>
            </w:r>
            <w:r>
              <w:rPr>
                <w:rFonts w:ascii="宋体"/>
                <w:sz w:val="18"/>
              </w:rPr>
              <w:t> </w:t>
            </w:r>
          </w:p>
        </w:tc>
      </w:tr>
      <w:tr>
        <w:trPr>
          <w:trHeight w:val="494" w:hRule="exact"/>
        </w:trPr>
        <w:tc>
          <w:tcPr>
            <w:tcW w:w="10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right="390"/>
              <w:jc w:val="right"/>
              <w:rPr>
                <w:rFonts w:ascii="宋体" w:hAnsi="宋体" w:cs="宋体" w:eastAsia="宋体" w:hint="default"/>
                <w:sz w:val="18"/>
                <w:szCs w:val="18"/>
              </w:rPr>
            </w:pPr>
            <w:r>
              <w:rPr>
                <w:rFonts w:ascii="宋体"/>
                <w:sz w:val="18"/>
              </w:rPr>
              <w:t>3 </w:t>
            </w:r>
          </w:p>
        </w:tc>
        <w:tc>
          <w:tcPr>
            <w:tcW w:w="18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right="431"/>
              <w:jc w:val="righ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8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right="803"/>
              <w:jc w:val="right"/>
              <w:rPr>
                <w:rFonts w:ascii="宋体" w:hAnsi="宋体" w:cs="宋体" w:eastAsia="宋体" w:hint="default"/>
                <w:sz w:val="18"/>
                <w:szCs w:val="18"/>
              </w:rPr>
            </w:pPr>
            <w:r>
              <w:rPr>
                <w:rFonts w:ascii="宋体"/>
                <w:sz w:val="18"/>
              </w:rPr>
              <w:t>5 </w:t>
            </w:r>
          </w:p>
        </w:tc>
        <w:tc>
          <w:tcPr>
            <w:tcW w:w="18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right="668"/>
              <w:jc w:val="right"/>
              <w:rPr>
                <w:rFonts w:ascii="宋体" w:hAnsi="宋体" w:cs="宋体" w:eastAsia="宋体" w:hint="default"/>
                <w:sz w:val="18"/>
                <w:szCs w:val="18"/>
              </w:rPr>
            </w:pPr>
            <w:r>
              <w:rPr>
                <w:rFonts w:ascii="宋体"/>
                <w:spacing w:val="-1"/>
                <w:sz w:val="18"/>
              </w:rPr>
              <w:t>0-10</w:t>
            </w:r>
            <w:r>
              <w:rPr>
                <w:rFonts w:ascii="宋体"/>
                <w:sz w:val="18"/>
              </w:rPr>
              <w:t> </w:t>
            </w:r>
          </w:p>
        </w:tc>
        <w:tc>
          <w:tcPr>
            <w:tcW w:w="17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right="544"/>
              <w:jc w:val="right"/>
              <w:rPr>
                <w:rFonts w:ascii="宋体" w:hAnsi="宋体" w:cs="宋体" w:eastAsia="宋体" w:hint="default"/>
                <w:sz w:val="18"/>
                <w:szCs w:val="18"/>
              </w:rPr>
            </w:pPr>
            <w:r>
              <w:rPr>
                <w:rFonts w:ascii="宋体"/>
                <w:spacing w:val="-1"/>
                <w:sz w:val="18"/>
              </w:rPr>
              <w:t>18-20</w:t>
            </w:r>
            <w:r>
              <w:rPr>
                <w:rFonts w:ascii="宋体"/>
                <w:sz w:val="18"/>
              </w:rPr>
              <w:t> </w:t>
            </w:r>
          </w:p>
        </w:tc>
      </w:tr>
      <w:tr>
        <w:trPr>
          <w:trHeight w:val="494" w:hRule="exact"/>
        </w:trPr>
        <w:tc>
          <w:tcPr>
            <w:tcW w:w="10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right="390"/>
              <w:jc w:val="right"/>
              <w:rPr>
                <w:rFonts w:ascii="宋体" w:hAnsi="宋体" w:cs="宋体" w:eastAsia="宋体" w:hint="default"/>
                <w:sz w:val="18"/>
                <w:szCs w:val="18"/>
              </w:rPr>
            </w:pPr>
            <w:r>
              <w:rPr>
                <w:rFonts w:ascii="宋体"/>
                <w:sz w:val="18"/>
              </w:rPr>
              <w:t>4 </w:t>
            </w:r>
          </w:p>
        </w:tc>
        <w:tc>
          <w:tcPr>
            <w:tcW w:w="18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right="431"/>
              <w:jc w:val="right"/>
              <w:rPr>
                <w:rFonts w:ascii="宋体" w:hAnsi="宋体" w:cs="宋体" w:eastAsia="宋体" w:hint="default"/>
                <w:sz w:val="18"/>
                <w:szCs w:val="18"/>
              </w:rPr>
            </w:pPr>
            <w:r>
              <w:rPr>
                <w:rFonts w:ascii="宋体" w:hAnsi="宋体" w:cs="宋体" w:eastAsia="宋体" w:hint="default"/>
                <w:sz w:val="18"/>
                <w:szCs w:val="18"/>
              </w:rPr>
              <w:t>办公设备</w:t>
            </w:r>
            <w:r>
              <w:rPr>
                <w:rFonts w:ascii="宋体" w:hAnsi="宋体" w:cs="宋体" w:eastAsia="宋体" w:hint="default"/>
                <w:sz w:val="18"/>
                <w:szCs w:val="18"/>
              </w:rPr>
              <w:t> </w:t>
            </w:r>
          </w:p>
        </w:tc>
        <w:tc>
          <w:tcPr>
            <w:tcW w:w="18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right="803"/>
              <w:jc w:val="right"/>
              <w:rPr>
                <w:rFonts w:ascii="宋体" w:hAnsi="宋体" w:cs="宋体" w:eastAsia="宋体" w:hint="default"/>
                <w:sz w:val="18"/>
                <w:szCs w:val="18"/>
              </w:rPr>
            </w:pPr>
            <w:r>
              <w:rPr>
                <w:rFonts w:ascii="宋体"/>
                <w:sz w:val="18"/>
              </w:rPr>
              <w:t>5 </w:t>
            </w:r>
          </w:p>
        </w:tc>
        <w:tc>
          <w:tcPr>
            <w:tcW w:w="189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right="668"/>
              <w:jc w:val="right"/>
              <w:rPr>
                <w:rFonts w:ascii="宋体" w:hAnsi="宋体" w:cs="宋体" w:eastAsia="宋体" w:hint="default"/>
                <w:sz w:val="18"/>
                <w:szCs w:val="18"/>
              </w:rPr>
            </w:pPr>
            <w:r>
              <w:rPr>
                <w:rFonts w:ascii="宋体"/>
                <w:spacing w:val="-1"/>
                <w:sz w:val="18"/>
              </w:rPr>
              <w:t>0-10</w:t>
            </w:r>
            <w:r>
              <w:rPr>
                <w:rFonts w:ascii="宋体"/>
                <w:sz w:val="18"/>
              </w:rPr>
              <w:t> </w:t>
            </w:r>
          </w:p>
        </w:tc>
        <w:tc>
          <w:tcPr>
            <w:tcW w:w="174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right="544"/>
              <w:jc w:val="right"/>
              <w:rPr>
                <w:rFonts w:ascii="宋体" w:hAnsi="宋体" w:cs="宋体" w:eastAsia="宋体" w:hint="default"/>
                <w:sz w:val="18"/>
                <w:szCs w:val="18"/>
              </w:rPr>
            </w:pPr>
            <w:r>
              <w:rPr>
                <w:rFonts w:ascii="宋体"/>
                <w:spacing w:val="-1"/>
                <w:sz w:val="18"/>
              </w:rPr>
              <w:t>18-20</w:t>
            </w:r>
            <w:r>
              <w:rPr>
                <w:rFonts w:ascii="宋体"/>
                <w:sz w:val="18"/>
              </w:rPr>
              <w:t> </w:t>
            </w:r>
          </w:p>
        </w:tc>
      </w:tr>
    </w:tbl>
    <w:p>
      <w:pPr>
        <w:pStyle w:val="BodyText"/>
        <w:spacing w:line="477" w:lineRule="auto" w:before="87"/>
        <w:ind w:right="1231" w:firstLine="360"/>
        <w:jc w:val="both"/>
      </w:pPr>
      <w:r>
        <w:rPr/>
        <w:t>本集团于每年年度终了，对固定资产的预计使用寿命、预计净残值和折旧方法进行复核，如发生改变，则作为会计估 计变更处理。</w:t>
      </w:r>
    </w:p>
    <w:p>
      <w:pPr>
        <w:pStyle w:val="BodyText"/>
        <w:spacing w:line="477" w:lineRule="auto" w:before="54"/>
        <w:ind w:right="1231" w:firstLine="360"/>
        <w:jc w:val="both"/>
      </w:pPr>
      <w:r>
        <w:rPr/>
        <w:t>当固定资产被处置、或者预期通过使用或处置不能产生经济利益时，终止确认该固定资产。固定资产出售、转让、报 废或毁损的处置收入扣除其账面价值和相关税费后的金额计入当期损益。</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231" w:firstLine="360"/>
        <w:jc w:val="both"/>
      </w:pPr>
      <w:r>
        <w:rPr/>
        <w:t>在建工程在达到预定可使用状态之日起，根据工程预算、造价或工程实际成本等，按估计的价值结转固定资产，次月 起开始计提折旧，待办理了竣工决算手续后再对固定资产原值差异作调整。</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231" w:firstLine="360"/>
        <w:jc w:val="both"/>
      </w:pPr>
      <w:r>
        <w:rPr/>
        <w:t>借款费用包括借款利息、折价或溢价的摊销、辅助费用以及因外币借款而发生的汇兑差额等。可直接归属于符合资本 化条件的资产的购建或者生产的借款费用，在资产支出已经发生、借款费用已经发生、为使资产达到预定可使用或可销售 状态所必要的购建或生产活动已经开始时，开始资本化；当购建或生产符合资本化条件的资产达到预定可使用或可销售状 态时，停止资本化。其余借款费用在发生当期确认为费用。</w:t>
      </w:r>
    </w:p>
    <w:p>
      <w:pPr>
        <w:pStyle w:val="BodyText"/>
        <w:spacing w:line="477" w:lineRule="auto" w:before="54"/>
        <w:ind w:right="1231" w:firstLine="360"/>
        <w:jc w:val="both"/>
      </w:pPr>
      <w:r>
        <w:rPr/>
        <w:t>专门借款当期实际发生的利息费用，扣除尚未动用的借款资金存入银行取得的利息收入或进行暂时性投资取得的投资 收益后的金额予以资本化；一般借款根据累计资产支出超过专门借款部分的资产支出加权平均数乘以所占用一般借款的加 权平均利率，确定资本化金额。</w:t>
      </w:r>
    </w:p>
    <w:p>
      <w:pPr>
        <w:pStyle w:val="BodyText"/>
        <w:spacing w:line="451" w:lineRule="auto" w:before="54"/>
        <w:ind w:right="1230" w:firstLine="360"/>
        <w:jc w:val="both"/>
      </w:pPr>
      <w:r>
        <w:rPr/>
        <w:t>符合资本化条件的资产，是指需要经过相当长时间（通常指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年以上）的购建或者生产活动才能达到预定可使用或者 可销售状态的固定资产、投资性房地产和存货等资产。</w:t>
      </w:r>
    </w:p>
    <w:p>
      <w:pPr>
        <w:pStyle w:val="BodyText"/>
        <w:spacing w:line="451" w:lineRule="auto" w:before="74"/>
        <w:ind w:right="1227" w:firstLine="360"/>
        <w:jc w:val="both"/>
      </w:pPr>
      <w:r>
        <w:rPr/>
        <w:t>如果符合资本化条件的资产在购建或者生产过程中发生非正常中断、且中断时间连续超过</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个月，暂停借款费用的资 本化，直至资产的购建或生产活动重新开始。</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231" w:firstLine="360"/>
        <w:jc w:val="both"/>
      </w:pPr>
      <w:r>
        <w:rPr/>
        <w:t>本集团无形资产包括土地使用权、软件、专利技术及非专利技术等，按取得时的实际成本计量，其中，购入的无形资 产，按实际支付的价款和相关的其他支出作为实际成本；投资者投入的无形资产，按投资合同或协议约定的价值确定实际</w:t>
      </w:r>
    </w:p>
    <w:p>
      <w:pPr>
        <w:spacing w:after="0" w:line="477" w:lineRule="auto"/>
        <w:jc w:val="both"/>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77" w:lineRule="auto" w:before="44"/>
        <w:ind w:right="1213"/>
        <w:jc w:val="left"/>
      </w:pPr>
      <w:r>
        <w:rPr/>
        <w:t>成本，但合同或协议约定价值不公允的，按公允价值确定实际成本；对非同一控制下合并中取得被购买方拥有的但在其财 务报表中未确认的软件无形资产，在对被购买方资产进行初始确认时，按公允价值确认为无形资产。</w:t>
      </w:r>
    </w:p>
    <w:p>
      <w:pPr>
        <w:pStyle w:val="BodyText"/>
        <w:spacing w:line="477" w:lineRule="auto" w:before="54"/>
        <w:ind w:right="1230" w:firstLine="360"/>
        <w:jc w:val="both"/>
      </w:pPr>
      <w:r>
        <w:rPr/>
        <w:t>土地使用权从出让起始日起，按其出让年限平均摊销；软件、专利技术和非专利技术等无形资产按预计使用年限、合 同规定的受益年限和法律规定的有效年限三者中最短者分期平均摊销。摊销金额按其受益对象计入相关资产成本和当期损 益。对使用寿命有限的无形资产的预计使用寿命及摊销方法于每年年度终了进行复核，如发生改变，则作为会计估计变更 处理。</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19</w:t>
      </w:r>
      <w:r>
        <w:rPr/>
        <w:t>、研究与开发</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231" w:firstLine="360"/>
        <w:jc w:val="both"/>
      </w:pPr>
      <w:r>
        <w:rPr/>
        <w:t>本集团内部研究开发项目支出根据其性质以及研发活动最终形成无形资产是否具有较大不确定性，分为研究阶段支出 和开发阶段支出。</w:t>
      </w:r>
    </w:p>
    <w:p>
      <w:pPr>
        <w:pStyle w:val="BodyText"/>
        <w:spacing w:line="477" w:lineRule="auto" w:before="54"/>
        <w:ind w:right="1229" w:firstLine="360"/>
        <w:jc w:val="both"/>
      </w:pPr>
      <w:r>
        <w:rPr/>
        <w:t>自行研究开发的无形资产，其研究阶段的支出，于发生时计入当期损益；其开发阶段的支出，同时满足下列条件的， 确认为无形资产：</w:t>
      </w:r>
    </w:p>
    <w:p>
      <w:pPr>
        <w:pStyle w:val="BodyText"/>
        <w:spacing w:line="240" w:lineRule="auto" w:before="54"/>
        <w:ind w:left="51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2</w:t>
      </w:r>
      <w:r>
        <w:rPr/>
        <w:t>）具有完成该无形资产并使用或出售的意图；</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3</w:t>
      </w:r>
      <w:r>
        <w:rPr/>
        <w:t>）运用该无形资产生产的产品存在市场或无形资产自身存在市场；</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spacing w:line="240" w:lineRule="auto" w:before="10"/>
        <w:rPr>
          <w:rFonts w:ascii="宋体" w:hAnsi="宋体" w:cs="宋体" w:eastAsia="宋体" w:hint="default"/>
          <w:sz w:val="16"/>
          <w:szCs w:val="16"/>
        </w:rPr>
      </w:pPr>
    </w:p>
    <w:p>
      <w:pPr>
        <w:pStyle w:val="BodyText"/>
        <w:spacing w:line="448" w:lineRule="auto"/>
        <w:ind w:left="513" w:right="1213"/>
        <w:jc w:val="left"/>
      </w:pPr>
      <w:r>
        <w:rPr/>
        <w:t>（</w:t>
      </w:r>
      <w:r>
        <w:rPr>
          <w:rFonts w:ascii="Times New Roman" w:hAnsi="Times New Roman" w:cs="Times New Roman" w:eastAsia="Times New Roman" w:hint="default"/>
        </w:rPr>
        <w:t>5</w:t>
      </w:r>
      <w:r>
        <w:rPr/>
        <w:t>）归属于该无形资产开发阶段的支出能够可靠地计量。 不满足上述条件的开发阶段的支出，于发生时计入当期损益。前期已计入损益的开发支出不在以后期间确认为资产。</w:t>
      </w:r>
    </w:p>
    <w:p>
      <w:pPr>
        <w:pStyle w:val="BodyText"/>
        <w:spacing w:line="240" w:lineRule="auto" w:before="76"/>
        <w:ind w:right="0"/>
        <w:jc w:val="left"/>
      </w:pPr>
      <w:r>
        <w:rPr/>
        <w:t>已资本化的开发阶段的支出在资产负债表上列示为开发支出，自该项目达到预定可使用状态之日起转为无形资产。</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231" w:firstLine="360"/>
        <w:jc w:val="both"/>
      </w:pPr>
      <w:r>
        <w:rPr/>
        <w:t>本集团于每一资产负债表日对长期股权投资、采用成本模式计量的投资性房地产、固定资产、在建工程、使用寿命有 限的无形资产等项目进行检查，当存在下列迹象时，表明资产可能发生了减值，本集团将估计其可收回金额，进行减值测 试。</w:t>
      </w:r>
    </w:p>
    <w:p>
      <w:pPr>
        <w:pStyle w:val="BodyText"/>
        <w:spacing w:line="477" w:lineRule="auto" w:before="54"/>
        <w:ind w:right="1231" w:firstLine="360"/>
        <w:jc w:val="both"/>
      </w:pPr>
      <w:r>
        <w:rPr/>
        <w:t>可收回金额根据资产的公允价值减去处置费用后的净额与资产预计未来现金流量的现值两者之间较高者确定。本集团 以单项资产为基础估计其可收回金额；难以对单项资产的可收回金额进行估计的，以该资产所属的资产组为基础确定资产 组的可收回金额。资产组的认定，以资产组产生的主要现金流入是否独立于其他资产或者资产组的现金流入为依据。</w:t>
      </w:r>
    </w:p>
    <w:p>
      <w:pPr>
        <w:pStyle w:val="BodyText"/>
        <w:spacing w:line="477" w:lineRule="auto" w:before="54"/>
        <w:ind w:right="1231" w:firstLine="360"/>
        <w:jc w:val="both"/>
      </w:pPr>
      <w:r>
        <w:rPr/>
        <w:t>当资产或者资产组的可收回金额低于其账面价值时，本集团将其账面价值减记至可收回金额，减记的金额计入当期损 益，同时计提相应的资产减值准备。</w:t>
      </w:r>
    </w:p>
    <w:p>
      <w:pPr>
        <w:pStyle w:val="BodyText"/>
        <w:spacing w:line="240" w:lineRule="auto" w:before="54"/>
        <w:ind w:left="513" w:right="0"/>
        <w:jc w:val="left"/>
      </w:pPr>
      <w:r>
        <w:rPr/>
        <w:t>出现减值的迹象如下：</w:t>
      </w:r>
    </w:p>
    <w:p>
      <w:pPr>
        <w:spacing w:after="0" w:line="240"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240" w:lineRule="auto" w:before="44"/>
        <w:ind w:left="513" w:right="0"/>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spacing w:line="240" w:lineRule="auto" w:before="9"/>
        <w:rPr>
          <w:rFonts w:ascii="宋体" w:hAnsi="宋体" w:cs="宋体" w:eastAsia="宋体" w:hint="default"/>
          <w:sz w:val="16"/>
          <w:szCs w:val="16"/>
        </w:rPr>
      </w:pPr>
    </w:p>
    <w:p>
      <w:pPr>
        <w:pStyle w:val="BodyText"/>
        <w:spacing w:line="451" w:lineRule="auto"/>
        <w:ind w:right="1139" w:firstLine="360"/>
        <w:jc w:val="both"/>
      </w:pPr>
      <w:r>
        <w:rPr/>
        <w:t>（</w:t>
      </w:r>
      <w:r>
        <w:rPr>
          <w:rFonts w:ascii="Times New Roman" w:hAnsi="Times New Roman" w:cs="Times New Roman" w:eastAsia="Times New Roman" w:hint="default"/>
        </w:rPr>
        <w:t>2</w:t>
      </w:r>
      <w:r>
        <w:rPr/>
        <w:t>）企业经营所处的经济、技术或者法律等环境以及资产所处的市场在当期或者将在近期发生重大变化，从而对企业 产生不利影响。</w:t>
      </w:r>
    </w:p>
    <w:p>
      <w:pPr>
        <w:pStyle w:val="BodyText"/>
        <w:spacing w:line="451" w:lineRule="auto" w:before="74"/>
        <w:ind w:right="1140" w:firstLine="360"/>
        <w:jc w:val="both"/>
      </w:pPr>
      <w:r>
        <w:rPr/>
        <w:t>（</w:t>
      </w:r>
      <w:r>
        <w:rPr>
          <w:rFonts w:ascii="Times New Roman" w:hAnsi="Times New Roman" w:cs="Times New Roman" w:eastAsia="Times New Roman" w:hint="default"/>
        </w:rPr>
        <w:t>3</w:t>
      </w:r>
      <w:r>
        <w:rPr/>
        <w:t>）市场利率或者其他市场投资报酬率在当期已经提高，从而影响企业计算资产预计未来现金流量现值的折现率，导 致资产可收回金额大幅度降低。</w:t>
      </w:r>
    </w:p>
    <w:p>
      <w:pPr>
        <w:pStyle w:val="BodyText"/>
        <w:spacing w:line="240" w:lineRule="auto" w:before="74"/>
        <w:ind w:left="513" w:right="0"/>
        <w:jc w:val="left"/>
      </w:pPr>
      <w:r>
        <w:rPr/>
        <w:t>（</w:t>
      </w:r>
      <w:r>
        <w:rPr>
          <w:rFonts w:ascii="Times New Roman" w:hAnsi="Times New Roman" w:cs="Times New Roman" w:eastAsia="Times New Roman" w:hint="default"/>
        </w:rPr>
        <w:t>4</w:t>
      </w:r>
      <w:r>
        <w:rPr/>
        <w:t>）有证据表明资产已经陈旧过时或者其实体已经损坏。</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w:t>
      </w:r>
      <w:r>
        <w:rPr>
          <w:rFonts w:ascii="Times New Roman" w:hAnsi="Times New Roman" w:cs="Times New Roman" w:eastAsia="Times New Roman" w:hint="default"/>
        </w:rPr>
        <w:t>5</w:t>
      </w:r>
      <w:r>
        <w:rPr/>
        <w:t>）资产已经或者将被闲置、终止使用或者计划提前处置。</w:t>
      </w:r>
    </w:p>
    <w:p>
      <w:pPr>
        <w:spacing w:line="240" w:lineRule="auto" w:before="9"/>
        <w:rPr>
          <w:rFonts w:ascii="宋体" w:hAnsi="宋体" w:cs="宋体" w:eastAsia="宋体" w:hint="default"/>
          <w:sz w:val="16"/>
          <w:szCs w:val="16"/>
        </w:rPr>
      </w:pPr>
    </w:p>
    <w:p>
      <w:pPr>
        <w:pStyle w:val="BodyText"/>
        <w:spacing w:line="451" w:lineRule="auto"/>
        <w:ind w:right="1139" w:firstLine="360"/>
        <w:jc w:val="both"/>
      </w:pPr>
      <w:r>
        <w:rPr/>
        <w:t>（</w:t>
      </w:r>
      <w:r>
        <w:rPr>
          <w:rFonts w:ascii="Times New Roman" w:hAnsi="Times New Roman" w:cs="Times New Roman" w:eastAsia="Times New Roman" w:hint="default"/>
        </w:rPr>
        <w:t>6</w:t>
      </w:r>
      <w:r>
        <w:rPr/>
        <w:t>）企业内部报告的证据表明资产的经济绩效已经低于或者将低于预期，如资产所创造的净现金流量或者实现的营业 利润（或者亏损）远远低于（或者高于）预计金额等。</w:t>
      </w:r>
    </w:p>
    <w:p>
      <w:pPr>
        <w:pStyle w:val="BodyText"/>
        <w:spacing w:line="451" w:lineRule="auto" w:before="74"/>
        <w:ind w:left="513" w:right="1213"/>
        <w:jc w:val="left"/>
      </w:pPr>
      <w:r>
        <w:rPr/>
        <w:t>（</w:t>
      </w:r>
      <w:r>
        <w:rPr>
          <w:rFonts w:ascii="Times New Roman" w:hAnsi="Times New Roman" w:cs="Times New Roman" w:eastAsia="Times New Roman" w:hint="default"/>
        </w:rPr>
        <w:t>7</w:t>
      </w:r>
      <w:r>
        <w:rPr/>
        <w:t>）其他表明资产可能已经发生减值的迹象。 商誉至少在每年年度终了进行减值测试。对商誉进行减值测试时，结合与其相关的资产组或者资产组组合进行。即，</w:t>
      </w:r>
    </w:p>
    <w:p>
      <w:pPr>
        <w:pStyle w:val="BodyText"/>
        <w:spacing w:line="477" w:lineRule="auto" w:before="74"/>
        <w:ind w:right="1231"/>
        <w:jc w:val="both"/>
      </w:pPr>
      <w:r>
        <w:rPr/>
        <w:t>自购买日起将商誉的账面价值按照合理的方法分摊到能够从企业合并的协同效应中受益的资产组或资产组组合，如包含分 摊的商誉的资产组或资产组组合的可收回金额低于其账面价值的，确认相应的减值损失。减值损失金额首先抵减分摊到该 资产组或资产组组合的商誉的账面价值，再根据资产组或资产组组合中除商誉以外的其他各项资产的账面价值所占比重， 按比例抵减其他各项资产的账面价值。</w:t>
      </w:r>
    </w:p>
    <w:p>
      <w:pPr>
        <w:pStyle w:val="BodyText"/>
        <w:spacing w:line="240" w:lineRule="auto" w:before="54"/>
        <w:ind w:left="513" w:right="0"/>
        <w:jc w:val="left"/>
      </w:pPr>
      <w:r>
        <w:rPr/>
        <w:t>上述资产减值损失一经确认，在以后会计期间不再转回。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4"/>
        <w:spacing w:line="240" w:lineRule="auto"/>
        <w:ind w:right="0"/>
        <w:jc w:val="both"/>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2"/>
        <w:rPr>
          <w:rFonts w:ascii="宋体" w:hAnsi="宋体" w:cs="宋体" w:eastAsia="宋体" w:hint="default"/>
          <w:b/>
          <w:bCs/>
          <w:sz w:val="32"/>
          <w:szCs w:val="32"/>
        </w:rPr>
      </w:pPr>
    </w:p>
    <w:p>
      <w:pPr>
        <w:pStyle w:val="BodyText"/>
        <w:spacing w:line="463" w:lineRule="auto"/>
        <w:ind w:right="1231" w:firstLine="360"/>
        <w:jc w:val="both"/>
      </w:pPr>
      <w:r>
        <w:rPr/>
        <w:t>本集团长期待摊费用是指已经支出，但应由当期及以后各期承担的摊销期限在</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年以上</w:t>
      </w:r>
      <w:r>
        <w:rPr>
          <w:rFonts w:ascii="Times New Roman" w:hAnsi="Times New Roman" w:cs="Times New Roman" w:eastAsia="Times New Roman" w:hint="default"/>
        </w:rPr>
        <w:t>(</w:t>
      </w:r>
      <w:r>
        <w:rPr/>
        <w:t>不含</w:t>
      </w:r>
      <w:r>
        <w:rPr>
          <w:spacing w:val="-46"/>
        </w:rPr>
        <w:t> </w:t>
      </w:r>
      <w:r>
        <w:rPr>
          <w:rFonts w:ascii="Times New Roman" w:hAnsi="Times New Roman" w:cs="Times New Roman" w:eastAsia="Times New Roman" w:hint="default"/>
        </w:rPr>
        <w:t>1 </w:t>
      </w:r>
      <w:r>
        <w:rPr/>
        <w:t>年</w:t>
      </w:r>
      <w:r>
        <w:rPr>
          <w:rFonts w:ascii="Times New Roman" w:hAnsi="Times New Roman" w:cs="Times New Roman" w:eastAsia="Times New Roman" w:hint="default"/>
        </w:rPr>
        <w:t>)</w:t>
      </w:r>
      <w:r>
        <w:rPr/>
        <w:t>的各项费用，该等 费用在受益期内平均摊销。如果长期待摊费用项目不能使以后会计期间受益，则将尚未摊销的该项目的摊余价值全部转入 当期损益。</w:t>
      </w:r>
    </w:p>
    <w:p>
      <w:pPr>
        <w:spacing w:line="240" w:lineRule="auto" w:before="3"/>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t>本集团职工薪酬主要包括短期薪酬、离职后福利和辞退福利。</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230" w:firstLine="360"/>
        <w:jc w:val="both"/>
      </w:pPr>
      <w:r>
        <w:rPr/>
        <w:t>短期薪酬主要包括工资、奖金、津贴和补贴、职工福利费、社会保险费及住房公积金、工会经费和职工教育经费等与 获得职工提供的服务相关的支出，在职工提供服务的会计期间，将实际发生的短期薪酬确认为负债，并按照受益对象计入 当期损益或相关资产成本。</w:t>
      </w:r>
    </w:p>
    <w:p>
      <w:pPr>
        <w:spacing w:after="0" w:line="477" w:lineRule="auto"/>
        <w:jc w:val="both"/>
        <w:sectPr>
          <w:pgSz w:w="11910" w:h="16840"/>
          <w:pgMar w:header="916" w:footer="1261" w:top="112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213" w:firstLine="360"/>
        <w:jc w:val="left"/>
      </w:pPr>
      <w:r>
        <w:rPr/>
        <w:t>离职后福利主要包括基本养老保险、失业保险、补充养老保险等，按照公司承担的风险和义务，分类为设定提存计 划。对于设定提存计划根据在资产负债日为换取职工在会计期间提供的服务而单独通过主体缴存的提存金额确认为负债， 并按照受益对象计入当期损益或相关资产成本。</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230" w:firstLine="360"/>
        <w:jc w:val="both"/>
      </w:pPr>
      <w:r>
        <w:rPr/>
        <w:t>辞退福利是指如在职工劳动合同到期之前决定解除与职工的劳动关系，或为鼓励职工自愿接受裁减而提出给予补偿的 建议，如果本集团已经制定正式的解除劳动关系计划或提出自愿裁减建议，并即将实施，同时本集团不能单方面撤回解除 劳动关系计划或裁减建议的，确认因解除与职工劳动关系给予补偿产生的预计负债，计入当期损益。</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231" w:firstLine="360"/>
        <w:jc w:val="both"/>
      </w:pPr>
      <w:r>
        <w:rPr/>
        <w:t>当与对外担保、商业承兑汇票贴现、未决诉讼或仲裁、产品质量保证等或有事项相关的业务同时符合以下条件时，本 集团将其确认为负债：该义务是本集团承担的现时义务；该义务的履行很可能导致经济利益流出企业；该义务的金额能够 可靠地计量。</w:t>
      </w:r>
    </w:p>
    <w:p>
      <w:pPr>
        <w:pStyle w:val="BodyText"/>
        <w:spacing w:line="477" w:lineRule="auto" w:before="54"/>
        <w:ind w:right="1231" w:firstLine="360"/>
        <w:jc w:val="both"/>
      </w:pPr>
      <w:r>
        <w:rPr/>
        <w:t>预计负债按照履行相关现时义务所需支出的最佳估计数进行初始计量，并综合考虑与或有事项有关的风险、不确定性 和货币时间价值等因素。货币时间价值影响重大的，通过对相关未来现金流出进行折现后确定最佳估计数。每个资产负债 表日对预计负债的账面价值进行复核，如有改变则对账面价值进行调整以反映当前最佳估计数。</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left="513" w:right="1213"/>
        <w:jc w:val="left"/>
      </w:pPr>
      <w:r>
        <w:rPr/>
        <w:t>股份支付，分为以权益结算的股份支付和以现金结算的股份支付。 用以换取职工提供服务的以权益结算的股份支付，以授予职工权益工具在授予日的公允价值计量。该公允价值的金额</w:t>
      </w:r>
    </w:p>
    <w:p>
      <w:pPr>
        <w:pStyle w:val="BodyText"/>
        <w:spacing w:line="477" w:lineRule="auto" w:before="54"/>
        <w:ind w:right="1213"/>
        <w:jc w:val="left"/>
      </w:pPr>
      <w:r>
        <w:rPr/>
        <w:t>在完成等待期内的服务或达到规定业绩条件才可行权的情况下，在等待期内以对可行权权益工具数量的最佳估计为基础， 按直线法计算计入相关成本或费用，相应增加资本公积。</w:t>
      </w:r>
    </w:p>
    <w:p>
      <w:pPr>
        <w:pStyle w:val="BodyText"/>
        <w:spacing w:line="477" w:lineRule="auto" w:before="55"/>
        <w:ind w:right="1231" w:firstLine="360"/>
        <w:jc w:val="both"/>
      </w:pPr>
      <w:r>
        <w:rPr/>
        <w:t>以现金结算的股份支付，按照本集团承担的以股份或其他权益工具为基础确定的负债的公允价值计量。如授予后立即 可行权，在授予日以承担负债的公允价值计入相关成本或费用，相应增加负债；如需完成等待期内的服务或达到规定业绩 条件以后才可行权，在等待期的每个资产负债表日，以对可行权情况的最佳估计为基础，按照本集团承担负债的公允价值 金额，将当期取得的服务计入成本或费用，相应调整负债。</w:t>
      </w:r>
    </w:p>
    <w:p>
      <w:pPr>
        <w:pStyle w:val="BodyText"/>
        <w:spacing w:line="240" w:lineRule="auto" w:before="54"/>
        <w:ind w:left="513" w:right="0"/>
        <w:jc w:val="left"/>
      </w:pPr>
      <w:r>
        <w:rPr/>
        <w:t>在相关负债结算前的每个资产负债表日以及结算日，对负债的公允价值重新计量，其变动计入当期损益。</w:t>
      </w:r>
    </w:p>
    <w:p>
      <w:pPr>
        <w:spacing w:after="0" w:line="240"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77" w:lineRule="auto" w:before="44"/>
        <w:ind w:right="1213" w:firstLine="360"/>
        <w:jc w:val="left"/>
      </w:pPr>
      <w:r>
        <w:rPr/>
        <w:t>本集团在等待期内取消所授予权益工具的（因未满足可行权条件而被取消的除外），作为加速行权处理，即视同剩余 等待期内的股权支付计划已经全部满足可行权条件，在取消所授予权益工具的当期确认剩余等待期内的所有费用。</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25</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412" w:lineRule="auto"/>
        <w:ind w:left="513" w:right="1213" w:hanging="360"/>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号——上市公司从事软件与信息技术服务业务》的披露要求 本集团的营业收入主要包括系统集成收入、技术服务收入、应用软件开发收入、农业信息化收入等，收入确认原则如</w:t>
      </w:r>
    </w:p>
    <w:p>
      <w:pPr>
        <w:pStyle w:val="BodyText"/>
        <w:spacing w:line="240" w:lineRule="auto" w:before="103"/>
        <w:ind w:right="0"/>
        <w:jc w:val="left"/>
      </w:pPr>
      <w:r>
        <w:rPr/>
        <w:t>下：</w:t>
      </w:r>
    </w:p>
    <w:p>
      <w:pPr>
        <w:spacing w:line="240" w:lineRule="auto" w:before="10"/>
        <w:rPr>
          <w:rFonts w:ascii="宋体" w:hAnsi="宋体" w:cs="宋体" w:eastAsia="宋体" w:hint="default"/>
          <w:sz w:val="17"/>
          <w:szCs w:val="17"/>
        </w:rPr>
      </w:pPr>
    </w:p>
    <w:p>
      <w:pPr>
        <w:pStyle w:val="BodyText"/>
        <w:spacing w:line="477" w:lineRule="auto"/>
        <w:ind w:right="1231" w:firstLine="360"/>
        <w:jc w:val="both"/>
      </w:pPr>
      <w:r>
        <w:rPr/>
        <w:t>本集团在已将商品所有权上的主要风险和报酬转移给购货方、本集团既没有保留通常与所有权相联系的继续管理权、 也没有对已售出的商品实施有效控制、收入的金额能够可靠地计量、相关的经济利益很可能流入企业、相关的已发生或将 发生的成本能够可靠地计量时，确认销售商品收入的实现。</w:t>
      </w:r>
    </w:p>
    <w:p>
      <w:pPr>
        <w:pStyle w:val="BodyText"/>
        <w:spacing w:line="477" w:lineRule="auto" w:before="54"/>
        <w:ind w:right="1213" w:firstLine="360"/>
        <w:jc w:val="left"/>
      </w:pPr>
      <w:r>
        <w:rPr/>
        <w:t>本集团在劳务总收入和总成本能够可靠地计量、与劳务相关的经济利益很可能流入本集团、劳务的完成进度能够可靠 地确定时，确认劳务收入的实现。在资产负债表日，提供劳务交易的结果能够可靠估计的，依据外部阶段证明，按完工百 分比法确认相关的劳务收入。完工百分比按已经发生的成本占估计总成本的比例确认；提供劳务交易结果不能够可靠估 计、已经发生的劳务成本预计能够得到补偿的，按已经发生的能够得到补偿的劳务成本金额确认提供劳务收入，并结转已 经发生的劳务成本；提供劳务交易结果不能够可靠估计、已经发生的劳务成本预计全部不能得到补偿的，将已经发生的劳 务成本计入当期损益，不确认提供劳务收入。</w:t>
      </w:r>
    </w:p>
    <w:p>
      <w:pPr>
        <w:pStyle w:val="BodyText"/>
        <w:spacing w:line="477" w:lineRule="auto" w:before="54"/>
        <w:ind w:left="513" w:right="1753"/>
        <w:jc w:val="left"/>
      </w:pPr>
      <w:r>
        <w:rPr/>
        <w:t>与交易相关的经济利益很可能流入本集团、收入的金额能够可靠地计量时，确认让渡资产使用权收入的实现。 收入确认的具体处理方法：</w:t>
      </w:r>
    </w:p>
    <w:p>
      <w:pPr>
        <w:pStyle w:val="BodyText"/>
        <w:spacing w:line="451" w:lineRule="auto" w:before="54"/>
        <w:ind w:left="513" w:right="6973"/>
        <w:jc w:val="left"/>
      </w:pPr>
      <w:r>
        <w:rPr/>
        <w:t>（</w:t>
      </w:r>
      <w:r>
        <w:rPr>
          <w:rFonts w:ascii="Times New Roman" w:hAnsi="Times New Roman" w:cs="Times New Roman" w:eastAsia="Times New Roman" w:hint="default"/>
        </w:rPr>
        <w:t>1</w:t>
      </w:r>
      <w:r>
        <w:rPr/>
        <w:t>）系统集成收入 发货后并得到客户的收货证明时确认收入。</w:t>
      </w:r>
    </w:p>
    <w:p>
      <w:pPr>
        <w:pStyle w:val="BodyText"/>
        <w:spacing w:line="451" w:lineRule="auto" w:before="74"/>
        <w:ind w:left="513" w:right="1213"/>
        <w:jc w:val="left"/>
      </w:pPr>
      <w:r>
        <w:rPr/>
        <w:t>（</w:t>
      </w:r>
      <w:r>
        <w:rPr>
          <w:rFonts w:ascii="Times New Roman" w:hAnsi="Times New Roman" w:cs="Times New Roman" w:eastAsia="Times New Roman" w:hint="default"/>
        </w:rPr>
        <w:t>2</w:t>
      </w:r>
      <w:r>
        <w:rPr/>
        <w:t>） 技术服务、应用软件开发收入 依据外部阶段证明，按照完工百分比法确认收入。对于在同一个会计年度开始并完成的业务，其收入在项目完工，并</w:t>
      </w:r>
    </w:p>
    <w:p>
      <w:pPr>
        <w:pStyle w:val="BodyText"/>
        <w:spacing w:line="477" w:lineRule="auto" w:before="74"/>
        <w:ind w:right="1213"/>
        <w:jc w:val="left"/>
      </w:pPr>
      <w:r>
        <w:rPr/>
        <w:t>收到客户的项目完工验收单时确认，对于业务的开始和完工分属不同的会计年度，且在资产负债表日，提供劳务交易的结 果能够可靠估计的，按完工百分比法确认相关的劳务收入；对于软件产品的销售，以客户验收确认，作为销售收入的实 现。</w:t>
      </w:r>
    </w:p>
    <w:p>
      <w:pPr>
        <w:pStyle w:val="BodyText"/>
        <w:spacing w:line="451" w:lineRule="auto" w:before="54"/>
        <w:ind w:left="513" w:right="1213"/>
        <w:jc w:val="left"/>
      </w:pPr>
      <w:r>
        <w:rPr/>
        <w:t>（</w:t>
      </w:r>
      <w:r>
        <w:rPr>
          <w:rFonts w:ascii="Times New Roman" w:hAnsi="Times New Roman" w:cs="Times New Roman" w:eastAsia="Times New Roman" w:hint="default"/>
        </w:rPr>
        <w:t>3</w:t>
      </w:r>
      <w:r>
        <w:rPr/>
        <w:t>）农业信息化业务收入 农业信息化收入是指为用户采集、加工、提供或管理农村地理信息的服务，目前主要业务为农村土地承包经营权确权</w:t>
      </w:r>
    </w:p>
    <w:p>
      <w:pPr>
        <w:pStyle w:val="BodyText"/>
        <w:spacing w:line="477" w:lineRule="auto" w:before="74"/>
        <w:ind w:left="513" w:right="2473" w:hanging="360"/>
        <w:jc w:val="left"/>
      </w:pPr>
      <w:r>
        <w:rPr/>
        <w:t>业务，该业务涉及电子政务和辅助支持决策的地理信息服务领域。 此类业务按照完工百分比法确认收入。完工百分比按照实际成本支出与预算成本支出的比例来确定。</w:t>
      </w:r>
    </w:p>
    <w:p>
      <w:pPr>
        <w:spacing w:after="0" w:line="477" w:lineRule="auto"/>
        <w:jc w:val="left"/>
        <w:sectPr>
          <w:pgSz w:w="11910" w:h="16840"/>
          <w:pgMar w:header="916" w:footer="1261" w:top="112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1213" w:firstLine="360"/>
        <w:jc w:val="left"/>
      </w:pPr>
      <w:r>
        <w:rPr/>
        <w:t>政府补助包括与资产相关的政府补助及与收益相关的政府补助。其中，与资产相关的政府补助，是指本公司取得的、 用于购建或以其他方式形成长期资产的政府补助；与收益相关的政府补助，是指除与资产相关的政府补助之外的政府补 助。如果政府文件中未明确规定补助对象，本公司按照上述区分原则进行判断，难以区分的，整体归类为与收益相关的政 府补助。</w:t>
      </w:r>
    </w:p>
    <w:p>
      <w:pPr>
        <w:pStyle w:val="BodyText"/>
        <w:spacing w:line="477" w:lineRule="auto" w:before="54"/>
        <w:ind w:right="1121" w:firstLine="360"/>
        <w:jc w:val="left"/>
      </w:pPr>
      <w:r>
        <w:rPr/>
        <w:t>政府补助为货币性资产的，按照实际收到的金额计量，对于按照固定的定额标准拨付的补助，或对年末有确凿证据表 明能够符合财政扶持政策规定的相关条件且预计能够收到财政扶持资金时</w:t>
      </w:r>
      <w:r>
        <w:rPr>
          <w:spacing w:val="2"/>
        </w:rPr>
        <w:t> </w:t>
      </w:r>
      <w:r>
        <w:rPr/>
        <w:t>，按照应收的金额计量；政府补助为非货币性资</w:t>
      </w:r>
      <w:r>
        <w:rPr/>
        <w:t> 产的，按照公允价值计量，公允价值不能可靠取得的，按照名义金额</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计量。</w:t>
      </w:r>
    </w:p>
    <w:p>
      <w:pPr>
        <w:pStyle w:val="BodyText"/>
        <w:spacing w:line="451" w:lineRule="auto" w:before="22"/>
        <w:ind w:right="1168" w:firstLine="360"/>
        <w:jc w:val="left"/>
      </w:pPr>
      <w:r>
        <w:rPr/>
        <w:t>与资产相关的政府补助</w:t>
      </w:r>
      <w:r>
        <w:rPr>
          <w:rFonts w:ascii="Times New Roman" w:hAnsi="Times New Roman" w:cs="Times New Roman" w:eastAsia="Times New Roman" w:hint="default"/>
        </w:rPr>
        <w:t>,</w:t>
      </w:r>
      <w:r>
        <w:rPr/>
        <w:t>冲减相关资产的账面价值或确认为递延收益，确认为递延收益的与资产相关的政府补助，在相 关资产使用寿命内按照合理、系统的方法分期计入损益。</w:t>
      </w:r>
    </w:p>
    <w:p>
      <w:pPr>
        <w:pStyle w:val="BodyText"/>
        <w:spacing w:line="477" w:lineRule="auto" w:before="74"/>
        <w:ind w:right="1213" w:firstLine="360"/>
        <w:jc w:val="left"/>
      </w:pPr>
      <w:r>
        <w:rPr/>
        <w:t>相关资产在使用寿命结束前被出售、转让、报废或发生毁损的，将尚未分配的相关递延收益余额转入资产处置当期的 损益。</w:t>
      </w:r>
    </w:p>
    <w:p>
      <w:pPr>
        <w:pStyle w:val="BodyText"/>
        <w:spacing w:line="477" w:lineRule="auto" w:before="54"/>
        <w:ind w:right="1230" w:firstLine="360"/>
        <w:jc w:val="both"/>
      </w:pPr>
      <w:r>
        <w:rPr/>
        <w:t>与收益相关的政府补助，用于补偿以后期间的相关成本费用或损失的，确认为递延收益，并在确认相关成本费用或损 失的期间计入当期损益或冲减相关成本。与日常活动相关的政府补助，按照经济业务实质，计入其他收益或冲减相关成本 费用。与日常活动无关的政府补助，计入营业外收支。</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32"/>
          <w:szCs w:val="32"/>
        </w:rPr>
      </w:pPr>
    </w:p>
    <w:p>
      <w:pPr>
        <w:pStyle w:val="BodyText"/>
        <w:spacing w:line="463" w:lineRule="auto"/>
        <w:ind w:right="1273" w:firstLine="360"/>
        <w:jc w:val="left"/>
      </w:pPr>
      <w:r>
        <w:rPr/>
        <w:t>本集团递延所得税资产和递延所得税负债根据资产和负债的计税基础与其账面价值的差额</w:t>
      </w:r>
      <w:r>
        <w:rPr>
          <w:rFonts w:ascii="Times New Roman" w:hAnsi="Times New Roman" w:cs="Times New Roman" w:eastAsia="Times New Roman" w:hint="default"/>
        </w:rPr>
        <w:t>(</w:t>
      </w:r>
      <w:r>
        <w:rPr/>
        <w:t>暂时性差异</w:t>
      </w:r>
      <w:r>
        <w:rPr>
          <w:rFonts w:ascii="Times New Roman" w:hAnsi="Times New Roman" w:cs="Times New Roman" w:eastAsia="Times New Roman" w:hint="default"/>
        </w:rPr>
        <w:t>)</w:t>
      </w:r>
      <w:r>
        <w:rPr/>
        <w:t>计算确认。对 于按照税法规定能够于以后年度抵减应纳税所得额的可抵扣亏损和税款抵减，视同暂时性差异确认相应的递延所得税资 产。于资产负债表日，递延所得税资产和递延所得税负债，按照预期收回该资产或清偿该负债期间的适用税率计量。</w:t>
      </w:r>
    </w:p>
    <w:p>
      <w:pPr>
        <w:pStyle w:val="BodyText"/>
        <w:spacing w:line="477" w:lineRule="auto" w:before="65"/>
        <w:ind w:right="1231" w:firstLine="360"/>
        <w:jc w:val="both"/>
      </w:pPr>
      <w:r>
        <w:rPr/>
        <w:t>本集团以很可能取得用来抵扣可抵扣暂时性差异的应纳税所得额为限，确认由可抵扣暂时性差异产生的递延所得税资 产。对已确认的递延所得税资产，当预计到未来期间很可能无法获得足够的应纳税所得额用以抵扣递延所得税资产时，应 当减记递延所得税资产的账面价值。在很可能获得足够的应纳税所得额时，减记的金额予以转回。</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left="513" w:right="1213"/>
        <w:jc w:val="left"/>
      </w:pPr>
      <w:r>
        <w:rPr/>
        <w:t>本集团的租赁业务包括经营租赁。 经营租赁是指除融资租赁以外的其他租赁。本集团作为承租方的租金在租赁期内的各个期间按直线法计入相关资产成</w:t>
      </w:r>
    </w:p>
    <w:p>
      <w:pPr>
        <w:pStyle w:val="BodyText"/>
        <w:spacing w:line="240" w:lineRule="auto" w:before="54"/>
        <w:ind w:right="0"/>
        <w:jc w:val="left"/>
      </w:pPr>
      <w:r>
        <w:rPr/>
        <w:t>本或当期损益，本集团作为出租方的租金在租赁期内的各个期间按直线法确认为收入。</w:t>
      </w:r>
    </w:p>
    <w:p>
      <w:pPr>
        <w:spacing w:after="0" w:line="240" w:lineRule="auto"/>
        <w:jc w:val="left"/>
        <w:sectPr>
          <w:pgSz w:w="11910" w:h="16840"/>
          <w:pgMar w:header="916" w:footer="1261" w:top="112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right="0"/>
        <w:jc w:val="both"/>
        <w:rPr>
          <w:b w:val="0"/>
          <w:bCs w:val="0"/>
        </w:rPr>
      </w:pPr>
      <w:r>
        <w:rPr>
          <w:rFonts w:ascii="Times New Roman" w:hAnsi="Times New Roman" w:cs="Times New Roman" w:eastAsia="Times New Roman" w:hint="default"/>
        </w:rPr>
        <w:t>29</w:t>
      </w:r>
      <w:r>
        <w:rPr/>
        <w:t>、持有待售</w:t>
      </w:r>
      <w:r>
        <w:rPr>
          <w:b w:val="0"/>
          <w:bCs w:val="0"/>
        </w:rPr>
      </w:r>
    </w:p>
    <w:p>
      <w:pPr>
        <w:spacing w:line="240" w:lineRule="auto" w:before="5"/>
        <w:rPr>
          <w:rFonts w:ascii="宋体" w:hAnsi="宋体" w:cs="宋体" w:eastAsia="宋体" w:hint="default"/>
          <w:b/>
          <w:bCs/>
          <w:sz w:val="32"/>
          <w:szCs w:val="32"/>
        </w:rPr>
      </w:pPr>
    </w:p>
    <w:p>
      <w:pPr>
        <w:pStyle w:val="BodyText"/>
        <w:spacing w:line="468" w:lineRule="auto"/>
        <w:ind w:right="1123" w:firstLine="360"/>
        <w:jc w:val="left"/>
      </w:pPr>
      <w:r>
        <w:rPr/>
        <w:t>（</w:t>
      </w:r>
      <w:r>
        <w:rPr>
          <w:rFonts w:ascii="Times New Roman" w:hAnsi="Times New Roman" w:cs="Times New Roman" w:eastAsia="Times New Roman" w:hint="default"/>
        </w:rPr>
        <w:t>1</w:t>
      </w:r>
      <w:r>
        <w:rPr/>
        <w:t>）本集团将同时符合下列条件的非流动资产或处置组划分为持有待售：</w:t>
      </w:r>
      <w:r>
        <w:rPr>
          <w:rFonts w:ascii="Times New Roman" w:hAnsi="Times New Roman" w:cs="Times New Roman" w:eastAsia="Times New Roman" w:hint="default"/>
        </w:rPr>
        <w:t>1</w:t>
      </w:r>
      <w:r>
        <w:rPr/>
        <w:t>）根据类似交易中出售此类资产或处置组 的惯例，在当前状况下即可立即出售；</w:t>
      </w:r>
      <w:r>
        <w:rPr>
          <w:rFonts w:ascii="Times New Roman" w:hAnsi="Times New Roman" w:cs="Times New Roman" w:eastAsia="Times New Roman" w:hint="default"/>
        </w:rPr>
        <w:t>2</w:t>
      </w:r>
      <w:r>
        <w:rPr/>
        <w:t>）出售极可能发生，即已经就一项出售计划作出决议且获得确定的购买承诺，预计 出售将在一年内完成。有关规定要求相关权力机构或者监管部门批准后方可出售的需要获得相关批准。本集团将非流动资 产或处置组首次划分为持有待售类别前，按照相关会计准则规定计量非流动资产或处置组中各项资产和负债的账面价值。 初始计量或在资产负债表日重新计量持有待售的非流动资产或处置组时，其账面价值高于公允价值减去出售费用后的净额 的，将账面价值减记至公允价值减去出售费用后的净额，减记的金额确认为资产减值损失，计入当期损益，同时计提持有 待售资产减值准备。</w:t>
      </w:r>
    </w:p>
    <w:p>
      <w:pPr>
        <w:pStyle w:val="BodyText"/>
        <w:spacing w:line="240" w:lineRule="auto" w:before="62"/>
        <w:ind w:left="513" w:right="0"/>
        <w:jc w:val="left"/>
      </w:pPr>
      <w:r>
        <w:rPr/>
        <w:t>（</w:t>
      </w:r>
      <w:r>
        <w:rPr>
          <w:rFonts w:ascii="Times New Roman" w:hAnsi="Times New Roman" w:cs="Times New Roman" w:eastAsia="Times New Roman" w:hint="default"/>
        </w:rPr>
        <w:t>2</w:t>
      </w:r>
      <w:r>
        <w:rPr/>
        <w:t>）本集团专为转售而取得的非流动资产或处置组，在取得日满足</w:t>
      </w:r>
      <w:r>
        <w:rPr>
          <w:rFonts w:ascii="Times New Roman" w:hAnsi="Times New Roman" w:cs="Times New Roman" w:eastAsia="Times New Roman" w:hint="default"/>
        </w:rPr>
        <w:t>“</w:t>
      </w:r>
      <w:r>
        <w:rPr/>
        <w:t>预计出售将在一年内完成</w:t>
      </w:r>
      <w:r>
        <w:rPr>
          <w:rFonts w:ascii="Times New Roman" w:hAnsi="Times New Roman" w:cs="Times New Roman" w:eastAsia="Times New Roman" w:hint="default"/>
        </w:rPr>
        <w:t>”</w:t>
      </w:r>
      <w:r>
        <w:rPr/>
        <w:t>的规定条件，且短期</w:t>
      </w:r>
    </w:p>
    <w:p>
      <w:pPr>
        <w:spacing w:line="240" w:lineRule="auto" w:before="9"/>
        <w:rPr>
          <w:rFonts w:ascii="宋体" w:hAnsi="宋体" w:cs="宋体" w:eastAsia="宋体" w:hint="default"/>
          <w:sz w:val="16"/>
          <w:szCs w:val="16"/>
        </w:rPr>
      </w:pPr>
    </w:p>
    <w:p>
      <w:pPr>
        <w:pStyle w:val="BodyText"/>
        <w:spacing w:line="468" w:lineRule="auto"/>
        <w:ind w:right="1230"/>
        <w:jc w:val="both"/>
      </w:pPr>
      <w:r>
        <w:rPr/>
        <w:t>（通常为</w:t>
      </w:r>
      <w:r>
        <w:rPr>
          <w:spacing w:val="-46"/>
        </w:rPr>
        <w:t> </w:t>
      </w:r>
      <w:r>
        <w:rPr>
          <w:rFonts w:ascii="Times New Roman" w:hAnsi="Times New Roman" w:cs="Times New Roman" w:eastAsia="Times New Roman" w:hint="default"/>
        </w:rPr>
        <w:t>3 </w:t>
      </w:r>
      <w:r>
        <w:rPr/>
        <w:t>个月）内很可能满足持有待售类别的其他划分条件的，在取得日将其划分为持有待售类别。在初始计量时，比 较假定其不划分为持有待售类别情况下的初始计量金额和公允价值减去出售费用后的净额，以两者孰低计量。除企业合并 中取得的非流动资产或处置组外，由非流动资产或处置组以公允价值减去出售费用后的净额作为初始计量金额而产生的差 额，计入当期损益。</w:t>
      </w:r>
    </w:p>
    <w:p>
      <w:pPr>
        <w:pStyle w:val="BodyText"/>
        <w:spacing w:line="463" w:lineRule="auto" w:before="61"/>
        <w:ind w:right="1123" w:firstLine="360"/>
        <w:jc w:val="left"/>
      </w:pPr>
      <w:r>
        <w:rPr/>
        <w:t>（</w:t>
      </w:r>
      <w:r>
        <w:rPr>
          <w:rFonts w:ascii="Times New Roman" w:hAnsi="Times New Roman" w:cs="Times New Roman" w:eastAsia="Times New Roman" w:hint="default"/>
        </w:rPr>
        <w:t>3</w:t>
      </w:r>
      <w:r>
        <w:rPr/>
        <w:t>）本集团因出售对子公司的投资等原因导致丧失对子公司控制权的，无论出售后本集团是否保留部分权益性投资， 在拟出售的对子公司投资满足持有待售类别划分条件时，在母公司个别财务报表中将对子公司投资整体划分为持有待售类 别，在合并财务报表中将子公司所有资产和负债划分为持有待售类别。</w:t>
      </w:r>
    </w:p>
    <w:p>
      <w:pPr>
        <w:pStyle w:val="BodyText"/>
        <w:spacing w:line="463" w:lineRule="auto" w:before="62"/>
        <w:ind w:right="1213" w:firstLine="360"/>
        <w:jc w:val="left"/>
      </w:pPr>
      <w:r>
        <w:rPr/>
        <w:t>（</w:t>
      </w:r>
      <w:r>
        <w:rPr>
          <w:rFonts w:ascii="Times New Roman" w:hAnsi="Times New Roman" w:cs="Times New Roman" w:eastAsia="Times New Roman" w:hint="default"/>
        </w:rPr>
        <w:t>4</w:t>
      </w:r>
      <w:r>
        <w:rPr/>
        <w:t>）后续资产负债表日持有待售的非流动资产公允价值减去出售费用后的净额增加的，以前减记的金额应当予以恢 复，并在划分为持有待售类别后确认的资产减值损失金额内转回，转回金额计入当期损益。划分为持有待售类别前确认的 资产减值损失不得转回。</w:t>
      </w:r>
    </w:p>
    <w:p>
      <w:pPr>
        <w:pStyle w:val="BodyText"/>
        <w:spacing w:line="451" w:lineRule="auto" w:before="65"/>
        <w:ind w:right="1123" w:firstLine="360"/>
        <w:jc w:val="left"/>
      </w:pPr>
      <w:r>
        <w:rPr/>
        <w:t>（</w:t>
      </w:r>
      <w:r>
        <w:rPr>
          <w:rFonts w:ascii="Times New Roman" w:hAnsi="Times New Roman" w:cs="Times New Roman" w:eastAsia="Times New Roman" w:hint="default"/>
        </w:rPr>
        <w:t>5</w:t>
      </w:r>
      <w:r>
        <w:rPr/>
        <w:t>）对于持有待售的处置组确认的资产减值损失金额，先抵减处置组中商誉的账面价值，再根据各项非流动资产账面 价值所占比重，按比例抵减其账面价值。</w:t>
      </w:r>
    </w:p>
    <w:p>
      <w:pPr>
        <w:pStyle w:val="BodyText"/>
        <w:spacing w:line="477" w:lineRule="auto" w:before="74"/>
        <w:ind w:right="1231" w:firstLine="360"/>
        <w:jc w:val="both"/>
      </w:pPr>
      <w:r>
        <w:rPr/>
        <w:t>后续资产负债表日持有待售的处置组公允价值减去出售费用后的净额增加的，以前减记的金额应当予以恢复，并在划 分为持有待售类别后适用相关计量规定的非流动资产确认的资产减值损失金额内转回，转回金额计入当期损益。已抵减的 商誉账面价值，以及非流动资产在划分为持有待售类别前确认的资产减值损失不得转回。持有待售的处置组确认的资产减 值损失后续转回金额，根据处置组中除商誉外，各项非流动资产账面价值所占比重，按比例增加其账面价值。</w:t>
      </w:r>
    </w:p>
    <w:p>
      <w:pPr>
        <w:pStyle w:val="BodyText"/>
        <w:spacing w:line="451" w:lineRule="auto" w:before="54"/>
        <w:ind w:right="1123" w:firstLine="360"/>
        <w:jc w:val="left"/>
      </w:pPr>
      <w:r>
        <w:rPr/>
        <w:t>（</w:t>
      </w:r>
      <w:r>
        <w:rPr>
          <w:rFonts w:ascii="Times New Roman" w:hAnsi="Times New Roman" w:cs="Times New Roman" w:eastAsia="Times New Roman" w:hint="default"/>
        </w:rPr>
        <w:t>6</w:t>
      </w:r>
      <w:r>
        <w:rPr/>
        <w:t>）持有待售的非流动资产或处置组中的非流动资产不计提折旧或摊销，持有待售的处置组中负债的利息和其他费用 继续予以确认。</w:t>
      </w:r>
    </w:p>
    <w:p>
      <w:pPr>
        <w:spacing w:after="0" w:line="451"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51" w:lineRule="auto" w:before="44"/>
        <w:ind w:right="1140" w:firstLine="360"/>
        <w:jc w:val="both"/>
      </w:pPr>
      <w:r>
        <w:rPr/>
        <w:t>（</w:t>
      </w:r>
      <w:r>
        <w:rPr>
          <w:rFonts w:ascii="Times New Roman" w:hAnsi="Times New Roman" w:cs="Times New Roman" w:eastAsia="Times New Roman" w:hint="default"/>
        </w:rPr>
        <w:t>7</w:t>
      </w:r>
      <w:r>
        <w:rPr/>
        <w:t>）持有待售的非流动资产或处置组因不再满足持有待售类别的划分条件，而不再继续划分为持有待售类别或非流动 资产从持有待售的处置组中移除时，按照以下两者孰低计量：</w:t>
      </w:r>
      <w:r>
        <w:rPr>
          <w:rFonts w:ascii="Times New Roman" w:hAnsi="Times New Roman" w:cs="Times New Roman" w:eastAsia="Times New Roman" w:hint="default"/>
        </w:rPr>
        <w:t>1</w:t>
      </w:r>
      <w:r>
        <w:rPr/>
        <w:t>）划分为持有待售类别前的账面价值，按照假定不划分为持 有待售类别情况下本应确认的折旧、摊销或减值等进行调整后的金额；</w:t>
      </w:r>
      <w:r>
        <w:rPr>
          <w:rFonts w:ascii="Times New Roman" w:hAnsi="Times New Roman" w:cs="Times New Roman" w:eastAsia="Times New Roman" w:hint="default"/>
        </w:rPr>
        <w:t>2</w:t>
      </w:r>
      <w:r>
        <w:rPr/>
        <w:t>）</w:t>
      </w:r>
      <w:r>
        <w:rPr>
          <w:spacing w:val="2"/>
        </w:rPr>
        <w:t> </w:t>
      </w:r>
      <w:r>
        <w:rPr/>
        <w:t>可收回金额。</w:t>
      </w:r>
    </w:p>
    <w:p>
      <w:pPr>
        <w:pStyle w:val="BodyText"/>
        <w:spacing w:line="240" w:lineRule="auto" w:before="43"/>
        <w:ind w:left="513" w:right="0"/>
        <w:jc w:val="left"/>
      </w:pPr>
      <w:r>
        <w:rPr/>
        <w:t>（</w:t>
      </w:r>
      <w:r>
        <w:rPr>
          <w:rFonts w:ascii="Times New Roman" w:hAnsi="Times New Roman" w:cs="Times New Roman" w:eastAsia="Times New Roman" w:hint="default"/>
        </w:rPr>
        <w:t>8</w:t>
      </w:r>
      <w:r>
        <w:rPr/>
        <w:t>）终止确认持有待售的非流动资产或处置组时，将尚未确认的利得或损失计入当期损益。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30</w:t>
      </w:r>
      <w:r>
        <w:rPr/>
        <w:t>、终止经营</w:t>
      </w:r>
      <w:r>
        <w:rPr>
          <w:b w:val="0"/>
          <w:bCs w:val="0"/>
        </w:rPr>
      </w:r>
    </w:p>
    <w:p>
      <w:pPr>
        <w:spacing w:line="240" w:lineRule="auto" w:before="5"/>
        <w:rPr>
          <w:rFonts w:ascii="宋体" w:hAnsi="宋体" w:cs="宋体" w:eastAsia="宋体" w:hint="default"/>
          <w:b/>
          <w:bCs/>
          <w:sz w:val="32"/>
          <w:szCs w:val="32"/>
        </w:rPr>
      </w:pPr>
    </w:p>
    <w:p>
      <w:pPr>
        <w:pStyle w:val="BodyText"/>
        <w:spacing w:line="463" w:lineRule="auto"/>
        <w:ind w:right="1227" w:firstLine="360"/>
        <w:jc w:val="both"/>
      </w:pPr>
      <w:r>
        <w:rPr/>
        <w:t>终止经营，是指本集团满足下列条件之一的、能够单独区分的组成部分，且该组成部分已经处置或划分为持有待售类 别：（</w:t>
      </w:r>
      <w:r>
        <w:rPr>
          <w:rFonts w:ascii="Times New Roman" w:hAnsi="Times New Roman" w:cs="Times New Roman" w:eastAsia="Times New Roman" w:hint="default"/>
        </w:rPr>
        <w:t>1</w:t>
      </w:r>
      <w:r>
        <w:rPr/>
        <w:t>）该组成部分代表一项独立的主要业务或一个单独的主要经营地区；（</w:t>
      </w:r>
      <w:r>
        <w:rPr>
          <w:rFonts w:ascii="Times New Roman" w:hAnsi="Times New Roman" w:cs="Times New Roman" w:eastAsia="Times New Roman" w:hint="default"/>
        </w:rPr>
        <w:t>2</w:t>
      </w:r>
      <w:r>
        <w:rPr/>
        <w:t>）该组成部分是拟对一项独立的主要业务 或一个单独的主要经营地区进行处置的一项相关联计划的一部分；（</w:t>
      </w:r>
      <w:r>
        <w:rPr>
          <w:rFonts w:ascii="Times New Roman" w:hAnsi="Times New Roman" w:cs="Times New Roman" w:eastAsia="Times New Roman" w:hint="default"/>
        </w:rPr>
        <w:t>3</w:t>
      </w:r>
      <w:r>
        <w:rPr/>
        <w:t>）该组成部分是专为转售而取得的子公司。</w:t>
      </w:r>
    </w:p>
    <w:p>
      <w:pPr>
        <w:spacing w:line="240" w:lineRule="auto" w:before="11"/>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31</w:t>
      </w:r>
      <w:r>
        <w:rPr/>
        <w:t>、重大会计判断和估计</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231" w:firstLine="360"/>
        <w:jc w:val="both"/>
      </w:pPr>
      <w:r>
        <w:rPr/>
        <w:t>编制合并财务报表要求管理层作出判断、估计和假设，这些判断、估计和假设会影响收入、费用、资产和负债的列报 金额及其披露，以及资产负债表日或有负债的披露。然而，这些假设和估计的不确定性所导致的结果可能造成对未来受影 响的资产或负债的账面金额进行重大调整。</w:t>
      </w:r>
    </w:p>
    <w:p>
      <w:pPr>
        <w:pStyle w:val="BodyText"/>
        <w:spacing w:line="477" w:lineRule="auto" w:before="54"/>
        <w:ind w:right="1230" w:firstLine="360"/>
        <w:jc w:val="both"/>
      </w:pPr>
      <w:r>
        <w:rPr/>
        <w:t>以下为于资产负债表日有关未来的关键假设以及估计不确定性的其他关键来源，可能会导致未来会计期间资产和负债 账面金额重大调整。</w:t>
      </w:r>
    </w:p>
    <w:p>
      <w:pPr>
        <w:pStyle w:val="BodyText"/>
        <w:spacing w:line="451" w:lineRule="auto" w:before="54"/>
        <w:ind w:left="513" w:right="1213"/>
        <w:jc w:val="left"/>
      </w:pPr>
      <w:r>
        <w:rPr/>
        <w:t>（</w:t>
      </w:r>
      <w:r>
        <w:rPr>
          <w:rFonts w:ascii="Times New Roman" w:hAnsi="Times New Roman" w:cs="Times New Roman" w:eastAsia="Times New Roman" w:hint="default"/>
        </w:rPr>
        <w:t>1</w:t>
      </w:r>
      <w:r>
        <w:rPr/>
        <w:t>）应收账款的预期信用损失准备 本集团采用减值矩阵确定应收账款的预期信用损失准备。本集团将具有类似风险特征的各类应收账款确定相应的损失</w:t>
      </w:r>
    </w:p>
    <w:p>
      <w:pPr>
        <w:pStyle w:val="BodyText"/>
        <w:spacing w:line="477" w:lineRule="auto" w:before="74"/>
        <w:ind w:right="1213"/>
        <w:jc w:val="left"/>
      </w:pPr>
      <w:r>
        <w:rPr/>
        <w:t>准备的比例。减值矩阵基于本集团历史逾期比例考虑无须付出不必要的额外成本或努力即可获得的合理且有依据的前瞻性 信息确定。</w:t>
      </w:r>
    </w:p>
    <w:p>
      <w:pPr>
        <w:pStyle w:val="BodyText"/>
        <w:spacing w:line="477" w:lineRule="auto" w:before="54"/>
        <w:ind w:right="1231" w:firstLine="360"/>
        <w:jc w:val="both"/>
      </w:pPr>
      <w:r>
        <w:rPr/>
        <w:t>该预期信用损失准备的金额将随本集团的估计而发生变化。本集团的应收账款的预期信用损失准备的具体情况详见附 注七、</w:t>
      </w:r>
      <w:r>
        <w:rPr>
          <w:rFonts w:ascii="Times New Roman" w:hAnsi="Times New Roman" w:cs="Times New Roman" w:eastAsia="Times New Roman" w:hint="default"/>
        </w:rPr>
        <w:t>4</w:t>
      </w:r>
      <w:r>
        <w:rPr/>
        <w:t>。</w:t>
      </w:r>
    </w:p>
    <w:p>
      <w:pPr>
        <w:pStyle w:val="BodyText"/>
        <w:spacing w:line="451" w:lineRule="auto" w:before="21"/>
        <w:ind w:left="513" w:right="1213"/>
        <w:jc w:val="left"/>
      </w:pPr>
      <w:r>
        <w:rPr/>
        <w:t>（</w:t>
      </w:r>
      <w:r>
        <w:rPr>
          <w:rFonts w:ascii="Times New Roman" w:hAnsi="Times New Roman" w:cs="Times New Roman" w:eastAsia="Times New Roman" w:hint="default"/>
        </w:rPr>
        <w:t>2</w:t>
      </w:r>
      <w:r>
        <w:rPr/>
        <w:t>）存货跌价准备 本集团根据存货会计政策，按照成本与可变现净值孰低计量，对成本高于可变现净值及陈旧和滞销的存货，计提存货</w:t>
      </w:r>
    </w:p>
    <w:p>
      <w:pPr>
        <w:pStyle w:val="BodyText"/>
        <w:spacing w:line="477" w:lineRule="auto" w:before="74"/>
        <w:ind w:right="1213"/>
        <w:jc w:val="left"/>
      </w:pPr>
      <w:r>
        <w:rPr/>
        <w:t>跌价准备。存货的可变现净值是指存货的估计售价减去估计的销售费用以及相关税费后的金额。管理层对存货的可变现净 值计算涉及到对估计售价、估计的销售费用以及相关税费的估计。本集团于每个资产负债表日对单个存货是否陈旧和滞 销、可变现净值是否低于存货成本进行重新估计。如重新估计结果与现有估计存在差异，该差异将会影响估计改变期间的 存货账面价值。</w:t>
      </w:r>
    </w:p>
    <w:p>
      <w:pPr>
        <w:pStyle w:val="BodyText"/>
        <w:spacing w:line="240" w:lineRule="auto" w:before="54"/>
        <w:ind w:left="513" w:right="0"/>
        <w:jc w:val="left"/>
      </w:pPr>
      <w:r>
        <w:rPr/>
        <w:t>（</w:t>
      </w:r>
      <w:r>
        <w:rPr>
          <w:rFonts w:ascii="Times New Roman" w:hAnsi="Times New Roman" w:cs="Times New Roman" w:eastAsia="Times New Roman" w:hint="default"/>
        </w:rPr>
        <w:t>3</w:t>
      </w:r>
      <w:r>
        <w:rPr/>
        <w:t>）商誉减值准备的会计估计</w:t>
      </w:r>
    </w:p>
    <w:p>
      <w:pPr>
        <w:spacing w:after="0" w:line="240"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77" w:lineRule="auto" w:before="44"/>
        <w:ind w:right="1213" w:firstLine="360"/>
        <w:jc w:val="left"/>
      </w:pPr>
      <w:r>
        <w:rPr/>
        <w:t>本集团每年对商誉进行减值测试。包含商誉的资产组和资产组组合的可收回金额为其预计未来现金流量的现值，其计 算需要采用会计估计。</w:t>
      </w:r>
    </w:p>
    <w:p>
      <w:pPr>
        <w:pStyle w:val="BodyText"/>
        <w:spacing w:line="477" w:lineRule="auto" w:before="54"/>
        <w:ind w:right="1213" w:firstLine="360"/>
        <w:jc w:val="left"/>
      </w:pPr>
      <w:r>
        <w:rPr/>
        <w:t>如果管理层对资产组和资产组组合未来现金流量计算中采用的毛利率或收入增长率等进行修订，修订后的毛利率或收 入增长率低于目前采用的毛利率或收入增长率，本集团可能需对商誉增加计提减值准备。</w:t>
      </w:r>
    </w:p>
    <w:p>
      <w:pPr>
        <w:pStyle w:val="BodyText"/>
        <w:spacing w:line="477" w:lineRule="auto" w:before="54"/>
        <w:ind w:right="1213" w:firstLine="360"/>
        <w:jc w:val="left"/>
      </w:pPr>
      <w:r>
        <w:rPr/>
        <w:t>如果管理层对应用于现金流量折现的税前折现率进行重新修订，修订后的税前折现率高于目前采用的税前折现率，本 集团可能需对商誉增加计提减值准备。</w:t>
      </w:r>
    </w:p>
    <w:p>
      <w:pPr>
        <w:pStyle w:val="BodyText"/>
        <w:spacing w:line="240" w:lineRule="auto" w:before="54"/>
        <w:ind w:left="513" w:right="0"/>
        <w:jc w:val="left"/>
      </w:pPr>
      <w:r>
        <w:rPr/>
        <w:t>如果实际毛利率、收入增长率或折现率高于或低于管理层的估计，本公司不能转回原已计提的商誉减值损失。</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32</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13" w:right="0"/>
        <w:jc w:val="left"/>
      </w:pPr>
      <w:r>
        <w:rPr/>
        <w:t>财务报表列报格式：</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本集团按财政部于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30 </w:t>
      </w:r>
      <w:r>
        <w:rPr/>
        <w:t>日颁布的《关于修订印发</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年度一般企业财务报表格式的通知》（财会【</w:t>
      </w:r>
      <w:r>
        <w:rPr>
          <w:rFonts w:ascii="Times New Roman" w:hAnsi="Times New Roman" w:cs="Times New Roman" w:eastAsia="Times New Roman" w:hint="default"/>
        </w:rPr>
        <w:t>2019</w:t>
      </w:r>
      <w:r>
        <w:rPr/>
        <w:t>】</w:t>
      </w:r>
    </w:p>
    <w:p>
      <w:pPr>
        <w:spacing w:line="240" w:lineRule="auto" w:before="9"/>
        <w:rPr>
          <w:rFonts w:ascii="宋体" w:hAnsi="宋体" w:cs="宋体" w:eastAsia="宋体" w:hint="default"/>
          <w:sz w:val="16"/>
          <w:szCs w:val="16"/>
        </w:rPr>
      </w:pPr>
    </w:p>
    <w:p>
      <w:pPr>
        <w:pStyle w:val="BodyText"/>
        <w:spacing w:line="451" w:lineRule="auto"/>
        <w:ind w:right="1134"/>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号，以下简称</w:t>
      </w:r>
      <w:r>
        <w:rPr>
          <w:rFonts w:ascii="Times New Roman" w:hAnsi="Times New Roman" w:cs="Times New Roman" w:eastAsia="Times New Roman" w:hint="default"/>
        </w:rPr>
        <w:t>“</w:t>
      </w:r>
      <w:r>
        <w:rPr/>
        <w:t>财会</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号文件</w:t>
      </w:r>
      <w:r>
        <w:rPr>
          <w:rFonts w:ascii="Times New Roman" w:hAnsi="Times New Roman" w:cs="Times New Roman" w:eastAsia="Times New Roman" w:hint="default"/>
        </w:rPr>
        <w:t>”</w:t>
      </w:r>
      <w:r>
        <w:rPr/>
        <w:t>）编制</w:t>
      </w:r>
      <w:r>
        <w:rPr>
          <w:spacing w:val="-47"/>
        </w:rPr>
        <w:t> </w:t>
      </w:r>
      <w:r>
        <w:rPr>
          <w:rFonts w:ascii="Times New Roman" w:hAnsi="Times New Roman" w:cs="Times New Roman" w:eastAsia="Times New Roman" w:hint="default"/>
        </w:rPr>
        <w:t>2019 </w:t>
      </w:r>
      <w:r>
        <w:rPr/>
        <w:t>年度财务报表。财会</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号文件对资产负债表和利润表的列报项目进行了修订， 将</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项目分拆为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两个项目，将</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项目分拆为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 </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两个项目，同时明确或修订了</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一年内到期的非流动资产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递延收益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其他权益 工具投资</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财务费用</w:t>
      </w:r>
      <w:r>
        <w:rPr>
          <w:rFonts w:ascii="Times New Roman" w:hAnsi="Times New Roman" w:cs="Times New Roman" w:eastAsia="Times New Roman" w:hint="default"/>
        </w:rPr>
        <w:t>”</w:t>
      </w:r>
      <w:r>
        <w:rPr/>
        <w:t>项目下的</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资产处置收益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营业外支出</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项目的列报内容。对于上述列报项目的变更，本集团对上年比较数据进行了追溯调整。</w:t>
      </w:r>
    </w:p>
    <w:p>
      <w:pPr>
        <w:pStyle w:val="BodyText"/>
        <w:spacing w:line="240" w:lineRule="auto" w:before="74"/>
        <w:ind w:left="513" w:right="0"/>
        <w:jc w:val="left"/>
      </w:pPr>
      <w:r>
        <w:rPr/>
        <w:t>新金融工具准则：</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t>本集团于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日起执行财政部于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年修订的《企业会计准则第</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金融工具确认和计量》、《企业</w:t>
      </w:r>
    </w:p>
    <w:p>
      <w:pPr>
        <w:spacing w:line="240" w:lineRule="auto" w:before="9"/>
        <w:rPr>
          <w:rFonts w:ascii="宋体" w:hAnsi="宋体" w:cs="宋体" w:eastAsia="宋体" w:hint="default"/>
          <w:sz w:val="16"/>
          <w:szCs w:val="16"/>
        </w:rPr>
      </w:pPr>
    </w:p>
    <w:p>
      <w:pPr>
        <w:pStyle w:val="BodyText"/>
        <w:spacing w:line="451" w:lineRule="auto"/>
        <w:ind w:right="1120"/>
        <w:jc w:val="left"/>
      </w:pPr>
      <w:r>
        <w:rPr/>
        <w:t>会计准则第</w:t>
      </w:r>
      <w:r>
        <w:rPr>
          <w:spacing w:val="-45"/>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金融资产转移》、《企业会计准则第</w:t>
      </w:r>
      <w:r>
        <w:rPr>
          <w:spacing w:val="-44"/>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套期会计》和《企业会计准则第</w:t>
      </w:r>
      <w:r>
        <w:rPr>
          <w:spacing w:val="-44"/>
        </w:rPr>
        <w:t> </w:t>
      </w:r>
      <w:r>
        <w:rPr>
          <w:rFonts w:ascii="Times New Roman" w:hAnsi="Times New Roman" w:cs="Times New Roman" w:eastAsia="Times New Roman" w:hint="default"/>
        </w:rPr>
        <w:t>37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金融工具列 报》（以下简称</w:t>
      </w:r>
      <w:r>
        <w:rPr>
          <w:rFonts w:ascii="Times New Roman" w:hAnsi="Times New Roman" w:cs="Times New Roman" w:eastAsia="Times New Roman" w:hint="default"/>
        </w:rPr>
        <w:t>“</w:t>
      </w:r>
      <w:r>
        <w:rPr/>
        <w:t>新金融工具准则</w:t>
      </w:r>
      <w:r>
        <w:rPr>
          <w:rFonts w:ascii="Times New Roman" w:hAnsi="Times New Roman" w:cs="Times New Roman" w:eastAsia="Times New Roman" w:hint="default"/>
        </w:rPr>
        <w:t>”</w:t>
      </w:r>
      <w:r>
        <w:rPr/>
        <w:t>，修订前的金融工具准则简称</w:t>
      </w:r>
      <w:r>
        <w:rPr>
          <w:rFonts w:ascii="Times New Roman" w:hAnsi="Times New Roman" w:cs="Times New Roman" w:eastAsia="Times New Roman" w:hint="default"/>
        </w:rPr>
        <w:t>“</w:t>
      </w:r>
      <w:r>
        <w:rPr/>
        <w:t>原金融工具准则</w:t>
      </w:r>
      <w:r>
        <w:rPr>
          <w:rFonts w:ascii="Times New Roman" w:hAnsi="Times New Roman" w:cs="Times New Roman" w:eastAsia="Times New Roman" w:hint="default"/>
        </w:rPr>
        <w:t>”</w:t>
      </w:r>
      <w:r>
        <w:rPr/>
        <w:t>）。</w:t>
      </w:r>
    </w:p>
    <w:p>
      <w:pPr>
        <w:pStyle w:val="BodyText"/>
        <w:spacing w:line="465" w:lineRule="auto" w:before="43"/>
        <w:ind w:right="1133" w:firstLine="360"/>
        <w:jc w:val="left"/>
      </w:pPr>
      <w:r>
        <w:rPr/>
        <w:t>金融资产分类与计量方面，新金融工具准则要求金融资产基于其合同现金流量特征及企业管理该等资产的业务模式分 类为</w:t>
      </w:r>
      <w:r>
        <w:rPr>
          <w:rFonts w:ascii="Times New Roman" w:hAnsi="Times New Roman" w:cs="Times New Roman" w:eastAsia="Times New Roman" w:hint="default"/>
        </w:rPr>
        <w:t>“</w:t>
      </w:r>
      <w:r>
        <w:rPr/>
        <w:t>以摊余成本计量的金融资产</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以公允价值计量且其变动计入其他综合收益的金融资产</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以公允价值计量且其变动 计入当期损益的金融资产</w:t>
      </w:r>
      <w:r>
        <w:rPr>
          <w:rFonts w:ascii="Times New Roman" w:hAnsi="Times New Roman" w:cs="Times New Roman" w:eastAsia="Times New Roman" w:hint="default"/>
        </w:rPr>
        <w:t>”</w:t>
      </w:r>
      <w:r>
        <w:rPr/>
        <w:t>三大类别。取消了贷款和应收款项、持有至到期投资和可供出售金融资产等原分类。权益工具投 资一般分类为以公允价值计量且其变动计入当期损益的金融资产，也允许企业将非交易性权益工具投资指定为以公允价值 计量且其变动计入其他综合收益的金融资产，但该指定不可撤销，且在处置时不得将原计入其他综合收益的累计公允价值 变动额结转计入当期损益。</w:t>
      </w:r>
    </w:p>
    <w:p>
      <w:pPr>
        <w:pStyle w:val="BodyText"/>
        <w:spacing w:line="477" w:lineRule="auto" w:before="63"/>
        <w:ind w:right="1213" w:firstLine="360"/>
        <w:jc w:val="left"/>
      </w:pPr>
      <w:r>
        <w:rPr/>
        <w:t>金融资产减值方面，新金融工具准则有关减值的要求适用于本集团以摊余成本计量以及分类为以公允价值计量且其变 动计入其他综合收益的金融资产（债务工具）。新金融工具准则要求采用预期信用损失模型以替代原先的已发生信用损失</w:t>
      </w:r>
    </w:p>
    <w:p>
      <w:pPr>
        <w:spacing w:after="0" w:line="477"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63" w:lineRule="auto" w:before="44"/>
        <w:ind w:left="593" w:right="1126"/>
        <w:jc w:val="left"/>
      </w:pPr>
      <w:r>
        <w:rPr/>
        <w:t>模型。新减值模型要求采用三阶段模型，依据相关项目自初始确认后信用风险是否发生显著增加，信用损失准备按</w:t>
      </w:r>
      <w:r>
        <w:rPr>
          <w:spacing w:val="-43"/>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3"/>
        </w:rPr>
        <w:t>个月 </w:t>
      </w:r>
      <w:r>
        <w:rPr/>
        <w:t>内预期信用损失或者整个存续期的预期信用损失进行计提。对于由收入准则规范的交易形成的应收账款存在简化方法，允</w:t>
      </w:r>
      <w:r>
        <w:rPr/>
        <w:t> 许始终按照整个存续期预期信用损失确认减值准备。</w:t>
      </w:r>
    </w:p>
    <w:p>
      <w:pPr>
        <w:pStyle w:val="BodyText"/>
        <w:spacing w:line="451" w:lineRule="auto" w:before="65"/>
        <w:ind w:left="593" w:right="1129" w:firstLine="360"/>
        <w:jc w:val="left"/>
      </w:pPr>
      <w:r>
        <w:rPr/>
        <w:t>本集团自</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日起施行上述新金融工具准则，并自该日起按照新金融工具准则的规定确认、计量和报告本集 团的金融工具。本集团变更后的会计政策详见附注五、</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及附注五、</w:t>
      </w:r>
      <w:r>
        <w:rPr>
          <w:rFonts w:ascii="Times New Roman" w:hAnsi="Times New Roman" w:cs="Times New Roman" w:eastAsia="Times New Roman" w:hint="default"/>
        </w:rPr>
        <w:t>11</w:t>
      </w:r>
      <w:r>
        <w:rPr/>
        <w:t>。</w:t>
      </w:r>
    </w:p>
    <w:p>
      <w:pPr>
        <w:pStyle w:val="BodyText"/>
        <w:spacing w:line="460" w:lineRule="auto" w:before="43"/>
        <w:ind w:left="593" w:right="1130" w:firstLine="360"/>
        <w:jc w:val="left"/>
      </w:pPr>
      <w:r>
        <w:rPr/>
        <w:t>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日之前的金融工具确认和计量与新金融工具准则要求不一致的，本集团按照新金融工具准则的要求进 行衔接调整。涉及前期比较财务报表数据与新金融工具准则要求不一致的，本集团不进行调整。金融工具原账面价值和在 新金融工具准则施行日的新账面价值之间的差额，计入</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日的留存收益或其他综合收益。于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 本集团采用新金融工具准则的影响见下表。</w:t>
      </w:r>
    </w:p>
    <w:p>
      <w:pPr>
        <w:pStyle w:val="BodyText"/>
        <w:spacing w:line="240" w:lineRule="auto" w:before="67"/>
        <w:ind w:left="3409" w:right="1126"/>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日首次施行新金融工具准则的影响汇总表</w:t>
      </w:r>
    </w:p>
    <w:p>
      <w:pPr>
        <w:spacing w:line="240" w:lineRule="auto" w:before="1"/>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1541"/>
        <w:gridCol w:w="1561"/>
        <w:gridCol w:w="1702"/>
        <w:gridCol w:w="1560"/>
        <w:gridCol w:w="1563"/>
        <w:gridCol w:w="1452"/>
        <w:gridCol w:w="1560"/>
      </w:tblGrid>
      <w:tr>
        <w:trPr>
          <w:trHeight w:val="377" w:hRule="exact"/>
        </w:trPr>
        <w:tc>
          <w:tcPr>
            <w:tcW w:w="1541" w:type="dxa"/>
            <w:vMerge w:val="restart"/>
            <w:tcBorders>
              <w:top w:val="single" w:sz="12"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4"/>
              <w:ind w:left="124" w:right="0"/>
              <w:jc w:val="left"/>
              <w:rPr>
                <w:rFonts w:ascii="宋体" w:hAnsi="宋体" w:cs="宋体" w:eastAsia="宋体" w:hint="default"/>
                <w:sz w:val="15"/>
                <w:szCs w:val="15"/>
              </w:rPr>
            </w:pPr>
            <w:r>
              <w:rPr>
                <w:rFonts w:ascii="宋体" w:hAnsi="宋体" w:cs="宋体" w:eastAsia="宋体" w:hint="default"/>
                <w:sz w:val="15"/>
                <w:szCs w:val="15"/>
              </w:rPr>
              <w:t>项目</w:t>
            </w:r>
            <w:r>
              <w:rPr>
                <w:rFonts w:ascii="宋体" w:hAnsi="宋体" w:cs="宋体" w:eastAsia="宋体" w:hint="default"/>
                <w:sz w:val="15"/>
                <w:szCs w:val="15"/>
              </w:rPr>
              <w:t> </w:t>
            </w:r>
          </w:p>
        </w:tc>
        <w:tc>
          <w:tcPr>
            <w:tcW w:w="1561" w:type="dxa"/>
            <w:vMerge w:val="restart"/>
            <w:tcBorders>
              <w:top w:val="single" w:sz="1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439" w:lineRule="auto"/>
              <w:ind w:left="160" w:right="78" w:hanging="74"/>
              <w:jc w:val="center"/>
              <w:rPr>
                <w:rFonts w:ascii="宋体" w:hAnsi="宋体" w:cs="宋体" w:eastAsia="宋体" w:hint="default"/>
                <w:sz w:val="15"/>
                <w:szCs w:val="15"/>
              </w:rPr>
            </w:pPr>
            <w:r>
              <w:rPr>
                <w:rFonts w:ascii="宋体" w:hAnsi="宋体" w:cs="宋体" w:eastAsia="宋体" w:hint="default"/>
                <w:sz w:val="15"/>
                <w:szCs w:val="15"/>
              </w:rPr>
              <w:t>按原金融工具准则</w:t>
            </w:r>
            <w:r>
              <w:rPr>
                <w:rFonts w:ascii="宋体" w:hAnsi="宋体" w:cs="宋体" w:eastAsia="宋体" w:hint="default"/>
                <w:w w:val="100"/>
                <w:sz w:val="15"/>
                <w:szCs w:val="15"/>
              </w:rPr>
              <w:t> </w:t>
            </w:r>
            <w:r>
              <w:rPr>
                <w:rFonts w:ascii="宋体" w:hAnsi="宋体" w:cs="宋体" w:eastAsia="宋体" w:hint="default"/>
                <w:sz w:val="15"/>
                <w:szCs w:val="15"/>
              </w:rPr>
              <w:t>列示的账面价值</w:t>
            </w:r>
            <w:r>
              <w:rPr>
                <w:rFonts w:ascii="宋体" w:hAnsi="宋体" w:cs="宋体" w:eastAsia="宋体" w:hint="default"/>
                <w:w w:val="100"/>
                <w:sz w:val="15"/>
                <w:szCs w:val="15"/>
              </w:rPr>
              <w:t> </w:t>
            </w:r>
            <w:r>
              <w:rPr>
                <w:rFonts w:ascii="宋体" w:hAnsi="宋体" w:cs="宋体" w:eastAsia="宋体" w:hint="default"/>
                <w:sz w:val="15"/>
                <w:szCs w:val="15"/>
              </w:rPr>
              <w:t>2018</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12</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31</w:t>
            </w:r>
            <w:r>
              <w:rPr>
                <w:rFonts w:ascii="宋体" w:hAnsi="宋体" w:cs="宋体" w:eastAsia="宋体" w:hint="default"/>
                <w:spacing w:val="-36"/>
                <w:sz w:val="15"/>
                <w:szCs w:val="15"/>
              </w:rPr>
              <w:t> </w:t>
            </w:r>
            <w:r>
              <w:rPr>
                <w:rFonts w:ascii="宋体" w:hAnsi="宋体" w:cs="宋体" w:eastAsia="宋体" w:hint="default"/>
                <w:spacing w:val="-3"/>
                <w:sz w:val="15"/>
                <w:szCs w:val="15"/>
              </w:rPr>
              <w:t>日</w:t>
            </w:r>
            <w:r>
              <w:rPr>
                <w:rFonts w:ascii="宋体" w:hAnsi="宋体" w:cs="宋体" w:eastAsia="宋体" w:hint="default"/>
                <w:sz w:val="15"/>
                <w:szCs w:val="15"/>
              </w:rPr>
              <w:t> </w:t>
            </w:r>
          </w:p>
        </w:tc>
        <w:tc>
          <w:tcPr>
            <w:tcW w:w="6277" w:type="dxa"/>
            <w:gridSpan w:val="4"/>
            <w:tcBorders>
              <w:top w:val="single" w:sz="12" w:space="0" w:color="000000"/>
              <w:left w:val="single" w:sz="2" w:space="0" w:color="000000"/>
              <w:bottom w:val="single" w:sz="2" w:space="0" w:color="000000"/>
              <w:right w:val="single" w:sz="2" w:space="0" w:color="000000"/>
            </w:tcBorders>
          </w:tcPr>
          <w:p>
            <w:pPr>
              <w:pStyle w:val="TableParagraph"/>
              <w:spacing w:line="240" w:lineRule="auto" w:before="113"/>
              <w:ind w:left="73" w:right="0"/>
              <w:jc w:val="center"/>
              <w:rPr>
                <w:rFonts w:ascii="宋体" w:hAnsi="宋体" w:cs="宋体" w:eastAsia="宋体" w:hint="default"/>
                <w:sz w:val="15"/>
                <w:szCs w:val="15"/>
              </w:rPr>
            </w:pPr>
            <w:r>
              <w:rPr>
                <w:rFonts w:ascii="宋体" w:hAnsi="宋体" w:cs="宋体" w:eastAsia="宋体" w:hint="default"/>
                <w:sz w:val="15"/>
                <w:szCs w:val="15"/>
              </w:rPr>
              <w:t>施行新金融工具准则影响</w:t>
            </w:r>
            <w:r>
              <w:rPr>
                <w:rFonts w:ascii="宋体" w:hAnsi="宋体" w:cs="宋体" w:eastAsia="宋体" w:hint="default"/>
                <w:sz w:val="15"/>
                <w:szCs w:val="15"/>
              </w:rPr>
              <w:t> </w:t>
            </w:r>
          </w:p>
        </w:tc>
        <w:tc>
          <w:tcPr>
            <w:tcW w:w="1560" w:type="dxa"/>
            <w:vMerge w:val="restart"/>
            <w:tcBorders>
              <w:top w:val="single" w:sz="12" w:space="0" w:color="000000"/>
              <w:left w:val="single" w:sz="2" w:space="0" w:color="000000"/>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0"/>
                <w:szCs w:val="10"/>
              </w:rPr>
            </w:pPr>
          </w:p>
          <w:p>
            <w:pPr>
              <w:pStyle w:val="TableParagraph"/>
              <w:spacing w:line="439" w:lineRule="auto"/>
              <w:ind w:left="232" w:right="161" w:hanging="56"/>
              <w:jc w:val="left"/>
              <w:rPr>
                <w:rFonts w:ascii="宋体" w:hAnsi="宋体" w:cs="宋体" w:eastAsia="宋体" w:hint="default"/>
                <w:sz w:val="15"/>
                <w:szCs w:val="15"/>
              </w:rPr>
            </w:pPr>
            <w:r>
              <w:rPr>
                <w:rFonts w:ascii="宋体" w:hAnsi="宋体" w:cs="宋体" w:eastAsia="宋体" w:hint="default"/>
                <w:sz w:val="15"/>
                <w:szCs w:val="15"/>
              </w:rPr>
              <w:t>按新金融工具准则</w:t>
            </w:r>
            <w:r>
              <w:rPr>
                <w:rFonts w:ascii="宋体" w:hAnsi="宋体" w:cs="宋体" w:eastAsia="宋体" w:hint="default"/>
                <w:w w:val="100"/>
                <w:sz w:val="15"/>
                <w:szCs w:val="15"/>
              </w:rPr>
              <w:t> </w:t>
            </w:r>
            <w:r>
              <w:rPr>
                <w:rFonts w:ascii="宋体" w:hAnsi="宋体" w:cs="宋体" w:eastAsia="宋体" w:hint="default"/>
                <w:sz w:val="15"/>
                <w:szCs w:val="15"/>
              </w:rPr>
              <w:t>列示的账面价值</w:t>
            </w:r>
            <w:r>
              <w:rPr>
                <w:rFonts w:ascii="宋体" w:hAnsi="宋体" w:cs="宋体" w:eastAsia="宋体" w:hint="default"/>
                <w:w w:val="100"/>
                <w:sz w:val="15"/>
                <w:szCs w:val="15"/>
              </w:rPr>
              <w:t> </w:t>
            </w:r>
            <w:r>
              <w:rPr>
                <w:rFonts w:ascii="宋体" w:hAnsi="宋体" w:cs="宋体" w:eastAsia="宋体" w:hint="default"/>
                <w:sz w:val="15"/>
                <w:szCs w:val="15"/>
              </w:rPr>
              <w:t>2019</w:t>
            </w:r>
            <w:r>
              <w:rPr>
                <w:rFonts w:ascii="宋体" w:hAnsi="宋体" w:cs="宋体" w:eastAsia="宋体" w:hint="default"/>
                <w:spacing w:val="-38"/>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8"/>
                <w:sz w:val="15"/>
                <w:szCs w:val="15"/>
              </w:rPr>
              <w:t> </w:t>
            </w:r>
            <w:r>
              <w:rPr>
                <w:rFonts w:ascii="宋体" w:hAnsi="宋体" w:cs="宋体" w:eastAsia="宋体" w:hint="default"/>
                <w:spacing w:val="-3"/>
                <w:sz w:val="15"/>
                <w:szCs w:val="15"/>
              </w:rPr>
              <w:t>日</w:t>
            </w:r>
            <w:r>
              <w:rPr>
                <w:rFonts w:ascii="宋体" w:hAnsi="宋体" w:cs="宋体" w:eastAsia="宋体" w:hint="default"/>
                <w:sz w:val="15"/>
                <w:szCs w:val="15"/>
              </w:rPr>
              <w:t> </w:t>
            </w:r>
          </w:p>
        </w:tc>
      </w:tr>
      <w:tr>
        <w:trPr>
          <w:trHeight w:val="391" w:hRule="exact"/>
        </w:trPr>
        <w:tc>
          <w:tcPr>
            <w:tcW w:w="1541" w:type="dxa"/>
            <w:vMerge/>
            <w:tcBorders>
              <w:left w:val="nil" w:sz="6" w:space="0" w:color="auto"/>
              <w:right w:val="single" w:sz="2" w:space="0" w:color="000000"/>
            </w:tcBorders>
          </w:tcPr>
          <w:p>
            <w:pPr/>
          </w:p>
        </w:tc>
        <w:tc>
          <w:tcPr>
            <w:tcW w:w="1561" w:type="dxa"/>
            <w:vMerge/>
            <w:tcBorders>
              <w:left w:val="single" w:sz="2" w:space="0" w:color="000000"/>
              <w:right w:val="single" w:sz="2" w:space="0" w:color="000000"/>
            </w:tcBorders>
          </w:tcPr>
          <w:p>
            <w:pPr/>
          </w:p>
        </w:tc>
        <w:tc>
          <w:tcPr>
            <w:tcW w:w="3262"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73" w:right="0"/>
              <w:jc w:val="center"/>
              <w:rPr>
                <w:rFonts w:ascii="宋体" w:hAnsi="宋体" w:cs="宋体" w:eastAsia="宋体" w:hint="default"/>
                <w:sz w:val="15"/>
                <w:szCs w:val="15"/>
              </w:rPr>
            </w:pPr>
            <w:r>
              <w:rPr>
                <w:rFonts w:ascii="宋体" w:hAnsi="宋体" w:cs="宋体" w:eastAsia="宋体" w:hint="default"/>
                <w:sz w:val="15"/>
                <w:szCs w:val="15"/>
              </w:rPr>
              <w:t>重分类</w:t>
            </w:r>
            <w:r>
              <w:rPr>
                <w:rFonts w:ascii="宋体" w:hAnsi="宋体" w:cs="宋体" w:eastAsia="宋体" w:hint="default"/>
                <w:sz w:val="15"/>
                <w:szCs w:val="15"/>
              </w:rPr>
              <w:t> </w:t>
            </w:r>
          </w:p>
        </w:tc>
        <w:tc>
          <w:tcPr>
            <w:tcW w:w="3015" w:type="dxa"/>
            <w:gridSpan w:val="2"/>
            <w:tcBorders>
              <w:top w:val="single" w:sz="2" w:space="0" w:color="000000"/>
              <w:left w:val="single" w:sz="2" w:space="0" w:color="000000"/>
              <w:bottom w:val="single" w:sz="2" w:space="0" w:color="000000"/>
              <w:right w:val="single" w:sz="2" w:space="0" w:color="000000"/>
            </w:tcBorders>
          </w:tcPr>
          <w:p>
            <w:pPr>
              <w:pStyle w:val="TableParagraph"/>
              <w:spacing w:line="240" w:lineRule="auto" w:before="8"/>
              <w:ind w:right="0"/>
              <w:jc w:val="left"/>
              <w:rPr>
                <w:rFonts w:ascii="宋体" w:hAnsi="宋体" w:cs="宋体" w:eastAsia="宋体" w:hint="default"/>
                <w:sz w:val="10"/>
                <w:szCs w:val="10"/>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重新计量</w:t>
            </w:r>
            <w:r>
              <w:rPr>
                <w:rFonts w:ascii="宋体" w:hAnsi="宋体" w:cs="宋体" w:eastAsia="宋体" w:hint="default"/>
                <w:sz w:val="15"/>
                <w:szCs w:val="15"/>
              </w:rPr>
              <w:t> </w:t>
            </w:r>
          </w:p>
        </w:tc>
        <w:tc>
          <w:tcPr>
            <w:tcW w:w="1560" w:type="dxa"/>
            <w:vMerge/>
            <w:tcBorders>
              <w:left w:val="single" w:sz="2" w:space="0" w:color="000000"/>
              <w:right w:val="nil" w:sz="6" w:space="0" w:color="auto"/>
            </w:tcBorders>
          </w:tcPr>
          <w:p>
            <w:pPr/>
          </w:p>
        </w:tc>
      </w:tr>
      <w:tr>
        <w:trPr>
          <w:trHeight w:val="1829" w:hRule="exact"/>
        </w:trPr>
        <w:tc>
          <w:tcPr>
            <w:tcW w:w="1541" w:type="dxa"/>
            <w:vMerge/>
            <w:tcBorders>
              <w:left w:val="nil" w:sz="6" w:space="0" w:color="auto"/>
              <w:bottom w:val="single" w:sz="2" w:space="0" w:color="000000"/>
              <w:right w:val="single" w:sz="2" w:space="0" w:color="000000"/>
            </w:tcBorders>
          </w:tcPr>
          <w:p>
            <w:pPr/>
          </w:p>
        </w:tc>
        <w:tc>
          <w:tcPr>
            <w:tcW w:w="1561" w:type="dxa"/>
            <w:vMerge/>
            <w:tcBorders>
              <w:left w:val="single" w:sz="2" w:space="0" w:color="000000"/>
              <w:bottom w:val="single" w:sz="2" w:space="0" w:color="000000"/>
              <w:right w:val="single" w:sz="2" w:space="0" w:color="000000"/>
            </w:tcBorders>
          </w:tcPr>
          <w:p>
            <w:pP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
              <w:ind w:right="0"/>
              <w:jc w:val="left"/>
              <w:rPr>
                <w:rFonts w:ascii="宋体" w:hAnsi="宋体" w:cs="宋体" w:eastAsia="宋体" w:hint="default"/>
                <w:sz w:val="10"/>
                <w:szCs w:val="10"/>
              </w:rPr>
            </w:pPr>
          </w:p>
          <w:p>
            <w:pPr>
              <w:pStyle w:val="TableParagraph"/>
              <w:spacing w:line="439" w:lineRule="auto"/>
              <w:ind w:left="172" w:right="168"/>
              <w:jc w:val="center"/>
              <w:rPr>
                <w:rFonts w:ascii="宋体" w:hAnsi="宋体" w:cs="宋体" w:eastAsia="宋体" w:hint="default"/>
                <w:sz w:val="15"/>
                <w:szCs w:val="15"/>
              </w:rPr>
            </w:pPr>
            <w:r>
              <w:rPr>
                <w:rFonts w:ascii="宋体" w:hAnsi="宋体" w:cs="宋体" w:eastAsia="宋体" w:hint="default"/>
                <w:spacing w:val="-1"/>
                <w:sz w:val="15"/>
                <w:szCs w:val="15"/>
              </w:rPr>
              <w:t>理财产品及自原分类</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为以公允价值计量且</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pacing w:val="-1"/>
                <w:sz w:val="15"/>
                <w:szCs w:val="15"/>
              </w:rPr>
              <w:t>其变动计入当期损益</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rPr>
              <w:t>的金融资产转入</w:t>
            </w:r>
            <w:r>
              <w:rPr>
                <w:rFonts w:ascii="宋体" w:hAnsi="宋体" w:cs="宋体" w:eastAsia="宋体" w:hint="default"/>
                <w:sz w:val="15"/>
                <w:szCs w:val="15"/>
              </w:rPr>
              <w:t> </w:t>
            </w:r>
          </w:p>
          <w:p>
            <w:pPr>
              <w:pStyle w:val="TableParagraph"/>
              <w:spacing w:line="240" w:lineRule="auto" w:before="39"/>
              <w:ind w:left="73" w:right="0"/>
              <w:jc w:val="center"/>
              <w:rPr>
                <w:rFonts w:ascii="宋体" w:hAnsi="宋体" w:cs="宋体" w:eastAsia="宋体" w:hint="default"/>
                <w:sz w:val="15"/>
                <w:szCs w:val="15"/>
              </w:rPr>
            </w:pPr>
            <w:r>
              <w:rPr>
                <w:rFonts w:ascii="宋体"/>
                <w:w w:val="100"/>
                <w:sz w:val="15"/>
              </w:rPr>
              <w:t> </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3"/>
              <w:ind w:right="0"/>
              <w:jc w:val="left"/>
              <w:rPr>
                <w:rFonts w:ascii="宋体" w:hAnsi="宋体" w:cs="宋体" w:eastAsia="宋体" w:hint="default"/>
                <w:sz w:val="9"/>
                <w:szCs w:val="9"/>
              </w:rPr>
            </w:pPr>
          </w:p>
          <w:p>
            <w:pPr>
              <w:pStyle w:val="TableParagraph"/>
              <w:spacing w:line="439" w:lineRule="auto"/>
              <w:ind w:left="180" w:right="170"/>
              <w:jc w:val="center"/>
              <w:rPr>
                <w:rFonts w:ascii="宋体" w:hAnsi="宋体" w:cs="宋体" w:eastAsia="宋体" w:hint="default"/>
                <w:sz w:val="15"/>
                <w:szCs w:val="15"/>
              </w:rPr>
            </w:pPr>
            <w:r>
              <w:rPr>
                <w:rFonts w:ascii="宋体" w:hAnsi="宋体" w:cs="宋体" w:eastAsia="宋体" w:hint="default"/>
                <w:spacing w:val="-2"/>
                <w:sz w:val="15"/>
                <w:szCs w:val="15"/>
              </w:rPr>
              <w:t>自原分类为可供出</w:t>
            </w:r>
            <w:r>
              <w:rPr>
                <w:rFonts w:ascii="宋体" w:hAnsi="宋体" w:cs="宋体" w:eastAsia="宋体" w:hint="default"/>
                <w:spacing w:val="-64"/>
                <w:sz w:val="15"/>
                <w:szCs w:val="15"/>
              </w:rPr>
              <w:t> </w:t>
            </w:r>
            <w:r>
              <w:rPr>
                <w:rFonts w:ascii="宋体" w:hAnsi="宋体" w:cs="宋体" w:eastAsia="宋体" w:hint="default"/>
                <w:spacing w:val="-64"/>
                <w:sz w:val="15"/>
                <w:szCs w:val="15"/>
              </w:rPr>
            </w:r>
            <w:r>
              <w:rPr>
                <w:rFonts w:ascii="宋体" w:hAnsi="宋体" w:cs="宋体" w:eastAsia="宋体" w:hint="default"/>
                <w:sz w:val="15"/>
                <w:szCs w:val="15"/>
              </w:rPr>
              <w:t>售金融资产转入</w:t>
            </w:r>
            <w:r>
              <w:rPr>
                <w:rFonts w:ascii="宋体" w:hAnsi="宋体" w:cs="宋体" w:eastAsia="宋体" w:hint="default"/>
                <w:sz w:val="15"/>
                <w:szCs w:val="15"/>
              </w:rPr>
              <w:t> </w:t>
            </w:r>
          </w:p>
          <w:p>
            <w:pPr>
              <w:pStyle w:val="TableParagraph"/>
              <w:spacing w:line="240" w:lineRule="auto" w:before="39"/>
              <w:ind w:left="80" w:right="0"/>
              <w:jc w:val="center"/>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4"/>
                <w:sz w:val="15"/>
                <w:szCs w:val="15"/>
              </w:rPr>
              <w:t> </w:t>
            </w:r>
            <w:r>
              <w:rPr>
                <w:rFonts w:ascii="宋体" w:hAnsi="宋体" w:cs="宋体" w:eastAsia="宋体" w:hint="default"/>
                <w:spacing w:val="-3"/>
                <w:sz w:val="15"/>
                <w:szCs w:val="15"/>
              </w:rPr>
              <w:t>1</w:t>
            </w:r>
            <w:r>
              <w:rPr>
                <w:rFonts w:ascii="宋体" w:hAnsi="宋体" w:cs="宋体" w:eastAsia="宋体" w:hint="default"/>
                <w:spacing w:val="-3"/>
                <w:sz w:val="15"/>
                <w:szCs w:val="15"/>
              </w:rPr>
              <w:t>）</w:t>
            </w:r>
            <w:r>
              <w:rPr>
                <w:rFonts w:ascii="宋体" w:hAnsi="宋体" w:cs="宋体" w:eastAsia="宋体" w:hint="default"/>
                <w:sz w:val="15"/>
                <w:szCs w:val="15"/>
              </w:rPr>
              <w:t> </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0"/>
                <w:szCs w:val="10"/>
              </w:rPr>
            </w:pPr>
          </w:p>
          <w:p>
            <w:pPr>
              <w:pStyle w:val="TableParagraph"/>
              <w:spacing w:line="439" w:lineRule="auto"/>
              <w:ind w:left="141" w:right="119" w:firstLine="38"/>
              <w:jc w:val="both"/>
              <w:rPr>
                <w:rFonts w:ascii="宋体" w:hAnsi="宋体" w:cs="宋体" w:eastAsia="宋体" w:hint="default"/>
                <w:sz w:val="15"/>
                <w:szCs w:val="15"/>
              </w:rPr>
            </w:pPr>
            <w:r>
              <w:rPr>
                <w:rFonts w:ascii="宋体" w:hAnsi="宋体" w:cs="宋体" w:eastAsia="宋体" w:hint="default"/>
                <w:sz w:val="15"/>
                <w:szCs w:val="15"/>
              </w:rPr>
              <w:t>从成本计量变为公</w:t>
            </w:r>
            <w:r>
              <w:rPr>
                <w:rFonts w:ascii="宋体" w:hAnsi="宋体" w:cs="宋体" w:eastAsia="宋体" w:hint="default"/>
                <w:w w:val="100"/>
                <w:sz w:val="15"/>
                <w:szCs w:val="15"/>
              </w:rPr>
              <w:t> </w:t>
            </w:r>
            <w:r>
              <w:rPr>
                <w:rFonts w:ascii="宋体" w:hAnsi="宋体" w:cs="宋体" w:eastAsia="宋体" w:hint="default"/>
                <w:sz w:val="15"/>
                <w:szCs w:val="15"/>
              </w:rPr>
              <w:t>允价值计量</w:t>
            </w:r>
            <w:r>
              <w:rPr>
                <w:rFonts w:ascii="宋体" w:hAnsi="宋体" w:cs="宋体" w:eastAsia="宋体" w:hint="default"/>
                <w:sz w:val="15"/>
                <w:szCs w:val="15"/>
              </w:rPr>
              <w:t>-</w:t>
            </w:r>
            <w:r>
              <w:rPr>
                <w:rFonts w:ascii="宋体" w:hAnsi="宋体" w:cs="宋体" w:eastAsia="宋体" w:hint="default"/>
                <w:sz w:val="15"/>
                <w:szCs w:val="15"/>
              </w:rPr>
              <w:t>自原分</w:t>
            </w:r>
            <w:r>
              <w:rPr>
                <w:rFonts w:ascii="宋体" w:hAnsi="宋体" w:cs="宋体" w:eastAsia="宋体" w:hint="default"/>
                <w:w w:val="100"/>
                <w:sz w:val="15"/>
                <w:szCs w:val="15"/>
              </w:rPr>
              <w:t> </w:t>
            </w:r>
            <w:r>
              <w:rPr>
                <w:rFonts w:ascii="宋体" w:hAnsi="宋体" w:cs="宋体" w:eastAsia="宋体" w:hint="default"/>
                <w:sz w:val="15"/>
                <w:szCs w:val="15"/>
              </w:rPr>
              <w:t>类为可供出售金融</w:t>
            </w:r>
            <w:r>
              <w:rPr>
                <w:rFonts w:ascii="宋体" w:hAnsi="宋体" w:cs="宋体" w:eastAsia="宋体" w:hint="default"/>
                <w:w w:val="100"/>
                <w:sz w:val="15"/>
                <w:szCs w:val="15"/>
              </w:rPr>
              <w:t> </w:t>
            </w:r>
            <w:r>
              <w:rPr>
                <w:rFonts w:ascii="宋体" w:hAnsi="宋体" w:cs="宋体" w:eastAsia="宋体" w:hint="default"/>
                <w:sz w:val="15"/>
                <w:szCs w:val="15"/>
              </w:rPr>
              <w:t>资产转入（注</w:t>
            </w:r>
            <w:r>
              <w:rPr>
                <w:rFonts w:ascii="宋体" w:hAnsi="宋体" w:cs="宋体" w:eastAsia="宋体" w:hint="default"/>
                <w:spacing w:val="-35"/>
                <w:sz w:val="15"/>
                <w:szCs w:val="15"/>
              </w:rPr>
              <w:t> </w:t>
            </w:r>
            <w:r>
              <w:rPr>
                <w:rFonts w:ascii="宋体" w:hAnsi="宋体" w:cs="宋体" w:eastAsia="宋体" w:hint="default"/>
                <w:spacing w:val="-3"/>
                <w:sz w:val="15"/>
                <w:szCs w:val="15"/>
              </w:rPr>
              <w:t>1</w:t>
            </w:r>
            <w:r>
              <w:rPr>
                <w:rFonts w:ascii="宋体" w:hAnsi="宋体" w:cs="宋体" w:eastAsia="宋体" w:hint="default"/>
                <w:spacing w:val="-3"/>
                <w:sz w:val="15"/>
                <w:szCs w:val="15"/>
              </w:rPr>
              <w:t>）</w:t>
            </w:r>
            <w:r>
              <w:rPr>
                <w:rFonts w:ascii="宋体" w:hAnsi="宋体" w:cs="宋体" w:eastAsia="宋体" w:hint="default"/>
                <w:sz w:val="15"/>
                <w:szCs w:val="15"/>
              </w:rPr>
              <w:t> </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9"/>
                <w:szCs w:val="9"/>
              </w:rPr>
            </w:pPr>
          </w:p>
          <w:p>
            <w:pPr>
              <w:pStyle w:val="TableParagraph"/>
              <w:spacing w:line="240" w:lineRule="auto"/>
              <w:ind w:left="75" w:right="0"/>
              <w:jc w:val="center"/>
              <w:rPr>
                <w:rFonts w:ascii="宋体" w:hAnsi="宋体" w:cs="宋体" w:eastAsia="宋体" w:hint="default"/>
                <w:sz w:val="15"/>
                <w:szCs w:val="15"/>
              </w:rPr>
            </w:pPr>
            <w:r>
              <w:rPr>
                <w:rFonts w:ascii="宋体" w:hAnsi="宋体" w:cs="宋体" w:eastAsia="宋体" w:hint="default"/>
                <w:sz w:val="15"/>
                <w:szCs w:val="15"/>
              </w:rPr>
              <w:t>预期信用损失</w:t>
            </w:r>
            <w:r>
              <w:rPr>
                <w:rFonts w:ascii="宋体" w:hAnsi="宋体" w:cs="宋体" w:eastAsia="宋体" w:hint="default"/>
                <w:sz w:val="15"/>
                <w:szCs w:val="15"/>
              </w:rPr>
              <w:t> </w:t>
            </w: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 w:right="0"/>
              <w:jc w:val="center"/>
              <w:rPr>
                <w:rFonts w:ascii="宋体" w:hAnsi="宋体" w:cs="宋体" w:eastAsia="宋体" w:hint="default"/>
                <w:sz w:val="15"/>
                <w:szCs w:val="15"/>
              </w:rPr>
            </w:pPr>
            <w:r>
              <w:rPr>
                <w:rFonts w:ascii="宋体" w:hAnsi="宋体" w:cs="宋体" w:eastAsia="宋体" w:hint="default"/>
                <w:sz w:val="15"/>
                <w:szCs w:val="15"/>
              </w:rPr>
              <w:t>（注</w:t>
            </w:r>
            <w:r>
              <w:rPr>
                <w:rFonts w:ascii="宋体" w:hAnsi="宋体" w:cs="宋体" w:eastAsia="宋体" w:hint="default"/>
                <w:spacing w:val="-34"/>
                <w:sz w:val="15"/>
                <w:szCs w:val="15"/>
              </w:rPr>
              <w:t> </w:t>
            </w:r>
            <w:r>
              <w:rPr>
                <w:rFonts w:ascii="宋体" w:hAnsi="宋体" w:cs="宋体" w:eastAsia="宋体" w:hint="default"/>
                <w:spacing w:val="-3"/>
                <w:sz w:val="15"/>
                <w:szCs w:val="15"/>
              </w:rPr>
              <w:t>2</w:t>
            </w:r>
            <w:r>
              <w:rPr>
                <w:rFonts w:ascii="宋体" w:hAnsi="宋体" w:cs="宋体" w:eastAsia="宋体" w:hint="default"/>
                <w:spacing w:val="-3"/>
                <w:sz w:val="15"/>
                <w:szCs w:val="15"/>
              </w:rPr>
              <w:t>）</w:t>
            </w:r>
            <w:r>
              <w:rPr>
                <w:rFonts w:ascii="宋体" w:hAnsi="宋体" w:cs="宋体" w:eastAsia="宋体" w:hint="default"/>
                <w:sz w:val="15"/>
                <w:szCs w:val="15"/>
              </w:rPr>
              <w:t> </w:t>
            </w:r>
          </w:p>
        </w:tc>
        <w:tc>
          <w:tcPr>
            <w:tcW w:w="1560" w:type="dxa"/>
            <w:vMerge/>
            <w:tcBorders>
              <w:left w:val="single" w:sz="2" w:space="0" w:color="000000"/>
              <w:bottom w:val="single" w:sz="2" w:space="0" w:color="000000"/>
              <w:right w:val="nil" w:sz="6" w:space="0" w:color="auto"/>
            </w:tcBorders>
          </w:tcPr>
          <w:p>
            <w:pPr/>
          </w:p>
        </w:tc>
      </w:tr>
      <w:tr>
        <w:trPr>
          <w:trHeight w:val="368"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5"/>
              <w:ind w:left="124" w:right="0"/>
              <w:jc w:val="left"/>
              <w:rPr>
                <w:rFonts w:ascii="宋体" w:hAnsi="宋体" w:cs="宋体" w:eastAsia="宋体" w:hint="default"/>
                <w:sz w:val="15"/>
                <w:szCs w:val="15"/>
              </w:rPr>
            </w:pPr>
            <w:r>
              <w:rPr>
                <w:rFonts w:ascii="宋体" w:hAnsi="宋体" w:cs="宋体" w:eastAsia="宋体" w:hint="default"/>
                <w:sz w:val="15"/>
                <w:szCs w:val="15"/>
              </w:rPr>
              <w:t>交易性金融资产</w:t>
            </w:r>
            <w:r>
              <w:rPr>
                <w:rFonts w:ascii="宋体" w:hAnsi="宋体" w:cs="宋体" w:eastAsia="宋体" w:hint="default"/>
                <w:sz w:val="15"/>
                <w:szCs w:val="15"/>
              </w:rPr>
              <w:t> </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20"/>
              <w:jc w:val="right"/>
              <w:rPr>
                <w:rFonts w:ascii="宋体" w:hAnsi="宋体" w:cs="宋体" w:eastAsia="宋体" w:hint="default"/>
                <w:sz w:val="16"/>
                <w:szCs w:val="16"/>
              </w:rPr>
            </w:pPr>
            <w:r>
              <w:rPr>
                <w:rFonts w:ascii="宋体"/>
                <w:w w:val="100"/>
                <w:sz w:val="16"/>
              </w:rPr>
              <w:t>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23"/>
              <w:jc w:val="right"/>
              <w:rPr>
                <w:rFonts w:ascii="宋体" w:hAnsi="宋体" w:cs="宋体" w:eastAsia="宋体" w:hint="default"/>
                <w:sz w:val="16"/>
                <w:szCs w:val="16"/>
              </w:rPr>
            </w:pPr>
            <w:r>
              <w:rPr>
                <w:rFonts w:ascii="宋体"/>
                <w:spacing w:val="-2"/>
                <w:sz w:val="16"/>
              </w:rPr>
              <w:t>1,121,676,020.00</w:t>
            </w:r>
            <w:r>
              <w:rPr>
                <w:rFonts w:ascii="宋体"/>
                <w:sz w:val="16"/>
              </w:rPr>
              <w:t> </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20"/>
              <w:jc w:val="right"/>
              <w:rPr>
                <w:rFonts w:ascii="宋体" w:hAnsi="宋体" w:cs="宋体" w:eastAsia="宋体" w:hint="default"/>
                <w:sz w:val="16"/>
                <w:szCs w:val="16"/>
              </w:rPr>
            </w:pPr>
            <w:r>
              <w:rPr>
                <w:rFonts w:ascii="宋体"/>
                <w:w w:val="100"/>
                <w:sz w:val="16"/>
              </w:rPr>
              <w:t> </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23"/>
              <w:jc w:val="right"/>
              <w:rPr>
                <w:rFonts w:ascii="宋体" w:hAnsi="宋体" w:cs="宋体" w:eastAsia="宋体" w:hint="default"/>
                <w:sz w:val="16"/>
                <w:szCs w:val="16"/>
              </w:rPr>
            </w:pPr>
            <w:r>
              <w:rPr>
                <w:rFonts w:ascii="宋体"/>
                <w:w w:val="100"/>
                <w:sz w:val="16"/>
              </w:rPr>
              <w:t> </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4"/>
              <w:ind w:right="23"/>
              <w:jc w:val="right"/>
              <w:rPr>
                <w:rFonts w:ascii="宋体" w:hAnsi="宋体" w:cs="宋体" w:eastAsia="宋体" w:hint="default"/>
                <w:sz w:val="16"/>
                <w:szCs w:val="16"/>
              </w:rPr>
            </w:pPr>
            <w:r>
              <w:rPr>
                <w:rFonts w:ascii="宋体"/>
                <w:w w:val="100"/>
                <w:sz w:val="16"/>
              </w:rPr>
              <w:t> </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4"/>
              <w:ind w:right="25"/>
              <w:jc w:val="right"/>
              <w:rPr>
                <w:rFonts w:ascii="宋体" w:hAnsi="宋体" w:cs="宋体" w:eastAsia="宋体" w:hint="default"/>
                <w:sz w:val="16"/>
                <w:szCs w:val="16"/>
              </w:rPr>
            </w:pPr>
            <w:r>
              <w:rPr>
                <w:rFonts w:ascii="宋体"/>
                <w:spacing w:val="-2"/>
                <w:sz w:val="16"/>
              </w:rPr>
              <w:t>1,121,676,020.00</w:t>
            </w:r>
            <w:r>
              <w:rPr>
                <w:rFonts w:ascii="宋体"/>
                <w:sz w:val="16"/>
              </w:rPr>
              <w:t> </w:t>
            </w:r>
          </w:p>
        </w:tc>
      </w:tr>
      <w:tr>
        <w:trPr>
          <w:trHeight w:val="108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360" w:lineRule="exact"/>
              <w:ind w:left="124" w:right="100"/>
              <w:jc w:val="both"/>
              <w:rPr>
                <w:rFonts w:ascii="宋体" w:hAnsi="宋体" w:cs="宋体" w:eastAsia="宋体" w:hint="default"/>
                <w:sz w:val="15"/>
                <w:szCs w:val="15"/>
              </w:rPr>
            </w:pPr>
            <w:r>
              <w:rPr>
                <w:rFonts w:ascii="宋体" w:hAnsi="宋体" w:cs="宋体" w:eastAsia="宋体" w:hint="default"/>
                <w:spacing w:val="11"/>
                <w:sz w:val="15"/>
                <w:szCs w:val="15"/>
              </w:rPr>
              <w:t>以公允价值计量且</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pacing w:val="11"/>
                <w:sz w:val="15"/>
                <w:szCs w:val="15"/>
              </w:rPr>
              <w:t>其变动计入当期损</w:t>
            </w:r>
            <w:r>
              <w:rPr>
                <w:rFonts w:ascii="宋体" w:hAnsi="宋体" w:cs="宋体" w:eastAsia="宋体" w:hint="default"/>
                <w:spacing w:val="-54"/>
                <w:sz w:val="15"/>
                <w:szCs w:val="15"/>
              </w:rPr>
              <w:t> </w:t>
            </w:r>
            <w:r>
              <w:rPr>
                <w:rFonts w:ascii="宋体" w:hAnsi="宋体" w:cs="宋体" w:eastAsia="宋体" w:hint="default"/>
                <w:spacing w:val="-54"/>
                <w:sz w:val="15"/>
                <w:szCs w:val="15"/>
              </w:rPr>
            </w:r>
            <w:r>
              <w:rPr>
                <w:rFonts w:ascii="宋体" w:hAnsi="宋体" w:cs="宋体" w:eastAsia="宋体" w:hint="default"/>
                <w:sz w:val="15"/>
                <w:szCs w:val="15"/>
              </w:rPr>
              <w:t>益的金融资产</w:t>
            </w:r>
            <w:r>
              <w:rPr>
                <w:rFonts w:ascii="宋体" w:hAnsi="宋体" w:cs="宋体" w:eastAsia="宋体" w:hint="default"/>
                <w:sz w:val="15"/>
                <w:szCs w:val="15"/>
              </w:rPr>
              <w:t> </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6"/>
                <w:szCs w:val="16"/>
              </w:rPr>
            </w:pPr>
            <w:r>
              <w:rPr>
                <w:rFonts w:ascii="宋体"/>
                <w:spacing w:val="-2"/>
                <w:sz w:val="16"/>
              </w:rPr>
              <w:t>21,676,020.00</w:t>
            </w:r>
            <w:r>
              <w:rPr>
                <w:rFonts w:ascii="宋体"/>
                <w:sz w:val="16"/>
              </w:rPr>
              <w:t>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6"/>
                <w:szCs w:val="16"/>
              </w:rPr>
            </w:pPr>
            <w:r>
              <w:rPr>
                <w:rFonts w:ascii="宋体"/>
                <w:spacing w:val="-2"/>
                <w:sz w:val="16"/>
              </w:rPr>
              <w:t>-21,676,020.00</w:t>
            </w:r>
            <w:r>
              <w:rPr>
                <w:rFonts w:ascii="宋体"/>
                <w:sz w:val="16"/>
              </w:rPr>
              <w:t> </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6"/>
                <w:szCs w:val="16"/>
              </w:rPr>
            </w:pPr>
            <w:r>
              <w:rPr>
                <w:rFonts w:ascii="宋体"/>
                <w:w w:val="100"/>
                <w:sz w:val="16"/>
              </w:rPr>
              <w:t> </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6"/>
                <w:szCs w:val="16"/>
              </w:rPr>
            </w:pPr>
            <w:r>
              <w:rPr>
                <w:rFonts w:ascii="宋体"/>
                <w:w w:val="100"/>
                <w:sz w:val="16"/>
              </w:rPr>
              <w:t> </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6"/>
                <w:szCs w:val="16"/>
              </w:rPr>
            </w:pPr>
            <w:r>
              <w:rPr>
                <w:rFonts w:ascii="宋体"/>
                <w:w w:val="100"/>
                <w:sz w:val="16"/>
              </w:rPr>
              <w:t> </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5"/>
              <w:jc w:val="right"/>
              <w:rPr>
                <w:rFonts w:ascii="宋体" w:hAnsi="宋体" w:cs="宋体" w:eastAsia="宋体" w:hint="default"/>
                <w:sz w:val="16"/>
                <w:szCs w:val="16"/>
              </w:rPr>
            </w:pPr>
            <w:r>
              <w:rPr>
                <w:rFonts w:ascii="宋体"/>
                <w:w w:val="100"/>
                <w:sz w:val="16"/>
              </w:rPr>
              <w:t> </w:t>
            </w: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3"/>
              <w:ind w:left="124" w:right="0"/>
              <w:jc w:val="left"/>
              <w:rPr>
                <w:rFonts w:ascii="宋体" w:hAnsi="宋体" w:cs="宋体" w:eastAsia="宋体" w:hint="default"/>
                <w:sz w:val="15"/>
                <w:szCs w:val="15"/>
              </w:rPr>
            </w:pPr>
            <w:r>
              <w:rPr>
                <w:rFonts w:ascii="宋体" w:hAnsi="宋体" w:cs="宋体" w:eastAsia="宋体" w:hint="default"/>
                <w:sz w:val="15"/>
                <w:szCs w:val="15"/>
              </w:rPr>
              <w:t>应收账款</w:t>
            </w:r>
            <w:r>
              <w:rPr>
                <w:rFonts w:ascii="宋体" w:hAnsi="宋体" w:cs="宋体" w:eastAsia="宋体" w:hint="default"/>
                <w:sz w:val="15"/>
                <w:szCs w:val="15"/>
              </w:rPr>
              <w:t> </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spacing w:val="-2"/>
                <w:sz w:val="16"/>
              </w:rPr>
              <w:t>3,006,436,880.14</w:t>
            </w:r>
            <w:r>
              <w:rPr>
                <w:rFonts w:ascii="宋体"/>
                <w:sz w:val="16"/>
              </w:rPr>
              <w:t>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w w:val="100"/>
                <w:sz w:val="16"/>
              </w:rPr>
              <w:t> </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spacing w:val="-2"/>
                <w:sz w:val="16"/>
              </w:rPr>
              <w:t>-62,024,102.04</w:t>
            </w:r>
            <w:r>
              <w:rPr>
                <w:rFonts w:ascii="宋体"/>
                <w:sz w:val="16"/>
              </w:rPr>
              <w:t> </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5"/>
              <w:jc w:val="right"/>
              <w:rPr>
                <w:rFonts w:ascii="宋体" w:hAnsi="宋体" w:cs="宋体" w:eastAsia="宋体" w:hint="default"/>
                <w:sz w:val="16"/>
                <w:szCs w:val="16"/>
              </w:rPr>
            </w:pPr>
            <w:r>
              <w:rPr>
                <w:rFonts w:ascii="宋体"/>
                <w:spacing w:val="-2"/>
                <w:sz w:val="16"/>
              </w:rPr>
              <w:t>2,944,412,778.10</w:t>
            </w:r>
            <w:r>
              <w:rPr>
                <w:rFonts w:ascii="宋体"/>
                <w:sz w:val="16"/>
              </w:rPr>
              <w:t> </w:t>
            </w: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3"/>
              <w:ind w:left="124" w:right="0"/>
              <w:jc w:val="left"/>
              <w:rPr>
                <w:rFonts w:ascii="宋体" w:hAnsi="宋体" w:cs="宋体" w:eastAsia="宋体" w:hint="default"/>
                <w:sz w:val="15"/>
                <w:szCs w:val="15"/>
              </w:rPr>
            </w:pPr>
            <w:r>
              <w:rPr>
                <w:rFonts w:ascii="宋体" w:hAnsi="宋体" w:cs="宋体" w:eastAsia="宋体" w:hint="default"/>
                <w:sz w:val="15"/>
                <w:szCs w:val="15"/>
              </w:rPr>
              <w:t>其他应收款</w:t>
            </w:r>
            <w:r>
              <w:rPr>
                <w:rFonts w:ascii="宋体" w:hAnsi="宋体" w:cs="宋体" w:eastAsia="宋体" w:hint="default"/>
                <w:sz w:val="15"/>
                <w:szCs w:val="15"/>
              </w:rPr>
              <w:t> </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spacing w:val="-2"/>
                <w:sz w:val="16"/>
              </w:rPr>
              <w:t>152,877,183.82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w w:val="100"/>
                <w:sz w:val="16"/>
              </w:rPr>
              <w:t> </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spacing w:val="-2"/>
                <w:sz w:val="16"/>
              </w:rPr>
              <w:t>-15,818,213.94</w:t>
            </w:r>
            <w:r>
              <w:rPr>
                <w:rFonts w:ascii="宋体"/>
                <w:sz w:val="16"/>
              </w:rPr>
              <w:t> </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5"/>
              <w:jc w:val="right"/>
              <w:rPr>
                <w:rFonts w:ascii="宋体" w:hAnsi="宋体" w:cs="宋体" w:eastAsia="宋体" w:hint="default"/>
                <w:sz w:val="16"/>
                <w:szCs w:val="16"/>
              </w:rPr>
            </w:pPr>
            <w:r>
              <w:rPr>
                <w:rFonts w:ascii="宋体"/>
                <w:spacing w:val="-2"/>
                <w:sz w:val="16"/>
              </w:rPr>
              <w:t>137,058,969.88</w:t>
            </w:r>
            <w:r>
              <w:rPr>
                <w:rFonts w:ascii="宋体"/>
                <w:sz w:val="16"/>
              </w:rPr>
              <w:t> </w:t>
            </w: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3"/>
              <w:ind w:left="124" w:right="0"/>
              <w:jc w:val="left"/>
              <w:rPr>
                <w:rFonts w:ascii="宋体" w:hAnsi="宋体" w:cs="宋体" w:eastAsia="宋体" w:hint="default"/>
                <w:sz w:val="15"/>
                <w:szCs w:val="15"/>
              </w:rPr>
            </w:pPr>
            <w:r>
              <w:rPr>
                <w:rFonts w:ascii="宋体" w:hAnsi="宋体" w:cs="宋体" w:eastAsia="宋体" w:hint="default"/>
                <w:sz w:val="15"/>
                <w:szCs w:val="15"/>
              </w:rPr>
              <w:t>其他流动资产</w:t>
            </w:r>
            <w:r>
              <w:rPr>
                <w:rFonts w:ascii="宋体" w:hAnsi="宋体" w:cs="宋体" w:eastAsia="宋体" w:hint="default"/>
                <w:sz w:val="15"/>
                <w:szCs w:val="15"/>
              </w:rPr>
              <w:t> </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spacing w:val="-2"/>
                <w:sz w:val="16"/>
              </w:rPr>
              <w:t>1,122,833,926.47</w:t>
            </w:r>
            <w:r>
              <w:rPr>
                <w:rFonts w:ascii="宋体"/>
                <w:sz w:val="16"/>
              </w:rPr>
              <w:t>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spacing w:val="-2"/>
                <w:sz w:val="16"/>
              </w:rPr>
              <w:t>-1,100,000,000.00</w:t>
            </w:r>
            <w:r>
              <w:rPr>
                <w:rFonts w:ascii="宋体"/>
                <w:sz w:val="16"/>
              </w:rPr>
              <w:t> </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w w:val="100"/>
                <w:sz w:val="16"/>
              </w:rPr>
              <w:t> </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5"/>
              <w:jc w:val="right"/>
              <w:rPr>
                <w:rFonts w:ascii="宋体" w:hAnsi="宋体" w:cs="宋体" w:eastAsia="宋体" w:hint="default"/>
                <w:sz w:val="16"/>
                <w:szCs w:val="16"/>
              </w:rPr>
            </w:pPr>
            <w:r>
              <w:rPr>
                <w:rFonts w:ascii="宋体"/>
                <w:spacing w:val="-2"/>
                <w:sz w:val="16"/>
              </w:rPr>
              <w:t>22,833,926.47</w:t>
            </w:r>
            <w:r>
              <w:rPr>
                <w:rFonts w:ascii="宋体"/>
                <w:sz w:val="16"/>
              </w:rPr>
              <w:t> </w:t>
            </w: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3"/>
              <w:ind w:left="124" w:right="0"/>
              <w:jc w:val="left"/>
              <w:rPr>
                <w:rFonts w:ascii="宋体" w:hAnsi="宋体" w:cs="宋体" w:eastAsia="宋体" w:hint="default"/>
                <w:sz w:val="15"/>
                <w:szCs w:val="15"/>
              </w:rPr>
            </w:pPr>
            <w:r>
              <w:rPr>
                <w:rFonts w:ascii="宋体" w:hAnsi="宋体" w:cs="宋体" w:eastAsia="宋体" w:hint="default"/>
                <w:sz w:val="15"/>
                <w:szCs w:val="15"/>
              </w:rPr>
              <w:t>可供出售金融资产</w:t>
            </w:r>
            <w:r>
              <w:rPr>
                <w:rFonts w:ascii="宋体" w:hAnsi="宋体" w:cs="宋体" w:eastAsia="宋体" w:hint="default"/>
                <w:sz w:val="15"/>
                <w:szCs w:val="15"/>
              </w:rPr>
              <w:t> </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spacing w:val="-2"/>
                <w:sz w:val="16"/>
              </w:rPr>
              <w:t>110,334,697.32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spacing w:val="-2"/>
                <w:sz w:val="16"/>
              </w:rPr>
              <w:t>-110,334,697.32</w:t>
            </w:r>
            <w:r>
              <w:rPr>
                <w:rFonts w:ascii="宋体"/>
                <w:sz w:val="16"/>
              </w:rPr>
              <w:t> </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5"/>
              <w:jc w:val="right"/>
              <w:rPr>
                <w:rFonts w:ascii="宋体" w:hAnsi="宋体" w:cs="宋体" w:eastAsia="宋体" w:hint="default"/>
                <w:sz w:val="16"/>
                <w:szCs w:val="16"/>
              </w:rPr>
            </w:pPr>
            <w:r>
              <w:rPr>
                <w:rFonts w:ascii="宋体"/>
                <w:w w:val="100"/>
                <w:sz w:val="16"/>
              </w:rPr>
              <w:t> </w:t>
            </w: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3"/>
              <w:ind w:left="124" w:right="0"/>
              <w:jc w:val="left"/>
              <w:rPr>
                <w:rFonts w:ascii="宋体" w:hAnsi="宋体" w:cs="宋体" w:eastAsia="宋体" w:hint="default"/>
                <w:sz w:val="15"/>
                <w:szCs w:val="15"/>
              </w:rPr>
            </w:pPr>
            <w:r>
              <w:rPr>
                <w:rFonts w:ascii="宋体" w:hAnsi="宋体" w:cs="宋体" w:eastAsia="宋体" w:hint="default"/>
                <w:sz w:val="15"/>
                <w:szCs w:val="15"/>
              </w:rPr>
              <w:t>其他权益工具投资</w:t>
            </w:r>
            <w:r>
              <w:rPr>
                <w:rFonts w:ascii="宋体" w:hAnsi="宋体" w:cs="宋体" w:eastAsia="宋体" w:hint="default"/>
                <w:sz w:val="15"/>
                <w:szCs w:val="15"/>
              </w:rPr>
              <w:t> </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w w:val="100"/>
                <w:sz w:val="16"/>
              </w:rPr>
              <w:t>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spacing w:val="-2"/>
                <w:sz w:val="16"/>
              </w:rPr>
              <w:t>110,334,697.32</w:t>
            </w:r>
            <w:r>
              <w:rPr>
                <w:rFonts w:ascii="宋体"/>
                <w:sz w:val="16"/>
              </w:rPr>
              <w:t> </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spacing w:val="-2"/>
                <w:sz w:val="16"/>
              </w:rPr>
              <w:t>6,036,766.84</w:t>
            </w:r>
            <w:r>
              <w:rPr>
                <w:rFonts w:ascii="宋体"/>
                <w:sz w:val="16"/>
              </w:rPr>
              <w:t> </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5"/>
              <w:jc w:val="right"/>
              <w:rPr>
                <w:rFonts w:ascii="宋体" w:hAnsi="宋体" w:cs="宋体" w:eastAsia="宋体" w:hint="default"/>
                <w:sz w:val="16"/>
                <w:szCs w:val="16"/>
              </w:rPr>
            </w:pPr>
            <w:r>
              <w:rPr>
                <w:rFonts w:ascii="宋体"/>
                <w:spacing w:val="1"/>
                <w:w w:val="100"/>
                <w:sz w:val="16"/>
              </w:rPr>
              <w:t> </w:t>
            </w:r>
            <w:r>
              <w:rPr>
                <w:rFonts w:ascii="宋体"/>
                <w:spacing w:val="-2"/>
                <w:w w:val="100"/>
                <w:sz w:val="16"/>
              </w:rPr>
              <w:t> </w:t>
            </w:r>
            <w:r>
              <w:rPr>
                <w:rFonts w:ascii="宋体"/>
                <w:spacing w:val="-2"/>
                <w:sz w:val="16"/>
              </w:rPr>
              <w:t>116,371,464.16</w:t>
            </w:r>
            <w:r>
              <w:rPr>
                <w:rFonts w:ascii="宋体"/>
                <w:sz w:val="16"/>
              </w:rPr>
              <w:t> </w:t>
            </w: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3"/>
              <w:ind w:left="124" w:right="0"/>
              <w:jc w:val="left"/>
              <w:rPr>
                <w:rFonts w:ascii="宋体" w:hAnsi="宋体" w:cs="宋体" w:eastAsia="宋体" w:hint="default"/>
                <w:sz w:val="15"/>
                <w:szCs w:val="15"/>
              </w:rPr>
            </w:pPr>
            <w:r>
              <w:rPr>
                <w:rFonts w:ascii="宋体" w:hAnsi="宋体" w:cs="宋体" w:eastAsia="宋体" w:hint="default"/>
                <w:sz w:val="15"/>
                <w:szCs w:val="15"/>
              </w:rPr>
              <w:t>递延所得税资产</w:t>
            </w:r>
            <w:r>
              <w:rPr>
                <w:rFonts w:ascii="宋体" w:hAnsi="宋体" w:cs="宋体" w:eastAsia="宋体" w:hint="default"/>
                <w:sz w:val="15"/>
                <w:szCs w:val="15"/>
              </w:rPr>
              <w:t> </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spacing w:val="-2"/>
                <w:sz w:val="16"/>
              </w:rPr>
              <w:t>107,241,466.95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w w:val="100"/>
                <w:sz w:val="16"/>
              </w:rPr>
              <w:t> </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spacing w:val="-2"/>
                <w:sz w:val="16"/>
              </w:rPr>
              <w:t>8,660,922.15</w:t>
            </w:r>
            <w:r>
              <w:rPr>
                <w:rFonts w:ascii="宋体"/>
                <w:sz w:val="16"/>
              </w:rPr>
              <w:t> </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5"/>
              <w:jc w:val="right"/>
              <w:rPr>
                <w:rFonts w:ascii="宋体" w:hAnsi="宋体" w:cs="宋体" w:eastAsia="宋体" w:hint="default"/>
                <w:sz w:val="16"/>
                <w:szCs w:val="16"/>
              </w:rPr>
            </w:pPr>
            <w:r>
              <w:rPr>
                <w:rFonts w:ascii="宋体"/>
                <w:spacing w:val="-2"/>
                <w:sz w:val="16"/>
              </w:rPr>
              <w:t>115,902,389.10</w:t>
            </w:r>
            <w:r>
              <w:rPr>
                <w:rFonts w:ascii="宋体"/>
                <w:sz w:val="16"/>
              </w:rPr>
              <w:t> </w:t>
            </w: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3"/>
              <w:ind w:left="124" w:right="0"/>
              <w:jc w:val="left"/>
              <w:rPr>
                <w:rFonts w:ascii="宋体" w:hAnsi="宋体" w:cs="宋体" w:eastAsia="宋体" w:hint="default"/>
                <w:sz w:val="15"/>
                <w:szCs w:val="15"/>
              </w:rPr>
            </w:pPr>
            <w:r>
              <w:rPr>
                <w:rFonts w:ascii="宋体" w:hAnsi="宋体" w:cs="宋体" w:eastAsia="宋体" w:hint="default"/>
                <w:sz w:val="15"/>
                <w:szCs w:val="15"/>
              </w:rPr>
              <w:t>递延所得税负债</w:t>
            </w:r>
            <w:r>
              <w:rPr>
                <w:rFonts w:ascii="宋体" w:hAnsi="宋体" w:cs="宋体" w:eastAsia="宋体" w:hint="default"/>
                <w:sz w:val="15"/>
                <w:szCs w:val="15"/>
              </w:rPr>
              <w:t> </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spacing w:val="-2"/>
                <w:sz w:val="16"/>
              </w:rPr>
              <w:t>17,832,072.29</w:t>
            </w:r>
            <w:r>
              <w:rPr>
                <w:rFonts w:ascii="宋体"/>
                <w:sz w:val="16"/>
              </w:rPr>
              <w:t>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w w:val="100"/>
                <w:sz w:val="16"/>
              </w:rPr>
              <w:t> </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spacing w:val="-2"/>
                <w:sz w:val="16"/>
              </w:rPr>
              <w:t>10,121,249.00</w:t>
            </w:r>
            <w:r>
              <w:rPr>
                <w:rFonts w:ascii="宋体"/>
                <w:sz w:val="16"/>
              </w:rPr>
              <w:t> </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5"/>
              <w:jc w:val="right"/>
              <w:rPr>
                <w:rFonts w:ascii="宋体" w:hAnsi="宋体" w:cs="宋体" w:eastAsia="宋体" w:hint="default"/>
                <w:sz w:val="16"/>
                <w:szCs w:val="16"/>
              </w:rPr>
            </w:pPr>
            <w:r>
              <w:rPr>
                <w:rFonts w:ascii="宋体"/>
                <w:spacing w:val="-2"/>
                <w:sz w:val="16"/>
              </w:rPr>
              <w:t>27,953,321.29</w:t>
            </w:r>
            <w:r>
              <w:rPr>
                <w:rFonts w:ascii="宋体"/>
                <w:sz w:val="16"/>
              </w:rPr>
              <w:t> </w:t>
            </w: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3"/>
              <w:ind w:left="124" w:right="0"/>
              <w:jc w:val="left"/>
              <w:rPr>
                <w:rFonts w:ascii="宋体" w:hAnsi="宋体" w:cs="宋体" w:eastAsia="宋体" w:hint="default"/>
                <w:sz w:val="15"/>
                <w:szCs w:val="15"/>
              </w:rPr>
            </w:pPr>
            <w:r>
              <w:rPr>
                <w:rFonts w:ascii="宋体" w:hAnsi="宋体" w:cs="宋体" w:eastAsia="宋体" w:hint="default"/>
                <w:sz w:val="15"/>
                <w:szCs w:val="15"/>
              </w:rPr>
              <w:t>其他综合收益</w:t>
            </w:r>
            <w:r>
              <w:rPr>
                <w:rFonts w:ascii="宋体" w:hAnsi="宋体" w:cs="宋体" w:eastAsia="宋体" w:hint="default"/>
                <w:sz w:val="15"/>
                <w:szCs w:val="15"/>
              </w:rPr>
              <w:t> </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spacing w:val="-2"/>
                <w:sz w:val="16"/>
              </w:rPr>
              <w:t>66,489,317.80</w:t>
            </w:r>
            <w:r>
              <w:rPr>
                <w:rFonts w:ascii="宋体"/>
                <w:sz w:val="16"/>
              </w:rPr>
              <w:t>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w w:val="100"/>
                <w:sz w:val="16"/>
              </w:rPr>
              <w:t> </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spacing w:val="-2"/>
                <w:sz w:val="16"/>
              </w:rPr>
              <w:t>-4,084,482.16</w:t>
            </w:r>
            <w:r>
              <w:rPr>
                <w:rFonts w:ascii="宋体"/>
                <w:sz w:val="16"/>
              </w:rPr>
              <w:t> </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5"/>
              <w:jc w:val="right"/>
              <w:rPr>
                <w:rFonts w:ascii="宋体" w:hAnsi="宋体" w:cs="宋体" w:eastAsia="宋体" w:hint="default"/>
                <w:sz w:val="16"/>
                <w:szCs w:val="16"/>
              </w:rPr>
            </w:pPr>
            <w:r>
              <w:rPr>
                <w:rFonts w:ascii="宋体"/>
                <w:spacing w:val="-2"/>
                <w:sz w:val="16"/>
              </w:rPr>
              <w:t>62,404,835.64</w:t>
            </w:r>
            <w:r>
              <w:rPr>
                <w:rFonts w:ascii="宋体"/>
                <w:sz w:val="16"/>
              </w:rPr>
              <w:t> </w:t>
            </w:r>
          </w:p>
        </w:tc>
      </w:tr>
      <w:tr>
        <w:trPr>
          <w:trHeight w:val="365" w:hRule="exact"/>
        </w:trPr>
        <w:tc>
          <w:tcPr>
            <w:tcW w:w="1541"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113"/>
              <w:ind w:left="124" w:right="0"/>
              <w:jc w:val="left"/>
              <w:rPr>
                <w:rFonts w:ascii="宋体" w:hAnsi="宋体" w:cs="宋体" w:eastAsia="宋体" w:hint="default"/>
                <w:sz w:val="15"/>
                <w:szCs w:val="15"/>
              </w:rPr>
            </w:pPr>
            <w:r>
              <w:rPr>
                <w:rFonts w:ascii="宋体" w:hAnsi="宋体" w:cs="宋体" w:eastAsia="宋体" w:hint="default"/>
                <w:sz w:val="15"/>
                <w:szCs w:val="15"/>
              </w:rPr>
              <w:t>未分配利润</w:t>
            </w:r>
            <w:r>
              <w:rPr>
                <w:rFonts w:ascii="宋体" w:hAnsi="宋体" w:cs="宋体" w:eastAsia="宋体" w:hint="default"/>
                <w:sz w:val="15"/>
                <w:szCs w:val="15"/>
              </w:rPr>
              <w:t> </w:t>
            </w:r>
          </w:p>
        </w:tc>
        <w:tc>
          <w:tcPr>
            <w:tcW w:w="15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spacing w:val="-2"/>
                <w:sz w:val="16"/>
              </w:rPr>
              <w:t>1,614,776,633.66</w:t>
            </w:r>
            <w:r>
              <w:rPr>
                <w:rFonts w:ascii="宋体"/>
                <w:sz w:val="16"/>
              </w:rPr>
              <w:t> </w:t>
            </w:r>
          </w:p>
        </w:tc>
        <w:tc>
          <w:tcPr>
            <w:tcW w:w="17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5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w w:val="100"/>
                <w:sz w:val="16"/>
              </w:rPr>
              <w:t> </w:t>
            </w:r>
          </w:p>
        </w:tc>
        <w:tc>
          <w:tcPr>
            <w:tcW w:w="15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4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spacing w:val="-2"/>
                <w:sz w:val="16"/>
              </w:rPr>
              <w:t>-69,555,473.23</w:t>
            </w:r>
            <w:r>
              <w:rPr>
                <w:rFonts w:ascii="宋体"/>
                <w:sz w:val="16"/>
              </w:rPr>
              <w:t> </w:t>
            </w:r>
          </w:p>
        </w:tc>
        <w:tc>
          <w:tcPr>
            <w:tcW w:w="156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01"/>
              <w:ind w:right="25"/>
              <w:jc w:val="right"/>
              <w:rPr>
                <w:rFonts w:ascii="宋体" w:hAnsi="宋体" w:cs="宋体" w:eastAsia="宋体" w:hint="default"/>
                <w:sz w:val="16"/>
                <w:szCs w:val="16"/>
              </w:rPr>
            </w:pPr>
            <w:r>
              <w:rPr>
                <w:rFonts w:ascii="宋体"/>
                <w:spacing w:val="-2"/>
                <w:sz w:val="16"/>
              </w:rPr>
              <w:t>1,545,221,160.43</w:t>
            </w:r>
            <w:r>
              <w:rPr>
                <w:rFonts w:ascii="宋体"/>
                <w:sz w:val="16"/>
              </w:rPr>
              <w:t> </w:t>
            </w:r>
          </w:p>
        </w:tc>
      </w:tr>
      <w:tr>
        <w:trPr>
          <w:trHeight w:val="379" w:hRule="exact"/>
        </w:trPr>
        <w:tc>
          <w:tcPr>
            <w:tcW w:w="1541"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13"/>
              <w:ind w:left="124" w:right="0"/>
              <w:jc w:val="left"/>
              <w:rPr>
                <w:rFonts w:ascii="宋体" w:hAnsi="宋体" w:cs="宋体" w:eastAsia="宋体" w:hint="default"/>
                <w:sz w:val="15"/>
                <w:szCs w:val="15"/>
              </w:rPr>
            </w:pPr>
            <w:r>
              <w:rPr>
                <w:rFonts w:ascii="宋体" w:hAnsi="宋体" w:cs="宋体" w:eastAsia="宋体" w:hint="default"/>
                <w:sz w:val="15"/>
                <w:szCs w:val="15"/>
              </w:rPr>
              <w:t>少数股东权益</w:t>
            </w:r>
            <w:r>
              <w:rPr>
                <w:rFonts w:ascii="宋体" w:hAnsi="宋体" w:cs="宋体" w:eastAsia="宋体" w:hint="default"/>
                <w:sz w:val="15"/>
                <w:szCs w:val="15"/>
              </w:rPr>
              <w:t> </w:t>
            </w:r>
          </w:p>
        </w:tc>
        <w:tc>
          <w:tcPr>
            <w:tcW w:w="1561"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spacing w:val="-2"/>
                <w:sz w:val="16"/>
              </w:rPr>
              <w:t>77,601,643.62</w:t>
            </w:r>
            <w:r>
              <w:rPr>
                <w:rFonts w:ascii="宋体"/>
                <w:sz w:val="16"/>
              </w:rPr>
              <w:t> </w:t>
            </w:r>
          </w:p>
        </w:tc>
        <w:tc>
          <w:tcPr>
            <w:tcW w:w="170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560"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20"/>
              <w:jc w:val="right"/>
              <w:rPr>
                <w:rFonts w:ascii="宋体" w:hAnsi="宋体" w:cs="宋体" w:eastAsia="宋体" w:hint="default"/>
                <w:sz w:val="16"/>
                <w:szCs w:val="16"/>
              </w:rPr>
            </w:pPr>
            <w:r>
              <w:rPr>
                <w:rFonts w:ascii="宋体"/>
                <w:w w:val="100"/>
                <w:sz w:val="16"/>
              </w:rPr>
              <w:t> </w:t>
            </w:r>
          </w:p>
        </w:tc>
        <w:tc>
          <w:tcPr>
            <w:tcW w:w="1563"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w w:val="100"/>
                <w:sz w:val="16"/>
              </w:rPr>
              <w:t> </w:t>
            </w:r>
          </w:p>
        </w:tc>
        <w:tc>
          <w:tcPr>
            <w:tcW w:w="1452"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01"/>
              <w:ind w:right="23"/>
              <w:jc w:val="right"/>
              <w:rPr>
                <w:rFonts w:ascii="宋体" w:hAnsi="宋体" w:cs="宋体" w:eastAsia="宋体" w:hint="default"/>
                <w:sz w:val="16"/>
                <w:szCs w:val="16"/>
              </w:rPr>
            </w:pPr>
            <w:r>
              <w:rPr>
                <w:rFonts w:ascii="宋体"/>
                <w:spacing w:val="-2"/>
                <w:sz w:val="16"/>
              </w:rPr>
              <w:t>374,079.40</w:t>
            </w:r>
            <w:r>
              <w:rPr>
                <w:rFonts w:ascii="宋体"/>
                <w:sz w:val="16"/>
              </w:rPr>
              <w:t> </w:t>
            </w:r>
          </w:p>
        </w:tc>
        <w:tc>
          <w:tcPr>
            <w:tcW w:w="1560"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101"/>
              <w:ind w:right="25"/>
              <w:jc w:val="right"/>
              <w:rPr>
                <w:rFonts w:ascii="宋体" w:hAnsi="宋体" w:cs="宋体" w:eastAsia="宋体" w:hint="default"/>
                <w:sz w:val="16"/>
                <w:szCs w:val="16"/>
              </w:rPr>
            </w:pPr>
            <w:r>
              <w:rPr>
                <w:rFonts w:ascii="宋体"/>
                <w:spacing w:val="-2"/>
                <w:sz w:val="16"/>
              </w:rPr>
              <w:t>77,975,723.02</w:t>
            </w:r>
            <w:r>
              <w:rPr>
                <w:rFonts w:ascii="宋体"/>
                <w:sz w:val="16"/>
              </w:rPr>
              <w:t> </w:t>
            </w:r>
          </w:p>
        </w:tc>
      </w:tr>
    </w:tbl>
    <w:p>
      <w:pPr>
        <w:pStyle w:val="BodyText"/>
        <w:spacing w:line="240" w:lineRule="auto" w:before="87"/>
        <w:ind w:left="953" w:right="1126"/>
        <w:jc w:val="left"/>
      </w:pPr>
      <w:r>
        <w:rPr/>
        <w:t>注</w:t>
      </w:r>
      <w:r>
        <w:rPr>
          <w:spacing w:val="-47"/>
        </w:rPr>
        <w:t> </w:t>
      </w:r>
      <w:r>
        <w:rPr>
          <w:rFonts w:ascii="Times New Roman" w:hAnsi="Times New Roman" w:cs="Times New Roman" w:eastAsia="Times New Roman" w:hint="default"/>
        </w:rPr>
        <w:t>1</w:t>
      </w:r>
      <w:r>
        <w:rPr/>
        <w:t>：从可供出售金融资产转入其他权益工具投资</w:t>
      </w:r>
    </w:p>
    <w:p>
      <w:pPr>
        <w:spacing w:after="0" w:line="240" w:lineRule="auto"/>
        <w:jc w:val="left"/>
        <w:sectPr>
          <w:pgSz w:w="11910" w:h="16840"/>
          <w:pgMar w:header="916" w:footer="1261" w:top="1120" w:bottom="1460" w:left="540" w:right="0"/>
        </w:sectPr>
      </w:pPr>
    </w:p>
    <w:p>
      <w:pPr>
        <w:spacing w:line="240" w:lineRule="auto" w:before="10"/>
        <w:rPr>
          <w:rFonts w:ascii="宋体" w:hAnsi="宋体" w:cs="宋体" w:eastAsia="宋体" w:hint="default"/>
          <w:sz w:val="26"/>
          <w:szCs w:val="26"/>
        </w:rPr>
      </w:pPr>
    </w:p>
    <w:p>
      <w:pPr>
        <w:pStyle w:val="BodyText"/>
        <w:spacing w:line="463" w:lineRule="auto" w:before="44"/>
        <w:ind w:right="1184" w:firstLine="360"/>
        <w:jc w:val="both"/>
      </w:pPr>
      <w:r>
        <w:rPr/>
        <w:t>于</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日，人民币</w:t>
      </w:r>
      <w:r>
        <w:rPr>
          <w:spacing w:val="-46"/>
        </w:rPr>
        <w:t> </w:t>
      </w:r>
      <w:r>
        <w:rPr>
          <w:rFonts w:ascii="Times New Roman" w:hAnsi="Times New Roman" w:cs="Times New Roman" w:eastAsia="Times New Roman" w:hint="default"/>
        </w:rPr>
        <w:t>110,334,697.32</w:t>
      </w:r>
      <w:r>
        <w:rPr>
          <w:rFonts w:ascii="Times New Roman" w:hAnsi="Times New Roman" w:cs="Times New Roman" w:eastAsia="Times New Roman" w:hint="default"/>
          <w:spacing w:val="1"/>
        </w:rPr>
        <w:t> </w:t>
      </w:r>
      <w:r>
        <w:rPr/>
        <w:t>元的可供出售金融资产被指定为以公允价值计量且其变动计入其他综合收 益的金融资产，在资产负债表中其他权益工具投资项目下列报，该部分投资属于非交易性权益工具并且本集团预计不会在 可预见的未来出售。</w:t>
      </w:r>
    </w:p>
    <w:p>
      <w:pPr>
        <w:pStyle w:val="BodyText"/>
        <w:spacing w:line="451" w:lineRule="auto" w:before="65"/>
        <w:ind w:right="1184" w:firstLine="360"/>
        <w:jc w:val="both"/>
      </w:pPr>
      <w:r>
        <w:rPr/>
        <w:t>注</w:t>
      </w:r>
      <w:r>
        <w:rPr>
          <w:spacing w:val="-46"/>
        </w:rPr>
        <w:t> </w:t>
      </w:r>
      <w:r>
        <w:rPr>
          <w:rFonts w:ascii="Times New Roman" w:hAnsi="Times New Roman" w:cs="Times New Roman" w:eastAsia="Times New Roman" w:hint="default"/>
        </w:rPr>
        <w:t>2</w:t>
      </w:r>
      <w:r>
        <w:rPr/>
        <w:t>：于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日，本集团对分类为以摊余成本计量的金融资产根据原金融工具准则确认的损失准备与根据新 金融工具准则确认的信用损失准备的调节情况详见下表。</w:t>
      </w:r>
    </w:p>
    <w:p>
      <w:pPr>
        <w:pStyle w:val="BodyText"/>
        <w:spacing w:line="240" w:lineRule="auto" w:before="74"/>
        <w:ind w:left="3600"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日信用损失准备的调节表</w:t>
      </w:r>
    </w:p>
    <w:p>
      <w:pPr>
        <w:spacing w:line="240" w:lineRule="auto" w:before="1"/>
        <w:rPr>
          <w:rFonts w:ascii="宋体" w:hAnsi="宋体" w:cs="宋体" w:eastAsia="宋体" w:hint="default"/>
          <w:sz w:val="10"/>
          <w:szCs w:val="10"/>
        </w:rPr>
      </w:pPr>
    </w:p>
    <w:tbl>
      <w:tblPr>
        <w:tblW w:w="0" w:type="auto"/>
        <w:jc w:val="left"/>
        <w:tblInd w:w="587" w:type="dxa"/>
        <w:tblLayout w:type="fixed"/>
        <w:tblCellMar>
          <w:top w:w="0" w:type="dxa"/>
          <w:left w:w="0" w:type="dxa"/>
          <w:bottom w:w="0" w:type="dxa"/>
          <w:right w:w="0" w:type="dxa"/>
        </w:tblCellMar>
        <w:tblLook w:val="01E0"/>
      </w:tblPr>
      <w:tblGrid>
        <w:gridCol w:w="2249"/>
        <w:gridCol w:w="2127"/>
        <w:gridCol w:w="2269"/>
        <w:gridCol w:w="2093"/>
      </w:tblGrid>
      <w:tr>
        <w:trPr>
          <w:trHeight w:val="662" w:hRule="exact"/>
        </w:trPr>
        <w:tc>
          <w:tcPr>
            <w:tcW w:w="2249" w:type="dxa"/>
            <w:tcBorders>
              <w:top w:val="single" w:sz="6" w:space="0" w:color="000000"/>
              <w:left w:val="nil" w:sz="6" w:space="0" w:color="auto"/>
              <w:bottom w:val="single" w:sz="8"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127"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17"/>
              <w:ind w:left="696" w:right="63" w:hanging="629"/>
              <w:jc w:val="left"/>
              <w:rPr>
                <w:rFonts w:ascii="宋体" w:hAnsi="宋体" w:cs="宋体" w:eastAsia="宋体" w:hint="default"/>
                <w:sz w:val="18"/>
                <w:szCs w:val="18"/>
              </w:rPr>
            </w:pPr>
            <w:r>
              <w:rPr>
                <w:rFonts w:ascii="宋体" w:hAnsi="宋体" w:cs="宋体" w:eastAsia="宋体" w:hint="default"/>
                <w:sz w:val="18"/>
                <w:szCs w:val="18"/>
              </w:rPr>
              <w:t>按原金融工具准则确认的 减值准备</w:t>
            </w:r>
            <w:r>
              <w:rPr>
                <w:rFonts w:ascii="宋体" w:hAnsi="宋体" w:cs="宋体" w:eastAsia="宋体" w:hint="default"/>
                <w:sz w:val="18"/>
                <w:szCs w:val="18"/>
              </w:rPr>
              <w:t> </w:t>
            </w:r>
          </w:p>
        </w:tc>
        <w:tc>
          <w:tcPr>
            <w:tcW w:w="2269" w:type="dxa"/>
            <w:tcBorders>
              <w:top w:val="single" w:sz="6" w:space="0" w:color="000000"/>
              <w:left w:val="single" w:sz="6" w:space="0" w:color="000000"/>
              <w:bottom w:val="single" w:sz="8" w:space="0" w:color="000000"/>
              <w:right w:val="single" w:sz="6" w:space="0" w:color="000000"/>
            </w:tcBorders>
          </w:tcPr>
          <w:p>
            <w:pPr>
              <w:pStyle w:val="TableParagraph"/>
              <w:spacing w:line="316" w:lineRule="auto" w:before="17"/>
              <w:ind w:left="676" w:right="46" w:hanging="632"/>
              <w:jc w:val="left"/>
              <w:rPr>
                <w:rFonts w:ascii="宋体" w:hAnsi="宋体" w:cs="宋体" w:eastAsia="宋体" w:hint="default"/>
                <w:sz w:val="18"/>
                <w:szCs w:val="18"/>
              </w:rPr>
            </w:pPr>
            <w:r>
              <w:rPr>
                <w:rFonts w:ascii="宋体" w:hAnsi="宋体" w:cs="宋体" w:eastAsia="宋体" w:hint="default"/>
                <w:sz w:val="18"/>
                <w:szCs w:val="18"/>
              </w:rPr>
              <w:t>按新金融工具准则确认的信 用损失准备</w:t>
            </w:r>
            <w:r>
              <w:rPr>
                <w:rFonts w:ascii="宋体" w:hAnsi="宋体" w:cs="宋体" w:eastAsia="宋体" w:hint="default"/>
                <w:sz w:val="18"/>
                <w:szCs w:val="18"/>
              </w:rPr>
              <w:t> </w:t>
            </w:r>
          </w:p>
        </w:tc>
        <w:tc>
          <w:tcPr>
            <w:tcW w:w="2093"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861" w:right="0"/>
              <w:jc w:val="left"/>
              <w:rPr>
                <w:rFonts w:ascii="宋体" w:hAnsi="宋体" w:cs="宋体" w:eastAsia="宋体" w:hint="default"/>
                <w:sz w:val="18"/>
                <w:szCs w:val="18"/>
              </w:rPr>
            </w:pPr>
            <w:r>
              <w:rPr>
                <w:rFonts w:ascii="宋体" w:hAnsi="宋体" w:cs="宋体" w:eastAsia="宋体" w:hint="default"/>
                <w:sz w:val="18"/>
                <w:szCs w:val="18"/>
              </w:rPr>
              <w:t>差额</w:t>
            </w:r>
            <w:r>
              <w:rPr>
                <w:rFonts w:ascii="宋体" w:hAnsi="宋体" w:cs="宋体" w:eastAsia="宋体" w:hint="default"/>
                <w:sz w:val="18"/>
                <w:szCs w:val="18"/>
              </w:rPr>
              <w:t> </w:t>
            </w:r>
          </w:p>
        </w:tc>
      </w:tr>
      <w:tr>
        <w:trPr>
          <w:trHeight w:val="493" w:hRule="exact"/>
        </w:trPr>
        <w:tc>
          <w:tcPr>
            <w:tcW w:w="2249" w:type="dxa"/>
            <w:tcBorders>
              <w:top w:val="single" w:sz="8" w:space="0" w:color="000000"/>
              <w:left w:val="nil" w:sz="6" w:space="0" w:color="auto"/>
              <w:bottom w:val="single" w:sz="8" w:space="0" w:color="000000"/>
              <w:right w:val="single" w:sz="6"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金融资产减值准备：</w:t>
            </w:r>
            <w:r>
              <w:rPr>
                <w:rFonts w:ascii="宋体" w:hAnsi="宋体" w:cs="宋体" w:eastAsia="宋体" w:hint="default"/>
                <w:sz w:val="18"/>
                <w:szCs w:val="18"/>
              </w:rPr>
              <w:t> </w:t>
            </w:r>
          </w:p>
        </w:tc>
        <w:tc>
          <w:tcPr>
            <w:tcW w:w="2127" w:type="dxa"/>
            <w:tcBorders>
              <w:top w:val="single" w:sz="8" w:space="0" w:color="000000"/>
              <w:left w:val="single" w:sz="6" w:space="0" w:color="000000"/>
              <w:bottom w:val="single" w:sz="8" w:space="0" w:color="000000"/>
              <w:right w:val="single" w:sz="6" w:space="0" w:color="000000"/>
            </w:tcBorders>
          </w:tcPr>
          <w:p>
            <w:pPr/>
          </w:p>
        </w:tc>
        <w:tc>
          <w:tcPr>
            <w:tcW w:w="2269" w:type="dxa"/>
            <w:tcBorders>
              <w:top w:val="single" w:sz="8" w:space="0" w:color="000000"/>
              <w:left w:val="single" w:sz="6" w:space="0" w:color="000000"/>
              <w:bottom w:val="single" w:sz="8" w:space="0" w:color="000000"/>
              <w:right w:val="single" w:sz="6" w:space="0" w:color="000000"/>
            </w:tcBorders>
          </w:tcPr>
          <w:p>
            <w:pPr/>
          </w:p>
        </w:tc>
        <w:tc>
          <w:tcPr>
            <w:tcW w:w="2093" w:type="dxa"/>
            <w:tcBorders>
              <w:top w:val="single" w:sz="8" w:space="0" w:color="000000"/>
              <w:left w:val="single" w:sz="6" w:space="0" w:color="000000"/>
              <w:bottom w:val="single" w:sz="8" w:space="0" w:color="000000"/>
              <w:right w:val="nil" w:sz="6" w:space="0" w:color="auto"/>
            </w:tcBorders>
          </w:tcPr>
          <w:p>
            <w:pPr/>
          </w:p>
        </w:tc>
      </w:tr>
      <w:tr>
        <w:trPr>
          <w:trHeight w:val="494" w:hRule="exact"/>
        </w:trPr>
        <w:tc>
          <w:tcPr>
            <w:tcW w:w="2249" w:type="dxa"/>
            <w:tcBorders>
              <w:top w:val="single" w:sz="8" w:space="0" w:color="000000"/>
              <w:left w:val="nil" w:sz="6" w:space="0" w:color="auto"/>
              <w:bottom w:val="single" w:sz="8" w:space="0" w:color="000000"/>
              <w:right w:val="single" w:sz="6"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应收账款坏账准备</w:t>
            </w:r>
            <w:r>
              <w:rPr>
                <w:rFonts w:ascii="宋体" w:hAnsi="宋体" w:cs="宋体" w:eastAsia="宋体" w:hint="default"/>
                <w:sz w:val="18"/>
                <w:szCs w:val="18"/>
              </w:rPr>
              <w:t> </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440,304,283.41</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right="2"/>
              <w:jc w:val="right"/>
              <w:rPr>
                <w:rFonts w:ascii="宋体" w:hAnsi="宋体" w:cs="宋体" w:eastAsia="宋体" w:hint="default"/>
                <w:sz w:val="18"/>
                <w:szCs w:val="18"/>
              </w:rPr>
            </w:pPr>
            <w:r>
              <w:rPr>
                <w:rFonts w:ascii="宋体"/>
                <w:spacing w:val="-1"/>
                <w:sz w:val="18"/>
              </w:rPr>
              <w:t>502,328,385.45</w:t>
            </w:r>
          </w:p>
        </w:tc>
        <w:tc>
          <w:tcPr>
            <w:tcW w:w="209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89"/>
              <w:ind w:left="818" w:right="0"/>
              <w:jc w:val="left"/>
              <w:rPr>
                <w:rFonts w:ascii="宋体" w:hAnsi="宋体" w:cs="宋体" w:eastAsia="宋体" w:hint="default"/>
                <w:sz w:val="18"/>
                <w:szCs w:val="18"/>
              </w:rPr>
            </w:pPr>
            <w:r>
              <w:rPr>
                <w:rFonts w:ascii="宋体"/>
                <w:sz w:val="18"/>
              </w:rPr>
              <w:t>-62,024,102.04</w:t>
            </w:r>
          </w:p>
        </w:tc>
      </w:tr>
      <w:tr>
        <w:trPr>
          <w:trHeight w:val="494" w:hRule="exact"/>
        </w:trPr>
        <w:tc>
          <w:tcPr>
            <w:tcW w:w="2249" w:type="dxa"/>
            <w:tcBorders>
              <w:top w:val="single" w:sz="8" w:space="0" w:color="000000"/>
              <w:left w:val="nil" w:sz="6" w:space="0" w:color="auto"/>
              <w:bottom w:val="single" w:sz="8" w:space="0" w:color="000000"/>
              <w:right w:val="single" w:sz="6" w:space="0" w:color="000000"/>
            </w:tcBorders>
          </w:tcPr>
          <w:p>
            <w:pPr>
              <w:pStyle w:val="TableParagraph"/>
              <w:spacing w:line="240" w:lineRule="auto" w:before="89"/>
              <w:ind w:left="23"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r>
              <w:rPr>
                <w:rFonts w:ascii="宋体" w:hAnsi="宋体" w:cs="宋体" w:eastAsia="宋体" w:hint="default"/>
                <w:sz w:val="18"/>
                <w:szCs w:val="18"/>
              </w:rPr>
              <w:t> </w:t>
            </w:r>
          </w:p>
        </w:tc>
        <w:tc>
          <w:tcPr>
            <w:tcW w:w="212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38,876,998.00</w:t>
            </w:r>
          </w:p>
        </w:tc>
        <w:tc>
          <w:tcPr>
            <w:tcW w:w="226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right="0"/>
              <w:jc w:val="right"/>
              <w:rPr>
                <w:rFonts w:ascii="宋体" w:hAnsi="宋体" w:cs="宋体" w:eastAsia="宋体" w:hint="default"/>
                <w:sz w:val="18"/>
                <w:szCs w:val="18"/>
              </w:rPr>
            </w:pPr>
            <w:r>
              <w:rPr>
                <w:rFonts w:ascii="宋体"/>
                <w:spacing w:val="-1"/>
                <w:sz w:val="18"/>
              </w:rPr>
              <w:t>54,695,211.94</w:t>
            </w:r>
          </w:p>
        </w:tc>
        <w:tc>
          <w:tcPr>
            <w:tcW w:w="2093"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89"/>
              <w:ind w:left="818" w:right="0"/>
              <w:jc w:val="left"/>
              <w:rPr>
                <w:rFonts w:ascii="宋体" w:hAnsi="宋体" w:cs="宋体" w:eastAsia="宋体" w:hint="default"/>
                <w:sz w:val="18"/>
                <w:szCs w:val="18"/>
              </w:rPr>
            </w:pPr>
            <w:r>
              <w:rPr>
                <w:rFonts w:ascii="宋体"/>
                <w:sz w:val="18"/>
              </w:rPr>
              <w:t>-15,818,213.94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16" w:footer="1261" w:top="1120" w:bottom="1460" w:left="980" w:right="0"/>
        </w:sectPr>
      </w:pPr>
    </w:p>
    <w:p>
      <w:pPr>
        <w:pStyle w:val="BodyText"/>
        <w:spacing w:line="240" w:lineRule="auto" w:before="44"/>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2"/>
          <w:szCs w:val="12"/>
        </w:rPr>
      </w:pPr>
    </w:p>
    <w:p>
      <w:pPr>
        <w:pStyle w:val="BodyText"/>
        <w:spacing w:line="240" w:lineRule="auto"/>
        <w:ind w:right="-20"/>
        <w:jc w:val="left"/>
      </w:pPr>
      <w:r>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460" w:left="980" w:right="0"/>
          <w:cols w:num="3" w:equalWidth="0">
            <w:col w:w="1687" w:space="2501"/>
            <w:col w:w="1414" w:space="3318"/>
            <w:col w:w="2010"/>
          </w:cols>
        </w:sectPr>
      </w:pP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552"/>
        <w:gridCol w:w="2410"/>
        <w:gridCol w:w="2410"/>
        <w:gridCol w:w="2196"/>
      </w:tblGrid>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1,518,050,558.45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1,518,050,558.45</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1,121,676,020.00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1,121,676,020.00</w:t>
            </w:r>
          </w:p>
        </w:tc>
      </w:tr>
      <w:tr>
        <w:trPr>
          <w:trHeight w:val="716"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7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 计入当期损益的金融资产</w:t>
            </w:r>
          </w:p>
        </w:tc>
        <w:tc>
          <w:tcPr>
            <w:tcW w:w="24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21,676,020.00</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-21,676,020.00</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20,024,810.58</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3,006,436,880.14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2,944,412,778.10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-62,024,102.04</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115,911,248.60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115,911,248.60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82" w:type="dxa"/>
        <w:tblLayout w:type="fixed"/>
        <w:tblCellMar>
          <w:top w:w="0" w:type="dxa"/>
          <w:left w:w="0" w:type="dxa"/>
          <w:bottom w:w="0" w:type="dxa"/>
          <w:right w:w="0" w:type="dxa"/>
        </w:tblCellMar>
        <w:tblLook w:val="01E0"/>
      </w:tblPr>
      <w:tblGrid>
        <w:gridCol w:w="2552"/>
        <w:gridCol w:w="2410"/>
        <w:gridCol w:w="2410"/>
        <w:gridCol w:w="2196"/>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152,877,183.82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137,058,969.88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-15,818,213.94</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1,726,098,649.25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1,726,098,649.25</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1,122,833,926.47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22,833,926.47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7,683,909,277.31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7,606,066,961.33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-77,842,315.98</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110,334,697.32</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-110,334,697.32</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509,384,368.44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509,384,368.44</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116,371,464.16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116,371,464.16</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14,373,078.37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14,373,078.37</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532,791,372.68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532,791,372.68</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152,873,405.70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152,873,405.70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17,733,832.82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17,733,832.82</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1,544,132,544.03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1,544,132,544.03</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23,532,165.55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23,532,165.55</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107,241,466.95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115,902,389.10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8,660,922.15</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82" w:type="dxa"/>
        <w:tblLayout w:type="fixed"/>
        <w:tblCellMar>
          <w:top w:w="0" w:type="dxa"/>
          <w:left w:w="0" w:type="dxa"/>
          <w:bottom w:w="0" w:type="dxa"/>
          <w:right w:w="0" w:type="dxa"/>
        </w:tblCellMar>
        <w:tblLook w:val="01E0"/>
      </w:tblPr>
      <w:tblGrid>
        <w:gridCol w:w="2552"/>
        <w:gridCol w:w="2410"/>
        <w:gridCol w:w="2410"/>
        <w:gridCol w:w="2196"/>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3,012,396,931.86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3,027,094,620.85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14,697,688.99</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10,696,306,209.17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10,633,161,582.18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-63,144,626.99</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1,666,082,608.27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1,666,082,608.27</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7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 计入当期损益的金融负债</w:t>
            </w:r>
          </w:p>
        </w:tc>
        <w:tc>
          <w:tcPr>
            <w:tcW w:w="2410" w:type="dxa"/>
            <w:tcBorders>
              <w:top w:val="single" w:sz="4" w:space="0" w:color="000000"/>
              <w:left w:val="single" w:sz="13"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503,401,182.16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503,401,182.16</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1,757,615,905.90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1,757,615,905.90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1,050,093,691.53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1,050,093,691.53</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342,082,828.52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342,082,828.52</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112,910,824.33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112,910,824.33</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123,165,753.74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123,165,753.74</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20,026,388.89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20,026,388.89</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5,575,379,183.34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5,575,379,183.34</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45,059,375.00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45,059,375.00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82" w:type="dxa"/>
        <w:tblLayout w:type="fixed"/>
        <w:tblCellMar>
          <w:top w:w="0" w:type="dxa"/>
          <w:left w:w="0" w:type="dxa"/>
          <w:bottom w:w="0" w:type="dxa"/>
          <w:right w:w="0" w:type="dxa"/>
        </w:tblCellMar>
        <w:tblLook w:val="01E0"/>
      </w:tblPr>
      <w:tblGrid>
        <w:gridCol w:w="2552"/>
        <w:gridCol w:w="2410"/>
        <w:gridCol w:w="2410"/>
        <w:gridCol w:w="2196"/>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4,454,762.00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4,454,762.00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4,535,900.00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4,535,900.00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25,358,580.41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25,358,580.41</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17,832,072.29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27,953,321.29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10,121,249.00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97,240,689.70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107,361,938.70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10,121,249.00</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5,672,619,873.04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5,682,741,122.04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10,121,249.00</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963,431,273.00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963,431,273.00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2,274,178,387.44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2,274,178,387.44</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66,489,317.80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62,404,835.64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-4,084,482.16</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27,209,080.61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27,209,080.61</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1,614,776,633.66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1,545,221,160.43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-69,555,473.23</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4,946,084,692.51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4,872,444,737.12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-73,639,955.39</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77,601,643.62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77,975,723.02</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374,079.40</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5,023,686,336.13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4,950,420,460.14</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-73,265,875.99</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10,696,306,209.17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10,633,161,582.18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-63,144,626.99</w:t>
            </w:r>
          </w:p>
        </w:tc>
      </w:tr>
    </w:tbl>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4"/>
          <w:szCs w:val="14"/>
        </w:rPr>
      </w:pPr>
    </w:p>
    <w:p>
      <w:pPr>
        <w:pStyle w:val="BodyText"/>
        <w:spacing w:line="240" w:lineRule="auto"/>
        <w:ind w:left="0" w:right="978"/>
        <w:jc w:val="center"/>
      </w:pPr>
      <w:r>
        <w:rPr/>
        <w:t>母公司资产负债表</w:t>
      </w:r>
    </w:p>
    <w:p>
      <w:pPr>
        <w:pStyle w:val="BodyText"/>
        <w:spacing w:line="240" w:lineRule="auto" w:before="117"/>
        <w:ind w:left="0" w:right="1130"/>
        <w:jc w:val="right"/>
      </w:pPr>
      <w:r>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552"/>
        <w:gridCol w:w="2410"/>
        <w:gridCol w:w="2410"/>
        <w:gridCol w:w="2196"/>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26,836,259.23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26,836,259.23</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271,676,020.00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271,676,020.00</w:t>
            </w: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 计入当期损益的金融资产</w:t>
            </w:r>
          </w:p>
        </w:tc>
        <w:tc>
          <w:tcPr>
            <w:tcW w:w="24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21,676,020.00</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-21,676,020.00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82" w:type="dxa"/>
        <w:tblLayout w:type="fixed"/>
        <w:tblCellMar>
          <w:top w:w="0" w:type="dxa"/>
          <w:left w:w="0" w:type="dxa"/>
          <w:bottom w:w="0" w:type="dxa"/>
          <w:right w:w="0" w:type="dxa"/>
        </w:tblCellMar>
        <w:tblLook w:val="01E0"/>
      </w:tblPr>
      <w:tblGrid>
        <w:gridCol w:w="2552"/>
        <w:gridCol w:w="2410"/>
        <w:gridCol w:w="2410"/>
        <w:gridCol w:w="2196"/>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12,562,754.56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12,562,754.56</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221,408,715.75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222,986,754.57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1,578,038.82</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159,900.05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159,900.05</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69,586,506.00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69,586,011.88</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-494.12</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应收股利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21,467,571.28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21,467,571.28</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251,797,684.09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1,797,684.09</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625,495,410.96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627,072,955.66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1,577,544.70</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71,812,197.32</w:t>
            </w: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-71,812,197.32</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26,400,000.00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26,400,000.00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2,754,581,026.60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2,754,581,026.60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37,363,971.16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37,363,971.16</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222,927.86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222,927.86</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305,084.00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305,084.00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295,761.75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295,761.75</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82" w:type="dxa"/>
        <w:tblLayout w:type="fixed"/>
        <w:tblCellMar>
          <w:top w:w="0" w:type="dxa"/>
          <w:left w:w="0" w:type="dxa"/>
          <w:bottom w:w="0" w:type="dxa"/>
          <w:right w:w="0" w:type="dxa"/>
        </w:tblCellMar>
        <w:tblLook w:val="01E0"/>
      </w:tblPr>
      <w:tblGrid>
        <w:gridCol w:w="2552"/>
        <w:gridCol w:w="2410"/>
        <w:gridCol w:w="2410"/>
        <w:gridCol w:w="2196"/>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2,853,616,997.53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2,819,168,771.37</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-34,448,226.16</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3,479,112,408.49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3,446,241,727.03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-32,870,681.46</w:t>
            </w: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37,764,681.38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37,764,681.38</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 计入当期损益的金融负债</w:t>
            </w:r>
          </w:p>
        </w:tc>
        <w:tc>
          <w:tcPr>
            <w:tcW w:w="2410" w:type="dxa"/>
            <w:tcBorders>
              <w:top w:val="single" w:sz="4" w:space="0" w:color="000000"/>
              <w:left w:val="single" w:sz="13" w:space="0" w:color="D2D2D2"/>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21,639,707.31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21,639,707.31</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243,655,540.32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243,655,540.32</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5,318,079.89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5,318,079.89</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8,801,149.66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8,801,149.66</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330,117.23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330,117.23</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2,044,160.19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2,044,160.19</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应付股利</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319,553,435.98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319,553,435.98</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262" w:type="dxa"/>
        <w:tblLayout w:type="fixed"/>
        <w:tblCellMar>
          <w:top w:w="0" w:type="dxa"/>
          <w:left w:w="0" w:type="dxa"/>
          <w:bottom w:w="0" w:type="dxa"/>
          <w:right w:w="0" w:type="dxa"/>
        </w:tblCellMar>
        <w:tblLook w:val="01E0"/>
      </w:tblPr>
      <w:tblGrid>
        <w:gridCol w:w="2552"/>
        <w:gridCol w:w="2410"/>
        <w:gridCol w:w="2410"/>
        <w:gridCol w:w="2196"/>
      </w:tblGrid>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319,553,435.98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319,553,435.98</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963,431,273.00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963,431,273.00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2,099,414,949.00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2,099,414,949.00</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-34,448,226.16</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-34,448,226.16</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1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27,209,080.61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27,209,080.61</w:t>
            </w:r>
          </w:p>
        </w:tc>
        <w:tc>
          <w:tcPr>
            <w:tcW w:w="21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69,503,669.90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71,081,214.60</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1,577,544.70</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3,159,558,972.51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3,126,688,291.05</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-32,870,681.46</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3,479,112,408.49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3,446,241,727.03</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-32,870,681.46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left="233" w:right="1372"/>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233" w:right="1372"/>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left="233" w:right="1372"/>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left="233" w:right="1372"/>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1702"/>
        <w:gridCol w:w="4110"/>
        <w:gridCol w:w="4076"/>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4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增值税（注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1"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一般纳税人应纳税额按应纳税销售额 乘以适用税率扣除当期允许抵扣的进项税后的余额 计算；小规模纳税人按应税收入乘以适用税率计算</w:t>
            </w:r>
            <w:r>
              <w:rPr>
                <w:rFonts w:ascii="Times New Roman" w:hAnsi="Times New Roman" w:cs="Times New Roman" w:eastAsia="Times New Roman" w:hint="default"/>
                <w:sz w:val="18"/>
                <w:szCs w:val="18"/>
              </w:rPr>
              <w:t>)</w:t>
            </w:r>
          </w:p>
        </w:tc>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4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、免征所得税</w:t>
            </w:r>
          </w:p>
        </w:tc>
      </w:tr>
    </w:tbl>
    <w:p>
      <w:pPr>
        <w:pStyle w:val="BodyText"/>
        <w:spacing w:line="451" w:lineRule="auto" w:before="87"/>
        <w:ind w:left="233" w:right="1372" w:firstLine="360"/>
        <w:jc w:val="left"/>
      </w:pPr>
      <w:r>
        <w:rPr/>
        <w:t>注</w:t>
      </w:r>
      <w:r>
        <w:rPr>
          <w:spacing w:val="-46"/>
        </w:rPr>
        <w:t> </w:t>
      </w:r>
      <w:r>
        <w:rPr>
          <w:rFonts w:ascii="Times New Roman" w:hAnsi="Times New Roman" w:cs="Times New Roman" w:eastAsia="Times New Roman" w:hint="default"/>
        </w:rPr>
        <w:t>1</w:t>
      </w:r>
      <w:r>
        <w:rPr/>
        <w:t>：根据财政部、国家税务总局颁布的《关于调整增值税税率的通知》（财税</w:t>
      </w:r>
      <w:r>
        <w:rPr>
          <w:rFonts w:ascii="Times New Roman" w:hAnsi="Times New Roman" w:cs="Times New Roman" w:eastAsia="Times New Roman" w:hint="default"/>
        </w:rPr>
        <w:t>[2018]32</w:t>
      </w:r>
      <w:r>
        <w:rPr>
          <w:rFonts w:ascii="Times New Roman" w:hAnsi="Times New Roman" w:cs="Times New Roman" w:eastAsia="Times New Roman" w:hint="default"/>
          <w:spacing w:val="-1"/>
        </w:rPr>
        <w:t> </w:t>
      </w:r>
      <w:r>
        <w:rPr/>
        <w:t>号），自</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 </w:t>
      </w:r>
      <w:r>
        <w:rPr/>
        <w:t>日 起，纳税人发生增值税应税销售行为或者进口货物，将税率</w:t>
      </w:r>
      <w:r>
        <w:rPr>
          <w:spacing w:val="-46"/>
        </w:rPr>
        <w:t> </w:t>
      </w:r>
      <w:r>
        <w:rPr>
          <w:rFonts w:ascii="Times New Roman" w:hAnsi="Times New Roman" w:cs="Times New Roman" w:eastAsia="Times New Roman" w:hint="default"/>
        </w:rPr>
        <w:t>17%</w:t>
      </w:r>
      <w:r>
        <w:rPr/>
        <w:t>、</w:t>
      </w:r>
      <w:r>
        <w:rPr>
          <w:rFonts w:ascii="Times New Roman" w:hAnsi="Times New Roman" w:cs="Times New Roman" w:eastAsia="Times New Roman" w:hint="default"/>
        </w:rPr>
        <w:t>11%</w:t>
      </w:r>
      <w:r>
        <w:rPr/>
        <w:t>变更为</w:t>
      </w:r>
      <w:r>
        <w:rPr>
          <w:spacing w:val="-47"/>
        </w:rPr>
        <w:t> </w:t>
      </w:r>
      <w:r>
        <w:rPr>
          <w:rFonts w:ascii="Times New Roman" w:hAnsi="Times New Roman" w:cs="Times New Roman" w:eastAsia="Times New Roman" w:hint="default"/>
        </w:rPr>
        <w:t>16%</w:t>
      </w:r>
      <w:r>
        <w:rPr/>
        <w:t>、</w:t>
      </w:r>
      <w:r>
        <w:rPr>
          <w:rFonts w:ascii="Times New Roman" w:hAnsi="Times New Roman" w:cs="Times New Roman" w:eastAsia="Times New Roman" w:hint="default"/>
        </w:rPr>
        <w:t>10%</w:t>
      </w:r>
      <w:r>
        <w:rPr/>
        <w:t>。</w:t>
      </w:r>
    </w:p>
    <w:p>
      <w:pPr>
        <w:spacing w:after="0" w:line="451" w:lineRule="auto"/>
        <w:jc w:val="left"/>
        <w:sectPr>
          <w:pgSz w:w="11910" w:h="16840"/>
          <w:pgMar w:header="916" w:footer="1261" w:top="1120" w:bottom="1460" w:left="900" w:right="0"/>
        </w:sectPr>
      </w:pPr>
    </w:p>
    <w:p>
      <w:pPr>
        <w:spacing w:line="240" w:lineRule="auto" w:before="10"/>
        <w:rPr>
          <w:rFonts w:ascii="宋体" w:hAnsi="宋体" w:cs="宋体" w:eastAsia="宋体" w:hint="default"/>
          <w:sz w:val="26"/>
          <w:szCs w:val="26"/>
        </w:rPr>
      </w:pPr>
    </w:p>
    <w:p>
      <w:pPr>
        <w:pStyle w:val="BodyText"/>
        <w:spacing w:line="463" w:lineRule="auto" w:before="44"/>
        <w:ind w:right="1125" w:firstLine="360"/>
        <w:jc w:val="left"/>
      </w:pPr>
      <w:r>
        <w:rPr/>
        <w:t>根据财政部、国家税务总局、海关总署联合发布的《关于深化增值税改革有关政策的公告》（财政部 税务总局</w:t>
      </w:r>
      <w:r>
        <w:rPr>
          <w:spacing w:val="3"/>
        </w:rPr>
        <w:t> </w:t>
      </w:r>
      <w:r>
        <w:rPr/>
        <w:t>海关</w:t>
      </w:r>
      <w:r>
        <w:rPr/>
        <w:t> 总署公告</w:t>
      </w:r>
      <w:r>
        <w:rPr>
          <w:spacing w:val="-47"/>
        </w:rPr>
        <w:t> </w:t>
      </w:r>
      <w:r>
        <w:rPr>
          <w:rFonts w:ascii="Times New Roman" w:hAnsi="Times New Roman" w:cs="Times New Roman" w:eastAsia="Times New Roman" w:hint="default"/>
        </w:rPr>
        <w:t>2019 </w:t>
      </w:r>
      <w:r>
        <w:rPr/>
        <w:t>年第</w:t>
      </w:r>
      <w:r>
        <w:rPr>
          <w:spacing w:val="-47"/>
        </w:rPr>
        <w:t> </w:t>
      </w:r>
      <w:r>
        <w:rPr>
          <w:rFonts w:ascii="Times New Roman" w:hAnsi="Times New Roman" w:cs="Times New Roman" w:eastAsia="Times New Roman" w:hint="default"/>
        </w:rPr>
        <w:t>39</w:t>
      </w:r>
      <w:r>
        <w:rPr>
          <w:rFonts w:ascii="Times New Roman" w:hAnsi="Times New Roman" w:cs="Times New Roman" w:eastAsia="Times New Roman" w:hint="default"/>
          <w:spacing w:val="-1"/>
        </w:rPr>
        <w:t> </w:t>
      </w:r>
      <w:r>
        <w:rPr/>
        <w:t>号），自</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日起，纳税人发生增值税应税销售行为或者进口货物，将税率</w:t>
      </w:r>
      <w:r>
        <w:rPr>
          <w:spacing w:val="-46"/>
        </w:rPr>
        <w:t> </w:t>
      </w:r>
      <w:r>
        <w:rPr>
          <w:rFonts w:ascii="Times New Roman" w:hAnsi="Times New Roman" w:cs="Times New Roman" w:eastAsia="Times New Roman" w:hint="default"/>
        </w:rPr>
        <w:t>16%</w:t>
      </w:r>
      <w:r>
        <w:rPr/>
        <w:t>、</w:t>
      </w:r>
      <w:r>
        <w:rPr>
          <w:rFonts w:ascii="Times New Roman" w:hAnsi="Times New Roman" w:cs="Times New Roman" w:eastAsia="Times New Roman" w:hint="default"/>
        </w:rPr>
        <w:t>10%</w:t>
      </w:r>
      <w:r>
        <w:rPr/>
        <w:t>变 更为</w:t>
      </w:r>
      <w:r>
        <w:rPr>
          <w:spacing w:val="-47"/>
        </w:rPr>
        <w:t> </w:t>
      </w:r>
      <w:r>
        <w:rPr>
          <w:rFonts w:ascii="Times New Roman" w:hAnsi="Times New Roman" w:cs="Times New Roman" w:eastAsia="Times New Roman" w:hint="default"/>
        </w:rPr>
        <w:t>13%</w:t>
      </w:r>
      <w:r>
        <w:rPr/>
        <w:t>、</w:t>
      </w:r>
      <w:r>
        <w:rPr>
          <w:rFonts w:ascii="Times New Roman" w:hAnsi="Times New Roman" w:cs="Times New Roman" w:eastAsia="Times New Roman" w:hint="default"/>
        </w:rPr>
        <w:t>9%</w:t>
      </w:r>
      <w:r>
        <w:rPr/>
        <w:t>。</w:t>
      </w:r>
    </w:p>
    <w:p>
      <w:pPr>
        <w:pStyle w:val="BodyText"/>
        <w:spacing w:line="451" w:lineRule="auto" w:before="33"/>
        <w:ind w:right="0" w:firstLine="360"/>
        <w:jc w:val="left"/>
      </w:pPr>
      <w:r>
        <w:rPr/>
        <w:t>注</w:t>
      </w:r>
      <w:r>
        <w:rPr>
          <w:spacing w:val="-47"/>
        </w:rPr>
        <w:t> </w:t>
      </w:r>
      <w:r>
        <w:rPr>
          <w:rFonts w:ascii="Times New Roman" w:hAnsi="Times New Roman" w:cs="Times New Roman" w:eastAsia="Times New Roman" w:hint="default"/>
        </w:rPr>
        <w:t>2</w:t>
      </w:r>
      <w:r>
        <w:rPr/>
        <w:t>：神州数码系统集成服务有限公司之子公司</w:t>
      </w:r>
      <w:r>
        <w:rPr>
          <w:spacing w:val="-46"/>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2"/>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3"/>
        </w:rPr>
        <w:t> </w:t>
      </w:r>
      <w:r>
        <w:rPr>
          <w:rFonts w:ascii="Times New Roman" w:hAnsi="Times New Roman" w:cs="Times New Roman" w:eastAsia="Times New Roman" w:hint="default"/>
        </w:rPr>
        <w:t>Software</w:t>
      </w:r>
      <w:r>
        <w:rPr>
          <w:rFonts w:ascii="Times New Roman" w:hAnsi="Times New Roman" w:cs="Times New Roman" w:eastAsia="Times New Roman" w:hint="default"/>
          <w:spacing w:val="-3"/>
        </w:rPr>
        <w:t> </w:t>
      </w:r>
      <w:r>
        <w:rPr>
          <w:rFonts w:ascii="Times New Roman" w:hAnsi="Times New Roman" w:cs="Times New Roman" w:eastAsia="Times New Roman" w:hint="default"/>
        </w:rPr>
        <w:t>(BVI)</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rFonts w:ascii="Times New Roman" w:hAnsi="Times New Roman" w:cs="Times New Roman" w:eastAsia="Times New Roman" w:hint="default"/>
          <w:spacing w:val="1"/>
        </w:rPr>
        <w:t> </w:t>
      </w:r>
      <w:r>
        <w:rPr/>
        <w:t>为注册在英属维尔京群岛的离岸企</w:t>
      </w:r>
      <w:r>
        <w:rPr>
          <w:w w:val="99"/>
        </w:rPr>
        <w:t> </w:t>
      </w:r>
      <w:r>
        <w:rPr/>
        <w:t>业。按照当地税务法例，非当地经营所得利润以及资本利得，不缴纳利得税。</w:t>
      </w:r>
    </w:p>
    <w:p>
      <w:pPr>
        <w:pStyle w:val="BodyText"/>
        <w:spacing w:line="451" w:lineRule="auto" w:before="74"/>
        <w:ind w:right="1125" w:firstLine="360"/>
        <w:jc w:val="left"/>
      </w:pPr>
      <w:r>
        <w:rPr>
          <w:rFonts w:ascii="Times New Roman" w:hAnsi="Times New Roman" w:cs="Times New Roman" w:eastAsia="Times New Roman" w:hint="default"/>
        </w:rPr>
        <w:t>Digital</w:t>
      </w:r>
      <w:r>
        <w:rPr>
          <w:rFonts w:ascii="Times New Roman" w:hAnsi="Times New Roman" w:cs="Times New Roman" w:eastAsia="Times New Roman" w:hint="default"/>
          <w:spacing w:val="-2"/>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3"/>
        </w:rPr>
        <w:t> </w:t>
      </w:r>
      <w:r>
        <w:rPr>
          <w:rFonts w:ascii="Times New Roman" w:hAnsi="Times New Roman" w:cs="Times New Roman" w:eastAsia="Times New Roman" w:hint="default"/>
        </w:rPr>
        <w:t>Software</w:t>
      </w:r>
      <w:r>
        <w:rPr>
          <w:rFonts w:ascii="Times New Roman" w:hAnsi="Times New Roman" w:cs="Times New Roman" w:eastAsia="Times New Roman" w:hint="default"/>
          <w:spacing w:val="-3"/>
        </w:rPr>
        <w:t> </w:t>
      </w:r>
      <w:r>
        <w:rPr>
          <w:rFonts w:ascii="Times New Roman" w:hAnsi="Times New Roman" w:cs="Times New Roman" w:eastAsia="Times New Roman" w:hint="default"/>
        </w:rPr>
        <w:t>(BVI)</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t>之子公司</w:t>
      </w:r>
      <w:r>
        <w:rPr>
          <w:spacing w:val="-47"/>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2"/>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3"/>
        </w:rPr>
        <w:t> </w:t>
      </w:r>
      <w:r>
        <w:rPr>
          <w:rFonts w:ascii="Times New Roman" w:hAnsi="Times New Roman" w:cs="Times New Roman" w:eastAsia="Times New Roman" w:hint="default"/>
        </w:rPr>
        <w:t>Advanced</w:t>
      </w:r>
      <w:r>
        <w:rPr>
          <w:rFonts w:ascii="Times New Roman" w:hAnsi="Times New Roman" w:cs="Times New Roman" w:eastAsia="Times New Roman" w:hint="default"/>
          <w:spacing w:val="-1"/>
        </w:rPr>
        <w:t> </w:t>
      </w:r>
      <w:r>
        <w:rPr>
          <w:rFonts w:ascii="Times New Roman" w:hAnsi="Times New Roman" w:cs="Times New Roman" w:eastAsia="Times New Roman" w:hint="default"/>
        </w:rPr>
        <w:t>Systems</w:t>
      </w:r>
      <w:r>
        <w:rPr>
          <w:rFonts w:ascii="Times New Roman" w:hAnsi="Times New Roman" w:cs="Times New Roman" w:eastAsia="Times New Roman" w:hint="default"/>
          <w:spacing w:val="-2"/>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2"/>
        </w:rPr>
        <w:t> </w:t>
      </w:r>
      <w:r>
        <w:rPr/>
        <w:t>申请海外收入税务优惠，不缴纳利得 税。</w:t>
      </w:r>
    </w:p>
    <w:p>
      <w:pPr>
        <w:pStyle w:val="BodyText"/>
        <w:spacing w:line="451" w:lineRule="auto" w:before="74"/>
        <w:ind w:right="0" w:firstLine="360"/>
        <w:jc w:val="left"/>
      </w:pPr>
      <w:r>
        <w:rPr>
          <w:rFonts w:ascii="Times New Roman" w:hAnsi="Times New Roman" w:cs="Times New Roman" w:eastAsia="Times New Roman" w:hint="default"/>
        </w:rPr>
        <w:t>Digital</w:t>
      </w:r>
      <w:r>
        <w:rPr>
          <w:rFonts w:ascii="Times New Roman" w:hAnsi="Times New Roman" w:cs="Times New Roman" w:eastAsia="Times New Roman" w:hint="default"/>
          <w:spacing w:val="-2"/>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3"/>
        </w:rPr>
        <w:t> </w:t>
      </w:r>
      <w:r>
        <w:rPr>
          <w:rFonts w:ascii="Times New Roman" w:hAnsi="Times New Roman" w:cs="Times New Roman" w:eastAsia="Times New Roman" w:hint="default"/>
        </w:rPr>
        <w:t>Software</w:t>
      </w:r>
      <w:r>
        <w:rPr>
          <w:rFonts w:ascii="Times New Roman" w:hAnsi="Times New Roman" w:cs="Times New Roman" w:eastAsia="Times New Roman" w:hint="default"/>
          <w:spacing w:val="-3"/>
        </w:rPr>
        <w:t> </w:t>
      </w:r>
      <w:r>
        <w:rPr>
          <w:rFonts w:ascii="Times New Roman" w:hAnsi="Times New Roman" w:cs="Times New Roman" w:eastAsia="Times New Roman" w:hint="default"/>
        </w:rPr>
        <w:t>(BVI)</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t>之子公司</w:t>
      </w:r>
      <w:r>
        <w:rPr>
          <w:spacing w:val="-47"/>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2"/>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3"/>
        </w:rPr>
        <w:t> </w:t>
      </w:r>
      <w:r>
        <w:rPr>
          <w:rFonts w:ascii="Times New Roman" w:hAnsi="Times New Roman" w:cs="Times New Roman" w:eastAsia="Times New Roman" w:hint="default"/>
        </w:rPr>
        <w:t>Financial</w:t>
      </w:r>
      <w:r>
        <w:rPr>
          <w:rFonts w:ascii="Times New Roman" w:hAnsi="Times New Roman" w:cs="Times New Roman" w:eastAsia="Times New Roman" w:hint="default"/>
          <w:spacing w:val="-2"/>
        </w:rPr>
        <w:t> </w:t>
      </w:r>
      <w:r>
        <w:rPr>
          <w:rFonts w:ascii="Times New Roman" w:hAnsi="Times New Roman" w:cs="Times New Roman" w:eastAsia="Times New Roman" w:hint="default"/>
        </w:rPr>
        <w:t>Service</w:t>
      </w:r>
      <w:r>
        <w:rPr>
          <w:rFonts w:ascii="Times New Roman" w:hAnsi="Times New Roman" w:cs="Times New Roman" w:eastAsia="Times New Roman" w:hint="default"/>
          <w:spacing w:val="-3"/>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3"/>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3"/>
        </w:rPr>
        <w:t> </w:t>
      </w:r>
      <w:r>
        <w:rPr/>
        <w:t>为香港居民企业，其所得税适 用香港税务法例。按照香港税务法例，其适用利得税税率为</w:t>
      </w:r>
      <w:r>
        <w:rPr>
          <w:spacing w:val="-44"/>
        </w:rPr>
        <w:t> </w:t>
      </w:r>
      <w:r>
        <w:rPr>
          <w:rFonts w:ascii="Times New Roman" w:hAnsi="Times New Roman" w:cs="Times New Roman" w:eastAsia="Times New Roman" w:hint="default"/>
        </w:rPr>
        <w:t>16.5%</w:t>
      </w:r>
      <w:r>
        <w:rPr/>
        <w:t>。</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存在不同企业所得税税率纳税主体的，披露情况说明</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tbl>
      <w:tblPr>
        <w:tblW w:w="0" w:type="auto"/>
        <w:jc w:val="left"/>
        <w:tblInd w:w="182"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江苏神州数码国信信息技术有限公司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北京神州数码锐行快捷信息技术服务有限公司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杨凌农业云服务有限公司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湖南中农信达信息科技有限公司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神州灵云（北京）科技有限公司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神州土地（北京）信息技术有限公司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南京华苏科技有限公司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南京神州金信电子科技有限公司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广州神州金信电子科技有限公司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神州数码信息系统（扬州）有限公司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深圳神州数码信息技术服务有限公司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北京神州通慧科技有限公司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智慧神州天融（北京）监测技术有限公司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中能国电（北京）新能源投资有限公司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杨凌安全农产品溯源标识管理有限公司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神州远景（西安）科技发展有限公司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center"/>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4782"/>
        <w:gridCol w:w="4787"/>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神州国信（北京）量子科技有限公司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北京神州邦邦技术服务有限公司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贵州中农信达信息技术有限公司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香河旗硕智能科技有限公司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南京华苏软件有限公司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南京瑞擎科技有限公司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新疆神州三宝信息技术有限公司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神州龙安（金华）信息技术服务有限公司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枣强县农村产权交易服务有限公司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西安远景信息技术有限公司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免征所得税</w:t>
            </w:r>
          </w:p>
        </w:tc>
      </w:tr>
    </w:tbl>
    <w:p>
      <w:pPr>
        <w:pStyle w:val="BodyText"/>
        <w:spacing w:line="240" w:lineRule="auto" w:before="49"/>
        <w:ind w:right="0"/>
        <w:jc w:val="left"/>
      </w:pPr>
      <w:r>
        <w:rPr/>
        <w:t>注：本公司及除上表中的其他中国大陆子公司适用所得税税率</w:t>
      </w:r>
      <w:r>
        <w:rPr>
          <w:spacing w:val="-44"/>
        </w:rPr>
        <w:t> </w:t>
      </w:r>
      <w:r>
        <w:rPr>
          <w:rFonts w:ascii="Times New Roman" w:hAnsi="Times New Roman" w:cs="Times New Roman" w:eastAsia="Times New Roman" w:hint="default"/>
        </w:rPr>
        <w:t>25%</w:t>
      </w:r>
      <w:r>
        <w:rPr/>
        <w:t>。</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32"/>
          <w:szCs w:val="32"/>
        </w:rPr>
      </w:pPr>
    </w:p>
    <w:p>
      <w:pPr>
        <w:pStyle w:val="BodyText"/>
        <w:spacing w:line="240" w:lineRule="auto"/>
        <w:ind w:left="352" w:right="0"/>
        <w:jc w:val="left"/>
      </w:pPr>
      <w:r>
        <w:rPr/>
        <w:t>（</w:t>
      </w:r>
      <w:r>
        <w:rPr>
          <w:rFonts w:ascii="Times New Roman" w:hAnsi="Times New Roman" w:cs="Times New Roman" w:eastAsia="Times New Roman" w:hint="default"/>
        </w:rPr>
        <w:t>1</w:t>
      </w:r>
      <w:r>
        <w:rPr/>
        <w:t>）企业所得税</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本公司之子公司神州数码系统集成服务有限公司</w:t>
      </w:r>
      <w:r>
        <w:rPr>
          <w:spacing w:val="-45"/>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月取得高新技术企业认证</w:t>
      </w:r>
      <w:r>
        <w:rPr>
          <w:rFonts w:ascii="Times New Roman" w:hAnsi="Times New Roman" w:cs="Times New Roman" w:eastAsia="Times New Roman" w:hint="default"/>
        </w:rPr>
        <w:t>,</w:t>
      </w:r>
      <w:r>
        <w:rPr/>
        <w:t>并于</w:t>
      </w:r>
      <w:r>
        <w:rPr>
          <w:spacing w:val="-4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5 </w:t>
      </w:r>
      <w:r>
        <w:rPr/>
        <w:t>月和</w:t>
      </w:r>
      <w:r>
        <w:rPr>
          <w:spacing w:val="-4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11 </w:t>
      </w:r>
      <w:r>
        <w:rPr/>
        <w:t>月</w:t>
      </w:r>
    </w:p>
    <w:p>
      <w:pPr>
        <w:spacing w:line="240" w:lineRule="auto" w:before="9"/>
        <w:rPr>
          <w:rFonts w:ascii="宋体" w:hAnsi="宋体" w:cs="宋体" w:eastAsia="宋体" w:hint="default"/>
          <w:sz w:val="16"/>
          <w:szCs w:val="16"/>
        </w:rPr>
      </w:pPr>
    </w:p>
    <w:p>
      <w:pPr>
        <w:pStyle w:val="BodyText"/>
        <w:spacing w:line="451" w:lineRule="auto"/>
        <w:ind w:right="1265"/>
        <w:jc w:val="left"/>
      </w:pPr>
      <w:r>
        <w:rPr/>
        <w:t>通过高新技术企业复审</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月通过高新技术企业重新认定。根据《中华人民共和国企业所得税法》规定，自获得高 新技术企业认定后三年内，将享受按</w:t>
      </w:r>
      <w:r>
        <w:rPr>
          <w:spacing w:val="-46"/>
        </w:rPr>
        <w:t> </w:t>
      </w:r>
      <w:r>
        <w:rPr>
          <w:rFonts w:ascii="Times New Roman" w:hAnsi="Times New Roman" w:cs="Times New Roman" w:eastAsia="Times New Roman" w:hint="default"/>
        </w:rPr>
        <w:t>15%</w:t>
      </w:r>
      <w:r>
        <w:rPr/>
        <w:t>的税率征收企业所得税的税收优惠政策。</w:t>
      </w:r>
      <w:r>
        <w:rPr>
          <w:rFonts w:ascii="Times New Roman" w:hAnsi="Times New Roman" w:cs="Times New Roman" w:eastAsia="Times New Roman" w:hint="default"/>
        </w:rPr>
        <w:t>2019 </w:t>
      </w:r>
      <w:r>
        <w:rPr/>
        <w:t>年适用所得税税率为</w:t>
      </w:r>
      <w:r>
        <w:rPr>
          <w:spacing w:val="-47"/>
        </w:rPr>
        <w:t> </w:t>
      </w:r>
      <w:r>
        <w:rPr>
          <w:rFonts w:ascii="Times New Roman" w:hAnsi="Times New Roman" w:cs="Times New Roman" w:eastAsia="Times New Roman" w:hint="default"/>
        </w:rPr>
        <w:t>15%</w:t>
      </w:r>
      <w:r>
        <w:rPr/>
        <w:t>。</w:t>
      </w:r>
    </w:p>
    <w:p>
      <w:pPr>
        <w:pStyle w:val="BodyText"/>
        <w:spacing w:line="451" w:lineRule="auto" w:before="44"/>
        <w:ind w:right="1174" w:firstLine="360"/>
        <w:jc w:val="left"/>
      </w:pPr>
      <w:r>
        <w:rPr/>
        <w:t>神州数码信息系统有限公司</w:t>
      </w:r>
      <w:r>
        <w:rPr>
          <w:spacing w:val="-46"/>
        </w:rPr>
        <w:t> </w:t>
      </w:r>
      <w:r>
        <w:rPr>
          <w:rFonts w:ascii="Times New Roman" w:hAnsi="Times New Roman" w:cs="Times New Roman" w:eastAsia="Times New Roman" w:hint="default"/>
        </w:rPr>
        <w:t>2019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月取得高新技术企业认证</w:t>
      </w:r>
      <w:r>
        <w:rPr>
          <w:rFonts w:ascii="Times New Roman" w:hAnsi="Times New Roman" w:cs="Times New Roman" w:eastAsia="Times New Roman" w:hint="default"/>
        </w:rPr>
        <w:t>,</w:t>
      </w:r>
      <w:r>
        <w:rPr/>
        <w:t>根据《中华人民共和国企业所得税法》规定，自获得 高新技术企业认定后三年内，将享受按</w:t>
      </w:r>
      <w:r>
        <w:rPr>
          <w:spacing w:val="-45"/>
        </w:rPr>
        <w:t> </w:t>
      </w:r>
      <w:r>
        <w:rPr>
          <w:rFonts w:ascii="Times New Roman" w:hAnsi="Times New Roman" w:cs="Times New Roman" w:eastAsia="Times New Roman" w:hint="default"/>
        </w:rPr>
        <w:t>15%</w:t>
      </w:r>
      <w:r>
        <w:rPr/>
        <w:t>的税率征收企业所得税的税收优惠政策。</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年适用所得税税率为</w:t>
      </w:r>
      <w:r>
        <w:rPr>
          <w:spacing w:val="-46"/>
        </w:rPr>
        <w:t> </w:t>
      </w:r>
      <w:r>
        <w:rPr>
          <w:rFonts w:ascii="Times New Roman" w:hAnsi="Times New Roman" w:cs="Times New Roman" w:eastAsia="Times New Roman" w:hint="default"/>
        </w:rPr>
        <w:t>15%</w:t>
      </w:r>
      <w:r>
        <w:rPr/>
        <w:t>。</w:t>
      </w:r>
    </w:p>
    <w:p>
      <w:pPr>
        <w:pStyle w:val="BodyText"/>
        <w:spacing w:line="240" w:lineRule="auto" w:before="43"/>
        <w:ind w:left="513" w:right="0"/>
        <w:jc w:val="left"/>
      </w:pPr>
      <w:r>
        <w:rPr/>
        <w:t>江苏神州数码国信信息技术有限公司自</w:t>
      </w:r>
      <w:r>
        <w:rPr>
          <w:spacing w:val="-4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 </w:t>
      </w:r>
      <w:r>
        <w:rPr/>
        <w:t>月取得高新技术企业认证，</w:t>
      </w:r>
      <w:r>
        <w:rPr>
          <w:rFonts w:ascii="Times New Roman" w:hAnsi="Times New Roman" w:cs="Times New Roman" w:eastAsia="Times New Roman" w:hint="default"/>
        </w:rPr>
        <w:t>2011</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 </w:t>
      </w:r>
      <w:r>
        <w:rPr/>
        <w:t>月通过高新技术企业复审，</w:t>
      </w:r>
    </w:p>
    <w:p>
      <w:pPr>
        <w:spacing w:line="240" w:lineRule="auto" w:before="9"/>
        <w:rPr>
          <w:rFonts w:ascii="宋体" w:hAnsi="宋体" w:cs="宋体" w:eastAsia="宋体" w:hint="default"/>
          <w:sz w:val="16"/>
          <w:szCs w:val="16"/>
        </w:rPr>
      </w:pPr>
    </w:p>
    <w:p>
      <w:pPr>
        <w:pStyle w:val="BodyText"/>
        <w:spacing w:line="451" w:lineRule="auto"/>
        <w:ind w:right="1143"/>
        <w:jc w:val="left"/>
      </w:pPr>
      <w:r>
        <w:rPr>
          <w:rFonts w:ascii="Times New Roman" w:hAnsi="Times New Roman" w:cs="Times New Roman" w:eastAsia="Times New Roman" w:hint="default"/>
        </w:rPr>
        <w:t>2014 </w:t>
      </w:r>
      <w:r>
        <w:rPr/>
        <w:t>年</w:t>
      </w:r>
      <w:r>
        <w:rPr>
          <w:spacing w:val="-48"/>
        </w:rPr>
        <w:t> </w:t>
      </w:r>
      <w:r>
        <w:rPr>
          <w:rFonts w:ascii="Times New Roman" w:hAnsi="Times New Roman" w:cs="Times New Roman" w:eastAsia="Times New Roman" w:hint="default"/>
        </w:rPr>
        <w:t>6 </w:t>
      </w:r>
      <w:r>
        <w:rPr/>
        <w:t>月通过高新技术企业复审，</w:t>
      </w:r>
      <w:r>
        <w:rPr>
          <w:rFonts w:ascii="Times New Roman" w:hAnsi="Times New Roman" w:cs="Times New Roman" w:eastAsia="Times New Roman" w:hint="default"/>
        </w:rPr>
        <w:t>2017 </w:t>
      </w:r>
      <w:r>
        <w:rPr/>
        <w:t>年</w:t>
      </w:r>
      <w:r>
        <w:rPr>
          <w:spacing w:val="-48"/>
        </w:rPr>
        <w:t> </w:t>
      </w:r>
      <w:r>
        <w:rPr>
          <w:rFonts w:ascii="Times New Roman" w:hAnsi="Times New Roman" w:cs="Times New Roman" w:eastAsia="Times New Roman" w:hint="default"/>
        </w:rPr>
        <w:t>11 </w:t>
      </w:r>
      <w:r>
        <w:rPr/>
        <w:t>月通过高新技术企业重新认定。根据《中华人民共和国企业所得税法》规 定，自获得高新技术企业认定后三年内，将享受按</w:t>
      </w:r>
      <w:r>
        <w:rPr>
          <w:spacing w:val="-46"/>
        </w:rPr>
        <w:t> </w:t>
      </w:r>
      <w:r>
        <w:rPr>
          <w:rFonts w:ascii="Times New Roman" w:hAnsi="Times New Roman" w:cs="Times New Roman" w:eastAsia="Times New Roman" w:hint="default"/>
        </w:rPr>
        <w:t>15%</w:t>
      </w:r>
      <w:r>
        <w:rPr/>
        <w:t>的税率征收企业所得税的税收优惠政策。</w:t>
      </w:r>
      <w:r>
        <w:rPr>
          <w:rFonts w:ascii="Times New Roman" w:hAnsi="Times New Roman" w:cs="Times New Roman" w:eastAsia="Times New Roman" w:hint="default"/>
        </w:rPr>
        <w:t>2019 </w:t>
      </w:r>
      <w:r>
        <w:rPr/>
        <w:t>年适用</w:t>
      </w:r>
      <w:r>
        <w:rPr>
          <w:spacing w:val="-49"/>
        </w:rPr>
        <w:t> </w:t>
      </w:r>
      <w:r>
        <w:rPr>
          <w:rFonts w:ascii="Times New Roman" w:hAnsi="Times New Roman" w:cs="Times New Roman" w:eastAsia="Times New Roman" w:hint="default"/>
        </w:rPr>
        <w:t>15%</w:t>
      </w:r>
      <w:r>
        <w:rPr/>
        <w:t>所得税税 率。</w:t>
      </w:r>
    </w:p>
    <w:p>
      <w:pPr>
        <w:pStyle w:val="BodyText"/>
        <w:spacing w:line="451" w:lineRule="auto" w:before="74"/>
        <w:ind w:right="1154" w:firstLine="360"/>
        <w:jc w:val="left"/>
      </w:pPr>
      <w:r>
        <w:rPr/>
        <w:t>北京神州数码锐行快捷信息技术服务有限公司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月取得高新技术企业认证。根据《中华人民共和国企业所得 税法》规定，自获得高新技术企业认定后三年内，将享受按</w:t>
      </w:r>
      <w:r>
        <w:rPr>
          <w:spacing w:val="-46"/>
        </w:rPr>
        <w:t> </w:t>
      </w:r>
      <w:r>
        <w:rPr>
          <w:rFonts w:ascii="Times New Roman" w:hAnsi="Times New Roman" w:cs="Times New Roman" w:eastAsia="Times New Roman" w:hint="default"/>
        </w:rPr>
        <w:t>15%</w:t>
      </w:r>
      <w:r>
        <w:rPr/>
        <w:t>的税率征收企业所得税的税收优惠政策。</w:t>
      </w:r>
      <w:r>
        <w:rPr>
          <w:rFonts w:ascii="Times New Roman" w:hAnsi="Times New Roman" w:cs="Times New Roman" w:eastAsia="Times New Roman" w:hint="default"/>
        </w:rPr>
        <w:t>2019 </w:t>
      </w:r>
      <w:r>
        <w:rPr/>
        <w:t>年适用所得 税税率为</w:t>
      </w:r>
      <w:r>
        <w:rPr>
          <w:spacing w:val="-45"/>
        </w:rPr>
        <w:t> </w:t>
      </w:r>
      <w:r>
        <w:rPr>
          <w:rFonts w:ascii="Times New Roman" w:hAnsi="Times New Roman" w:cs="Times New Roman" w:eastAsia="Times New Roman" w:hint="default"/>
        </w:rPr>
        <w:t>15%</w:t>
      </w:r>
      <w:r>
        <w:rPr/>
        <w:t>。</w:t>
      </w:r>
    </w:p>
    <w:p>
      <w:pPr>
        <w:pStyle w:val="BodyText"/>
        <w:spacing w:line="240" w:lineRule="auto" w:before="43"/>
        <w:ind w:left="513" w:right="0"/>
        <w:jc w:val="left"/>
      </w:pPr>
      <w:r>
        <w:rPr/>
        <w:t>神州数码融信软件有限公司自</w:t>
      </w:r>
      <w:r>
        <w:rPr>
          <w:spacing w:val="-46"/>
        </w:rPr>
        <w:t> </w:t>
      </w:r>
      <w:r>
        <w:rPr>
          <w:rFonts w:ascii="Times New Roman" w:hAnsi="Times New Roman" w:cs="Times New Roman" w:eastAsia="Times New Roman" w:hint="default"/>
        </w:rPr>
        <w:t>2014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月取得高新技术企业认证，</w:t>
      </w: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rPr>
        <w:t>10 </w:t>
      </w:r>
      <w:r>
        <w:rPr/>
        <w:t>月通过高新技术企业重新认定，根据</w:t>
      </w:r>
    </w:p>
    <w:p>
      <w:pPr>
        <w:spacing w:line="240" w:lineRule="auto" w:before="9"/>
        <w:rPr>
          <w:rFonts w:ascii="宋体" w:hAnsi="宋体" w:cs="宋体" w:eastAsia="宋体" w:hint="default"/>
          <w:sz w:val="16"/>
          <w:szCs w:val="16"/>
        </w:rPr>
      </w:pPr>
    </w:p>
    <w:p>
      <w:pPr>
        <w:pStyle w:val="BodyText"/>
        <w:spacing w:line="451" w:lineRule="auto"/>
        <w:ind w:right="1213"/>
        <w:jc w:val="both"/>
      </w:pPr>
      <w:r>
        <w:rPr/>
        <w:t>《中华人民共和国企业所得税法》规定，自获得高新技术企业认定后三年内，将享受按</w:t>
      </w:r>
      <w:r>
        <w:rPr>
          <w:spacing w:val="-43"/>
        </w:rPr>
        <w:t> </w:t>
      </w:r>
      <w:r>
        <w:rPr>
          <w:rFonts w:ascii="Times New Roman" w:hAnsi="Times New Roman" w:cs="Times New Roman" w:eastAsia="Times New Roman" w:hint="default"/>
        </w:rPr>
        <w:t>15%</w:t>
      </w:r>
      <w:r>
        <w:rPr/>
        <w:t>的税率征收企业所得税的税收 优惠政策。神州数码融信软件有限公司</w:t>
      </w:r>
      <w:r>
        <w:rPr>
          <w:spacing w:val="-46"/>
        </w:rPr>
        <w:t> </w:t>
      </w:r>
      <w:r>
        <w:rPr>
          <w:rFonts w:ascii="Times New Roman" w:hAnsi="Times New Roman" w:cs="Times New Roman" w:eastAsia="Times New Roman" w:hint="default"/>
        </w:rPr>
        <w:t>2017 </w:t>
      </w:r>
      <w:r>
        <w:rPr/>
        <w:t>年度及</w:t>
      </w:r>
      <w:r>
        <w:rPr>
          <w:spacing w:val="-47"/>
        </w:rPr>
        <w:t> </w:t>
      </w:r>
      <w:r>
        <w:rPr>
          <w:rFonts w:ascii="Times New Roman" w:hAnsi="Times New Roman" w:cs="Times New Roman" w:eastAsia="Times New Roman" w:hint="default"/>
        </w:rPr>
        <w:t>2018 </w:t>
      </w:r>
      <w:r>
        <w:rPr/>
        <w:t>年度符合国家规划布局内的重点软件企业申报条件，适用所得税 税率为</w:t>
      </w:r>
      <w:r>
        <w:rPr>
          <w:spacing w:val="-46"/>
        </w:rPr>
        <w:t> </w:t>
      </w:r>
      <w:r>
        <w:rPr>
          <w:rFonts w:ascii="Times New Roman" w:hAnsi="Times New Roman" w:cs="Times New Roman" w:eastAsia="Times New Roman" w:hint="default"/>
        </w:rPr>
        <w:t>10%</w:t>
      </w:r>
      <w:r>
        <w:rPr/>
        <w:t>；神州数码融信软件有限公司认为其</w:t>
      </w:r>
      <w:r>
        <w:rPr>
          <w:spacing w:val="-45"/>
        </w:rPr>
        <w:t> </w:t>
      </w:r>
      <w:r>
        <w:rPr>
          <w:rFonts w:ascii="Times New Roman" w:hAnsi="Times New Roman" w:cs="Times New Roman" w:eastAsia="Times New Roman" w:hint="default"/>
        </w:rPr>
        <w:t>2019 </w:t>
      </w:r>
      <w:r>
        <w:rPr/>
        <w:t>年度继续符合重点软件企业申报条件，</w:t>
      </w:r>
      <w:r>
        <w:rPr>
          <w:rFonts w:ascii="Times New Roman" w:hAnsi="Times New Roman" w:cs="Times New Roman" w:eastAsia="Times New Roman" w:hint="default"/>
        </w:rPr>
        <w:t>2019 </w:t>
      </w:r>
      <w:r>
        <w:rPr/>
        <w:t>年按</w:t>
      </w:r>
      <w:r>
        <w:rPr>
          <w:spacing w:val="-48"/>
        </w:rPr>
        <w:t> </w:t>
      </w:r>
      <w:r>
        <w:rPr>
          <w:rFonts w:ascii="Times New Roman" w:hAnsi="Times New Roman" w:cs="Times New Roman" w:eastAsia="Times New Roman" w:hint="default"/>
        </w:rPr>
        <w:t>10%</w:t>
      </w:r>
      <w:r>
        <w:rPr/>
        <w:t>所得税税率计 算应纳所得税额。</w:t>
      </w:r>
    </w:p>
    <w:p>
      <w:pPr>
        <w:spacing w:after="0" w:line="451" w:lineRule="auto"/>
        <w:jc w:val="both"/>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51" w:lineRule="auto" w:before="44"/>
        <w:ind w:right="1219" w:firstLine="360"/>
        <w:jc w:val="left"/>
      </w:pPr>
      <w:r>
        <w:rPr/>
        <w:t>杨凌农业云服务有限公司于</w:t>
      </w:r>
      <w:r>
        <w:rPr>
          <w:spacing w:val="-46"/>
        </w:rPr>
        <w:t> </w:t>
      </w: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月取得高新技术企业认证。根据《中华人民共和国企业所得税法》规定，自获 得高新技术企业认定后三年内，将享受按</w:t>
      </w:r>
      <w:r>
        <w:rPr>
          <w:spacing w:val="-46"/>
        </w:rPr>
        <w:t> </w:t>
      </w:r>
      <w:r>
        <w:rPr>
          <w:rFonts w:ascii="Times New Roman" w:hAnsi="Times New Roman" w:cs="Times New Roman" w:eastAsia="Times New Roman" w:hint="default"/>
        </w:rPr>
        <w:t>15%</w:t>
      </w:r>
      <w:r>
        <w:rPr/>
        <w:t>的税率征收企业所得税的税收优惠政策。</w:t>
      </w:r>
      <w:r>
        <w:rPr>
          <w:rFonts w:ascii="Times New Roman" w:hAnsi="Times New Roman" w:cs="Times New Roman" w:eastAsia="Times New Roman" w:hint="default"/>
        </w:rPr>
        <w:t>2019 </w:t>
      </w:r>
      <w:r>
        <w:rPr/>
        <w:t>年适用所得税税率为</w:t>
      </w:r>
      <w:r>
        <w:rPr>
          <w:spacing w:val="-46"/>
        </w:rPr>
        <w:t> </w:t>
      </w:r>
      <w:r>
        <w:rPr>
          <w:rFonts w:ascii="Times New Roman" w:hAnsi="Times New Roman" w:cs="Times New Roman" w:eastAsia="Times New Roman" w:hint="default"/>
        </w:rPr>
        <w:t>15%</w:t>
      </w:r>
      <w:r>
        <w:rPr/>
        <w:t>。</w:t>
      </w:r>
    </w:p>
    <w:p>
      <w:pPr>
        <w:pStyle w:val="BodyText"/>
        <w:spacing w:line="451" w:lineRule="auto" w:before="43"/>
        <w:ind w:right="1157" w:firstLine="360"/>
        <w:jc w:val="left"/>
      </w:pPr>
      <w:r>
        <w:rPr/>
        <w:t>北京中农信达信息技术有限公司</w:t>
      </w:r>
      <w:r>
        <w:rPr>
          <w:spacing w:val="-4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 </w:t>
      </w:r>
      <w:r>
        <w:rPr/>
        <w:t>月取得高新技术企业认证</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月通过高新技术企业复审，</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月通过高新技术企业重新认定，</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10 </w:t>
      </w:r>
      <w:r>
        <w:rPr/>
        <w:t>月再次通过高新技术企业重新认定。根据《中华人民共和国企业所得税法》规 定，自获得高新技术企业认定后三年内，将享受按</w:t>
      </w:r>
      <w:r>
        <w:rPr>
          <w:spacing w:val="-45"/>
        </w:rPr>
        <w:t> </w:t>
      </w:r>
      <w:r>
        <w:rPr>
          <w:rFonts w:ascii="Times New Roman" w:hAnsi="Times New Roman" w:cs="Times New Roman" w:eastAsia="Times New Roman" w:hint="default"/>
        </w:rPr>
        <w:t>15%</w:t>
      </w:r>
      <w:r>
        <w:rPr/>
        <w:t>的税率征收企业所得税的税收优惠政策。北京中农信达信息技术有 限公司认为</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年度符合国家规划布局内的重点软件企业申报条件且已申请备案，</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年按</w:t>
      </w:r>
      <w:r>
        <w:rPr>
          <w:spacing w:val="-46"/>
        </w:rPr>
        <w:t> </w:t>
      </w:r>
      <w:r>
        <w:rPr>
          <w:rFonts w:ascii="Times New Roman" w:hAnsi="Times New Roman" w:cs="Times New Roman" w:eastAsia="Times New Roman" w:hint="default"/>
        </w:rPr>
        <w:t>10%</w:t>
      </w:r>
      <w:r>
        <w:rPr/>
        <w:t>所得税税率计算应纳所 得税额。湖南中农信达信息科技有限公司于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月取得高新技术企业认证。根据《中华人民共和国企业所得税法》 规定，自获得高新技术企业认定后三年内，将享受按</w:t>
      </w:r>
      <w:r>
        <w:rPr>
          <w:spacing w:val="-48"/>
        </w:rPr>
        <w:t> </w:t>
      </w:r>
      <w:r>
        <w:rPr>
          <w:rFonts w:ascii="Times New Roman" w:hAnsi="Times New Roman" w:cs="Times New Roman" w:eastAsia="Times New Roman" w:hint="default"/>
        </w:rPr>
        <w:t>15%</w:t>
      </w:r>
      <w:r>
        <w:rPr/>
        <w:t>的税率征收企业所得税的税收优惠政策。</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年适用所得税税率 为</w:t>
      </w:r>
      <w:r>
        <w:rPr>
          <w:spacing w:val="-45"/>
        </w:rPr>
        <w:t> </w:t>
      </w:r>
      <w:r>
        <w:rPr>
          <w:rFonts w:ascii="Times New Roman" w:hAnsi="Times New Roman" w:cs="Times New Roman" w:eastAsia="Times New Roman" w:hint="default"/>
        </w:rPr>
        <w:t>15%</w:t>
      </w:r>
      <w:r>
        <w:rPr/>
        <w:t>。</w:t>
      </w:r>
    </w:p>
    <w:p>
      <w:pPr>
        <w:pStyle w:val="BodyText"/>
        <w:spacing w:line="451" w:lineRule="auto" w:before="43"/>
        <w:ind w:right="1126" w:firstLine="360"/>
        <w:jc w:val="left"/>
      </w:pPr>
      <w:r>
        <w:rPr/>
        <w:t>神州灵云（北京）科技有限公司于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7 </w:t>
      </w:r>
      <w:r>
        <w:rPr/>
        <w:t>月取得高新技术企业认证。根据《中华人民共和国企业所得税法》规定， 自获得高新技术企业认定后三年内，将享受按</w:t>
      </w:r>
      <w:r>
        <w:rPr>
          <w:spacing w:val="-45"/>
        </w:rPr>
        <w:t> </w:t>
      </w:r>
      <w:r>
        <w:rPr>
          <w:rFonts w:ascii="Times New Roman" w:hAnsi="Times New Roman" w:cs="Times New Roman" w:eastAsia="Times New Roman" w:hint="default"/>
        </w:rPr>
        <w:t>15%</w:t>
      </w:r>
      <w:r>
        <w:rPr/>
        <w:t>的税率征收企业所得税的税收优惠政策。</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年适用所得税税率为 </w:t>
      </w:r>
      <w:r>
        <w:rPr>
          <w:rFonts w:ascii="Times New Roman" w:hAnsi="Times New Roman" w:cs="Times New Roman" w:eastAsia="Times New Roman" w:hint="default"/>
        </w:rPr>
        <w:t>15%</w:t>
      </w:r>
      <w:r>
        <w:rPr/>
        <w:t>。</w:t>
      </w:r>
    </w:p>
    <w:p>
      <w:pPr>
        <w:pStyle w:val="BodyText"/>
        <w:spacing w:line="451" w:lineRule="auto" w:before="43"/>
        <w:ind w:right="1169" w:firstLine="360"/>
        <w:jc w:val="both"/>
      </w:pPr>
      <w:r>
        <w:rPr/>
        <w:t>神州土地（北京）信息技术有限公司于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10 </w:t>
      </w:r>
      <w:r>
        <w:rPr/>
        <w:t>月取得高新技术企业认证。根据《中华人民共和国企业所得税法》 规定，自获得高新技术企业认定后三年内，将享受按</w:t>
      </w:r>
      <w:r>
        <w:rPr>
          <w:spacing w:val="-47"/>
        </w:rPr>
        <w:t> </w:t>
      </w:r>
      <w:r>
        <w:rPr>
          <w:rFonts w:ascii="Times New Roman" w:hAnsi="Times New Roman" w:cs="Times New Roman" w:eastAsia="Times New Roman" w:hint="default"/>
        </w:rPr>
        <w:t>15%</w:t>
      </w:r>
      <w:r>
        <w:rPr/>
        <w:t>的税率征收企业所得税的税收优惠政策。</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年适用所得税税率 为</w:t>
      </w:r>
      <w:r>
        <w:rPr>
          <w:spacing w:val="-45"/>
        </w:rPr>
        <w:t> </w:t>
      </w:r>
      <w:r>
        <w:rPr>
          <w:rFonts w:ascii="Times New Roman" w:hAnsi="Times New Roman" w:cs="Times New Roman" w:eastAsia="Times New Roman" w:hint="default"/>
        </w:rPr>
        <w:t>15%</w:t>
      </w:r>
      <w:r>
        <w:rPr/>
        <w:t>。</w:t>
      </w:r>
    </w:p>
    <w:p>
      <w:pPr>
        <w:pStyle w:val="BodyText"/>
        <w:spacing w:line="451" w:lineRule="auto" w:before="43"/>
        <w:ind w:right="1124" w:firstLine="360"/>
        <w:jc w:val="left"/>
      </w:pPr>
      <w:r>
        <w:rPr/>
        <w:t>南京华苏科技有限公司自</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10 </w:t>
      </w:r>
      <w:r>
        <w:rPr/>
        <w:t>月通过高新技术企业复审并取得高新技术企业证书（证书编号 </w:t>
      </w:r>
      <w:r>
        <w:rPr>
          <w:rFonts w:ascii="Times New Roman" w:hAnsi="Times New Roman" w:cs="Times New Roman" w:eastAsia="Times New Roman" w:hint="default"/>
        </w:rPr>
        <w:t>GR201832000423</w:t>
      </w:r>
      <w:r>
        <w:rPr/>
        <w:t>）。根据《中华人民共和国企业所得税法》规定，自获得高新技术企业认定后三年内，将享受按</w:t>
      </w:r>
      <w:r>
        <w:rPr>
          <w:spacing w:val="-51"/>
        </w:rPr>
        <w:t> </w:t>
      </w:r>
      <w:r>
        <w:rPr>
          <w:rFonts w:ascii="Times New Roman" w:hAnsi="Times New Roman" w:cs="Times New Roman" w:eastAsia="Times New Roman" w:hint="default"/>
        </w:rPr>
        <w:t>15%</w:t>
      </w:r>
      <w:r>
        <w:rPr/>
        <w:t>的税</w:t>
      </w:r>
      <w:r>
        <w:rPr>
          <w:spacing w:val="-3"/>
        </w:rPr>
        <w:t> </w:t>
      </w:r>
      <w:r>
        <w:rPr/>
        <w:t>率征收企业所得税的税收优惠政策。南京华苏科技有限公司认为</w:t>
      </w:r>
      <w:r>
        <w:rPr>
          <w:spacing w:val="-46"/>
        </w:rPr>
        <w:t> </w:t>
      </w:r>
      <w:r>
        <w:rPr>
          <w:rFonts w:ascii="Times New Roman" w:hAnsi="Times New Roman" w:cs="Times New Roman" w:eastAsia="Times New Roman" w:hint="default"/>
        </w:rPr>
        <w:t>2019 </w:t>
      </w:r>
      <w:r>
        <w:rPr/>
        <w:t>年度符合国家规划布局内的重点软件企业申报条件且 已申请备案，故</w:t>
      </w:r>
      <w:r>
        <w:rPr>
          <w:spacing w:val="-47"/>
        </w:rPr>
        <w:t> </w:t>
      </w:r>
      <w:r>
        <w:rPr>
          <w:rFonts w:ascii="Times New Roman" w:hAnsi="Times New Roman" w:cs="Times New Roman" w:eastAsia="Times New Roman" w:hint="default"/>
        </w:rPr>
        <w:t>2019 </w:t>
      </w:r>
      <w:r>
        <w:rPr/>
        <w:t>年按</w:t>
      </w:r>
      <w:r>
        <w:rPr>
          <w:spacing w:val="-47"/>
        </w:rPr>
        <w:t> </w:t>
      </w:r>
      <w:r>
        <w:rPr>
          <w:rFonts w:ascii="Times New Roman" w:hAnsi="Times New Roman" w:cs="Times New Roman" w:eastAsia="Times New Roman" w:hint="default"/>
        </w:rPr>
        <w:t>10%</w:t>
      </w:r>
      <w:r>
        <w:rPr/>
        <w:t>所得税税率计算应纳所得税额。</w:t>
      </w:r>
    </w:p>
    <w:p>
      <w:pPr>
        <w:pStyle w:val="BodyText"/>
        <w:spacing w:line="468" w:lineRule="auto" w:before="43"/>
        <w:ind w:right="1201" w:firstLine="360"/>
        <w:jc w:val="both"/>
      </w:pPr>
      <w:r>
        <w:rPr/>
        <w:t>根据《财政部税务总局关于实施小微企业普惠性税收减免政策的通知》（财税</w:t>
      </w:r>
      <w:r>
        <w:rPr>
          <w:rFonts w:ascii="Times New Roman" w:hAnsi="Times New Roman" w:cs="Times New Roman" w:eastAsia="Times New Roman" w:hint="default"/>
        </w:rPr>
        <w:t>[2019]13</w:t>
      </w:r>
      <w:r>
        <w:rPr>
          <w:rFonts w:ascii="Times New Roman" w:hAnsi="Times New Roman" w:cs="Times New Roman" w:eastAsia="Times New Roman" w:hint="default"/>
          <w:spacing w:val="-1"/>
        </w:rPr>
        <w:t> </w:t>
      </w:r>
      <w:r>
        <w:rPr/>
        <w:t>号）规定，对小型微利企业年 应纳税所得额不超过</w:t>
      </w:r>
      <w:r>
        <w:rPr>
          <w:spacing w:val="-48"/>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万元的部分，减按</w:t>
      </w:r>
      <w:r>
        <w:rPr>
          <w:spacing w:val="-47"/>
        </w:rPr>
        <w:t> </w:t>
      </w:r>
      <w:r>
        <w:rPr>
          <w:rFonts w:ascii="Times New Roman" w:hAnsi="Times New Roman" w:cs="Times New Roman" w:eastAsia="Times New Roman" w:hint="default"/>
        </w:rPr>
        <w:t>25%</w:t>
      </w:r>
      <w:r>
        <w:rPr/>
        <w:t>计入应纳税所得额，按</w:t>
      </w:r>
      <w:r>
        <w:rPr>
          <w:spacing w:val="-48"/>
        </w:rPr>
        <w:t> </w:t>
      </w:r>
      <w:r>
        <w:rPr>
          <w:rFonts w:ascii="Times New Roman" w:hAnsi="Times New Roman" w:cs="Times New Roman" w:eastAsia="Times New Roman" w:hint="default"/>
        </w:rPr>
        <w:t>20%</w:t>
      </w:r>
      <w:r>
        <w:rPr/>
        <w:t>的税率缴纳企业所得税；对年应纳税所得额超 过</w:t>
      </w:r>
      <w:r>
        <w:rPr>
          <w:spacing w:val="-47"/>
        </w:rPr>
        <w:t> </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万元但不超过</w:t>
      </w:r>
      <w:r>
        <w:rPr>
          <w:spacing w:val="-49"/>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万元的部分，减按</w:t>
      </w:r>
      <w:r>
        <w:rPr>
          <w:spacing w:val="-46"/>
        </w:rPr>
        <w:t> </w:t>
      </w:r>
      <w:r>
        <w:rPr>
          <w:rFonts w:ascii="Times New Roman" w:hAnsi="Times New Roman" w:cs="Times New Roman" w:eastAsia="Times New Roman" w:hint="default"/>
        </w:rPr>
        <w:t>50%</w:t>
      </w:r>
      <w:r>
        <w:rPr/>
        <w:t>计入应纳税所得额，按</w:t>
      </w:r>
      <w:r>
        <w:rPr>
          <w:spacing w:val="-47"/>
        </w:rPr>
        <w:t> </w:t>
      </w:r>
      <w:r>
        <w:rPr>
          <w:rFonts w:ascii="Times New Roman" w:hAnsi="Times New Roman" w:cs="Times New Roman" w:eastAsia="Times New Roman" w:hint="default"/>
        </w:rPr>
        <w:t>20%</w:t>
      </w:r>
      <w:r>
        <w:rPr/>
        <w:t>的税率缴纳企业所得税。南京神州金信电子科 技有限公司、神州数码信息系统（扬州）有限公司、深圳神州数码信息技术服务有限公司、广州神州金信电子科技有限公 司、北京神州通慧科技有限公司、智慧神州天融（北京）监测技术有限公司、中能国电（北京）新能源投资有限公司、杨 凌安全农产品溯源标识管理有限公司、神州远景（西安）科技发展有限公司、神州国信（北京）量子科技有限公司、北京 神州邦邦技术服务有限公司、贵州中农信达信息技术有限公司、香河旗硕智能科技有限公司、南京华苏软件有限公司、南 京瑞擎科技有限公司、新疆神州三宝信息技术有限公司、神州龙安（金华）信息技术服务有限公司及枣强县农村产权交易 服务有限公司，本年适用上述规定，可根据本年应纳税所得额实际情况，自行适用相应减免优惠政策。</w:t>
      </w:r>
    </w:p>
    <w:p>
      <w:pPr>
        <w:spacing w:after="0" w:line="468" w:lineRule="auto"/>
        <w:jc w:val="both"/>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51" w:lineRule="auto" w:before="44"/>
        <w:ind w:right="1215" w:firstLine="360"/>
        <w:jc w:val="both"/>
      </w:pPr>
      <w:r>
        <w:rPr/>
        <w:t>西安远景信息技术有限公司于</w:t>
      </w:r>
      <w:r>
        <w:rPr>
          <w:spacing w:val="-46"/>
        </w:rPr>
        <w:t> </w:t>
      </w: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月取得高新技术企业认证。根据《中华人民共和国企业所得税法》规定，自 获得高新技术企业认定后三年内，将享受按</w:t>
      </w:r>
      <w:r>
        <w:rPr>
          <w:spacing w:val="-47"/>
        </w:rPr>
        <w:t> </w:t>
      </w:r>
      <w:r>
        <w:rPr>
          <w:rFonts w:ascii="Times New Roman" w:hAnsi="Times New Roman" w:cs="Times New Roman" w:eastAsia="Times New Roman" w:hint="default"/>
        </w:rPr>
        <w:t>15%</w:t>
      </w:r>
      <w:r>
        <w:rPr/>
        <w:t>的税率征收企业所得税的税收优惠政策。同时，根据《财政部税务总局关 于集成电路设计和软件产业企业所得税政策的公告》（财政部税务总局公告</w:t>
      </w:r>
      <w:r>
        <w:rPr>
          <w:spacing w:val="-46"/>
        </w:rPr>
        <w:t> </w:t>
      </w:r>
      <w:r>
        <w:rPr>
          <w:rFonts w:ascii="Times New Roman" w:hAnsi="Times New Roman" w:cs="Times New Roman" w:eastAsia="Times New Roman" w:hint="default"/>
        </w:rPr>
        <w:t>2019 </w:t>
      </w:r>
      <w:r>
        <w:rPr/>
        <w:t>年第</w:t>
      </w:r>
      <w:r>
        <w:rPr>
          <w:spacing w:val="-46"/>
        </w:rPr>
        <w:t> </w:t>
      </w:r>
      <w:r>
        <w:rPr>
          <w:rFonts w:ascii="Times New Roman" w:hAnsi="Times New Roman" w:cs="Times New Roman" w:eastAsia="Times New Roman" w:hint="default"/>
        </w:rPr>
        <w:t>68</w:t>
      </w:r>
      <w:r>
        <w:rPr>
          <w:rFonts w:ascii="Times New Roman" w:hAnsi="Times New Roman" w:cs="Times New Roman" w:eastAsia="Times New Roman" w:hint="default"/>
          <w:spacing w:val="-3"/>
        </w:rPr>
        <w:t> </w:t>
      </w:r>
      <w:r>
        <w:rPr/>
        <w:t>号）规定，西安远景信息技术有</w:t>
      </w:r>
    </w:p>
    <w:p>
      <w:pPr>
        <w:pStyle w:val="BodyText"/>
        <w:spacing w:line="240" w:lineRule="auto" w:before="43"/>
        <w:ind w:right="0"/>
        <w:jc w:val="left"/>
      </w:pPr>
      <w:r>
        <w:rPr/>
        <w:t>限公司符合《进一步鼓励软件产业和集成电路产业发展的若干政策》和《软件企业评估标准》的有关规定，于</w:t>
      </w:r>
      <w:r>
        <w:rPr>
          <w:spacing w:val="-43"/>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spacing w:line="240" w:lineRule="auto" w:before="9"/>
        <w:rPr>
          <w:rFonts w:ascii="宋体" w:hAnsi="宋体" w:cs="宋体" w:eastAsia="宋体" w:hint="default"/>
          <w:sz w:val="16"/>
          <w:szCs w:val="16"/>
        </w:rPr>
      </w:pPr>
    </w:p>
    <w:p>
      <w:pPr>
        <w:pStyle w:val="BodyText"/>
        <w:spacing w:line="451" w:lineRule="auto"/>
        <w:ind w:right="1217"/>
        <w:jc w:val="left"/>
      </w:pP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日评估为软件企业（证书编号：陕</w:t>
      </w:r>
      <w:r>
        <w:rPr>
          <w:spacing w:val="-46"/>
        </w:rPr>
        <w:t> </w:t>
      </w:r>
      <w:r>
        <w:rPr>
          <w:rFonts w:ascii="Times New Roman" w:hAnsi="Times New Roman" w:cs="Times New Roman" w:eastAsia="Times New Roman" w:hint="default"/>
        </w:rPr>
        <w:t>RQ-2019-0134</w:t>
      </w:r>
      <w:r>
        <w:rPr/>
        <w:t>），在</w:t>
      </w:r>
      <w:r>
        <w:rPr>
          <w:spacing w:val="-49"/>
        </w:rPr>
        <w:t> </w:t>
      </w: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日前自获利年度起计算优惠期，第一年至第二</w:t>
      </w:r>
      <w:r>
        <w:rPr>
          <w:w w:val="99"/>
        </w:rPr>
        <w:t> </w:t>
      </w:r>
      <w:r>
        <w:rPr/>
        <w:t>年免征企业所得税，第三年至第五年按照</w:t>
      </w:r>
      <w:r>
        <w:rPr>
          <w:spacing w:val="-48"/>
        </w:rPr>
        <w:t> </w:t>
      </w:r>
      <w:r>
        <w:rPr>
          <w:rFonts w:ascii="Times New Roman" w:hAnsi="Times New Roman" w:cs="Times New Roman" w:eastAsia="Times New Roman" w:hint="default"/>
        </w:rPr>
        <w:t>25%</w:t>
      </w:r>
      <w:r>
        <w:rPr/>
        <w:t>的法定税率减半征收企业所得税。</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年免征企业所得税。</w:t>
      </w:r>
    </w:p>
    <w:p>
      <w:pPr>
        <w:pStyle w:val="BodyText"/>
        <w:spacing w:line="240" w:lineRule="auto" w:before="43"/>
        <w:ind w:left="352" w:right="0"/>
        <w:jc w:val="left"/>
      </w:pPr>
      <w:r>
        <w:rPr/>
        <w:t>（</w:t>
      </w:r>
      <w:r>
        <w:rPr>
          <w:rFonts w:ascii="Times New Roman" w:hAnsi="Times New Roman" w:cs="Times New Roman" w:eastAsia="Times New Roman" w:hint="default"/>
        </w:rPr>
        <w:t>2</w:t>
      </w:r>
      <w:r>
        <w:rPr/>
        <w:t>）增值税</w:t>
      </w:r>
    </w:p>
    <w:p>
      <w:pPr>
        <w:spacing w:line="240" w:lineRule="auto" w:before="9"/>
        <w:rPr>
          <w:rFonts w:ascii="宋体" w:hAnsi="宋体" w:cs="宋体" w:eastAsia="宋体" w:hint="default"/>
          <w:sz w:val="16"/>
          <w:szCs w:val="16"/>
        </w:rPr>
      </w:pPr>
    </w:p>
    <w:p>
      <w:pPr>
        <w:pStyle w:val="BodyText"/>
        <w:spacing w:line="463" w:lineRule="auto"/>
        <w:ind w:right="1124" w:firstLine="360"/>
        <w:jc w:val="left"/>
      </w:pPr>
      <w:r>
        <w:rPr/>
        <w:t>根据《财政部、国家税务总局关于软件产品增值税政策的通知》（财税 </w:t>
      </w:r>
      <w:r>
        <w:rPr>
          <w:rFonts w:ascii="Times New Roman" w:hAnsi="Times New Roman" w:cs="Times New Roman" w:eastAsia="Times New Roman" w:hint="default"/>
        </w:rPr>
        <w:t>[2011]100</w:t>
      </w:r>
      <w:r>
        <w:rPr>
          <w:rFonts w:ascii="Times New Roman" w:hAnsi="Times New Roman" w:cs="Times New Roman" w:eastAsia="Times New Roman" w:hint="default"/>
          <w:spacing w:val="1"/>
        </w:rPr>
        <w:t> </w:t>
      </w:r>
      <w:r>
        <w:rPr/>
        <w:t>号）规定，本公司之子公司神州数 码系统集成服务有限公司、神州数码信息系统有限公司、江苏神州数码国信信息技术有限公司、神州数码融信软件有限公 司、神州数码金信科技股份有限公司、中农信达、北京旗硕基业科技股份有限公司、北京神州数码锐行快捷信息技术服务 有限公司、神州灵云（北京）科技有限公司、华苏科技自</w:t>
      </w:r>
      <w:r>
        <w:rPr>
          <w:spacing w:val="-46"/>
        </w:rPr>
        <w:t> </w:t>
      </w:r>
      <w:r>
        <w:rPr>
          <w:rFonts w:ascii="Times New Roman" w:hAnsi="Times New Roman" w:cs="Times New Roman" w:eastAsia="Times New Roman" w:hint="default"/>
        </w:rPr>
        <w:t>2011 </w:t>
      </w:r>
      <w:r>
        <w:rPr/>
        <w:t>年销售其自行开发生产的软件产品，按法定税率征收增值税 后，对增值税实际税负超过</w:t>
      </w:r>
      <w:r>
        <w:rPr>
          <w:spacing w:val="-45"/>
        </w:rPr>
        <w:t> </w:t>
      </w:r>
      <w:r>
        <w:rPr>
          <w:rFonts w:ascii="Times New Roman" w:hAnsi="Times New Roman" w:cs="Times New Roman" w:eastAsia="Times New Roman" w:hint="default"/>
        </w:rPr>
        <w:t>3%</w:t>
      </w:r>
      <w:r>
        <w:rPr/>
        <w:t>的部分实行即征即退政策。</w:t>
      </w:r>
    </w:p>
    <w:p>
      <w:pPr>
        <w:spacing w:line="240" w:lineRule="auto" w:before="12"/>
        <w:rPr>
          <w:rFonts w:ascii="宋体" w:hAnsi="宋体" w:cs="宋体" w:eastAsia="宋体" w:hint="default"/>
          <w:sz w:val="15"/>
          <w:szCs w:val="15"/>
        </w:rPr>
      </w:pPr>
    </w:p>
    <w:p>
      <w:pPr>
        <w:pStyle w:val="Heading2"/>
        <w:spacing w:line="240" w:lineRule="auto"/>
        <w:ind w:right="0"/>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3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12" w:space="0" w:color="D2D2D2"/>
              <w:left w:val="single" w:sz="4" w:space="0" w:color="000000"/>
              <w:bottom w:val="single" w:sz="4" w:space="0" w:color="000000"/>
              <w:right w:val="single" w:sz="4" w:space="0" w:color="000000"/>
            </w:tcBorders>
          </w:tcPr>
          <w:p>
            <w:pPr/>
          </w:p>
        </w:tc>
        <w:tc>
          <w:tcPr>
            <w:tcW w:w="319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w w:val="95"/>
                <w:sz w:val="18"/>
              </w:rPr>
              <w:t>8,721.89</w:t>
            </w: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银行存款（注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1,350,168,474.15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1,483,666,484.48</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其他货币资金（注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98,723,714.95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34,375,352.08</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1,448,892,189.10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1,518,050,558.45</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其中：存放在境外的款项总额（注</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81,575,848.84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18,405,762.93</w:t>
            </w:r>
          </w:p>
        </w:tc>
      </w:tr>
    </w:tbl>
    <w:p>
      <w:pPr>
        <w:pStyle w:val="BodyText"/>
        <w:spacing w:line="240" w:lineRule="auto" w:before="87"/>
        <w:ind w:left="513" w:right="0"/>
        <w:jc w:val="left"/>
      </w:pPr>
      <w:r>
        <w:rPr/>
        <w:t>注</w:t>
      </w:r>
      <w:r>
        <w:rPr>
          <w:spacing w:val="-46"/>
        </w:rPr>
        <w:t> </w:t>
      </w:r>
      <w:r>
        <w:rPr>
          <w:rFonts w:ascii="Times New Roman" w:hAnsi="Times New Roman" w:cs="Times New Roman" w:eastAsia="Times New Roman" w:hint="default"/>
        </w:rPr>
        <w:t>1</w:t>
      </w:r>
      <w:r>
        <w:rPr/>
        <w:t>：年末银行存款包括定期存款</w:t>
      </w:r>
      <w:r>
        <w:rPr>
          <w:spacing w:val="-45"/>
        </w:rPr>
        <w:t> </w:t>
      </w:r>
      <w:r>
        <w:rPr>
          <w:rFonts w:ascii="Times New Roman" w:hAnsi="Times New Roman" w:cs="Times New Roman" w:eastAsia="Times New Roman" w:hint="default"/>
        </w:rPr>
        <w:t>30,000,000.00 </w:t>
      </w:r>
      <w:r>
        <w:rPr/>
        <w:t>元，存款期限自</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4 </w:t>
      </w:r>
      <w:r>
        <w:rPr/>
        <w:t>日至</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4 </w:t>
      </w:r>
      <w:r>
        <w:rPr/>
        <w:t>日；包括结构性存</w:t>
      </w:r>
    </w:p>
    <w:p>
      <w:pPr>
        <w:spacing w:line="240" w:lineRule="auto" w:before="10"/>
        <w:rPr>
          <w:rFonts w:ascii="宋体" w:hAnsi="宋体" w:cs="宋体" w:eastAsia="宋体" w:hint="default"/>
          <w:sz w:val="16"/>
          <w:szCs w:val="16"/>
        </w:rPr>
      </w:pPr>
    </w:p>
    <w:p>
      <w:pPr>
        <w:pStyle w:val="BodyText"/>
        <w:spacing w:line="240" w:lineRule="auto"/>
        <w:ind w:right="0"/>
        <w:jc w:val="left"/>
        <w:rPr>
          <w:rFonts w:ascii="Times New Roman" w:hAnsi="Times New Roman" w:cs="Times New Roman" w:eastAsia="Times New Roman" w:hint="default"/>
        </w:rPr>
      </w:pPr>
      <w:r>
        <w:rPr/>
        <w:t>款</w:t>
      </w:r>
      <w:r>
        <w:rPr>
          <w:spacing w:val="-47"/>
        </w:rPr>
        <w:t> </w:t>
      </w:r>
      <w:r>
        <w:rPr>
          <w:rFonts w:ascii="Times New Roman" w:hAnsi="Times New Roman" w:cs="Times New Roman" w:eastAsia="Times New Roman" w:hint="default"/>
        </w:rPr>
        <w:t>16,000,000.00 </w:t>
      </w:r>
      <w:r>
        <w:rPr/>
        <w:t>元，其中结构性存款</w:t>
      </w:r>
      <w:r>
        <w:rPr>
          <w:spacing w:val="-46"/>
        </w:rPr>
        <w:t> </w:t>
      </w:r>
      <w:r>
        <w:rPr>
          <w:rFonts w:ascii="Times New Roman" w:hAnsi="Times New Roman" w:cs="Times New Roman" w:eastAsia="Times New Roman" w:hint="default"/>
        </w:rPr>
        <w:t>10,000,000.00 </w:t>
      </w:r>
      <w:r>
        <w:rPr/>
        <w:t>元可随时赎回，结构性存款</w:t>
      </w:r>
      <w:r>
        <w:rPr>
          <w:spacing w:val="-47"/>
        </w:rPr>
        <w:t> </w:t>
      </w:r>
      <w:r>
        <w:rPr>
          <w:rFonts w:ascii="Times New Roman" w:hAnsi="Times New Roman" w:cs="Times New Roman" w:eastAsia="Times New Roman" w:hint="default"/>
        </w:rPr>
        <w:t>5,000,000.00</w:t>
      </w:r>
      <w:r>
        <w:rPr>
          <w:rFonts w:ascii="Times New Roman" w:hAnsi="Times New Roman" w:cs="Times New Roman" w:eastAsia="Times New Roman" w:hint="default"/>
          <w:spacing w:val="1"/>
        </w:rPr>
        <w:t> </w:t>
      </w:r>
      <w:r>
        <w:rPr/>
        <w:t>元到期日为</w:t>
      </w:r>
      <w:r>
        <w:rPr>
          <w:spacing w:val="-47"/>
        </w:rPr>
        <w:t> </w:t>
      </w:r>
      <w:r>
        <w:rPr>
          <w:rFonts w:ascii="Times New Roman" w:hAnsi="Times New Roman" w:cs="Times New Roman" w:eastAsia="Times New Roman" w:hint="default"/>
        </w:rPr>
        <w:t>2020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13</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left"/>
      </w:pPr>
      <w:r>
        <w:rPr/>
        <w:t>日，结构性存款</w:t>
      </w:r>
      <w:r>
        <w:rPr>
          <w:spacing w:val="-46"/>
        </w:rPr>
        <w:t> </w:t>
      </w:r>
      <w:r>
        <w:rPr>
          <w:rFonts w:ascii="Times New Roman" w:hAnsi="Times New Roman" w:cs="Times New Roman" w:eastAsia="Times New Roman" w:hint="default"/>
        </w:rPr>
        <w:t>1,000,000.00 </w:t>
      </w:r>
      <w:r>
        <w:rPr/>
        <w:t>元到期日为</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21 </w:t>
      </w:r>
      <w:r>
        <w:rPr>
          <w:spacing w:val="-3"/>
        </w:rPr>
        <w:t>日。</w:t>
      </w:r>
      <w:r>
        <w:rPr/>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注</w:t>
      </w:r>
      <w:r>
        <w:rPr>
          <w:spacing w:val="-47"/>
        </w:rPr>
        <w:t> </w:t>
      </w:r>
      <w:r>
        <w:rPr>
          <w:rFonts w:ascii="Times New Roman" w:hAnsi="Times New Roman" w:cs="Times New Roman" w:eastAsia="Times New Roman" w:hint="default"/>
        </w:rPr>
        <w:t>2</w:t>
      </w:r>
      <w:r>
        <w:rPr/>
        <w:t>：年末其他货币资金包括国内信用证付款保证金</w:t>
      </w:r>
      <w:r>
        <w:rPr>
          <w:spacing w:val="-46"/>
        </w:rPr>
        <w:t> </w:t>
      </w:r>
      <w:r>
        <w:rPr>
          <w:rFonts w:ascii="Times New Roman" w:hAnsi="Times New Roman" w:cs="Times New Roman" w:eastAsia="Times New Roman" w:hint="default"/>
        </w:rPr>
        <w:t>50,486,216.76</w:t>
      </w:r>
      <w:r>
        <w:rPr>
          <w:rFonts w:ascii="Times New Roman" w:hAnsi="Times New Roman" w:cs="Times New Roman" w:eastAsia="Times New Roman" w:hint="default"/>
          <w:spacing w:val="-1"/>
        </w:rPr>
        <w:t> </w:t>
      </w:r>
      <w:r>
        <w:rPr/>
        <w:t>元、保函保证金</w:t>
      </w:r>
      <w:r>
        <w:rPr>
          <w:spacing w:val="-49"/>
        </w:rPr>
        <w:t> </w:t>
      </w:r>
      <w:r>
        <w:rPr>
          <w:rFonts w:ascii="Times New Roman" w:hAnsi="Times New Roman" w:cs="Times New Roman" w:eastAsia="Times New Roman" w:hint="default"/>
        </w:rPr>
        <w:t>11,802,500.00</w:t>
      </w:r>
      <w:r>
        <w:rPr>
          <w:rFonts w:ascii="Times New Roman" w:hAnsi="Times New Roman" w:cs="Times New Roman" w:eastAsia="Times New Roman" w:hint="default"/>
          <w:spacing w:val="-1"/>
        </w:rPr>
        <w:t> </w:t>
      </w:r>
      <w:r>
        <w:rPr/>
        <w:t>元、因尚未完成服务</w:t>
      </w:r>
    </w:p>
    <w:p>
      <w:pPr>
        <w:spacing w:line="240" w:lineRule="auto" w:before="9"/>
        <w:rPr>
          <w:rFonts w:ascii="宋体" w:hAnsi="宋体" w:cs="宋体" w:eastAsia="宋体" w:hint="default"/>
          <w:sz w:val="16"/>
          <w:szCs w:val="16"/>
        </w:rPr>
      </w:pPr>
    </w:p>
    <w:p>
      <w:pPr>
        <w:pStyle w:val="BodyText"/>
        <w:spacing w:line="240" w:lineRule="auto"/>
        <w:ind w:right="0"/>
        <w:jc w:val="left"/>
      </w:pPr>
      <w:r>
        <w:rPr/>
        <w:t>冻结共管户资金</w:t>
      </w:r>
      <w:r>
        <w:rPr>
          <w:spacing w:val="-49"/>
        </w:rPr>
        <w:t> </w:t>
      </w:r>
      <w:r>
        <w:rPr>
          <w:rFonts w:ascii="Times New Roman" w:hAnsi="Times New Roman" w:cs="Times New Roman" w:eastAsia="Times New Roman" w:hint="default"/>
        </w:rPr>
        <w:t>6,250,200.52</w:t>
      </w:r>
      <w:r>
        <w:rPr>
          <w:rFonts w:ascii="Times New Roman" w:hAnsi="Times New Roman" w:cs="Times New Roman" w:eastAsia="Times New Roman" w:hint="default"/>
          <w:spacing w:val="-3"/>
        </w:rPr>
        <w:t> </w:t>
      </w:r>
      <w:r>
        <w:rPr/>
        <w:t>元、因未决诉讼被冻结的资金</w:t>
      </w:r>
      <w:r>
        <w:rPr>
          <w:spacing w:val="-48"/>
        </w:rPr>
        <w:t> </w:t>
      </w:r>
      <w:r>
        <w:rPr>
          <w:rFonts w:ascii="Times New Roman" w:hAnsi="Times New Roman" w:cs="Times New Roman" w:eastAsia="Times New Roman" w:hint="default"/>
        </w:rPr>
        <w:t>29,326,197.67</w:t>
      </w:r>
      <w:r>
        <w:rPr>
          <w:rFonts w:ascii="Times New Roman" w:hAnsi="Times New Roman" w:cs="Times New Roman" w:eastAsia="Times New Roman" w:hint="default"/>
          <w:spacing w:val="-1"/>
        </w:rPr>
        <w:t> </w:t>
      </w:r>
      <w:r>
        <w:rPr/>
        <w:t>元及为提起诉讼进行的资产担保抵押资金</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858,600.00</w:t>
      </w:r>
      <w:r>
        <w:rPr>
          <w:rFonts w:ascii="Times New Roman" w:hAnsi="Times New Roman" w:cs="Times New Roman" w:eastAsia="Times New Roman" w:hint="default"/>
          <w:spacing w:val="-2"/>
        </w:rPr>
        <w:t> </w:t>
      </w:r>
      <w:r>
        <w:rPr/>
        <w:t>元。</w:t>
      </w:r>
    </w:p>
    <w:p>
      <w:pPr>
        <w:spacing w:after="0" w:line="240"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240" w:lineRule="auto" w:before="44"/>
        <w:ind w:left="513" w:right="0"/>
        <w:jc w:val="left"/>
      </w:pPr>
      <w:r>
        <w:rPr/>
        <w:t>上述尚未到期的国内信用证付款保证金、保函保证金、共管户资金及诉讼冻结款及诉讼担保抵押资金共计</w:t>
      </w:r>
    </w:p>
    <w:p>
      <w:pPr>
        <w:spacing w:line="240" w:lineRule="auto" w:before="10"/>
        <w:rPr>
          <w:rFonts w:ascii="宋体" w:hAnsi="宋体" w:cs="宋体" w:eastAsia="宋体" w:hint="default"/>
          <w:sz w:val="17"/>
          <w:szCs w:val="17"/>
        </w:rPr>
      </w:pPr>
    </w:p>
    <w:p>
      <w:pPr>
        <w:pStyle w:val="BodyText"/>
        <w:spacing w:line="451" w:lineRule="auto"/>
        <w:ind w:left="513" w:right="3557" w:hanging="360"/>
        <w:jc w:val="left"/>
      </w:pPr>
      <w:r>
        <w:rPr>
          <w:rFonts w:ascii="Times New Roman" w:hAnsi="Times New Roman" w:cs="Times New Roman" w:eastAsia="Times New Roman" w:hint="default"/>
        </w:rPr>
        <w:t>98,723,714.95</w:t>
      </w:r>
      <w:r>
        <w:rPr>
          <w:rFonts w:ascii="Times New Roman" w:hAnsi="Times New Roman" w:cs="Times New Roman" w:eastAsia="Times New Roman" w:hint="default"/>
          <w:spacing w:val="-4"/>
        </w:rPr>
        <w:t> </w:t>
      </w:r>
      <w:r>
        <w:rPr/>
        <w:t>元，由于款项使用受到限制，因此不作为现金流量表中的现金及现金等价物。 注</w:t>
      </w:r>
      <w:r>
        <w:rPr>
          <w:spacing w:val="-47"/>
        </w:rPr>
        <w:t> </w:t>
      </w:r>
      <w:r>
        <w:rPr>
          <w:rFonts w:ascii="Times New Roman" w:hAnsi="Times New Roman" w:cs="Times New Roman" w:eastAsia="Times New Roman" w:hint="default"/>
        </w:rPr>
        <w:t>3</w:t>
      </w:r>
      <w:r>
        <w:rPr/>
        <w:t>：存放在境外的款项不存在汇回受到限制的情形。</w:t>
      </w:r>
    </w:p>
    <w:p>
      <w:pPr>
        <w:spacing w:line="240" w:lineRule="auto" w:before="8"/>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3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4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4"/>
              <w:ind w:left="24" w:right="9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90" w:type="dxa"/>
            <w:tcBorders>
              <w:top w:val="single" w:sz="12" w:space="0" w:color="D2D2D2"/>
              <w:left w:val="single" w:sz="13" w:space="0" w:color="D2D2D2"/>
              <w:bottom w:val="single" w:sz="16"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796,579,126.35</w:t>
            </w:r>
          </w:p>
        </w:tc>
        <w:tc>
          <w:tcPr>
            <w:tcW w:w="3191" w:type="dxa"/>
            <w:tcBorders>
              <w:top w:val="single" w:sz="12" w:space="0" w:color="D2D2D2"/>
              <w:left w:val="single" w:sz="4" w:space="0" w:color="000000"/>
              <w:bottom w:val="single" w:sz="16" w:space="0" w:color="D2D2D2"/>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1,121,676,020.00</w:t>
            </w:r>
          </w:p>
        </w:tc>
      </w:tr>
      <w:tr>
        <w:trPr>
          <w:trHeight w:val="43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81" w:hRule="exact"/>
        </w:trPr>
        <w:tc>
          <w:tcPr>
            <w:tcW w:w="319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796,579,126.35</w:t>
            </w:r>
          </w:p>
        </w:tc>
        <w:tc>
          <w:tcPr>
            <w:tcW w:w="319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1,100,000,000.00</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21,676,020.00</w:t>
            </w: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796,579,126.35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1,121,676,020.00</w:t>
            </w:r>
          </w:p>
        </w:tc>
      </w:tr>
    </w:tbl>
    <w:p>
      <w:pPr>
        <w:pStyle w:val="BodyText"/>
        <w:spacing w:line="240" w:lineRule="auto" w:before="87"/>
        <w:ind w:left="0" w:right="1224"/>
        <w:jc w:val="right"/>
      </w:pPr>
      <w:r>
        <w:rPr/>
        <w:t>注：年末理财产品包括：（</w:t>
      </w:r>
      <w:r>
        <w:rPr>
          <w:rFonts w:ascii="Times New Roman" w:hAnsi="Times New Roman" w:cs="Times New Roman" w:eastAsia="Times New Roman" w:hint="default"/>
        </w:rPr>
        <w:t>1</w:t>
      </w:r>
      <w:r>
        <w:rPr/>
        <w:t>）中信理财之共赢稳健天天利无固定期限人民币理财产品本金</w:t>
      </w:r>
      <w:r>
        <w:rPr>
          <w:spacing w:val="-45"/>
        </w:rPr>
        <w:t> </w:t>
      </w:r>
      <w:r>
        <w:rPr>
          <w:rFonts w:ascii="Times New Roman" w:hAnsi="Times New Roman" w:cs="Times New Roman" w:eastAsia="Times New Roman" w:hint="default"/>
        </w:rPr>
        <w:t>20,000.00</w:t>
      </w:r>
      <w:r>
        <w:rPr>
          <w:rFonts w:ascii="Times New Roman" w:hAnsi="Times New Roman" w:cs="Times New Roman" w:eastAsia="Times New Roman" w:hint="default"/>
          <w:spacing w:val="1"/>
        </w:rPr>
        <w:t> </w:t>
      </w:r>
      <w:r>
        <w:rPr/>
        <w:t>万元，理财起始</w:t>
      </w:r>
    </w:p>
    <w:p>
      <w:pPr>
        <w:spacing w:line="240" w:lineRule="auto" w:before="9"/>
        <w:rPr>
          <w:rFonts w:ascii="宋体" w:hAnsi="宋体" w:cs="宋体" w:eastAsia="宋体" w:hint="default"/>
          <w:sz w:val="16"/>
          <w:szCs w:val="16"/>
        </w:rPr>
      </w:pPr>
    </w:p>
    <w:p>
      <w:pPr>
        <w:pStyle w:val="BodyText"/>
        <w:spacing w:line="240" w:lineRule="auto"/>
        <w:ind w:right="0"/>
        <w:jc w:val="left"/>
      </w:pPr>
      <w:r>
        <w:rPr/>
        <w:t>日为</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月，无固定到期日，公允价值变动损益</w:t>
      </w:r>
      <w:r>
        <w:rPr>
          <w:spacing w:val="-46"/>
        </w:rPr>
        <w:t> </w:t>
      </w:r>
      <w:r>
        <w:rPr>
          <w:rFonts w:ascii="Times New Roman" w:hAnsi="Times New Roman" w:cs="Times New Roman" w:eastAsia="Times New Roman" w:hint="default"/>
        </w:rPr>
        <w:t>182,037.97 </w:t>
      </w:r>
      <w:r>
        <w:rPr/>
        <w:t>元；（</w:t>
      </w:r>
      <w:r>
        <w:rPr>
          <w:rFonts w:ascii="Times New Roman" w:hAnsi="Times New Roman" w:cs="Times New Roman" w:eastAsia="Times New Roman" w:hint="default"/>
        </w:rPr>
        <w:t>2</w:t>
      </w:r>
      <w:r>
        <w:rPr/>
        <w:t>）华夏银行步步增盈安心版理财产品本金</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27,000.00</w:t>
      </w:r>
      <w:r>
        <w:rPr>
          <w:rFonts w:ascii="Times New Roman" w:hAnsi="Times New Roman" w:cs="Times New Roman" w:eastAsia="Times New Roman" w:hint="default"/>
          <w:spacing w:val="-1"/>
        </w:rPr>
        <w:t> </w:t>
      </w:r>
      <w:r>
        <w:rPr/>
        <w:t>万元，理财起始日为</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月至</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月，无固定到期日，公允价值变动损益</w:t>
      </w:r>
      <w:r>
        <w:rPr>
          <w:spacing w:val="-47"/>
        </w:rPr>
        <w:t> </w:t>
      </w:r>
      <w:r>
        <w:rPr>
          <w:rFonts w:ascii="Times New Roman" w:hAnsi="Times New Roman" w:cs="Times New Roman" w:eastAsia="Times New Roman" w:hint="default"/>
        </w:rPr>
        <w:t>1,166,630.14 </w:t>
      </w:r>
      <w:r>
        <w:rPr/>
        <w:t>元；（</w:t>
      </w:r>
      <w:r>
        <w:rPr>
          <w:rFonts w:ascii="Times New Roman" w:hAnsi="Times New Roman" w:cs="Times New Roman" w:eastAsia="Times New Roman" w:hint="default"/>
        </w:rPr>
        <w:t>3</w:t>
      </w:r>
      <w:r>
        <w:rPr/>
        <w:t>）招</w:t>
      </w:r>
    </w:p>
    <w:p>
      <w:pPr>
        <w:spacing w:line="240" w:lineRule="auto" w:before="10"/>
        <w:rPr>
          <w:rFonts w:ascii="宋体" w:hAnsi="宋体" w:cs="宋体" w:eastAsia="宋体" w:hint="default"/>
          <w:sz w:val="16"/>
          <w:szCs w:val="16"/>
        </w:rPr>
      </w:pPr>
    </w:p>
    <w:p>
      <w:pPr>
        <w:pStyle w:val="BodyText"/>
        <w:spacing w:line="240" w:lineRule="auto"/>
        <w:ind w:right="0"/>
        <w:jc w:val="left"/>
      </w:pPr>
      <w:r>
        <w:rPr/>
        <w:t>商银行朝招金（多元稳健型）理财计划本金</w:t>
      </w:r>
      <w:r>
        <w:rPr>
          <w:spacing w:val="-46"/>
        </w:rPr>
        <w:t> </w:t>
      </w:r>
      <w:r>
        <w:rPr>
          <w:rFonts w:ascii="Times New Roman" w:hAnsi="Times New Roman" w:cs="Times New Roman" w:eastAsia="Times New Roman" w:hint="default"/>
        </w:rPr>
        <w:t>3,080.00</w:t>
      </w:r>
      <w:r>
        <w:rPr>
          <w:rFonts w:ascii="Times New Roman" w:hAnsi="Times New Roman" w:cs="Times New Roman" w:eastAsia="Times New Roman" w:hint="default"/>
          <w:spacing w:val="-1"/>
        </w:rPr>
        <w:t> </w:t>
      </w:r>
      <w:r>
        <w:rPr/>
        <w:t>万元，理财起始日为</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月，无固定到期日，公允价值变动损</w:t>
      </w:r>
    </w:p>
    <w:p>
      <w:pPr>
        <w:spacing w:line="240" w:lineRule="auto" w:before="9"/>
        <w:rPr>
          <w:rFonts w:ascii="宋体" w:hAnsi="宋体" w:cs="宋体" w:eastAsia="宋体" w:hint="default"/>
          <w:sz w:val="16"/>
          <w:szCs w:val="16"/>
        </w:rPr>
      </w:pPr>
    </w:p>
    <w:p>
      <w:pPr>
        <w:pStyle w:val="BodyText"/>
        <w:spacing w:line="240" w:lineRule="auto"/>
        <w:ind w:right="0"/>
        <w:jc w:val="left"/>
      </w:pPr>
      <w:r>
        <w:rPr/>
        <w:t>益零元；（</w:t>
      </w:r>
      <w:r>
        <w:rPr>
          <w:rFonts w:ascii="Times New Roman" w:hAnsi="Times New Roman" w:cs="Times New Roman" w:eastAsia="Times New Roman" w:hint="default"/>
        </w:rPr>
        <w:t>4</w:t>
      </w:r>
      <w:r>
        <w:rPr/>
        <w:t>）厦门国际银行赢兴系列代客理财产品</w:t>
      </w:r>
      <w:r>
        <w:rPr>
          <w:rFonts w:ascii="Times New Roman" w:hAnsi="Times New Roman" w:cs="Times New Roman" w:eastAsia="Times New Roman" w:hint="default"/>
        </w:rPr>
        <w:t>[2019035]</w:t>
      </w:r>
      <w:r>
        <w:rPr/>
        <w:t>期本金</w:t>
      </w:r>
      <w:r>
        <w:rPr>
          <w:spacing w:val="-47"/>
        </w:rPr>
        <w:t> </w:t>
      </w:r>
      <w:r>
        <w:rPr>
          <w:rFonts w:ascii="Times New Roman" w:hAnsi="Times New Roman" w:cs="Times New Roman" w:eastAsia="Times New Roman" w:hint="default"/>
        </w:rPr>
        <w:t>5,000.00 </w:t>
      </w:r>
      <w:r>
        <w:rPr/>
        <w:t>万元，理财起始日为</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日，理</w:t>
      </w:r>
    </w:p>
    <w:p>
      <w:pPr>
        <w:spacing w:line="240" w:lineRule="auto" w:before="9"/>
        <w:rPr>
          <w:rFonts w:ascii="宋体" w:hAnsi="宋体" w:cs="宋体" w:eastAsia="宋体" w:hint="default"/>
          <w:sz w:val="16"/>
          <w:szCs w:val="16"/>
        </w:rPr>
      </w:pPr>
    </w:p>
    <w:p>
      <w:pPr>
        <w:pStyle w:val="BodyText"/>
        <w:spacing w:line="240" w:lineRule="auto"/>
        <w:ind w:right="0"/>
        <w:jc w:val="left"/>
      </w:pPr>
      <w:r>
        <w:rPr/>
        <w:t>财到期日为</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日，公允价值变动损益</w:t>
      </w:r>
      <w:r>
        <w:rPr>
          <w:spacing w:val="-46"/>
        </w:rPr>
        <w:t> </w:t>
      </w:r>
      <w:r>
        <w:rPr>
          <w:rFonts w:ascii="Times New Roman" w:hAnsi="Times New Roman" w:cs="Times New Roman" w:eastAsia="Times New Roman" w:hint="default"/>
        </w:rPr>
        <w:t>41,805.56</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5</w:t>
      </w:r>
      <w:r>
        <w:rPr/>
        <w:t>）弘坤稳健</w:t>
      </w:r>
      <w:r>
        <w:rPr>
          <w:spacing w:val="-46"/>
        </w:rPr>
        <w:t> </w:t>
      </w:r>
      <w:r>
        <w:rPr>
          <w:rFonts w:ascii="Times New Roman" w:hAnsi="Times New Roman" w:cs="Times New Roman" w:eastAsia="Times New Roman" w:hint="default"/>
        </w:rPr>
        <w:t>7 </w:t>
      </w:r>
      <w:r>
        <w:rPr/>
        <w:t>号私募投资基金无固定期限人民币理财</w:t>
      </w:r>
    </w:p>
    <w:p>
      <w:pPr>
        <w:spacing w:line="240" w:lineRule="auto" w:before="9"/>
        <w:rPr>
          <w:rFonts w:ascii="宋体" w:hAnsi="宋体" w:cs="宋体" w:eastAsia="宋体" w:hint="default"/>
          <w:sz w:val="16"/>
          <w:szCs w:val="16"/>
        </w:rPr>
      </w:pPr>
    </w:p>
    <w:p>
      <w:pPr>
        <w:pStyle w:val="BodyText"/>
        <w:spacing w:line="240" w:lineRule="auto"/>
        <w:ind w:right="0"/>
        <w:jc w:val="left"/>
      </w:pPr>
      <w:r>
        <w:rPr/>
        <w:t>产品本金</w:t>
      </w:r>
      <w:r>
        <w:rPr>
          <w:spacing w:val="-47"/>
        </w:rPr>
        <w:t> </w:t>
      </w:r>
      <w:r>
        <w:rPr>
          <w:rFonts w:ascii="Times New Roman" w:hAnsi="Times New Roman" w:cs="Times New Roman" w:eastAsia="Times New Roman" w:hint="default"/>
        </w:rPr>
        <w:t>25,000.00 </w:t>
      </w:r>
      <w:r>
        <w:rPr/>
        <w:t>万元，理财起始日为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月，无固定期限，公允价值变动损益</w:t>
      </w:r>
      <w:r>
        <w:rPr>
          <w:rFonts w:ascii="Times New Roman" w:hAnsi="Times New Roman" w:cs="Times New Roman" w:eastAsia="Times New Roman" w:hint="default"/>
        </w:rPr>
        <w:t>-5,611,347.32</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 应收票据分类列示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222"/>
        <w:jc w:val="right"/>
      </w:pPr>
      <w:r>
        <w:rPr/>
        <w:t>单位：</w:t>
      </w:r>
      <w:r>
        <w:rPr>
          <w:spacing w:val="-18"/>
        </w:rPr>
        <w:t> </w:t>
      </w:r>
      <w:r>
        <w:rPr/>
        <w:t>元</w:t>
      </w:r>
    </w:p>
    <w:p>
      <w:pPr>
        <w:spacing w:line="240" w:lineRule="auto" w:before="8"/>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3190"/>
        <w:gridCol w:w="3190"/>
        <w:gridCol w:w="3191"/>
      </w:tblGrid>
      <w:tr>
        <w:trPr>
          <w:trHeight w:val="484"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90"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35,578,863.36</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20,024,810.58</w:t>
            </w:r>
          </w:p>
        </w:tc>
      </w:tr>
      <w:tr>
        <w:trPr>
          <w:trHeight w:val="487"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5,712,610.53</w:t>
            </w:r>
          </w:p>
        </w:tc>
        <w:tc>
          <w:tcPr>
            <w:tcW w:w="3191" w:type="dxa"/>
            <w:tcBorders>
              <w:top w:val="single" w:sz="6" w:space="0" w:color="000000"/>
              <w:left w:val="single" w:sz="6" w:space="0" w:color="000000"/>
              <w:bottom w:val="single" w:sz="6" w:space="0" w:color="000000"/>
              <w:right w:val="single" w:sz="6" w:space="0" w:color="000000"/>
            </w:tcBorders>
          </w:tcPr>
          <w:p>
            <w:pPr/>
          </w:p>
        </w:tc>
      </w:tr>
      <w:tr>
        <w:trPr>
          <w:trHeight w:val="490"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41,291,473.89</w:t>
            </w:r>
          </w:p>
        </w:tc>
        <w:tc>
          <w:tcPr>
            <w:tcW w:w="31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20,024,810.58</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w:t>
      </w:r>
      <w:r>
        <w:rPr>
          <w:spacing w:val="-2"/>
        </w:rPr>
        <w:t> </w:t>
      </w:r>
      <w:r>
        <w:rPr/>
        <w:t>期末已经背书或贴现且在资产负债表日尚未到期的应收票据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w:t>
      </w:r>
      <w:r>
        <w:rPr>
          <w:spacing w:val="-18"/>
        </w:rPr>
        <w:t> </w:t>
      </w:r>
      <w:r>
        <w:rPr/>
        <w:t>元</w:t>
      </w:r>
    </w:p>
    <w:p>
      <w:pPr>
        <w:spacing w:line="240" w:lineRule="auto" w:before="8"/>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3190"/>
        <w:gridCol w:w="3190"/>
        <w:gridCol w:w="3191"/>
      </w:tblGrid>
      <w:tr>
        <w:trPr>
          <w:trHeight w:val="484"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86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90"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27,822,073.00</w:t>
            </w:r>
          </w:p>
        </w:tc>
        <w:tc>
          <w:tcPr>
            <w:tcW w:w="3191" w:type="dxa"/>
            <w:tcBorders>
              <w:top w:val="single" w:sz="6" w:space="0" w:color="000000"/>
              <w:left w:val="single" w:sz="6" w:space="0" w:color="000000"/>
              <w:bottom w:val="single" w:sz="6" w:space="0" w:color="000000"/>
              <w:right w:val="single" w:sz="6" w:space="0" w:color="000000"/>
            </w:tcBorders>
          </w:tcPr>
          <w:p>
            <w:pPr/>
          </w:p>
        </w:tc>
      </w:tr>
      <w:tr>
        <w:trPr>
          <w:trHeight w:val="490" w:hRule="exact"/>
        </w:trPr>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27,822,073.00</w:t>
            </w:r>
          </w:p>
        </w:tc>
        <w:tc>
          <w:tcPr>
            <w:tcW w:w="319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477" w:lineRule="auto" w:before="87"/>
        <w:ind w:right="1213" w:firstLine="360"/>
        <w:jc w:val="left"/>
      </w:pPr>
      <w:r>
        <w:rPr/>
        <w:t>注：本集团认为背书和贴现的应收票据全部系银行承兑汇票且承兑银行信誉较好，该等票据未被偿还而导致本集团被 追索的情况可能性很小，因此本集团在票据背书及贴现时即终止确认应收票据。</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w:t>
      </w:r>
      <w:r>
        <w:rPr>
          <w:spacing w:val="-2"/>
        </w:rPr>
        <w:t> </w:t>
      </w:r>
      <w:r>
        <w:rPr/>
        <w:t>按坏账计提方法分类列示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311"/>
        <w:jc w:val="right"/>
      </w:pPr>
      <w:r>
        <w:rPr/>
        <w:t>单位：元</w:t>
      </w:r>
    </w:p>
    <w:p>
      <w:pPr>
        <w:spacing w:line="240" w:lineRule="auto" w:before="9"/>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269"/>
        <w:gridCol w:w="1702"/>
        <w:gridCol w:w="1133"/>
        <w:gridCol w:w="1419"/>
        <w:gridCol w:w="1277"/>
        <w:gridCol w:w="1700"/>
      </w:tblGrid>
      <w:tr>
        <w:trPr>
          <w:trHeight w:val="484" w:hRule="exact"/>
        </w:trPr>
        <w:tc>
          <w:tcPr>
            <w:tcW w:w="22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7230" w:type="dxa"/>
            <w:gridSpan w:val="5"/>
            <w:tcBorders>
              <w:top w:val="single" w:sz="4" w:space="0" w:color="000000"/>
              <w:left w:val="single" w:sz="4" w:space="0" w:color="000000"/>
              <w:bottom w:val="single" w:sz="9" w:space="0" w:color="FFFFFF"/>
              <w:right w:val="single" w:sz="4"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5" w:hRule="exact"/>
        </w:trPr>
        <w:tc>
          <w:tcPr>
            <w:tcW w:w="2269" w:type="dxa"/>
            <w:vMerge/>
            <w:tcBorders>
              <w:left w:val="single" w:sz="4" w:space="0" w:color="000000"/>
              <w:right w:val="single" w:sz="4" w:space="0" w:color="000000"/>
            </w:tcBorders>
            <w:shd w:val="clear" w:color="auto" w:fill="D9D9D9"/>
          </w:tcPr>
          <w:p>
            <w:pPr/>
          </w:p>
        </w:tc>
        <w:tc>
          <w:tcPr>
            <w:tcW w:w="2835" w:type="dxa"/>
            <w:gridSpan w:val="2"/>
            <w:tcBorders>
              <w:top w:val="single" w:sz="9" w:space="0" w:color="FFFFFF"/>
              <w:left w:val="single" w:sz="4" w:space="0" w:color="000000"/>
              <w:bottom w:val="single" w:sz="9" w:space="0" w:color="FFFFFF"/>
              <w:right w:val="single" w:sz="4"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96" w:type="dxa"/>
            <w:gridSpan w:val="2"/>
            <w:tcBorders>
              <w:top w:val="single" w:sz="9" w:space="0" w:color="FFFFFF"/>
              <w:left w:val="single" w:sz="4" w:space="0" w:color="000000"/>
              <w:bottom w:val="single" w:sz="9" w:space="0" w:color="FFFFFF"/>
              <w:right w:val="single" w:sz="4" w:space="0" w:color="000000"/>
            </w:tcBorders>
            <w:shd w:val="clear" w:color="auto" w:fill="D9D9D9"/>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0" w:type="dxa"/>
            <w:vMerge w:val="restart"/>
            <w:tcBorders>
              <w:top w:val="single" w:sz="9" w:space="0" w:color="FFFFFF"/>
              <w:left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79" w:hRule="exact"/>
        </w:trPr>
        <w:tc>
          <w:tcPr>
            <w:tcW w:w="2269" w:type="dxa"/>
            <w:vMerge/>
            <w:tcBorders>
              <w:left w:val="single" w:sz="4" w:space="0" w:color="000000"/>
              <w:bottom w:val="single" w:sz="4" w:space="0" w:color="FFFFFF"/>
              <w:right w:val="single" w:sz="4" w:space="0" w:color="000000"/>
            </w:tcBorders>
            <w:shd w:val="clear" w:color="auto" w:fill="D9D9D9"/>
          </w:tcPr>
          <w:p>
            <w:pPr/>
          </w:p>
        </w:tc>
        <w:tc>
          <w:tcPr>
            <w:tcW w:w="1702" w:type="dxa"/>
            <w:tcBorders>
              <w:top w:val="single" w:sz="9"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8"/>
              <w:ind w:right="107"/>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9"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8"/>
              <w:ind w:left="12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9" w:type="dxa"/>
            <w:tcBorders>
              <w:top w:val="single" w:sz="9"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8"/>
              <w:ind w:right="101"/>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9"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8"/>
              <w:ind w:right="31"/>
              <w:jc w:val="right"/>
              <w:rPr>
                <w:rFonts w:ascii="宋体" w:hAnsi="宋体" w:cs="宋体" w:eastAsia="宋体"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700" w:type="dxa"/>
            <w:vMerge/>
            <w:tcBorders>
              <w:left w:val="single" w:sz="4" w:space="0" w:color="000000"/>
              <w:bottom w:val="single" w:sz="4" w:space="0" w:color="FFFFFF"/>
              <w:right w:val="single" w:sz="4" w:space="0" w:color="000000"/>
            </w:tcBorders>
            <w:shd w:val="clear" w:color="auto" w:fill="D9D9D9"/>
          </w:tcPr>
          <w:p>
            <w:pPr/>
          </w:p>
        </w:tc>
      </w:tr>
      <w:tr>
        <w:trPr>
          <w:trHeight w:val="485" w:hRule="exact"/>
        </w:trPr>
        <w:tc>
          <w:tcPr>
            <w:tcW w:w="2269"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70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0"/>
              <w:ind w:right="7"/>
              <w:jc w:val="right"/>
              <w:rPr>
                <w:rFonts w:ascii="Times New Roman" w:hAnsi="Times New Roman" w:cs="Times New Roman" w:eastAsia="Times New Roman" w:hint="default"/>
                <w:sz w:val="18"/>
                <w:szCs w:val="18"/>
              </w:rPr>
            </w:pPr>
            <w:r>
              <w:rPr>
                <w:rFonts w:ascii="Times New Roman"/>
                <w:spacing w:val="-1"/>
                <w:sz w:val="18"/>
              </w:rPr>
              <w:t>35,578,863.36</w:t>
            </w:r>
          </w:p>
        </w:tc>
        <w:tc>
          <w:tcPr>
            <w:tcW w:w="113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z w:val="18"/>
              </w:rPr>
              <w:t>85.92</w:t>
            </w:r>
          </w:p>
        </w:tc>
        <w:tc>
          <w:tcPr>
            <w:tcW w:w="1419" w:type="dxa"/>
            <w:tcBorders>
              <w:top w:val="single" w:sz="4" w:space="0" w:color="FFFFFF"/>
              <w:left w:val="single" w:sz="4" w:space="0" w:color="000000"/>
              <w:bottom w:val="single" w:sz="4" w:space="0" w:color="FFFFFF"/>
              <w:right w:val="single" w:sz="4" w:space="0" w:color="000000"/>
            </w:tcBorders>
          </w:tcPr>
          <w:p>
            <w:pPr/>
          </w:p>
        </w:tc>
        <w:tc>
          <w:tcPr>
            <w:tcW w:w="1277" w:type="dxa"/>
            <w:tcBorders>
              <w:top w:val="single" w:sz="4" w:space="0" w:color="FFFFFF"/>
              <w:left w:val="single" w:sz="4" w:space="0" w:color="000000"/>
              <w:bottom w:val="single" w:sz="4" w:space="0" w:color="FFFFFF"/>
              <w:right w:val="single" w:sz="4" w:space="0" w:color="000000"/>
            </w:tcBorders>
          </w:tcPr>
          <w:p>
            <w:pPr/>
          </w:p>
        </w:tc>
        <w:tc>
          <w:tcPr>
            <w:tcW w:w="170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35,578,863.36</w:t>
            </w:r>
          </w:p>
        </w:tc>
      </w:tr>
      <w:tr>
        <w:trPr>
          <w:trHeight w:val="482" w:hRule="exact"/>
        </w:trPr>
        <w:tc>
          <w:tcPr>
            <w:tcW w:w="2269" w:type="dxa"/>
            <w:tcBorders>
              <w:top w:val="single" w:sz="4" w:space="0" w:color="FFFFFF"/>
              <w:left w:val="single" w:sz="4" w:space="0" w:color="000000"/>
              <w:bottom w:val="single" w:sz="4" w:space="0" w:color="FFFFFF"/>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702"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5,829,194.42</w:t>
            </w:r>
          </w:p>
        </w:tc>
        <w:tc>
          <w:tcPr>
            <w:tcW w:w="1133"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14.08</w:t>
            </w:r>
          </w:p>
        </w:tc>
        <w:tc>
          <w:tcPr>
            <w:tcW w:w="1419"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116,583.89</w:t>
            </w:r>
          </w:p>
        </w:tc>
        <w:tc>
          <w:tcPr>
            <w:tcW w:w="1277"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1"/>
                <w:sz w:val="18"/>
              </w:rPr>
              <w:t>2.00</w:t>
            </w:r>
          </w:p>
        </w:tc>
        <w:tc>
          <w:tcPr>
            <w:tcW w:w="1700" w:type="dxa"/>
            <w:tcBorders>
              <w:top w:val="single" w:sz="4" w:space="0" w:color="FFFFFF"/>
              <w:left w:val="single" w:sz="4" w:space="0" w:color="000000"/>
              <w:bottom w:val="single" w:sz="4" w:space="0" w:color="FFFFFF"/>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5,712,610.53</w:t>
            </w:r>
          </w:p>
        </w:tc>
      </w:tr>
      <w:tr>
        <w:trPr>
          <w:trHeight w:val="485" w:hRule="exact"/>
        </w:trPr>
        <w:tc>
          <w:tcPr>
            <w:tcW w:w="2269" w:type="dxa"/>
            <w:tcBorders>
              <w:top w:val="single" w:sz="4" w:space="0" w:color="FFFFFF"/>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其中：账期组合</w:t>
            </w:r>
          </w:p>
        </w:tc>
        <w:tc>
          <w:tcPr>
            <w:tcW w:w="170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5,829,194.42</w:t>
            </w:r>
          </w:p>
        </w:tc>
        <w:tc>
          <w:tcPr>
            <w:tcW w:w="1133"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14.08</w:t>
            </w:r>
          </w:p>
        </w:tc>
        <w:tc>
          <w:tcPr>
            <w:tcW w:w="141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116,583.89</w:t>
            </w:r>
          </w:p>
        </w:tc>
        <w:tc>
          <w:tcPr>
            <w:tcW w:w="1277"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3"/>
              <w:ind w:right="4"/>
              <w:jc w:val="right"/>
              <w:rPr>
                <w:rFonts w:ascii="Times New Roman" w:hAnsi="Times New Roman" w:cs="Times New Roman" w:eastAsia="Times New Roman" w:hint="default"/>
                <w:sz w:val="18"/>
                <w:szCs w:val="18"/>
              </w:rPr>
            </w:pPr>
            <w:r>
              <w:rPr>
                <w:rFonts w:ascii="Times New Roman"/>
                <w:spacing w:val="-1"/>
                <w:sz w:val="18"/>
              </w:rPr>
              <w:t>2.00</w:t>
            </w:r>
          </w:p>
        </w:tc>
        <w:tc>
          <w:tcPr>
            <w:tcW w:w="170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5,712,610.53</w:t>
            </w:r>
          </w:p>
        </w:tc>
      </w:tr>
      <w:tr>
        <w:trPr>
          <w:trHeight w:val="485" w:hRule="exact"/>
        </w:trPr>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41,408,057.78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116,583.89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1"/>
                <w:sz w:val="18"/>
              </w:rPr>
              <w:t>0.28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41,291,473.89</w:t>
            </w:r>
          </w:p>
        </w:tc>
      </w:tr>
    </w:tbl>
    <w:p>
      <w:pPr>
        <w:pStyle w:val="BodyText"/>
        <w:spacing w:line="240" w:lineRule="auto" w:before="87"/>
        <w:ind w:left="513" w:right="0"/>
        <w:jc w:val="left"/>
      </w:pPr>
      <w:r>
        <w:rPr>
          <w:rFonts w:ascii="Times New Roman" w:hAnsi="Times New Roman" w:cs="Times New Roman" w:eastAsia="Times New Roman" w:hint="default"/>
        </w:rPr>
        <w:t>1</w:t>
      </w:r>
      <w:r>
        <w:rPr/>
        <w:t>）按单项计提应收票据坏账准备</w:t>
      </w:r>
    </w:p>
    <w:p>
      <w:pPr>
        <w:spacing w:line="240" w:lineRule="auto" w:before="9"/>
        <w:rPr>
          <w:rFonts w:ascii="宋体" w:hAnsi="宋体" w:cs="宋体" w:eastAsia="宋体" w:hint="default"/>
          <w:sz w:val="16"/>
          <w:szCs w:val="16"/>
        </w:rPr>
      </w:pPr>
    </w:p>
    <w:p>
      <w:pPr>
        <w:pStyle w:val="BodyText"/>
        <w:spacing w:line="451" w:lineRule="auto"/>
        <w:ind w:right="1153" w:firstLine="360"/>
        <w:jc w:val="left"/>
      </w:pPr>
      <w:r>
        <w:rPr/>
        <w:t>本集团将应收票据</w:t>
      </w:r>
      <w:r>
        <w:rPr>
          <w:rFonts w:ascii="Times New Roman" w:hAnsi="Times New Roman" w:cs="Times New Roman" w:eastAsia="Times New Roman" w:hint="default"/>
        </w:rPr>
        <w:t>-</w:t>
      </w:r>
      <w:r>
        <w:rPr/>
        <w:t>银行承兑汇票按单项计提坏账准备，考虑银行承兑汇票的预期信用损失率极低，本集团未对其计提 坏账准备。</w:t>
      </w:r>
    </w:p>
    <w:p>
      <w:pPr>
        <w:pStyle w:val="BodyText"/>
        <w:spacing w:line="240" w:lineRule="auto" w:before="74"/>
        <w:ind w:left="513" w:right="0"/>
        <w:jc w:val="left"/>
      </w:pPr>
      <w:r>
        <w:rPr>
          <w:rFonts w:ascii="Times New Roman" w:hAnsi="Times New Roman" w:cs="Times New Roman" w:eastAsia="Times New Roman" w:hint="default"/>
        </w:rPr>
        <w:t>2</w:t>
      </w:r>
      <w:r>
        <w:rPr/>
        <w:t>）按组合计提应收票据坏账准备</w:t>
      </w:r>
    </w:p>
    <w:p>
      <w:pPr>
        <w:spacing w:line="240" w:lineRule="auto" w:before="10"/>
        <w:rPr>
          <w:rFonts w:ascii="宋体" w:hAnsi="宋体" w:cs="宋体" w:eastAsia="宋体" w:hint="default"/>
          <w:sz w:val="13"/>
          <w:szCs w:val="13"/>
        </w:rPr>
      </w:pPr>
    </w:p>
    <w:p>
      <w:pPr>
        <w:pStyle w:val="BodyText"/>
        <w:spacing w:line="240" w:lineRule="auto"/>
        <w:ind w:left="0" w:right="1310"/>
        <w:jc w:val="right"/>
      </w:pPr>
      <w:r>
        <w:rPr/>
        <w:t>单位：</w:t>
      </w:r>
      <w:r>
        <w:rPr>
          <w:spacing w:val="-18"/>
        </w:rPr>
        <w:t> </w:t>
      </w:r>
      <w:r>
        <w:rPr/>
        <w:t>元</w:t>
      </w:r>
    </w:p>
    <w:p>
      <w:pPr>
        <w:spacing w:line="240" w:lineRule="auto" w:before="2"/>
        <w:rPr>
          <w:rFonts w:ascii="宋体" w:hAnsi="宋体" w:cs="宋体" w:eastAsia="宋体" w:hint="default"/>
          <w:sz w:val="8"/>
          <w:szCs w:val="8"/>
        </w:rPr>
      </w:pPr>
    </w:p>
    <w:tbl>
      <w:tblPr>
        <w:tblW w:w="0" w:type="auto"/>
        <w:jc w:val="left"/>
        <w:tblInd w:w="171" w:type="dxa"/>
        <w:tblLayout w:type="fixed"/>
        <w:tblCellMar>
          <w:top w:w="0" w:type="dxa"/>
          <w:left w:w="0" w:type="dxa"/>
          <w:bottom w:w="0" w:type="dxa"/>
          <w:right w:w="0" w:type="dxa"/>
        </w:tblCellMar>
        <w:tblLook w:val="01E0"/>
      </w:tblPr>
      <w:tblGrid>
        <w:gridCol w:w="3191"/>
        <w:gridCol w:w="2100"/>
        <w:gridCol w:w="2103"/>
        <w:gridCol w:w="2100"/>
      </w:tblGrid>
      <w:tr>
        <w:trPr>
          <w:trHeight w:val="490" w:hRule="exact"/>
        </w:trPr>
        <w:tc>
          <w:tcPr>
            <w:tcW w:w="319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6304"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35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9" w:hRule="exact"/>
        </w:trPr>
        <w:tc>
          <w:tcPr>
            <w:tcW w:w="3191" w:type="dxa"/>
            <w:vMerge/>
            <w:tcBorders>
              <w:left w:val="single" w:sz="6" w:space="0" w:color="000000"/>
              <w:bottom w:val="single" w:sz="6" w:space="0" w:color="000000"/>
              <w:right w:val="single" w:sz="6" w:space="0" w:color="000000"/>
            </w:tcBorders>
            <w:shd w:val="clear" w:color="auto" w:fill="D9D9D9"/>
          </w:tcPr>
          <w:p>
            <w:pPr/>
          </w:p>
        </w:tc>
        <w:tc>
          <w:tcPr>
            <w:tcW w:w="21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0"/>
              <w:ind w:left="8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0"/>
              <w:ind w:left="8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0"/>
              <w:ind w:left="42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1" w:hRule="exact"/>
        </w:trPr>
        <w:tc>
          <w:tcPr>
            <w:tcW w:w="31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1"/>
              <w:ind w:left="3" w:right="0"/>
              <w:jc w:val="left"/>
              <w:rPr>
                <w:rFonts w:ascii="宋体" w:hAnsi="宋体" w:cs="宋体" w:eastAsia="宋体" w:hint="default"/>
                <w:sz w:val="18"/>
                <w:szCs w:val="18"/>
              </w:rPr>
            </w:pPr>
            <w:r>
              <w:rPr>
                <w:rFonts w:ascii="宋体" w:hAnsi="宋体" w:cs="宋体" w:eastAsia="宋体" w:hint="default"/>
                <w:sz w:val="18"/>
                <w:szCs w:val="18"/>
              </w:rPr>
              <w:t>未超期</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1140" w:right="-1"/>
              <w:jc w:val="left"/>
              <w:rPr>
                <w:rFonts w:ascii="Times New Roman" w:hAnsi="Times New Roman" w:cs="Times New Roman" w:eastAsia="Times New Roman" w:hint="default"/>
                <w:sz w:val="18"/>
                <w:szCs w:val="18"/>
              </w:rPr>
            </w:pPr>
            <w:r>
              <w:rPr>
                <w:rFonts w:ascii="Times New Roman"/>
                <w:sz w:val="18"/>
              </w:rPr>
              <w:t>5,829,194.42</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left="1277" w:right="-1"/>
              <w:jc w:val="left"/>
              <w:rPr>
                <w:rFonts w:ascii="Times New Roman" w:hAnsi="Times New Roman" w:cs="Times New Roman" w:eastAsia="Times New Roman" w:hint="default"/>
                <w:sz w:val="18"/>
                <w:szCs w:val="18"/>
              </w:rPr>
            </w:pPr>
            <w:r>
              <w:rPr>
                <w:rFonts w:ascii="Times New Roman"/>
                <w:sz w:val="18"/>
              </w:rPr>
              <w:t>116,583.89</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right"/>
              <w:rPr>
                <w:rFonts w:ascii="Times New Roman" w:hAnsi="Times New Roman" w:cs="Times New Roman" w:eastAsia="Times New Roman" w:hint="default"/>
                <w:sz w:val="18"/>
                <w:szCs w:val="18"/>
              </w:rPr>
            </w:pPr>
            <w:r>
              <w:rPr>
                <w:rFonts w:ascii="Times New Roman"/>
                <w:spacing w:val="-1"/>
                <w:sz w:val="18"/>
              </w:rPr>
              <w:t>2.00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w:t>
      </w:r>
      <w:r>
        <w:rPr>
          <w:spacing w:val="-2"/>
        </w:rPr>
        <w:t> </w:t>
      </w:r>
      <w:r>
        <w:rPr/>
        <w:t>本年计提、收回、转回的应收票据坏账准备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311"/>
        <w:jc w:val="right"/>
      </w:pPr>
      <w:r>
        <w:rPr/>
        <w:t>单位：元</w:t>
      </w:r>
    </w:p>
    <w:p>
      <w:pPr>
        <w:spacing w:line="240" w:lineRule="auto" w:before="4"/>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1596"/>
        <w:gridCol w:w="1594"/>
        <w:gridCol w:w="4784"/>
        <w:gridCol w:w="1493"/>
      </w:tblGrid>
      <w:tr>
        <w:trPr>
          <w:trHeight w:val="488" w:hRule="exact"/>
        </w:trPr>
        <w:tc>
          <w:tcPr>
            <w:tcW w:w="1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611" w:right="0"/>
              <w:jc w:val="left"/>
              <w:rPr>
                <w:rFonts w:ascii="宋体" w:hAnsi="宋体" w:cs="宋体" w:eastAsia="宋体" w:hint="default"/>
                <w:sz w:val="18"/>
                <w:szCs w:val="18"/>
              </w:rPr>
            </w:pPr>
            <w:r>
              <w:rPr>
                <w:rFonts w:ascii="宋体" w:hAnsi="宋体" w:cs="宋体" w:eastAsia="宋体" w:hint="default"/>
                <w:sz w:val="18"/>
                <w:szCs w:val="18"/>
              </w:rPr>
              <w:t>类别</w:t>
            </w:r>
            <w:r>
              <w:rPr>
                <w:rFonts w:ascii="宋体" w:hAnsi="宋体" w:cs="宋体" w:eastAsia="宋体" w:hint="default"/>
                <w:sz w:val="18"/>
                <w:szCs w:val="18"/>
              </w:rPr>
              <w:t> </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43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92" w:right="0"/>
              <w:jc w:val="center"/>
              <w:rPr>
                <w:rFonts w:ascii="宋体" w:hAnsi="宋体" w:cs="宋体" w:eastAsia="宋体" w:hint="default"/>
                <w:sz w:val="18"/>
                <w:szCs w:val="18"/>
              </w:rPr>
            </w:pPr>
            <w:r>
              <w:rPr>
                <w:rFonts w:ascii="宋体" w:hAnsi="宋体" w:cs="宋体" w:eastAsia="宋体" w:hint="default"/>
                <w:sz w:val="18"/>
                <w:szCs w:val="18"/>
              </w:rPr>
              <w:t>本期变动金额</w:t>
            </w:r>
            <w:r>
              <w:rPr>
                <w:rFonts w:ascii="宋体" w:hAnsi="宋体" w:cs="宋体" w:eastAsia="宋体" w:hint="default"/>
                <w:sz w:val="18"/>
                <w:szCs w:val="18"/>
              </w:rPr>
              <w:t> </w:t>
            </w:r>
          </w:p>
        </w:tc>
        <w:tc>
          <w:tcPr>
            <w:tcW w:w="1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37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r>
    </w:tbl>
    <w:p>
      <w:pPr>
        <w:spacing w:after="0" w:line="240" w:lineRule="auto"/>
        <w:jc w:val="left"/>
        <w:rPr>
          <w:rFonts w:ascii="宋体" w:hAnsi="宋体" w:cs="宋体" w:eastAsia="宋体"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98" w:type="dxa"/>
        <w:tblLayout w:type="fixed"/>
        <w:tblCellMar>
          <w:top w:w="0" w:type="dxa"/>
          <w:left w:w="0" w:type="dxa"/>
          <w:bottom w:w="0" w:type="dxa"/>
          <w:right w:w="0" w:type="dxa"/>
        </w:tblCellMar>
        <w:tblLook w:val="01E0"/>
      </w:tblPr>
      <w:tblGrid>
        <w:gridCol w:w="1596"/>
        <w:gridCol w:w="1594"/>
        <w:gridCol w:w="1594"/>
        <w:gridCol w:w="1596"/>
        <w:gridCol w:w="1594"/>
        <w:gridCol w:w="1493"/>
      </w:tblGrid>
      <w:tr>
        <w:trPr>
          <w:trHeight w:val="490" w:hRule="exact"/>
        </w:trPr>
        <w:tc>
          <w:tcPr>
            <w:tcW w:w="15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left="94" w:right="0"/>
              <w:jc w:val="center"/>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left="90" w:right="0"/>
              <w:jc w:val="center"/>
              <w:rPr>
                <w:rFonts w:ascii="宋体" w:hAnsi="宋体" w:cs="宋体" w:eastAsia="宋体" w:hint="default"/>
                <w:sz w:val="18"/>
                <w:szCs w:val="18"/>
              </w:rPr>
            </w:pPr>
            <w:r>
              <w:rPr>
                <w:rFonts w:ascii="宋体" w:hAnsi="宋体" w:cs="宋体" w:eastAsia="宋体" w:hint="default"/>
                <w:sz w:val="18"/>
                <w:szCs w:val="18"/>
              </w:rPr>
              <w:t>收回或转回</w:t>
            </w:r>
            <w:r>
              <w:rPr>
                <w:rFonts w:ascii="宋体" w:hAnsi="宋体" w:cs="宋体" w:eastAsia="宋体" w:hint="default"/>
                <w:sz w:val="18"/>
                <w:szCs w:val="18"/>
              </w:rPr>
              <w:t> </w:t>
            </w:r>
          </w:p>
        </w:tc>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0"/>
              <w:ind w:left="90" w:right="0"/>
              <w:jc w:val="center"/>
              <w:rPr>
                <w:rFonts w:ascii="宋体" w:hAnsi="宋体" w:cs="宋体" w:eastAsia="宋体" w:hint="default"/>
                <w:sz w:val="18"/>
                <w:szCs w:val="18"/>
              </w:rPr>
            </w:pPr>
            <w:r>
              <w:rPr>
                <w:rFonts w:ascii="宋体" w:hAnsi="宋体" w:cs="宋体" w:eastAsia="宋体" w:hint="default"/>
                <w:sz w:val="18"/>
                <w:szCs w:val="18"/>
              </w:rPr>
              <w:t>核销</w:t>
            </w:r>
            <w:r>
              <w:rPr>
                <w:rFonts w:ascii="宋体" w:hAnsi="宋体" w:cs="宋体" w:eastAsia="宋体" w:hint="default"/>
                <w:sz w:val="18"/>
                <w:szCs w:val="18"/>
              </w:rPr>
              <w:t> </w:t>
            </w:r>
          </w:p>
        </w:tc>
        <w:tc>
          <w:tcPr>
            <w:tcW w:w="149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90"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51" w:right="0"/>
              <w:jc w:val="left"/>
              <w:rPr>
                <w:rFonts w:ascii="宋体" w:hAnsi="宋体" w:cs="宋体" w:eastAsia="宋体" w:hint="default"/>
                <w:sz w:val="18"/>
                <w:szCs w:val="18"/>
              </w:rPr>
            </w:pPr>
            <w:r>
              <w:rPr>
                <w:rFonts w:ascii="宋体" w:hAnsi="宋体" w:cs="宋体" w:eastAsia="宋体" w:hint="default"/>
                <w:sz w:val="18"/>
                <w:szCs w:val="18"/>
              </w:rPr>
              <w:t>商业承兑汇票</w:t>
            </w:r>
            <w:r>
              <w:rPr>
                <w:rFonts w:ascii="宋体" w:hAnsi="宋体" w:cs="宋体" w:eastAsia="宋体" w:hint="default"/>
                <w:sz w:val="18"/>
                <w:szCs w:val="18"/>
              </w:rPr>
              <w:t> </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5" w:right="0"/>
              <w:jc w:val="center"/>
              <w:rPr>
                <w:rFonts w:ascii="宋体" w:hAnsi="宋体" w:cs="宋体" w:eastAsia="宋体" w:hint="default"/>
                <w:sz w:val="18"/>
                <w:szCs w:val="18"/>
              </w:rPr>
            </w:pPr>
            <w:r>
              <w:rPr>
                <w:rFonts w:ascii="宋体"/>
                <w:sz w:val="18"/>
              </w:rPr>
              <w:t> </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116,583.89 </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2" w:right="0"/>
              <w:jc w:val="center"/>
              <w:rPr>
                <w:rFonts w:ascii="宋体" w:hAnsi="宋体" w:cs="宋体" w:eastAsia="宋体" w:hint="default"/>
                <w:sz w:val="18"/>
                <w:szCs w:val="18"/>
              </w:rPr>
            </w:pPr>
            <w:r>
              <w:rPr>
                <w:rFonts w:ascii="宋体"/>
                <w:sz w:val="18"/>
              </w:rPr>
              <w:t> </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90" w:right="0"/>
              <w:jc w:val="center"/>
              <w:rPr>
                <w:rFonts w:ascii="宋体" w:hAnsi="宋体" w:cs="宋体" w:eastAsia="宋体" w:hint="default"/>
                <w:sz w:val="18"/>
                <w:szCs w:val="18"/>
              </w:rPr>
            </w:pPr>
            <w:r>
              <w:rPr>
                <w:rFonts w:ascii="宋体"/>
                <w:sz w:val="18"/>
              </w:rPr>
              <w:t> </w:t>
            </w:r>
          </w:p>
        </w:tc>
        <w:tc>
          <w:tcPr>
            <w:tcW w:w="1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87" w:right="0"/>
              <w:jc w:val="left"/>
              <w:rPr>
                <w:rFonts w:ascii="宋体" w:hAnsi="宋体" w:cs="宋体" w:eastAsia="宋体" w:hint="default"/>
                <w:sz w:val="18"/>
                <w:szCs w:val="18"/>
              </w:rPr>
            </w:pPr>
            <w:r>
              <w:rPr>
                <w:rFonts w:ascii="宋体"/>
                <w:sz w:val="18"/>
              </w:rPr>
              <w:t>116,583.89 </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5"/>
          <w:szCs w:val="25"/>
        </w:rPr>
      </w:pPr>
    </w:p>
    <w:tbl>
      <w:tblPr>
        <w:tblW w:w="0" w:type="auto"/>
        <w:jc w:val="left"/>
        <w:tblInd w:w="280" w:type="dxa"/>
        <w:tblLayout w:type="fixed"/>
        <w:tblCellMar>
          <w:top w:w="0" w:type="dxa"/>
          <w:left w:w="0" w:type="dxa"/>
          <w:bottom w:w="0" w:type="dxa"/>
          <w:right w:w="0" w:type="dxa"/>
        </w:tblCellMar>
        <w:tblLook w:val="01E0"/>
      </w:tblPr>
      <w:tblGrid>
        <w:gridCol w:w="3209"/>
        <w:gridCol w:w="3210"/>
        <w:gridCol w:w="2960"/>
      </w:tblGrid>
      <w:tr>
        <w:trPr>
          <w:trHeight w:val="463" w:hRule="exact"/>
        </w:trPr>
        <w:tc>
          <w:tcPr>
            <w:tcW w:w="3209" w:type="dxa"/>
            <w:tcBorders>
              <w:top w:val="single" w:sz="4" w:space="0" w:color="000000"/>
              <w:left w:val="single" w:sz="4" w:space="0" w:color="000000"/>
              <w:bottom w:val="single" w:sz="4" w:space="0" w:color="000000"/>
              <w:right w:val="single" w:sz="2" w:space="0" w:color="000000"/>
            </w:tcBorders>
            <w:shd w:val="clear" w:color="auto" w:fill="D9D9D9"/>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3210" w:type="dxa"/>
            <w:tcBorders>
              <w:top w:val="single" w:sz="4"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125"/>
              <w:ind w:left="87"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2960" w:type="dxa"/>
            <w:tcBorders>
              <w:top w:val="single" w:sz="4" w:space="0" w:color="000000"/>
              <w:left w:val="single" w:sz="2" w:space="0" w:color="000000"/>
              <w:bottom w:val="single" w:sz="2" w:space="0" w:color="000000"/>
              <w:right w:val="single" w:sz="4" w:space="0" w:color="000000"/>
            </w:tcBorders>
            <w:shd w:val="clear" w:color="auto" w:fill="D9D9D9"/>
          </w:tcPr>
          <w:p>
            <w:pPr>
              <w:pStyle w:val="TableParagraph"/>
              <w:spacing w:line="240" w:lineRule="auto" w:before="125"/>
              <w:ind w:left="89"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r>
      <w:tr>
        <w:trPr>
          <w:trHeight w:val="463" w:hRule="exact"/>
        </w:trPr>
        <w:tc>
          <w:tcPr>
            <w:tcW w:w="3209" w:type="dxa"/>
            <w:tcBorders>
              <w:top w:val="single" w:sz="4" w:space="0" w:color="000000"/>
              <w:left w:val="single" w:sz="4" w:space="0" w:color="000000"/>
              <w:bottom w:val="single" w:sz="2" w:space="0" w:color="000000"/>
              <w:right w:val="single" w:sz="4" w:space="0" w:color="000000"/>
            </w:tcBorders>
            <w:shd w:val="clear" w:color="auto" w:fill="D9D9D9"/>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3210"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85"/>
              <w:ind w:right="14"/>
              <w:jc w:val="right"/>
              <w:rPr>
                <w:rFonts w:ascii="宋体" w:hAnsi="宋体" w:cs="宋体" w:eastAsia="宋体" w:hint="default"/>
                <w:sz w:val="18"/>
                <w:szCs w:val="18"/>
              </w:rPr>
            </w:pPr>
            <w:r>
              <w:rPr>
                <w:rFonts w:ascii="宋体"/>
                <w:spacing w:val="-1"/>
                <w:sz w:val="18"/>
              </w:rPr>
              <w:t>3,887,591,683.32 </w:t>
            </w:r>
          </w:p>
        </w:tc>
        <w:tc>
          <w:tcPr>
            <w:tcW w:w="29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pacing w:val="-1"/>
                <w:sz w:val="18"/>
              </w:rPr>
              <w:t>3,446,741,163.55</w:t>
            </w:r>
            <w:r>
              <w:rPr>
                <w:rFonts w:ascii="宋体"/>
                <w:sz w:val="18"/>
              </w:rPr>
              <w:t> </w:t>
            </w:r>
          </w:p>
        </w:tc>
      </w:tr>
      <w:tr>
        <w:trPr>
          <w:trHeight w:val="458" w:hRule="exact"/>
        </w:trPr>
        <w:tc>
          <w:tcPr>
            <w:tcW w:w="3209" w:type="dxa"/>
            <w:tcBorders>
              <w:top w:val="single" w:sz="2" w:space="0" w:color="000000"/>
              <w:left w:val="single" w:sz="4" w:space="0" w:color="000000"/>
              <w:bottom w:val="single" w:sz="2" w:space="0" w:color="000000"/>
              <w:right w:val="single" w:sz="4" w:space="0" w:color="000000"/>
            </w:tcBorders>
            <w:shd w:val="clear" w:color="auto" w:fill="D9D9D9"/>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减：坏账准备</w:t>
            </w:r>
            <w:r>
              <w:rPr>
                <w:rFonts w:ascii="宋体" w:hAnsi="宋体" w:cs="宋体" w:eastAsia="宋体" w:hint="default"/>
                <w:sz w:val="18"/>
                <w:szCs w:val="18"/>
              </w:rPr>
              <w:t> </w:t>
            </w:r>
          </w:p>
        </w:tc>
        <w:tc>
          <w:tcPr>
            <w:tcW w:w="3210"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80"/>
              <w:ind w:right="14"/>
              <w:jc w:val="right"/>
              <w:rPr>
                <w:rFonts w:ascii="宋体" w:hAnsi="宋体" w:cs="宋体" w:eastAsia="宋体" w:hint="default"/>
                <w:sz w:val="18"/>
                <w:szCs w:val="18"/>
              </w:rPr>
            </w:pPr>
            <w:r>
              <w:rPr>
                <w:rFonts w:ascii="宋体"/>
                <w:spacing w:val="-1"/>
                <w:sz w:val="18"/>
              </w:rPr>
              <w:t>583,288,709.71 </w:t>
            </w:r>
          </w:p>
        </w:tc>
        <w:tc>
          <w:tcPr>
            <w:tcW w:w="2960"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502,328,385.45 </w:t>
            </w:r>
          </w:p>
        </w:tc>
      </w:tr>
      <w:tr>
        <w:trPr>
          <w:trHeight w:val="463" w:hRule="exact"/>
        </w:trPr>
        <w:tc>
          <w:tcPr>
            <w:tcW w:w="3209" w:type="dxa"/>
            <w:tcBorders>
              <w:top w:val="single" w:sz="2"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3210" w:type="dxa"/>
            <w:tcBorders>
              <w:top w:val="single" w:sz="2" w:space="0" w:color="000000"/>
              <w:left w:val="single" w:sz="4" w:space="0" w:color="000000"/>
              <w:bottom w:val="single" w:sz="4" w:space="0" w:color="000000"/>
              <w:right w:val="single" w:sz="2" w:space="0" w:color="000000"/>
            </w:tcBorders>
          </w:tcPr>
          <w:p>
            <w:pPr>
              <w:pStyle w:val="TableParagraph"/>
              <w:spacing w:line="240" w:lineRule="auto" w:before="80"/>
              <w:ind w:right="104"/>
              <w:jc w:val="right"/>
              <w:rPr>
                <w:rFonts w:ascii="宋体" w:hAnsi="宋体" w:cs="宋体" w:eastAsia="宋体" w:hint="default"/>
                <w:sz w:val="18"/>
                <w:szCs w:val="18"/>
              </w:rPr>
            </w:pPr>
            <w:r>
              <w:rPr>
                <w:rFonts w:ascii="宋体"/>
                <w:spacing w:val="-1"/>
                <w:sz w:val="18"/>
              </w:rPr>
              <w:t>3,304,302,973.61</w:t>
            </w:r>
          </w:p>
        </w:tc>
        <w:tc>
          <w:tcPr>
            <w:tcW w:w="2960" w:type="dxa"/>
            <w:tcBorders>
              <w:top w:val="single" w:sz="2" w:space="0" w:color="000000"/>
              <w:left w:val="single" w:sz="2" w:space="0" w:color="000000"/>
              <w:bottom w:val="single" w:sz="4" w:space="0" w:color="000000"/>
              <w:right w:val="single" w:sz="4" w:space="0" w:color="000000"/>
            </w:tcBorders>
          </w:tcPr>
          <w:p>
            <w:pPr>
              <w:pStyle w:val="TableParagraph"/>
              <w:spacing w:line="240" w:lineRule="auto" w:before="80"/>
              <w:ind w:right="11"/>
              <w:jc w:val="right"/>
              <w:rPr>
                <w:rFonts w:ascii="宋体" w:hAnsi="宋体" w:cs="宋体" w:eastAsia="宋体" w:hint="default"/>
                <w:sz w:val="18"/>
                <w:szCs w:val="18"/>
              </w:rPr>
            </w:pPr>
            <w:r>
              <w:rPr>
                <w:rFonts w:ascii="宋体"/>
                <w:spacing w:val="-1"/>
                <w:sz w:val="18"/>
              </w:rPr>
              <w:t>2,944,412,778.10 </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 应收账款按坏账准备计提方法分类披露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311"/>
        <w:jc w:val="right"/>
      </w:pPr>
      <w:r>
        <w:rPr/>
        <w:t>单位：元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39"/>
        <w:gridCol w:w="1500"/>
        <w:gridCol w:w="929"/>
        <w:gridCol w:w="1285"/>
        <w:gridCol w:w="1010"/>
        <w:gridCol w:w="1438"/>
      </w:tblGrid>
      <w:tr>
        <w:trPr>
          <w:trHeight w:val="484" w:hRule="exact"/>
        </w:trPr>
        <w:tc>
          <w:tcPr>
            <w:tcW w:w="333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62"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4" w:hRule="exact"/>
        </w:trPr>
        <w:tc>
          <w:tcPr>
            <w:tcW w:w="3339" w:type="dxa"/>
            <w:vMerge/>
            <w:tcBorders>
              <w:left w:val="single" w:sz="4" w:space="0" w:color="000000"/>
              <w:right w:val="single" w:sz="4" w:space="0" w:color="000000"/>
            </w:tcBorders>
            <w:shd w:val="clear" w:color="auto" w:fill="D9D9D9"/>
          </w:tcPr>
          <w:p>
            <w:pPr/>
          </w:p>
        </w:tc>
        <w:tc>
          <w:tcPr>
            <w:tcW w:w="242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29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3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5" w:hRule="exact"/>
        </w:trPr>
        <w:tc>
          <w:tcPr>
            <w:tcW w:w="3339" w:type="dxa"/>
            <w:vMerge/>
            <w:tcBorders>
              <w:left w:val="single" w:sz="4" w:space="0" w:color="000000"/>
              <w:bottom w:val="single" w:sz="4" w:space="0" w:color="000000"/>
              <w:right w:val="single" w:sz="4" w:space="0" w:color="000000"/>
            </w:tcBorders>
            <w:shd w:val="clear" w:color="auto" w:fill="D9D9D9"/>
          </w:tcPr>
          <w:p>
            <w:pPr/>
          </w:p>
        </w:tc>
        <w:tc>
          <w:tcPr>
            <w:tcW w:w="15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106"/>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24"/>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2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right="62"/>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38" w:type="dxa"/>
            <w:vMerge/>
            <w:tcBorders>
              <w:left w:val="single" w:sz="4" w:space="0" w:color="000000"/>
              <w:bottom w:val="single" w:sz="4" w:space="0" w:color="000000"/>
              <w:right w:val="single" w:sz="4" w:space="0" w:color="000000"/>
            </w:tcBorders>
            <w:shd w:val="clear" w:color="auto" w:fill="D9D9D9"/>
          </w:tcPr>
          <w:p>
            <w:pPr/>
          </w:p>
        </w:tc>
      </w:tr>
      <w:tr>
        <w:trPr>
          <w:trHeight w:val="482" w:hRule="exact"/>
        </w:trPr>
        <w:tc>
          <w:tcPr>
            <w:tcW w:w="3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7"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112,900,254.91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2.90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62,052,431.37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54.96</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50,847,823.54</w:t>
            </w:r>
          </w:p>
        </w:tc>
      </w:tr>
      <w:tr>
        <w:trPr>
          <w:trHeight w:val="485" w:hRule="exact"/>
        </w:trPr>
        <w:tc>
          <w:tcPr>
            <w:tcW w:w="3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7"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
              <w:jc w:val="right"/>
              <w:rPr>
                <w:rFonts w:ascii="Times New Roman" w:hAnsi="Times New Roman" w:cs="Times New Roman" w:eastAsia="Times New Roman" w:hint="default"/>
                <w:sz w:val="18"/>
                <w:szCs w:val="18"/>
              </w:rPr>
            </w:pPr>
            <w:r>
              <w:rPr>
                <w:rFonts w:ascii="Times New Roman"/>
                <w:spacing w:val="-1"/>
                <w:sz w:val="18"/>
              </w:rPr>
              <w:t>3,774,691,428.41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97.10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521,236,278.34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z w:val="18"/>
              </w:rPr>
              <w:t>13.81</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
              <w:jc w:val="right"/>
              <w:rPr>
                <w:rFonts w:ascii="Times New Roman" w:hAnsi="Times New Roman" w:cs="Times New Roman" w:eastAsia="Times New Roman" w:hint="default"/>
                <w:sz w:val="18"/>
                <w:szCs w:val="18"/>
              </w:rPr>
            </w:pPr>
            <w:r>
              <w:rPr>
                <w:rFonts w:ascii="Times New Roman"/>
                <w:spacing w:val="-1"/>
                <w:sz w:val="18"/>
              </w:rPr>
              <w:t>3,253,455,150.07</w:t>
            </w:r>
          </w:p>
        </w:tc>
      </w:tr>
      <w:tr>
        <w:trPr>
          <w:trHeight w:val="485"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89,873,521.01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2.31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89,873,521.01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482"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II</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3,041,103,707.41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78.23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315,316,002.21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10.37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2,725,787,705.20</w:t>
            </w:r>
          </w:p>
        </w:tc>
      </w:tr>
      <w:tr>
        <w:trPr>
          <w:trHeight w:val="485"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III</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
              <w:jc w:val="right"/>
              <w:rPr>
                <w:rFonts w:ascii="Times New Roman" w:hAnsi="Times New Roman" w:cs="Times New Roman" w:eastAsia="Times New Roman" w:hint="default"/>
                <w:sz w:val="18"/>
                <w:szCs w:val="18"/>
              </w:rPr>
            </w:pPr>
            <w:r>
              <w:rPr>
                <w:rFonts w:ascii="Times New Roman"/>
                <w:spacing w:val="-1"/>
                <w:sz w:val="18"/>
              </w:rPr>
              <w:t>48,684,513.18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right"/>
              <w:rPr>
                <w:rFonts w:ascii="Times New Roman" w:hAnsi="Times New Roman" w:cs="Times New Roman" w:eastAsia="Times New Roman" w:hint="default"/>
                <w:sz w:val="18"/>
                <w:szCs w:val="18"/>
              </w:rPr>
            </w:pPr>
            <w:r>
              <w:rPr>
                <w:rFonts w:ascii="Times New Roman"/>
                <w:spacing w:val="-1"/>
                <w:sz w:val="18"/>
              </w:rPr>
              <w:t>1.25</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44,791,036.94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z w:val="18"/>
              </w:rPr>
              <w:t>92.00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
              <w:jc w:val="right"/>
              <w:rPr>
                <w:rFonts w:ascii="Times New Roman" w:hAnsi="Times New Roman" w:cs="Times New Roman" w:eastAsia="Times New Roman" w:hint="default"/>
                <w:sz w:val="18"/>
                <w:szCs w:val="18"/>
              </w:rPr>
            </w:pPr>
            <w:r>
              <w:rPr>
                <w:rFonts w:ascii="Times New Roman"/>
                <w:spacing w:val="-1"/>
                <w:sz w:val="18"/>
              </w:rPr>
              <w:t>3,893,476.24</w:t>
            </w:r>
          </w:p>
        </w:tc>
      </w:tr>
      <w:tr>
        <w:trPr>
          <w:trHeight w:val="485" w:hRule="exact"/>
        </w:trPr>
        <w:tc>
          <w:tcPr>
            <w:tcW w:w="3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595,029,686.81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15.31</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71,255,718.18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11.98</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523,773,968.63</w:t>
            </w:r>
          </w:p>
        </w:tc>
      </w:tr>
      <w:tr>
        <w:trPr>
          <w:trHeight w:val="485" w:hRule="exact"/>
        </w:trPr>
        <w:tc>
          <w:tcPr>
            <w:tcW w:w="33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3,887,591,683.32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583,288,709.71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15.00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3,304,302,973.61</w:t>
            </w:r>
          </w:p>
        </w:tc>
      </w:tr>
    </w:tbl>
    <w:p>
      <w:pPr>
        <w:pStyle w:val="BodyText"/>
        <w:spacing w:line="240" w:lineRule="auto" w:before="49"/>
        <w:ind w:right="0"/>
        <w:jc w:val="left"/>
      </w:pPr>
      <w:r>
        <w:rPr/>
        <w:t>（续上表）</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39"/>
        <w:gridCol w:w="1500"/>
        <w:gridCol w:w="929"/>
        <w:gridCol w:w="1445"/>
        <w:gridCol w:w="991"/>
        <w:gridCol w:w="1419"/>
      </w:tblGrid>
      <w:tr>
        <w:trPr>
          <w:trHeight w:val="530" w:hRule="exact"/>
        </w:trPr>
        <w:tc>
          <w:tcPr>
            <w:tcW w:w="333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285" w:type="dxa"/>
            <w:gridSpan w:val="5"/>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8" w:hRule="exact"/>
        </w:trPr>
        <w:tc>
          <w:tcPr>
            <w:tcW w:w="3339" w:type="dxa"/>
            <w:vMerge/>
            <w:tcBorders>
              <w:left w:val="single" w:sz="6" w:space="0" w:color="000000"/>
              <w:right w:val="single" w:sz="6" w:space="0" w:color="000000"/>
            </w:tcBorders>
            <w:shd w:val="clear" w:color="auto" w:fill="D9D9D9"/>
          </w:tcPr>
          <w:p>
            <w:pPr/>
          </w:p>
        </w:tc>
        <w:tc>
          <w:tcPr>
            <w:tcW w:w="2429" w:type="dxa"/>
            <w:gridSpan w:val="2"/>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37" w:type="dxa"/>
            <w:gridSpan w:val="2"/>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7"/>
              <w:ind w:left="3"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19" w:type="dxa"/>
            <w:vMerge w:val="restart"/>
            <w:tcBorders>
              <w:top w:val="single" w:sz="8" w:space="0" w:color="000000"/>
              <w:left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51" w:hRule="exact"/>
        </w:trPr>
        <w:tc>
          <w:tcPr>
            <w:tcW w:w="3339" w:type="dxa"/>
            <w:vMerge/>
            <w:tcBorders>
              <w:left w:val="single" w:sz="6" w:space="0" w:color="000000"/>
              <w:bottom w:val="single" w:sz="8" w:space="0" w:color="000000"/>
              <w:right w:val="single" w:sz="6" w:space="0" w:color="000000"/>
            </w:tcBorders>
            <w:shd w:val="clear" w:color="auto" w:fill="D9D9D9"/>
          </w:tcPr>
          <w:p>
            <w:pPr/>
          </w:p>
        </w:tc>
        <w:tc>
          <w:tcPr>
            <w:tcW w:w="1500"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49"/>
              <w:ind w:right="106"/>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45"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91"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49"/>
              <w:ind w:left="5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9" w:type="dxa"/>
            <w:vMerge/>
            <w:tcBorders>
              <w:left w:val="single" w:sz="6" w:space="0" w:color="000000"/>
              <w:bottom w:val="single" w:sz="8" w:space="0" w:color="000000"/>
              <w:right w:val="single" w:sz="6" w:space="0" w:color="000000"/>
            </w:tcBorders>
            <w:shd w:val="clear" w:color="auto" w:fill="D9D9D9"/>
          </w:tcPr>
          <w:p>
            <w:pPr/>
          </w:p>
        </w:tc>
      </w:tr>
      <w:tr>
        <w:trPr>
          <w:trHeight w:val="494" w:hRule="exact"/>
        </w:trPr>
        <w:tc>
          <w:tcPr>
            <w:tcW w:w="3339"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4"/>
              <w:ind w:right="3"/>
              <w:jc w:val="right"/>
              <w:rPr>
                <w:rFonts w:ascii="Times New Roman" w:hAnsi="Times New Roman" w:cs="Times New Roman" w:eastAsia="Times New Roman" w:hint="default"/>
                <w:sz w:val="18"/>
                <w:szCs w:val="18"/>
              </w:rPr>
            </w:pPr>
            <w:r>
              <w:rPr>
                <w:rFonts w:ascii="Times New Roman"/>
                <w:spacing w:val="-1"/>
                <w:sz w:val="18"/>
              </w:rPr>
              <w:t>158,884,569.30</w:t>
            </w:r>
          </w:p>
        </w:tc>
        <w:tc>
          <w:tcPr>
            <w:tcW w:w="9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4"/>
              <w:ind w:right="2"/>
              <w:jc w:val="right"/>
              <w:rPr>
                <w:rFonts w:ascii="Times New Roman" w:hAnsi="Times New Roman" w:cs="Times New Roman" w:eastAsia="Times New Roman" w:hint="default"/>
                <w:sz w:val="18"/>
                <w:szCs w:val="18"/>
              </w:rPr>
            </w:pPr>
            <w:r>
              <w:rPr>
                <w:rFonts w:ascii="Times New Roman"/>
                <w:spacing w:val="-1"/>
                <w:sz w:val="18"/>
              </w:rPr>
              <w:t>4.61</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4"/>
              <w:ind w:right="3"/>
              <w:jc w:val="right"/>
              <w:rPr>
                <w:rFonts w:ascii="Times New Roman" w:hAnsi="Times New Roman" w:cs="Times New Roman" w:eastAsia="Times New Roman" w:hint="default"/>
                <w:sz w:val="18"/>
                <w:szCs w:val="18"/>
              </w:rPr>
            </w:pPr>
            <w:r>
              <w:rPr>
                <w:rFonts w:ascii="Times New Roman"/>
                <w:spacing w:val="-1"/>
                <w:sz w:val="18"/>
              </w:rPr>
              <w:t>84,031,941.55</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z w:val="18"/>
              </w:rPr>
              <w:t>52.89</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74,852,627.75</w:t>
            </w:r>
          </w:p>
        </w:tc>
      </w:tr>
      <w:tr>
        <w:trPr>
          <w:trHeight w:val="494" w:hRule="exact"/>
        </w:trPr>
        <w:tc>
          <w:tcPr>
            <w:tcW w:w="3339"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3,287,856,594.25</w:t>
            </w:r>
          </w:p>
        </w:tc>
        <w:tc>
          <w:tcPr>
            <w:tcW w:w="9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95.39</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418,296,443.90</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12.72</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2,869,560,150.35</w:t>
            </w:r>
          </w:p>
        </w:tc>
      </w:tr>
      <w:tr>
        <w:trPr>
          <w:trHeight w:val="494" w:hRule="exact"/>
        </w:trPr>
        <w:tc>
          <w:tcPr>
            <w:tcW w:w="33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w:t>
            </w:r>
          </w:p>
        </w:tc>
        <w:tc>
          <w:tcPr>
            <w:tcW w:w="1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41,001,618.96</w:t>
            </w:r>
          </w:p>
        </w:tc>
        <w:tc>
          <w:tcPr>
            <w:tcW w:w="9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1.19</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41,001,618.96</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8" w:space="0" w:color="000000"/>
              <w:left w:val="single" w:sz="6" w:space="0" w:color="000000"/>
              <w:bottom w:val="single" w:sz="8" w:space="0" w:color="000000"/>
              <w:right w:val="single" w:sz="6" w:space="0" w:color="000000"/>
            </w:tcBorders>
          </w:tcPr>
          <w:p>
            <w:pPr/>
          </w:p>
        </w:tc>
      </w:tr>
      <w:tr>
        <w:trPr>
          <w:trHeight w:val="494" w:hRule="exact"/>
        </w:trPr>
        <w:tc>
          <w:tcPr>
            <w:tcW w:w="33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II</w:t>
            </w:r>
          </w:p>
        </w:tc>
        <w:tc>
          <w:tcPr>
            <w:tcW w:w="1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2,663,574,216.05</w:t>
            </w:r>
          </w:p>
        </w:tc>
        <w:tc>
          <w:tcPr>
            <w:tcW w:w="9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77.28</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283,277,042.98</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10.64</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2,380,297,173.07</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3339"/>
        <w:gridCol w:w="1500"/>
        <w:gridCol w:w="929"/>
        <w:gridCol w:w="1445"/>
        <w:gridCol w:w="991"/>
        <w:gridCol w:w="1419"/>
      </w:tblGrid>
      <w:tr>
        <w:trPr>
          <w:trHeight w:val="495" w:hRule="exact"/>
        </w:trPr>
        <w:tc>
          <w:tcPr>
            <w:tcW w:w="33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账期组合</w:t>
            </w:r>
            <w:r>
              <w:rPr>
                <w:rFonts w:ascii="Times New Roman" w:hAnsi="Times New Roman" w:cs="Times New Roman" w:eastAsia="Times New Roman" w:hint="default"/>
                <w:sz w:val="18"/>
                <w:szCs w:val="18"/>
              </w:rPr>
              <w:t>III</w:t>
            </w:r>
          </w:p>
        </w:tc>
        <w:tc>
          <w:tcPr>
            <w:tcW w:w="150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78,341,097.22</w:t>
            </w:r>
          </w:p>
        </w:tc>
        <w:tc>
          <w:tcPr>
            <w:tcW w:w="92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2.27</w:t>
            </w:r>
          </w:p>
        </w:tc>
        <w:tc>
          <w:tcPr>
            <w:tcW w:w="144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50,590,733.11</w:t>
            </w:r>
          </w:p>
        </w:tc>
        <w:tc>
          <w:tcPr>
            <w:tcW w:w="99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z w:val="18"/>
              </w:rPr>
              <w:t>64.58</w:t>
            </w:r>
          </w:p>
        </w:tc>
        <w:tc>
          <w:tcPr>
            <w:tcW w:w="141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27,750,364.11</w:t>
            </w:r>
          </w:p>
        </w:tc>
      </w:tr>
      <w:tr>
        <w:trPr>
          <w:trHeight w:val="494" w:hRule="exact"/>
        </w:trPr>
        <w:tc>
          <w:tcPr>
            <w:tcW w:w="33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504,939,662.02</w:t>
            </w:r>
          </w:p>
        </w:tc>
        <w:tc>
          <w:tcPr>
            <w:tcW w:w="9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14.65</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43,427,048.85</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8.60</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461,512,613.17</w:t>
            </w:r>
          </w:p>
        </w:tc>
      </w:tr>
      <w:tr>
        <w:trPr>
          <w:trHeight w:val="494" w:hRule="exact"/>
        </w:trPr>
        <w:tc>
          <w:tcPr>
            <w:tcW w:w="3339"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3,446,741,163.55</w:t>
            </w:r>
          </w:p>
        </w:tc>
        <w:tc>
          <w:tcPr>
            <w:tcW w:w="9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502,328,385.45</w:t>
            </w:r>
          </w:p>
        </w:tc>
        <w:tc>
          <w:tcPr>
            <w:tcW w:w="9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14.57</w:t>
            </w:r>
          </w:p>
        </w:tc>
        <w:tc>
          <w:tcPr>
            <w:tcW w:w="14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2,944,412,778.10</w:t>
            </w:r>
          </w:p>
        </w:tc>
      </w:tr>
    </w:tbl>
    <w:p>
      <w:pPr>
        <w:pStyle w:val="BodyText"/>
        <w:spacing w:line="451" w:lineRule="auto" w:before="87"/>
        <w:ind w:left="513" w:right="1213"/>
        <w:jc w:val="left"/>
      </w:pPr>
      <w:r>
        <w:rPr>
          <w:rFonts w:ascii="Times New Roman" w:hAnsi="Times New Roman" w:cs="Times New Roman" w:eastAsia="Times New Roman" w:hint="default"/>
        </w:rPr>
        <w:t>1</w:t>
      </w:r>
      <w:r>
        <w:rPr/>
        <w:t>）按单项计提坏账准备的应收账款 年末按单项计提坏账准备的应收账款，主要系本公司之孙公司神州数码金信科技股份有限公司和本公司之子公司中农</w:t>
      </w:r>
    </w:p>
    <w:p>
      <w:pPr>
        <w:pStyle w:val="BodyText"/>
        <w:spacing w:line="240" w:lineRule="auto" w:before="74"/>
        <w:ind w:left="0" w:right="1452"/>
        <w:jc w:val="right"/>
        <w:rPr>
          <w:rFonts w:ascii="Times New Roman" w:hAnsi="Times New Roman" w:cs="Times New Roman" w:eastAsia="Times New Roman" w:hint="default"/>
        </w:rPr>
      </w:pPr>
      <w:r>
        <w:rPr/>
        <w:t>信达产生的应收款，原值分别为</w:t>
      </w:r>
      <w:r>
        <w:rPr>
          <w:spacing w:val="-47"/>
        </w:rPr>
        <w:t> </w:t>
      </w:r>
      <w:r>
        <w:rPr>
          <w:rFonts w:ascii="Times New Roman" w:hAnsi="Times New Roman" w:cs="Times New Roman" w:eastAsia="Times New Roman" w:hint="default"/>
        </w:rPr>
        <w:t>39,358,303.50</w:t>
      </w:r>
      <w:r>
        <w:rPr>
          <w:rFonts w:ascii="Times New Roman" w:hAnsi="Times New Roman" w:cs="Times New Roman" w:eastAsia="Times New Roman" w:hint="default"/>
          <w:spacing w:val="-2"/>
        </w:rPr>
        <w:t> </w:t>
      </w:r>
      <w:r>
        <w:rPr/>
        <w:t>元和</w:t>
      </w:r>
      <w:r>
        <w:rPr>
          <w:spacing w:val="-50"/>
        </w:rPr>
        <w:t> </w:t>
      </w:r>
      <w:r>
        <w:rPr>
          <w:rFonts w:ascii="Times New Roman" w:hAnsi="Times New Roman" w:cs="Times New Roman" w:eastAsia="Times New Roman" w:hint="default"/>
        </w:rPr>
        <w:t>73,541,951.41</w:t>
      </w:r>
      <w:r>
        <w:rPr>
          <w:rFonts w:ascii="Times New Roman" w:hAnsi="Times New Roman" w:cs="Times New Roman" w:eastAsia="Times New Roman" w:hint="default"/>
          <w:spacing w:val="-1"/>
        </w:rPr>
        <w:t> </w:t>
      </w:r>
      <w:r>
        <w:rPr/>
        <w:t>元，坏账准备分别为</w:t>
      </w:r>
      <w:r>
        <w:rPr>
          <w:spacing w:val="-50"/>
        </w:rPr>
        <w:t> </w:t>
      </w:r>
      <w:r>
        <w:rPr>
          <w:rFonts w:ascii="Times New Roman" w:hAnsi="Times New Roman" w:cs="Times New Roman" w:eastAsia="Times New Roman" w:hint="default"/>
        </w:rPr>
        <w:t>39,358,303.50</w:t>
      </w:r>
      <w:r>
        <w:rPr>
          <w:rFonts w:ascii="Times New Roman" w:hAnsi="Times New Roman" w:cs="Times New Roman" w:eastAsia="Times New Roman" w:hint="default"/>
          <w:spacing w:val="-2"/>
        </w:rPr>
        <w:t> </w:t>
      </w:r>
      <w:r>
        <w:rPr/>
        <w:t>元和</w:t>
      </w:r>
      <w:r>
        <w:rPr>
          <w:spacing w:val="-48"/>
        </w:rPr>
        <w:t> </w:t>
      </w:r>
      <w:r>
        <w:rPr>
          <w:rFonts w:ascii="Times New Roman" w:hAnsi="Times New Roman" w:cs="Times New Roman" w:eastAsia="Times New Roman" w:hint="default"/>
        </w:rPr>
        <w:t>22,694,127.87</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left"/>
      </w:pPr>
      <w:r>
        <w:rPr/>
        <w:t>元。</w:t>
      </w:r>
    </w:p>
    <w:p>
      <w:pPr>
        <w:spacing w:line="240" w:lineRule="auto" w:before="10"/>
        <w:rPr>
          <w:rFonts w:ascii="宋体" w:hAnsi="宋体" w:cs="宋体" w:eastAsia="宋体" w:hint="default"/>
          <w:sz w:val="17"/>
          <w:szCs w:val="17"/>
        </w:rPr>
      </w:pPr>
    </w:p>
    <w:p>
      <w:pPr>
        <w:pStyle w:val="BodyText"/>
        <w:spacing w:line="477" w:lineRule="auto"/>
        <w:ind w:right="1213" w:firstLine="360"/>
        <w:jc w:val="left"/>
      </w:pPr>
      <w:r>
        <w:rPr/>
        <w:t>年初按单项计提坏账准备的应收账款主要系本公司之孙公司神州数码金信科技股份有限公司和本公司之子公司中农信 达产生的应收款，原值分别为</w:t>
      </w:r>
      <w:r>
        <w:rPr>
          <w:spacing w:val="-47"/>
        </w:rPr>
        <w:t> </w:t>
      </w:r>
      <w:r>
        <w:rPr>
          <w:rFonts w:ascii="Times New Roman" w:hAnsi="Times New Roman" w:cs="Times New Roman" w:eastAsia="Times New Roman" w:hint="default"/>
        </w:rPr>
        <w:t>63,259,788.88</w:t>
      </w:r>
      <w:r>
        <w:rPr>
          <w:rFonts w:ascii="Times New Roman" w:hAnsi="Times New Roman" w:cs="Times New Roman" w:eastAsia="Times New Roman" w:hint="default"/>
          <w:spacing w:val="-1"/>
        </w:rPr>
        <w:t> </w:t>
      </w:r>
      <w:r>
        <w:rPr/>
        <w:t>元和</w:t>
      </w:r>
      <w:r>
        <w:rPr>
          <w:spacing w:val="-50"/>
        </w:rPr>
        <w:t> </w:t>
      </w:r>
      <w:r>
        <w:rPr>
          <w:rFonts w:ascii="Times New Roman" w:hAnsi="Times New Roman" w:cs="Times New Roman" w:eastAsia="Times New Roman" w:hint="default"/>
        </w:rPr>
        <w:t>95,624,780.42</w:t>
      </w:r>
      <w:r>
        <w:rPr>
          <w:rFonts w:ascii="Times New Roman" w:hAnsi="Times New Roman" w:cs="Times New Roman" w:eastAsia="Times New Roman" w:hint="default"/>
          <w:spacing w:val="-1"/>
        </w:rPr>
        <w:t> </w:t>
      </w:r>
      <w:r>
        <w:rPr/>
        <w:t>元，坏账准备分别为</w:t>
      </w:r>
      <w:r>
        <w:rPr>
          <w:spacing w:val="-47"/>
        </w:rPr>
        <w:t> </w:t>
      </w:r>
      <w:r>
        <w:rPr>
          <w:rFonts w:ascii="Times New Roman" w:hAnsi="Times New Roman" w:cs="Times New Roman" w:eastAsia="Times New Roman" w:hint="default"/>
        </w:rPr>
        <w:t>61,316,229.18</w:t>
      </w:r>
      <w:r>
        <w:rPr>
          <w:rFonts w:ascii="Times New Roman" w:hAnsi="Times New Roman" w:cs="Times New Roman" w:eastAsia="Times New Roman" w:hint="default"/>
          <w:spacing w:val="-2"/>
        </w:rPr>
        <w:t> </w:t>
      </w:r>
      <w:r>
        <w:rPr/>
        <w:t>元和</w:t>
      </w:r>
      <w:r>
        <w:rPr>
          <w:spacing w:val="-48"/>
        </w:rPr>
        <w:t> </w:t>
      </w:r>
      <w:r>
        <w:rPr>
          <w:rFonts w:ascii="Times New Roman" w:hAnsi="Times New Roman" w:cs="Times New Roman" w:eastAsia="Times New Roman" w:hint="default"/>
        </w:rPr>
        <w:t>22,715,712.37</w:t>
      </w:r>
      <w:r>
        <w:rPr>
          <w:rFonts w:ascii="Times New Roman" w:hAnsi="Times New Roman" w:cs="Times New Roman" w:eastAsia="Times New Roman" w:hint="default"/>
          <w:spacing w:val="-1"/>
        </w:rPr>
        <w:t> </w:t>
      </w:r>
      <w:r>
        <w:rPr/>
        <w:t>元。</w:t>
      </w:r>
    </w:p>
    <w:p>
      <w:pPr>
        <w:pStyle w:val="BodyText"/>
        <w:spacing w:line="240" w:lineRule="auto" w:before="21"/>
        <w:ind w:left="513" w:right="0"/>
        <w:jc w:val="left"/>
      </w:pPr>
      <w:r>
        <w:rPr>
          <w:rFonts w:ascii="Times New Roman" w:hAnsi="Times New Roman" w:cs="Times New Roman" w:eastAsia="Times New Roman" w:hint="default"/>
        </w:rPr>
        <w:t>2</w:t>
      </w:r>
      <w:r>
        <w:rPr/>
        <w:t>）组合中，采用账期组合</w:t>
      </w:r>
      <w:r>
        <w:rPr>
          <w:spacing w:val="-45"/>
        </w:rPr>
        <w:t> </w:t>
      </w:r>
      <w:r>
        <w:rPr>
          <w:rFonts w:ascii="Times New Roman" w:hAnsi="Times New Roman" w:cs="Times New Roman" w:eastAsia="Times New Roman" w:hint="default"/>
        </w:rPr>
        <w:t>I</w:t>
      </w:r>
      <w:r>
        <w:rPr>
          <w:rFonts w:ascii="Times New Roman" w:hAnsi="Times New Roman" w:cs="Times New Roman" w:eastAsia="Times New Roman" w:hint="default"/>
          <w:spacing w:val="-1"/>
        </w:rPr>
        <w:t> </w:t>
      </w:r>
      <w:r>
        <w:rPr/>
        <w:t>计提坏账准备的应收账款</w:t>
      </w:r>
    </w:p>
    <w:p>
      <w:pPr>
        <w:spacing w:line="240" w:lineRule="auto" w:before="10"/>
        <w:rPr>
          <w:rFonts w:ascii="宋体" w:hAnsi="宋体" w:cs="宋体" w:eastAsia="宋体" w:hint="default"/>
          <w:sz w:val="13"/>
          <w:szCs w:val="13"/>
        </w:rPr>
      </w:pPr>
    </w:p>
    <w:p>
      <w:pPr>
        <w:pStyle w:val="BodyText"/>
        <w:spacing w:line="240" w:lineRule="auto"/>
        <w:ind w:left="0" w:right="1402"/>
        <w:jc w:val="right"/>
      </w:pPr>
      <w:r>
        <w:rPr/>
        <w:t>单位：元</w:t>
      </w:r>
    </w:p>
    <w:p>
      <w:pPr>
        <w:spacing w:line="240" w:lineRule="auto" w:before="3"/>
        <w:rPr>
          <w:rFonts w:ascii="宋体" w:hAnsi="宋体" w:cs="宋体" w:eastAsia="宋体" w:hint="default"/>
          <w:sz w:val="8"/>
          <w:szCs w:val="8"/>
        </w:rPr>
      </w:pPr>
    </w:p>
    <w:tbl>
      <w:tblPr>
        <w:tblW w:w="0" w:type="auto"/>
        <w:jc w:val="left"/>
        <w:tblInd w:w="354" w:type="dxa"/>
        <w:tblLayout w:type="fixed"/>
        <w:tblCellMar>
          <w:top w:w="0" w:type="dxa"/>
          <w:left w:w="0" w:type="dxa"/>
          <w:bottom w:w="0" w:type="dxa"/>
          <w:right w:w="0" w:type="dxa"/>
        </w:tblCellMar>
        <w:tblLook w:val="01E0"/>
      </w:tblPr>
      <w:tblGrid>
        <w:gridCol w:w="2425"/>
        <w:gridCol w:w="2403"/>
        <w:gridCol w:w="2410"/>
        <w:gridCol w:w="1985"/>
      </w:tblGrid>
      <w:tr>
        <w:trPr>
          <w:trHeight w:val="488" w:hRule="exact"/>
        </w:trPr>
        <w:tc>
          <w:tcPr>
            <w:tcW w:w="242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6798"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8" w:hRule="exact"/>
        </w:trPr>
        <w:tc>
          <w:tcPr>
            <w:tcW w:w="2425" w:type="dxa"/>
            <w:vMerge/>
            <w:tcBorders>
              <w:left w:val="single" w:sz="6" w:space="0" w:color="000000"/>
              <w:bottom w:val="single" w:sz="6" w:space="0" w:color="000000"/>
              <w:right w:val="single" w:sz="6" w:space="0" w:color="000000"/>
            </w:tcBorders>
            <w:shd w:val="clear" w:color="auto" w:fill="D9D9D9"/>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36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88"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F</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right"/>
              <w:rPr>
                <w:rFonts w:ascii="Times New Roman" w:hAnsi="Times New Roman" w:cs="Times New Roman" w:eastAsia="Times New Roman" w:hint="default"/>
                <w:sz w:val="18"/>
                <w:szCs w:val="18"/>
              </w:rPr>
            </w:pPr>
            <w:r>
              <w:rPr>
                <w:rFonts w:ascii="Times New Roman"/>
                <w:spacing w:val="-1"/>
                <w:sz w:val="18"/>
              </w:rPr>
              <w:t>11,555,600.00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right"/>
              <w:rPr>
                <w:rFonts w:ascii="Times New Roman" w:hAnsi="Times New Roman" w:cs="Times New Roman" w:eastAsia="Times New Roman" w:hint="default"/>
                <w:sz w:val="18"/>
                <w:szCs w:val="18"/>
              </w:rPr>
            </w:pPr>
            <w:r>
              <w:rPr>
                <w:rFonts w:ascii="Times New Roman"/>
                <w:spacing w:val="-1"/>
                <w:sz w:val="18"/>
              </w:rPr>
              <w:t>11,555,600.00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G</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9,349,280.93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9,349,280.93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H</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8,811,110.11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8,811,110.11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I</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7,725,037.50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7,725,037.50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87"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J</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6,723,802.70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6,723,802.70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其他客户</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45,708,689.77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45,708,689.77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4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89,873,521.01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89,873,521.01</w:t>
            </w:r>
          </w:p>
        </w:tc>
        <w:tc>
          <w:tcPr>
            <w:tcW w:w="198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
        <w:ind w:left="333" w:right="0"/>
        <w:jc w:val="left"/>
        <w:rPr>
          <w:rFonts w:ascii="宋体" w:hAnsi="宋体" w:cs="宋体" w:eastAsia="宋体" w:hint="default"/>
        </w:rPr>
      </w:pPr>
      <w:r>
        <w:rPr/>
        <w:t>（续上表）</w:t>
      </w:r>
      <w:r>
        <w:rPr>
          <w:rFonts w:ascii="宋体" w:hAnsi="宋体" w:cs="宋体" w:eastAsia="宋体" w:hint="default"/>
        </w:rPr>
        <w:t> </w:t>
      </w:r>
    </w:p>
    <w:p>
      <w:pPr>
        <w:spacing w:line="240" w:lineRule="auto" w:before="4"/>
        <w:rPr>
          <w:rFonts w:ascii="宋体" w:hAnsi="宋体" w:cs="宋体" w:eastAsia="宋体" w:hint="default"/>
          <w:sz w:val="5"/>
          <w:szCs w:val="5"/>
        </w:rPr>
      </w:pPr>
    </w:p>
    <w:tbl>
      <w:tblPr>
        <w:tblW w:w="0" w:type="auto"/>
        <w:jc w:val="left"/>
        <w:tblInd w:w="378" w:type="dxa"/>
        <w:tblLayout w:type="fixed"/>
        <w:tblCellMar>
          <w:top w:w="0" w:type="dxa"/>
          <w:left w:w="0" w:type="dxa"/>
          <w:bottom w:w="0" w:type="dxa"/>
          <w:right w:w="0" w:type="dxa"/>
        </w:tblCellMar>
        <w:tblLook w:val="01E0"/>
      </w:tblPr>
      <w:tblGrid>
        <w:gridCol w:w="2381"/>
        <w:gridCol w:w="2400"/>
        <w:gridCol w:w="2413"/>
        <w:gridCol w:w="1983"/>
      </w:tblGrid>
      <w:tr>
        <w:trPr>
          <w:trHeight w:val="488" w:hRule="exact"/>
        </w:trPr>
        <w:tc>
          <w:tcPr>
            <w:tcW w:w="238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6796"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8" w:hRule="exact"/>
        </w:trPr>
        <w:tc>
          <w:tcPr>
            <w:tcW w:w="2381" w:type="dxa"/>
            <w:vMerge/>
            <w:tcBorders>
              <w:left w:val="single" w:sz="6" w:space="0" w:color="000000"/>
              <w:bottom w:val="single" w:sz="6" w:space="0" w:color="000000"/>
              <w:right w:val="single" w:sz="6" w:space="0" w:color="000000"/>
            </w:tcBorders>
            <w:shd w:val="clear" w:color="auto" w:fill="D9D9D9"/>
          </w:tcPr>
          <w:p>
            <w:pPr/>
          </w:p>
        </w:tc>
        <w:tc>
          <w:tcPr>
            <w:tcW w:w="24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36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89" w:hRule="exact"/>
        </w:trPr>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A</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0"/>
              <w:jc w:val="right"/>
              <w:rPr>
                <w:rFonts w:ascii="Times New Roman" w:hAnsi="Times New Roman" w:cs="Times New Roman" w:eastAsia="Times New Roman" w:hint="default"/>
                <w:sz w:val="18"/>
                <w:szCs w:val="18"/>
              </w:rPr>
            </w:pPr>
            <w:r>
              <w:rPr>
                <w:rFonts w:ascii="Times New Roman"/>
                <w:spacing w:val="-1"/>
                <w:sz w:val="18"/>
              </w:rPr>
              <w:t>9,417,334.26</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3"/>
              <w:jc w:val="right"/>
              <w:rPr>
                <w:rFonts w:ascii="Times New Roman" w:hAnsi="Times New Roman" w:cs="Times New Roman" w:eastAsia="Times New Roman" w:hint="default"/>
                <w:sz w:val="18"/>
                <w:szCs w:val="18"/>
              </w:rPr>
            </w:pPr>
            <w:r>
              <w:rPr>
                <w:rFonts w:ascii="Times New Roman"/>
                <w:spacing w:val="-1"/>
                <w:sz w:val="18"/>
              </w:rPr>
              <w:t>9,417,334.26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6,755,000.00</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3"/>
              <w:jc w:val="right"/>
              <w:rPr>
                <w:rFonts w:ascii="Times New Roman" w:hAnsi="Times New Roman" w:cs="Times New Roman" w:eastAsia="Times New Roman" w:hint="default"/>
                <w:sz w:val="18"/>
                <w:szCs w:val="18"/>
              </w:rPr>
            </w:pPr>
            <w:r>
              <w:rPr>
                <w:rFonts w:ascii="Times New Roman"/>
                <w:spacing w:val="-1"/>
                <w:sz w:val="18"/>
              </w:rPr>
              <w:t>6,755,000.00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6,297,175.14</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6,297,175.14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D</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5,670,000.00</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5,670,000.00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87" w:hRule="exact"/>
        </w:trPr>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3,058,392.10</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3,058,392.10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2" w:right="0"/>
              <w:jc w:val="left"/>
              <w:rPr>
                <w:rFonts w:ascii="宋体" w:hAnsi="宋体" w:cs="宋体" w:eastAsia="宋体" w:hint="default"/>
                <w:sz w:val="18"/>
                <w:szCs w:val="18"/>
              </w:rPr>
            </w:pPr>
            <w:r>
              <w:rPr>
                <w:rFonts w:ascii="宋体" w:hAnsi="宋体" w:cs="宋体" w:eastAsia="宋体" w:hint="default"/>
                <w:sz w:val="18"/>
                <w:szCs w:val="18"/>
              </w:rPr>
              <w:t>其他客户</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9,803,717.46</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3"/>
              <w:jc w:val="right"/>
              <w:rPr>
                <w:rFonts w:ascii="Times New Roman" w:hAnsi="Times New Roman" w:cs="Times New Roman" w:eastAsia="Times New Roman" w:hint="default"/>
                <w:sz w:val="18"/>
                <w:szCs w:val="18"/>
              </w:rPr>
            </w:pPr>
            <w:r>
              <w:rPr>
                <w:rFonts w:ascii="Times New Roman"/>
                <w:spacing w:val="-1"/>
                <w:sz w:val="18"/>
              </w:rPr>
              <w:t>9,803,717.46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375" w:type="dxa"/>
        <w:tblLayout w:type="fixed"/>
        <w:tblCellMar>
          <w:top w:w="0" w:type="dxa"/>
          <w:left w:w="0" w:type="dxa"/>
          <w:bottom w:w="0" w:type="dxa"/>
          <w:right w:w="0" w:type="dxa"/>
        </w:tblCellMar>
        <w:tblLook w:val="01E0"/>
      </w:tblPr>
      <w:tblGrid>
        <w:gridCol w:w="2384"/>
        <w:gridCol w:w="2402"/>
        <w:gridCol w:w="2413"/>
        <w:gridCol w:w="1983"/>
      </w:tblGrid>
      <w:tr>
        <w:trPr>
          <w:trHeight w:val="490" w:hRule="exact"/>
        </w:trPr>
        <w:tc>
          <w:tcPr>
            <w:tcW w:w="23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90"/>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352" w:right="0"/>
              <w:jc w:val="left"/>
              <w:rPr>
                <w:rFonts w:ascii="Times New Roman" w:hAnsi="Times New Roman" w:cs="Times New Roman" w:eastAsia="Times New Roman" w:hint="default"/>
                <w:sz w:val="18"/>
                <w:szCs w:val="18"/>
              </w:rPr>
            </w:pPr>
            <w:r>
              <w:rPr>
                <w:rFonts w:ascii="Times New Roman"/>
                <w:sz w:val="18"/>
              </w:rPr>
              <w:t>41,001,618.96</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358" w:right="0"/>
              <w:jc w:val="left"/>
              <w:rPr>
                <w:rFonts w:ascii="Times New Roman" w:hAnsi="Times New Roman" w:cs="Times New Roman" w:eastAsia="Times New Roman" w:hint="default"/>
                <w:sz w:val="18"/>
                <w:szCs w:val="18"/>
              </w:rPr>
            </w:pPr>
            <w:r>
              <w:rPr>
                <w:rFonts w:ascii="Times New Roman"/>
                <w:sz w:val="18"/>
              </w:rPr>
              <w:t>41,001,618.96</w:t>
            </w:r>
          </w:p>
        </w:tc>
        <w:tc>
          <w:tcPr>
            <w:tcW w:w="198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7"/>
        <w:ind w:left="513" w:right="0"/>
        <w:jc w:val="left"/>
      </w:pPr>
      <w:r>
        <w:rPr>
          <w:rFonts w:ascii="Times New Roman" w:hAnsi="Times New Roman" w:cs="Times New Roman" w:eastAsia="Times New Roman" w:hint="default"/>
        </w:rPr>
        <w:t>3</w:t>
      </w:r>
      <w:r>
        <w:rPr/>
        <w:t>）组合中，采用账期组合</w:t>
      </w:r>
      <w:r>
        <w:rPr>
          <w:spacing w:val="-44"/>
        </w:rPr>
        <w:t> </w:t>
      </w:r>
      <w:r>
        <w:rPr>
          <w:rFonts w:ascii="Times New Roman" w:hAnsi="Times New Roman" w:cs="Times New Roman" w:eastAsia="Times New Roman" w:hint="default"/>
        </w:rPr>
        <w:t>II</w:t>
      </w:r>
      <w:r>
        <w:rPr>
          <w:rFonts w:ascii="Times New Roman" w:hAnsi="Times New Roman" w:cs="Times New Roman" w:eastAsia="Times New Roman" w:hint="default"/>
          <w:spacing w:val="-2"/>
        </w:rPr>
        <w:t> </w:t>
      </w:r>
      <w:r>
        <w:rPr/>
        <w:t>计提坏账准备的应收账款</w:t>
      </w:r>
    </w:p>
    <w:p>
      <w:pPr>
        <w:spacing w:line="240" w:lineRule="auto" w:before="5"/>
        <w:rPr>
          <w:rFonts w:ascii="宋体" w:hAnsi="宋体" w:cs="宋体" w:eastAsia="宋体" w:hint="default"/>
          <w:sz w:val="10"/>
          <w:szCs w:val="10"/>
        </w:rPr>
      </w:pPr>
    </w:p>
    <w:p>
      <w:pPr>
        <w:pStyle w:val="BodyText"/>
        <w:spacing w:line="240" w:lineRule="auto" w:before="44"/>
        <w:ind w:left="0" w:right="1402"/>
        <w:jc w:val="right"/>
      </w:pPr>
      <w:r>
        <w:rPr/>
        <w:t>单位：元</w:t>
      </w:r>
    </w:p>
    <w:p>
      <w:pPr>
        <w:spacing w:line="240" w:lineRule="auto" w:before="3"/>
        <w:rPr>
          <w:rFonts w:ascii="宋体" w:hAnsi="宋体" w:cs="宋体" w:eastAsia="宋体" w:hint="default"/>
          <w:sz w:val="8"/>
          <w:szCs w:val="8"/>
        </w:rPr>
      </w:pPr>
    </w:p>
    <w:tbl>
      <w:tblPr>
        <w:tblW w:w="0" w:type="auto"/>
        <w:jc w:val="left"/>
        <w:tblInd w:w="369" w:type="dxa"/>
        <w:tblLayout w:type="fixed"/>
        <w:tblCellMar>
          <w:top w:w="0" w:type="dxa"/>
          <w:left w:w="0" w:type="dxa"/>
          <w:bottom w:w="0" w:type="dxa"/>
          <w:right w:w="0" w:type="dxa"/>
        </w:tblCellMar>
        <w:tblLook w:val="01E0"/>
      </w:tblPr>
      <w:tblGrid>
        <w:gridCol w:w="2398"/>
        <w:gridCol w:w="2403"/>
        <w:gridCol w:w="2410"/>
        <w:gridCol w:w="1985"/>
      </w:tblGrid>
      <w:tr>
        <w:trPr>
          <w:trHeight w:val="488" w:hRule="exact"/>
        </w:trPr>
        <w:tc>
          <w:tcPr>
            <w:tcW w:w="239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798"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2398" w:type="dxa"/>
            <w:vMerge/>
            <w:tcBorders>
              <w:left w:val="single" w:sz="6" w:space="0" w:color="000000"/>
              <w:bottom w:val="single" w:sz="6" w:space="0" w:color="000000"/>
              <w:right w:val="single" w:sz="6" w:space="0" w:color="000000"/>
            </w:tcBorders>
            <w:shd w:val="clear" w:color="auto" w:fill="D9D9D9"/>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36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0"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未超账期</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2,285,581,979.87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45,642,933.90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2.00</w:t>
            </w:r>
          </w:p>
        </w:tc>
      </w:tr>
      <w:tr>
        <w:trPr>
          <w:trHeight w:val="487"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1-180</w:t>
            </w:r>
            <w:r>
              <w:rPr>
                <w:rFonts w:ascii="宋体" w:hAnsi="宋体" w:cs="宋体" w:eastAsia="宋体" w:hint="default"/>
                <w:sz w:val="18"/>
                <w:szCs w:val="18"/>
              </w:rPr>
              <w:t>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367,938,444.03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25,755,691.19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7.00</w:t>
            </w:r>
          </w:p>
        </w:tc>
      </w:tr>
      <w:tr>
        <w:trPr>
          <w:trHeight w:val="490"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181-360</w:t>
            </w:r>
            <w:r>
              <w:rPr>
                <w:rFonts w:ascii="宋体" w:hAnsi="宋体" w:cs="宋体" w:eastAsia="宋体" w:hint="default"/>
                <w:sz w:val="18"/>
                <w:szCs w:val="18"/>
              </w:rPr>
              <w:t>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107,579,600.37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21,515,920.07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20.00</w:t>
            </w:r>
          </w:p>
        </w:tc>
      </w:tr>
      <w:tr>
        <w:trPr>
          <w:trHeight w:val="490"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361-540</w:t>
            </w:r>
            <w:r>
              <w:rPr>
                <w:rFonts w:ascii="宋体" w:hAnsi="宋体" w:cs="宋体" w:eastAsia="宋体" w:hint="default"/>
                <w:sz w:val="18"/>
                <w:szCs w:val="18"/>
              </w:rPr>
              <w:t>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107,823,098.97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53,911,550.04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50.00</w:t>
            </w:r>
          </w:p>
        </w:tc>
      </w:tr>
      <w:tr>
        <w:trPr>
          <w:trHeight w:val="490"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541-720</w:t>
            </w:r>
            <w:r>
              <w:rPr>
                <w:rFonts w:ascii="宋体" w:hAnsi="宋体" w:cs="宋体" w:eastAsia="宋体" w:hint="default"/>
                <w:sz w:val="18"/>
                <w:szCs w:val="18"/>
              </w:rPr>
              <w:t>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16,775,805.42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13,085,128.26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78.00</w:t>
            </w:r>
          </w:p>
        </w:tc>
      </w:tr>
      <w:tr>
        <w:trPr>
          <w:trHeight w:val="487"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721</w:t>
            </w:r>
            <w:r>
              <w:rPr>
                <w:rFonts w:ascii="宋体" w:hAnsi="宋体" w:cs="宋体" w:eastAsia="宋体" w:hint="default"/>
                <w:sz w:val="18"/>
                <w:szCs w:val="18"/>
              </w:rPr>
              <w:t>天以上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155,404,778.75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155,404,778.75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3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3,041,103,707.41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315,316,002.21</w:t>
            </w:r>
          </w:p>
        </w:tc>
        <w:tc>
          <w:tcPr>
            <w:tcW w:w="198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9"/>
        <w:ind w:left="333" w:right="0"/>
        <w:jc w:val="left"/>
      </w:pPr>
      <w:r>
        <w:rPr/>
        <w:t>（续上表）</w:t>
      </w:r>
    </w:p>
    <w:p>
      <w:pPr>
        <w:spacing w:line="240" w:lineRule="auto" w:before="4"/>
        <w:rPr>
          <w:rFonts w:ascii="宋体" w:hAnsi="宋体" w:cs="宋体" w:eastAsia="宋体" w:hint="default"/>
          <w:sz w:val="8"/>
          <w:szCs w:val="8"/>
        </w:rPr>
      </w:pPr>
    </w:p>
    <w:tbl>
      <w:tblPr>
        <w:tblW w:w="0" w:type="auto"/>
        <w:jc w:val="left"/>
        <w:tblInd w:w="354" w:type="dxa"/>
        <w:tblLayout w:type="fixed"/>
        <w:tblCellMar>
          <w:top w:w="0" w:type="dxa"/>
          <w:left w:w="0" w:type="dxa"/>
          <w:bottom w:w="0" w:type="dxa"/>
          <w:right w:w="0" w:type="dxa"/>
        </w:tblCellMar>
        <w:tblLook w:val="01E0"/>
      </w:tblPr>
      <w:tblGrid>
        <w:gridCol w:w="2425"/>
        <w:gridCol w:w="2403"/>
        <w:gridCol w:w="2410"/>
        <w:gridCol w:w="1985"/>
      </w:tblGrid>
      <w:tr>
        <w:trPr>
          <w:trHeight w:val="488" w:hRule="exact"/>
        </w:trPr>
        <w:tc>
          <w:tcPr>
            <w:tcW w:w="242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798"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8" w:hRule="exact"/>
        </w:trPr>
        <w:tc>
          <w:tcPr>
            <w:tcW w:w="2425" w:type="dxa"/>
            <w:vMerge/>
            <w:tcBorders>
              <w:left w:val="single" w:sz="6" w:space="0" w:color="000000"/>
              <w:bottom w:val="single" w:sz="6" w:space="0" w:color="000000"/>
              <w:right w:val="single" w:sz="6" w:space="0" w:color="000000"/>
            </w:tcBorders>
            <w:shd w:val="clear" w:color="auto" w:fill="D9D9D9"/>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left="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left="4"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left="36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0"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未超账期</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1,864,899,130.68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35,773,987.10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2.00</w:t>
            </w:r>
          </w:p>
        </w:tc>
      </w:tr>
      <w:tr>
        <w:trPr>
          <w:trHeight w:val="490"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1-180</w:t>
            </w:r>
            <w:r>
              <w:rPr>
                <w:rFonts w:ascii="宋体" w:hAnsi="宋体" w:cs="宋体" w:eastAsia="宋体" w:hint="default"/>
                <w:sz w:val="18"/>
                <w:szCs w:val="18"/>
              </w:rPr>
              <w:t>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489,596,946.33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34,271,786.24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7.00</w:t>
            </w:r>
          </w:p>
        </w:tc>
      </w:tr>
      <w:tr>
        <w:trPr>
          <w:trHeight w:val="487"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181-360</w:t>
            </w:r>
            <w:r>
              <w:rPr>
                <w:rFonts w:ascii="宋体" w:hAnsi="宋体" w:cs="宋体" w:eastAsia="宋体" w:hint="default"/>
                <w:sz w:val="18"/>
                <w:szCs w:val="18"/>
              </w:rPr>
              <w:t>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86,779,027.77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17,355,805.55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20.00</w:t>
            </w:r>
          </w:p>
        </w:tc>
      </w:tr>
      <w:tr>
        <w:trPr>
          <w:trHeight w:val="490"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361-540</w:t>
            </w:r>
            <w:r>
              <w:rPr>
                <w:rFonts w:ascii="宋体" w:hAnsi="宋体" w:cs="宋体" w:eastAsia="宋体" w:hint="default"/>
                <w:sz w:val="18"/>
                <w:szCs w:val="18"/>
              </w:rPr>
              <w:t>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31,143,236.05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15,571,618.03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z w:val="18"/>
              </w:rPr>
              <w:t>50.00</w:t>
            </w:r>
          </w:p>
        </w:tc>
      </w:tr>
      <w:tr>
        <w:trPr>
          <w:trHeight w:val="490"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541-720</w:t>
            </w:r>
            <w:r>
              <w:rPr>
                <w:rFonts w:ascii="宋体" w:hAnsi="宋体" w:cs="宋体" w:eastAsia="宋体" w:hint="default"/>
                <w:sz w:val="18"/>
                <w:szCs w:val="18"/>
              </w:rPr>
              <w:t>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49,327,405.23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38,475,376.08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78.00</w:t>
            </w:r>
          </w:p>
        </w:tc>
      </w:tr>
      <w:tr>
        <w:trPr>
          <w:trHeight w:val="490" w:hRule="exact"/>
        </w:trPr>
        <w:tc>
          <w:tcPr>
            <w:tcW w:w="24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721</w:t>
            </w:r>
            <w:r>
              <w:rPr>
                <w:rFonts w:ascii="宋体" w:hAnsi="宋体" w:cs="宋体" w:eastAsia="宋体" w:hint="default"/>
                <w:sz w:val="18"/>
                <w:szCs w:val="18"/>
              </w:rPr>
              <w:t>天以上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141,828,469.99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141,828,469.98</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4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2,663,574,216.05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283,277,042.98</w:t>
            </w:r>
          </w:p>
        </w:tc>
        <w:tc>
          <w:tcPr>
            <w:tcW w:w="198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7"/>
        <w:ind w:left="513" w:right="0"/>
        <w:jc w:val="left"/>
      </w:pPr>
      <w:r>
        <w:rPr>
          <w:rFonts w:ascii="Times New Roman" w:hAnsi="Times New Roman" w:cs="Times New Roman" w:eastAsia="Times New Roman" w:hint="default"/>
        </w:rPr>
        <w:t>4</w:t>
      </w:r>
      <w:r>
        <w:rPr/>
        <w:t>）组合中，采用账期组合</w:t>
      </w:r>
      <w:r>
        <w:rPr>
          <w:spacing w:val="-44"/>
        </w:rPr>
        <w:t> </w:t>
      </w:r>
      <w:r>
        <w:rPr>
          <w:rFonts w:ascii="Times New Roman" w:hAnsi="Times New Roman" w:cs="Times New Roman" w:eastAsia="Times New Roman" w:hint="default"/>
        </w:rPr>
        <w:t>III</w:t>
      </w:r>
      <w:r>
        <w:rPr>
          <w:rFonts w:ascii="Times New Roman" w:hAnsi="Times New Roman" w:cs="Times New Roman" w:eastAsia="Times New Roman" w:hint="default"/>
          <w:spacing w:val="-2"/>
        </w:rPr>
        <w:t> </w:t>
      </w:r>
      <w:r>
        <w:rPr/>
        <w:t>计提坏账准备的应收账款</w:t>
      </w:r>
    </w:p>
    <w:p>
      <w:pPr>
        <w:spacing w:line="240" w:lineRule="auto" w:before="6"/>
        <w:rPr>
          <w:rFonts w:ascii="宋体" w:hAnsi="宋体" w:cs="宋体" w:eastAsia="宋体" w:hint="default"/>
          <w:sz w:val="10"/>
          <w:szCs w:val="10"/>
        </w:rPr>
      </w:pPr>
    </w:p>
    <w:p>
      <w:pPr>
        <w:pStyle w:val="BodyText"/>
        <w:spacing w:line="240" w:lineRule="auto" w:before="44"/>
        <w:ind w:left="0" w:right="1402"/>
        <w:jc w:val="right"/>
      </w:pPr>
      <w:r>
        <w:rPr/>
        <w:t>单位：元</w:t>
      </w:r>
    </w:p>
    <w:p>
      <w:pPr>
        <w:spacing w:line="240" w:lineRule="auto" w:before="2"/>
        <w:rPr>
          <w:rFonts w:ascii="宋体" w:hAnsi="宋体" w:cs="宋体" w:eastAsia="宋体" w:hint="default"/>
          <w:sz w:val="8"/>
          <w:szCs w:val="8"/>
        </w:rPr>
      </w:pPr>
    </w:p>
    <w:tbl>
      <w:tblPr>
        <w:tblW w:w="0" w:type="auto"/>
        <w:jc w:val="left"/>
        <w:tblInd w:w="369" w:type="dxa"/>
        <w:tblLayout w:type="fixed"/>
        <w:tblCellMar>
          <w:top w:w="0" w:type="dxa"/>
          <w:left w:w="0" w:type="dxa"/>
          <w:bottom w:w="0" w:type="dxa"/>
          <w:right w:w="0" w:type="dxa"/>
        </w:tblCellMar>
        <w:tblLook w:val="01E0"/>
      </w:tblPr>
      <w:tblGrid>
        <w:gridCol w:w="2398"/>
        <w:gridCol w:w="2403"/>
        <w:gridCol w:w="2410"/>
        <w:gridCol w:w="1985"/>
      </w:tblGrid>
      <w:tr>
        <w:trPr>
          <w:trHeight w:val="490" w:hRule="exact"/>
        </w:trPr>
        <w:tc>
          <w:tcPr>
            <w:tcW w:w="239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798"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7" w:hRule="exact"/>
        </w:trPr>
        <w:tc>
          <w:tcPr>
            <w:tcW w:w="2398" w:type="dxa"/>
            <w:vMerge/>
            <w:tcBorders>
              <w:left w:val="single" w:sz="6" w:space="0" w:color="000000"/>
              <w:bottom w:val="single" w:sz="6" w:space="0" w:color="000000"/>
              <w:right w:val="single" w:sz="6" w:space="0" w:color="000000"/>
            </w:tcBorders>
            <w:shd w:val="clear" w:color="auto" w:fill="D9D9D9"/>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36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0"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未超账期</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2,045,569.76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143,189.87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2"/>
              <w:jc w:val="right"/>
              <w:rPr>
                <w:rFonts w:ascii="Times New Roman" w:hAnsi="Times New Roman" w:cs="Times New Roman" w:eastAsia="Times New Roman" w:hint="default"/>
                <w:sz w:val="18"/>
                <w:szCs w:val="18"/>
              </w:rPr>
            </w:pPr>
            <w:r>
              <w:rPr>
                <w:rFonts w:ascii="Times New Roman"/>
                <w:spacing w:val="-1"/>
                <w:sz w:val="18"/>
              </w:rPr>
              <w:t>7.00</w:t>
            </w:r>
          </w:p>
        </w:tc>
      </w:tr>
      <w:tr>
        <w:trPr>
          <w:trHeight w:val="490"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w:t>
            </w:r>
            <w:r>
              <w:rPr>
                <w:rFonts w:ascii="宋体" w:hAnsi="宋体" w:cs="宋体" w:eastAsia="宋体" w:hint="default"/>
                <w:sz w:val="18"/>
                <w:szCs w:val="18"/>
              </w:rPr>
              <w:t>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569,150.00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142,287.50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z w:val="18"/>
              </w:rPr>
              <w:t>25.00</w:t>
            </w:r>
          </w:p>
        </w:tc>
      </w:tr>
      <w:tr>
        <w:trPr>
          <w:trHeight w:val="490"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91-180</w:t>
            </w:r>
            <w:r>
              <w:rPr>
                <w:rFonts w:ascii="宋体" w:hAnsi="宋体" w:cs="宋体" w:eastAsia="宋体" w:hint="default"/>
                <w:sz w:val="18"/>
                <w:szCs w:val="18"/>
              </w:rPr>
              <w:t>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1,398,523.07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559,409.23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40.00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369" w:type="dxa"/>
        <w:tblLayout w:type="fixed"/>
        <w:tblCellMar>
          <w:top w:w="0" w:type="dxa"/>
          <w:left w:w="0" w:type="dxa"/>
          <w:bottom w:w="0" w:type="dxa"/>
          <w:right w:w="0" w:type="dxa"/>
        </w:tblCellMar>
        <w:tblLook w:val="01E0"/>
      </w:tblPr>
      <w:tblGrid>
        <w:gridCol w:w="2398"/>
        <w:gridCol w:w="2403"/>
        <w:gridCol w:w="2410"/>
        <w:gridCol w:w="1985"/>
      </w:tblGrid>
      <w:tr>
        <w:trPr>
          <w:trHeight w:val="490"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181-270</w:t>
            </w:r>
            <w:r>
              <w:rPr>
                <w:rFonts w:ascii="宋体" w:hAnsi="宋体" w:cs="宋体" w:eastAsia="宋体" w:hint="default"/>
                <w:sz w:val="18"/>
                <w:szCs w:val="18"/>
              </w:rPr>
              <w:t>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866,049.99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433,025.00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50.00</w:t>
            </w:r>
          </w:p>
        </w:tc>
      </w:tr>
      <w:tr>
        <w:trPr>
          <w:trHeight w:val="487"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271-360</w:t>
            </w:r>
            <w:r>
              <w:rPr>
                <w:rFonts w:ascii="宋体" w:hAnsi="宋体" w:cs="宋体" w:eastAsia="宋体" w:hint="default"/>
                <w:sz w:val="18"/>
                <w:szCs w:val="18"/>
              </w:rPr>
              <w:t>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973,650.05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681,555.03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70.00</w:t>
            </w:r>
          </w:p>
        </w:tc>
      </w:tr>
      <w:tr>
        <w:trPr>
          <w:trHeight w:val="490"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361</w:t>
            </w:r>
            <w:r>
              <w:rPr>
                <w:rFonts w:ascii="宋体" w:hAnsi="宋体" w:cs="宋体" w:eastAsia="宋体" w:hint="default"/>
                <w:sz w:val="18"/>
                <w:szCs w:val="18"/>
              </w:rPr>
              <w:t>天以上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42,831,570.31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42,831,570.31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3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48,684,513.18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44,791,036.94</w:t>
            </w:r>
          </w:p>
        </w:tc>
        <w:tc>
          <w:tcPr>
            <w:tcW w:w="1985" w:type="dxa"/>
            <w:tcBorders>
              <w:top w:val="single" w:sz="6" w:space="0" w:color="000000"/>
              <w:left w:val="single" w:sz="6" w:space="0" w:color="000000"/>
              <w:bottom w:val="single" w:sz="6" w:space="0" w:color="000000"/>
              <w:right w:val="single" w:sz="6" w:space="0" w:color="000000"/>
            </w:tcBorders>
          </w:tcPr>
          <w:p>
            <w:pPr/>
          </w:p>
        </w:tc>
      </w:tr>
    </w:tbl>
    <w:p>
      <w:pPr>
        <w:pStyle w:val="Heading5"/>
        <w:spacing w:line="254" w:lineRule="exact"/>
        <w:ind w:left="352" w:right="0"/>
        <w:jc w:val="left"/>
        <w:rPr>
          <w:rFonts w:ascii="宋体" w:hAnsi="宋体" w:cs="宋体" w:eastAsia="宋体" w:hint="default"/>
        </w:rPr>
      </w:pPr>
      <w:r>
        <w:rPr/>
        <w:t>（续上表）</w:t>
      </w:r>
      <w:r>
        <w:rPr>
          <w:rFonts w:ascii="宋体" w:hAnsi="宋体" w:cs="宋体" w:eastAsia="宋体" w:hint="default"/>
        </w:rPr>
        <w:t> </w:t>
      </w:r>
    </w:p>
    <w:p>
      <w:pPr>
        <w:spacing w:line="240" w:lineRule="auto" w:before="12"/>
        <w:rPr>
          <w:rFonts w:ascii="宋体" w:hAnsi="宋体" w:cs="宋体" w:eastAsia="宋体" w:hint="default"/>
          <w:sz w:val="4"/>
          <w:szCs w:val="4"/>
        </w:rPr>
      </w:pPr>
    </w:p>
    <w:tbl>
      <w:tblPr>
        <w:tblW w:w="0" w:type="auto"/>
        <w:jc w:val="left"/>
        <w:tblInd w:w="395" w:type="dxa"/>
        <w:tblLayout w:type="fixed"/>
        <w:tblCellMar>
          <w:top w:w="0" w:type="dxa"/>
          <w:left w:w="0" w:type="dxa"/>
          <w:bottom w:w="0" w:type="dxa"/>
          <w:right w:w="0" w:type="dxa"/>
        </w:tblCellMar>
        <w:tblLook w:val="01E0"/>
      </w:tblPr>
      <w:tblGrid>
        <w:gridCol w:w="2345"/>
        <w:gridCol w:w="2400"/>
        <w:gridCol w:w="2413"/>
        <w:gridCol w:w="1983"/>
      </w:tblGrid>
      <w:tr>
        <w:trPr>
          <w:trHeight w:val="488" w:hRule="exact"/>
        </w:trPr>
        <w:tc>
          <w:tcPr>
            <w:tcW w:w="234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796"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5" w:hRule="exact"/>
        </w:trPr>
        <w:tc>
          <w:tcPr>
            <w:tcW w:w="2345" w:type="dxa"/>
            <w:vMerge/>
            <w:tcBorders>
              <w:left w:val="single" w:sz="6" w:space="0" w:color="000000"/>
              <w:bottom w:val="single" w:sz="6" w:space="0" w:color="000000"/>
              <w:right w:val="single" w:sz="6" w:space="0" w:color="000000"/>
            </w:tcBorders>
            <w:shd w:val="clear" w:color="auto" w:fill="D9D9D9"/>
          </w:tcPr>
          <w:p>
            <w:pPr/>
          </w:p>
        </w:tc>
        <w:tc>
          <w:tcPr>
            <w:tcW w:w="24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3"/>
              <w:ind w:left="36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87" w:hRule="exact"/>
        </w:trPr>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未超账期</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15,710,478.01</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1,048,575.24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7.00</w:t>
            </w:r>
          </w:p>
        </w:tc>
      </w:tr>
      <w:tr>
        <w:trPr>
          <w:trHeight w:val="490" w:hRule="exact"/>
        </w:trPr>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w:t>
            </w:r>
            <w:r>
              <w:rPr>
                <w:rFonts w:ascii="宋体" w:hAnsi="宋体" w:cs="宋体" w:eastAsia="宋体" w:hint="default"/>
                <w:sz w:val="18"/>
                <w:szCs w:val="18"/>
              </w:rPr>
              <w:t>天</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3,875,717.63</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968,929.41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25.00</w:t>
            </w:r>
          </w:p>
        </w:tc>
      </w:tr>
      <w:tr>
        <w:trPr>
          <w:trHeight w:val="490" w:hRule="exact"/>
        </w:trPr>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91-180</w:t>
            </w:r>
            <w:r>
              <w:rPr>
                <w:rFonts w:ascii="宋体" w:hAnsi="宋体" w:cs="宋体" w:eastAsia="宋体" w:hint="default"/>
                <w:sz w:val="18"/>
                <w:szCs w:val="18"/>
              </w:rPr>
              <w:t>天</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5,322,170.24</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2,128,868.10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40.00</w:t>
            </w:r>
          </w:p>
        </w:tc>
      </w:tr>
      <w:tr>
        <w:trPr>
          <w:trHeight w:val="490" w:hRule="exact"/>
        </w:trPr>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181-270</w:t>
            </w:r>
            <w:r>
              <w:rPr>
                <w:rFonts w:ascii="宋体" w:hAnsi="宋体" w:cs="宋体" w:eastAsia="宋体" w:hint="default"/>
                <w:sz w:val="18"/>
                <w:szCs w:val="18"/>
              </w:rPr>
              <w:t>天</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9,588,380.81</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4,794,190.41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50.00</w:t>
            </w:r>
          </w:p>
        </w:tc>
      </w:tr>
      <w:tr>
        <w:trPr>
          <w:trHeight w:val="487" w:hRule="exact"/>
        </w:trPr>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271-360</w:t>
            </w:r>
            <w:r>
              <w:rPr>
                <w:rFonts w:ascii="宋体" w:hAnsi="宋体" w:cs="宋体" w:eastAsia="宋体" w:hint="default"/>
                <w:sz w:val="18"/>
                <w:szCs w:val="18"/>
              </w:rPr>
              <w:t>天</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7,313,935.26</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5,119,754.68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70.00</w:t>
            </w:r>
          </w:p>
        </w:tc>
      </w:tr>
      <w:tr>
        <w:trPr>
          <w:trHeight w:val="490" w:hRule="exact"/>
        </w:trPr>
        <w:tc>
          <w:tcPr>
            <w:tcW w:w="23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361</w:t>
            </w:r>
            <w:r>
              <w:rPr>
                <w:rFonts w:ascii="宋体" w:hAnsi="宋体" w:cs="宋体" w:eastAsia="宋体" w:hint="default"/>
                <w:sz w:val="18"/>
                <w:szCs w:val="18"/>
              </w:rPr>
              <w:t>天以上</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36,530,415.27</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36,530,415.27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3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78,341,097.22</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50,590,733.11</w:t>
            </w:r>
          </w:p>
        </w:tc>
        <w:tc>
          <w:tcPr>
            <w:tcW w:w="198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7"/>
        <w:ind w:left="513" w:right="0"/>
        <w:jc w:val="left"/>
      </w:pPr>
      <w:r>
        <w:rPr>
          <w:rFonts w:ascii="Times New Roman" w:hAnsi="Times New Roman" w:cs="Times New Roman" w:eastAsia="Times New Roman" w:hint="default"/>
        </w:rPr>
        <w:t>5</w:t>
      </w:r>
      <w:r>
        <w:rPr/>
        <w:t>）组合中，采用账龄组合计提坏账准备的应收账款</w:t>
      </w:r>
    </w:p>
    <w:p>
      <w:pPr>
        <w:spacing w:line="240" w:lineRule="auto" w:before="6"/>
        <w:rPr>
          <w:rFonts w:ascii="宋体" w:hAnsi="宋体" w:cs="宋体" w:eastAsia="宋体" w:hint="default"/>
          <w:sz w:val="10"/>
          <w:szCs w:val="10"/>
        </w:rPr>
      </w:pPr>
    </w:p>
    <w:p>
      <w:pPr>
        <w:pStyle w:val="BodyText"/>
        <w:spacing w:line="240" w:lineRule="auto" w:before="44"/>
        <w:ind w:left="0" w:right="1402"/>
        <w:jc w:val="right"/>
      </w:pPr>
      <w:r>
        <w:rPr/>
        <w:t>单位：元</w:t>
      </w:r>
    </w:p>
    <w:p>
      <w:pPr>
        <w:spacing w:line="240" w:lineRule="auto" w:before="4"/>
        <w:rPr>
          <w:rFonts w:ascii="宋体" w:hAnsi="宋体" w:cs="宋体" w:eastAsia="宋体" w:hint="default"/>
          <w:sz w:val="8"/>
          <w:szCs w:val="8"/>
        </w:rPr>
      </w:pPr>
    </w:p>
    <w:tbl>
      <w:tblPr>
        <w:tblW w:w="0" w:type="auto"/>
        <w:jc w:val="left"/>
        <w:tblInd w:w="342" w:type="dxa"/>
        <w:tblLayout w:type="fixed"/>
        <w:tblCellMar>
          <w:top w:w="0" w:type="dxa"/>
          <w:left w:w="0" w:type="dxa"/>
          <w:bottom w:w="0" w:type="dxa"/>
          <w:right w:w="0" w:type="dxa"/>
        </w:tblCellMar>
        <w:tblLook w:val="01E0"/>
      </w:tblPr>
      <w:tblGrid>
        <w:gridCol w:w="2451"/>
        <w:gridCol w:w="2403"/>
        <w:gridCol w:w="2410"/>
        <w:gridCol w:w="1985"/>
      </w:tblGrid>
      <w:tr>
        <w:trPr>
          <w:trHeight w:val="488" w:hRule="exact"/>
        </w:trPr>
        <w:tc>
          <w:tcPr>
            <w:tcW w:w="245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798"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8" w:hRule="exact"/>
        </w:trPr>
        <w:tc>
          <w:tcPr>
            <w:tcW w:w="2451" w:type="dxa"/>
            <w:vMerge/>
            <w:tcBorders>
              <w:left w:val="single" w:sz="6" w:space="0" w:color="000000"/>
              <w:bottom w:val="single" w:sz="6" w:space="0" w:color="000000"/>
              <w:right w:val="single" w:sz="6" w:space="0" w:color="000000"/>
            </w:tcBorders>
            <w:shd w:val="clear" w:color="auto" w:fill="D9D9D9"/>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left="36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252,732,692.15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10,102,578.79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4.00</w:t>
            </w:r>
          </w:p>
        </w:tc>
      </w:tr>
      <w:tr>
        <w:trPr>
          <w:trHeight w:val="49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167,766,012.80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11,743,620.99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7.00</w:t>
            </w:r>
          </w:p>
        </w:tc>
      </w:tr>
      <w:tr>
        <w:trPr>
          <w:trHeight w:val="48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101,223,404.23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19,232,446.91</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19.00</w:t>
            </w:r>
          </w:p>
        </w:tc>
      </w:tr>
      <w:tr>
        <w:trPr>
          <w:trHeight w:val="49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57,397,361.41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pacing w:val="-1"/>
                <w:sz w:val="18"/>
              </w:rPr>
              <w:t>20,663,050.09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z w:val="18"/>
              </w:rPr>
              <w:t>36.00</w:t>
            </w:r>
          </w:p>
        </w:tc>
      </w:tr>
      <w:tr>
        <w:trPr>
          <w:trHeight w:val="49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13,325,405.88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6,929,211.06</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52.00</w:t>
            </w:r>
          </w:p>
        </w:tc>
      </w:tr>
      <w:tr>
        <w:trPr>
          <w:trHeight w:val="49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2,584,810.34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2,584,810.34</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45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595,029,686.81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71,255,718.18</w:t>
            </w:r>
          </w:p>
        </w:tc>
        <w:tc>
          <w:tcPr>
            <w:tcW w:w="198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
        <w:ind w:left="333" w:right="0"/>
        <w:jc w:val="left"/>
        <w:rPr>
          <w:rFonts w:ascii="宋体" w:hAnsi="宋体" w:cs="宋体" w:eastAsia="宋体" w:hint="default"/>
        </w:rPr>
      </w:pPr>
      <w:r>
        <w:rPr/>
        <w:t>（续上表）</w:t>
      </w:r>
      <w:r>
        <w:rPr>
          <w:rFonts w:ascii="宋体" w:hAnsi="宋体" w:cs="宋体" w:eastAsia="宋体" w:hint="default"/>
        </w:rPr>
        <w:t> </w:t>
      </w:r>
    </w:p>
    <w:p>
      <w:pPr>
        <w:spacing w:line="240" w:lineRule="auto" w:before="3"/>
        <w:rPr>
          <w:rFonts w:ascii="宋体" w:hAnsi="宋体" w:cs="宋体" w:eastAsia="宋体" w:hint="default"/>
          <w:sz w:val="5"/>
          <w:szCs w:val="5"/>
        </w:rPr>
      </w:pPr>
    </w:p>
    <w:tbl>
      <w:tblPr>
        <w:tblW w:w="0" w:type="auto"/>
        <w:jc w:val="left"/>
        <w:tblInd w:w="364" w:type="dxa"/>
        <w:tblLayout w:type="fixed"/>
        <w:tblCellMar>
          <w:top w:w="0" w:type="dxa"/>
          <w:left w:w="0" w:type="dxa"/>
          <w:bottom w:w="0" w:type="dxa"/>
          <w:right w:w="0" w:type="dxa"/>
        </w:tblCellMar>
        <w:tblLook w:val="01E0"/>
      </w:tblPr>
      <w:tblGrid>
        <w:gridCol w:w="2408"/>
        <w:gridCol w:w="2403"/>
        <w:gridCol w:w="2410"/>
        <w:gridCol w:w="1985"/>
      </w:tblGrid>
      <w:tr>
        <w:trPr>
          <w:trHeight w:val="488" w:hRule="exact"/>
        </w:trPr>
        <w:tc>
          <w:tcPr>
            <w:tcW w:w="240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798"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8" w:hRule="exact"/>
        </w:trPr>
        <w:tc>
          <w:tcPr>
            <w:tcW w:w="2408" w:type="dxa"/>
            <w:vMerge/>
            <w:tcBorders>
              <w:left w:val="single" w:sz="6" w:space="0" w:color="000000"/>
              <w:bottom w:val="single" w:sz="6" w:space="0" w:color="000000"/>
              <w:right w:val="single" w:sz="6" w:space="0" w:color="000000"/>
            </w:tcBorders>
            <w:shd w:val="clear" w:color="auto" w:fill="D9D9D9"/>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left="36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0"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259" w:right="0"/>
              <w:jc w:val="left"/>
              <w:rPr>
                <w:rFonts w:ascii="Times New Roman" w:hAnsi="Times New Roman" w:cs="Times New Roman" w:eastAsia="Times New Roman" w:hint="default"/>
                <w:sz w:val="18"/>
                <w:szCs w:val="18"/>
              </w:rPr>
            </w:pPr>
            <w:r>
              <w:rPr>
                <w:rFonts w:ascii="Times New Roman"/>
                <w:sz w:val="18"/>
              </w:rPr>
              <w:t>264,085,232.46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358" w:right="0"/>
              <w:jc w:val="left"/>
              <w:rPr>
                <w:rFonts w:ascii="Times New Roman" w:hAnsi="Times New Roman" w:cs="Times New Roman" w:eastAsia="Times New Roman" w:hint="default"/>
                <w:sz w:val="18"/>
                <w:szCs w:val="18"/>
              </w:rPr>
            </w:pPr>
            <w:r>
              <w:rPr>
                <w:rFonts w:ascii="Times New Roman"/>
                <w:sz w:val="18"/>
              </w:rPr>
              <w:t>10,442,654.62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4.00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364" w:type="dxa"/>
        <w:tblLayout w:type="fixed"/>
        <w:tblCellMar>
          <w:top w:w="0" w:type="dxa"/>
          <w:left w:w="0" w:type="dxa"/>
          <w:bottom w:w="0" w:type="dxa"/>
          <w:right w:w="0" w:type="dxa"/>
        </w:tblCellMar>
        <w:tblLook w:val="01E0"/>
      </w:tblPr>
      <w:tblGrid>
        <w:gridCol w:w="2408"/>
        <w:gridCol w:w="2403"/>
        <w:gridCol w:w="2410"/>
        <w:gridCol w:w="1985"/>
      </w:tblGrid>
      <w:tr>
        <w:trPr>
          <w:trHeight w:val="490"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137,701,198.20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9,639,083.87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7.00</w:t>
            </w:r>
          </w:p>
        </w:tc>
      </w:tr>
      <w:tr>
        <w:trPr>
          <w:trHeight w:val="487"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84,231,001.44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16,003,890.27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z w:val="18"/>
              </w:rPr>
              <w:t>19.00</w:t>
            </w:r>
          </w:p>
        </w:tc>
      </w:tr>
      <w:tr>
        <w:trPr>
          <w:trHeight w:val="490"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15,965,271.71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5,747,497.82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z w:val="18"/>
              </w:rPr>
              <w:t>36.00</w:t>
            </w:r>
          </w:p>
        </w:tc>
      </w:tr>
      <w:tr>
        <w:trPr>
          <w:trHeight w:val="490"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2,839,658.21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1,476,622.27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sz w:val="18"/>
              </w:rPr>
              <w:t>52.00</w:t>
            </w:r>
          </w:p>
        </w:tc>
      </w:tr>
      <w:tr>
        <w:trPr>
          <w:trHeight w:val="490" w:hRule="exact"/>
        </w:trPr>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117,300.00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117,300.00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4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504,939,662.02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43,427,048.85</w:t>
            </w:r>
          </w:p>
        </w:tc>
        <w:tc>
          <w:tcPr>
            <w:tcW w:w="198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w:t>
      </w:r>
      <w:r>
        <w:rPr>
          <w:spacing w:val="-3"/>
        </w:rPr>
        <w:t> </w:t>
      </w:r>
      <w:r>
        <w:rPr/>
        <w:t>应收账款按账龄列示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491"/>
        <w:jc w:val="right"/>
      </w:pPr>
      <w:r>
        <w:rPr/>
        <w:t>单位：元</w:t>
      </w:r>
    </w:p>
    <w:p>
      <w:pPr>
        <w:spacing w:line="240" w:lineRule="auto" w:before="3"/>
        <w:rPr>
          <w:rFonts w:ascii="宋体" w:hAnsi="宋体" w:cs="宋体" w:eastAsia="宋体" w:hint="default"/>
          <w:sz w:val="8"/>
          <w:szCs w:val="8"/>
        </w:rPr>
      </w:pPr>
    </w:p>
    <w:tbl>
      <w:tblPr>
        <w:tblW w:w="0" w:type="auto"/>
        <w:jc w:val="left"/>
        <w:tblInd w:w="448" w:type="dxa"/>
        <w:tblLayout w:type="fixed"/>
        <w:tblCellMar>
          <w:top w:w="0" w:type="dxa"/>
          <w:left w:w="0" w:type="dxa"/>
          <w:bottom w:w="0" w:type="dxa"/>
          <w:right w:w="0" w:type="dxa"/>
        </w:tblCellMar>
        <w:tblLook w:val="01E0"/>
      </w:tblPr>
      <w:tblGrid>
        <w:gridCol w:w="3545"/>
        <w:gridCol w:w="5529"/>
      </w:tblGrid>
      <w:tr>
        <w:trPr>
          <w:trHeight w:val="488" w:hRule="exact"/>
        </w:trPr>
        <w:tc>
          <w:tcPr>
            <w:tcW w:w="35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5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2,872,055,706.54</w:t>
            </w:r>
          </w:p>
        </w:tc>
      </w:tr>
      <w:tr>
        <w:trPr>
          <w:trHeight w:val="490"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482,609,921.82</w:t>
            </w:r>
          </w:p>
        </w:tc>
      </w:tr>
      <w:tr>
        <w:trPr>
          <w:trHeight w:val="48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257,588,342.86</w:t>
            </w:r>
          </w:p>
        </w:tc>
      </w:tr>
      <w:tr>
        <w:trPr>
          <w:trHeight w:val="490"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170,741,515.85</w:t>
            </w:r>
          </w:p>
        </w:tc>
      </w:tr>
      <w:tr>
        <w:trPr>
          <w:trHeight w:val="490"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38,720,171.39</w:t>
            </w:r>
          </w:p>
        </w:tc>
      </w:tr>
      <w:tr>
        <w:trPr>
          <w:trHeight w:val="490"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65,876,024.86</w:t>
            </w:r>
          </w:p>
        </w:tc>
      </w:tr>
      <w:tr>
        <w:trPr>
          <w:trHeight w:val="490"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3,887,591,683.32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w:t>
      </w:r>
      <w:r>
        <w:rPr>
          <w:spacing w:val="-2"/>
        </w:rPr>
        <w:t> </w:t>
      </w:r>
      <w:r>
        <w:rPr/>
        <w:t>本年应收账款坏账准备情况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402"/>
        <w:jc w:val="right"/>
      </w:pPr>
      <w:r>
        <w:rPr/>
        <w:t>单位：元</w:t>
      </w:r>
    </w:p>
    <w:p>
      <w:pPr>
        <w:spacing w:line="240" w:lineRule="auto" w:before="4"/>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1596"/>
        <w:gridCol w:w="1594"/>
        <w:gridCol w:w="1313"/>
        <w:gridCol w:w="994"/>
        <w:gridCol w:w="1136"/>
        <w:gridCol w:w="1342"/>
        <w:gridCol w:w="1594"/>
      </w:tblGrid>
      <w:tr>
        <w:trPr>
          <w:trHeight w:val="490" w:hRule="exact"/>
        </w:trPr>
        <w:tc>
          <w:tcPr>
            <w:tcW w:w="15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7" w:hRule="exact"/>
        </w:trPr>
        <w:tc>
          <w:tcPr>
            <w:tcW w:w="1596" w:type="dxa"/>
            <w:vMerge/>
            <w:tcBorders>
              <w:left w:val="single" w:sz="6" w:space="0" w:color="000000"/>
              <w:bottom w:val="single" w:sz="6" w:space="0" w:color="000000"/>
              <w:right w:val="single" w:sz="6" w:space="0" w:color="000000"/>
            </w:tcBorders>
            <w:shd w:val="clear" w:color="auto" w:fill="D2D2D2"/>
          </w:tcPr>
          <w:p>
            <w:pPr/>
          </w:p>
        </w:tc>
        <w:tc>
          <w:tcPr>
            <w:tcW w:w="1594" w:type="dxa"/>
            <w:vMerge/>
            <w:tcBorders>
              <w:left w:val="single" w:sz="6" w:space="0" w:color="000000"/>
              <w:bottom w:val="single" w:sz="6" w:space="0" w:color="000000"/>
              <w:right w:val="single" w:sz="6" w:space="0" w:color="000000"/>
            </w:tcBorders>
            <w:shd w:val="clear" w:color="auto" w:fill="D2D2D2"/>
          </w:tcPr>
          <w:p>
            <w:pPr/>
          </w:p>
        </w:tc>
        <w:tc>
          <w:tcPr>
            <w:tcW w:w="1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9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129"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1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01" w:right="0"/>
              <w:jc w:val="left"/>
              <w:rPr>
                <w:rFonts w:ascii="宋体" w:hAnsi="宋体" w:cs="宋体" w:eastAsia="宋体" w:hint="default"/>
                <w:sz w:val="18"/>
                <w:szCs w:val="18"/>
              </w:rPr>
            </w:pPr>
            <w:r>
              <w:rPr>
                <w:rFonts w:ascii="宋体" w:hAnsi="宋体" w:cs="宋体" w:eastAsia="宋体" w:hint="default"/>
                <w:sz w:val="18"/>
                <w:szCs w:val="18"/>
              </w:rPr>
              <w:t>汇兑差异</w:t>
            </w:r>
          </w:p>
        </w:tc>
        <w:tc>
          <w:tcPr>
            <w:tcW w:w="13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213" w:right="0"/>
              <w:jc w:val="left"/>
              <w:rPr>
                <w:rFonts w:ascii="宋体" w:hAnsi="宋体" w:cs="宋体" w:eastAsia="宋体" w:hint="default"/>
                <w:sz w:val="18"/>
                <w:szCs w:val="18"/>
              </w:rPr>
            </w:pPr>
            <w:r>
              <w:rPr>
                <w:rFonts w:ascii="宋体" w:hAnsi="宋体" w:cs="宋体" w:eastAsia="宋体" w:hint="default"/>
                <w:sz w:val="18"/>
                <w:szCs w:val="18"/>
              </w:rPr>
              <w:t>转销或核销</w:t>
            </w:r>
          </w:p>
        </w:tc>
        <w:tc>
          <w:tcPr>
            <w:tcW w:w="1594" w:type="dxa"/>
            <w:vMerge/>
            <w:tcBorders>
              <w:left w:val="single" w:sz="6" w:space="0" w:color="000000"/>
              <w:bottom w:val="single" w:sz="6" w:space="0" w:color="000000"/>
              <w:right w:val="single" w:sz="6" w:space="0" w:color="000000"/>
            </w:tcBorders>
            <w:shd w:val="clear" w:color="auto" w:fill="D2D2D2"/>
          </w:tcPr>
          <w:p>
            <w:pPr/>
          </w:p>
        </w:tc>
      </w:tr>
      <w:tr>
        <w:trPr>
          <w:trHeight w:val="490"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53" w:right="0"/>
              <w:jc w:val="left"/>
              <w:rPr>
                <w:rFonts w:ascii="Times New Roman" w:hAnsi="Times New Roman" w:cs="Times New Roman" w:eastAsia="Times New Roman" w:hint="default"/>
                <w:sz w:val="18"/>
                <w:szCs w:val="18"/>
              </w:rPr>
            </w:pPr>
            <w:r>
              <w:rPr>
                <w:rFonts w:ascii="Times New Roman"/>
                <w:sz w:val="18"/>
              </w:rPr>
              <w:t>502,328,385.45</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63" w:right="0"/>
              <w:jc w:val="left"/>
              <w:rPr>
                <w:rFonts w:ascii="Times New Roman" w:hAnsi="Times New Roman" w:cs="Times New Roman" w:eastAsia="Times New Roman" w:hint="default"/>
                <w:sz w:val="18"/>
                <w:szCs w:val="18"/>
              </w:rPr>
            </w:pPr>
            <w:r>
              <w:rPr>
                <w:rFonts w:ascii="Times New Roman"/>
                <w:sz w:val="18"/>
              </w:rPr>
              <w:t>81,642,459.68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45" w:right="0"/>
              <w:jc w:val="left"/>
              <w:rPr>
                <w:rFonts w:ascii="Times New Roman" w:hAnsi="Times New Roman" w:cs="Times New Roman" w:eastAsia="Times New Roman" w:hint="default"/>
                <w:sz w:val="18"/>
                <w:szCs w:val="18"/>
              </w:rPr>
            </w:pPr>
            <w:r>
              <w:rPr>
                <w:rFonts w:ascii="Times New Roman"/>
                <w:sz w:val="18"/>
              </w:rPr>
              <w:t>1,651.48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98" w:right="0"/>
              <w:jc w:val="left"/>
              <w:rPr>
                <w:rFonts w:ascii="Times New Roman" w:hAnsi="Times New Roman" w:cs="Times New Roman" w:eastAsia="Times New Roman" w:hint="default"/>
                <w:sz w:val="18"/>
                <w:szCs w:val="18"/>
              </w:rPr>
            </w:pPr>
            <w:r>
              <w:rPr>
                <w:rFonts w:ascii="Times New Roman"/>
                <w:sz w:val="18"/>
              </w:rPr>
              <w:t>99,944.70</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13" w:right="0"/>
              <w:jc w:val="left"/>
              <w:rPr>
                <w:rFonts w:ascii="Times New Roman" w:hAnsi="Times New Roman" w:cs="Times New Roman" w:eastAsia="Times New Roman" w:hint="default"/>
                <w:sz w:val="18"/>
                <w:szCs w:val="18"/>
              </w:rPr>
            </w:pPr>
            <w:r>
              <w:rPr>
                <w:rFonts w:ascii="Times New Roman"/>
                <w:sz w:val="18"/>
              </w:rPr>
              <w:t>783,731.60</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583,288,709.71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w:t>
      </w:r>
      <w:r>
        <w:rPr>
          <w:spacing w:val="-2"/>
        </w:rPr>
        <w:t> </w:t>
      </w:r>
      <w:r>
        <w:rPr/>
        <w:t>本年实际核销的应收账款</w:t>
      </w:r>
      <w:r>
        <w:rPr>
          <w:b w:val="0"/>
          <w:bCs w:val="0"/>
        </w:rPr>
      </w:r>
    </w:p>
    <w:p>
      <w:pPr>
        <w:spacing w:line="240" w:lineRule="auto" w:before="8"/>
        <w:rPr>
          <w:rFonts w:ascii="宋体" w:hAnsi="宋体" w:cs="宋体" w:eastAsia="宋体" w:hint="default"/>
          <w:b/>
          <w:bCs/>
          <w:sz w:val="25"/>
          <w:szCs w:val="25"/>
        </w:rPr>
      </w:pPr>
    </w:p>
    <w:tbl>
      <w:tblPr>
        <w:tblW w:w="0" w:type="auto"/>
        <w:jc w:val="left"/>
        <w:tblInd w:w="198" w:type="dxa"/>
        <w:tblLayout w:type="fixed"/>
        <w:tblCellMar>
          <w:top w:w="0" w:type="dxa"/>
          <w:left w:w="0" w:type="dxa"/>
          <w:bottom w:w="0" w:type="dxa"/>
          <w:right w:w="0" w:type="dxa"/>
        </w:tblCellMar>
        <w:tblLook w:val="01E0"/>
      </w:tblPr>
      <w:tblGrid>
        <w:gridCol w:w="4784"/>
        <w:gridCol w:w="4787"/>
      </w:tblGrid>
      <w:tr>
        <w:trPr>
          <w:trHeight w:val="488"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90"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783,731.60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10"/>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w:t>
      </w:r>
      <w:r>
        <w:rPr>
          <w:spacing w:val="-4"/>
        </w:rPr>
        <w:t> </w:t>
      </w:r>
      <w:r>
        <w:rPr/>
        <w:t>按欠款方归集的年末余额前五名的应收账款情况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29"/>
        <w:jc w:val="right"/>
      </w:pPr>
      <w:r>
        <w:rPr/>
        <w:t>按欠款方归集的</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日余额前五名应收账款汇总金额</w:t>
      </w:r>
      <w:r>
        <w:rPr>
          <w:rFonts w:ascii="Times New Roman" w:hAnsi="Times New Roman" w:cs="Times New Roman" w:eastAsia="Times New Roman" w:hint="default"/>
        </w:rPr>
        <w:t>570,583,441.33</w:t>
      </w:r>
      <w:r>
        <w:rPr/>
        <w:t>元，占应收账款年末余额合计数的比例为</w:t>
      </w:r>
    </w:p>
    <w:p>
      <w:pPr>
        <w:pStyle w:val="BodyText"/>
        <w:spacing w:line="240" w:lineRule="auto" w:before="63"/>
        <w:ind w:right="0"/>
        <w:jc w:val="left"/>
        <w:rPr>
          <w:rFonts w:ascii="宋体" w:hAnsi="宋体" w:cs="宋体" w:eastAsia="宋体" w:hint="default"/>
          <w:sz w:val="22"/>
          <w:szCs w:val="22"/>
        </w:rPr>
      </w:pPr>
      <w:r>
        <w:rPr>
          <w:rFonts w:ascii="Times New Roman" w:hAnsi="Times New Roman" w:cs="Times New Roman" w:eastAsia="Times New Roman" w:hint="default"/>
        </w:rPr>
        <w:t>14.68%</w:t>
      </w:r>
      <w:r>
        <w:rPr/>
        <w:t>，相应计提的坏账准备金额</w:t>
      </w:r>
      <w:r>
        <w:rPr>
          <w:rFonts w:ascii="Times New Roman" w:hAnsi="Times New Roman" w:cs="Times New Roman" w:eastAsia="Times New Roman" w:hint="default"/>
        </w:rPr>
        <w:t>38,941,085.75</w:t>
      </w:r>
      <w:r>
        <w:rPr/>
        <w:t>元。</w:t>
      </w:r>
      <w:r>
        <w:rPr>
          <w:rFonts w:ascii="宋体" w:hAnsi="宋体" w:cs="宋体" w:eastAsia="宋体" w:hint="default"/>
          <w:w w:val="100"/>
          <w:sz w:val="22"/>
          <w:szCs w:val="22"/>
        </w:rPr>
        <w:t> </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910"/>
        <w:gridCol w:w="1916"/>
        <w:gridCol w:w="1916"/>
        <w:gridCol w:w="1913"/>
        <w:gridCol w:w="1916"/>
      </w:tblGrid>
      <w:tr>
        <w:trPr>
          <w:trHeight w:val="453" w:hRule="exact"/>
        </w:trPr>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9" w:hRule="exact"/>
        </w:trPr>
        <w:tc>
          <w:tcPr>
            <w:tcW w:w="1910"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66"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127,523,471.32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96.56%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113,093,030.70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97.57%</w:t>
            </w:r>
          </w:p>
        </w:tc>
      </w:tr>
      <w:tr>
        <w:trPr>
          <w:trHeight w:val="46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2,482,274.77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2,814,228.11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2.43%</w:t>
            </w:r>
          </w:p>
        </w:tc>
      </w:tr>
      <w:tr>
        <w:trPr>
          <w:trHeight w:val="46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2,055,259.00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1.56%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3,989.79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0.00%</w:t>
            </w:r>
          </w:p>
        </w:tc>
      </w:tr>
      <w:tr>
        <w:trPr>
          <w:trHeight w:val="466"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w w:val="95"/>
                <w:sz w:val="18"/>
              </w:rPr>
              <w:t>3,989.79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132,064,994.88</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2"/>
                <w:sz w:val="18"/>
              </w:rPr>
              <w:t>115,911,248.60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0"/>
        <w:jc w:val="left"/>
      </w:pPr>
      <w:r>
        <w:rPr/>
        <w:t>按预付对象归集的年末余额前五名预付款项汇总金额</w:t>
      </w:r>
      <w:r>
        <w:rPr>
          <w:rFonts w:ascii="Times New Roman" w:hAnsi="Times New Roman" w:cs="Times New Roman" w:eastAsia="Times New Roman" w:hint="default"/>
        </w:rPr>
        <w:t>80,198,957.65</w:t>
      </w:r>
      <w:r>
        <w:rPr/>
        <w:t>元，占预付款项年末余额合计数的比例为</w:t>
      </w:r>
      <w:r>
        <w:rPr>
          <w:rFonts w:ascii="Times New Roman" w:hAnsi="Times New Roman" w:cs="Times New Roman" w:eastAsia="Times New Roman" w:hint="default"/>
        </w:rPr>
        <w:t>60.73%</w:t>
      </w:r>
      <w:r>
        <w:rPr/>
        <w:t>。</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4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120,149,088.66</w:t>
            </w:r>
          </w:p>
        </w:tc>
        <w:tc>
          <w:tcPr>
            <w:tcW w:w="319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137,058,969.88</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120,149,088.66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137,058,969.88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3"/>
      </w:tblGrid>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119,261,519.35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142,723,882.40</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待结诉讼款项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38,876,998.00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38,876,998.00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3"/>
      </w:tblGrid>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19,867,346.74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10,061,618.38</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553,174.32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91,683.04</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58,409,949.75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54,695,211.94</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120,149,088.66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137,058,969.88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w:t>
      </w:r>
      <w:r>
        <w:rPr>
          <w:spacing w:val="-2"/>
        </w:rPr>
        <w:t> </w:t>
      </w:r>
      <w:r>
        <w:rPr/>
        <w:t>其他应收款坏账准备计提情况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8"/>
        </w:rPr>
        <w:t> </w:t>
      </w:r>
      <w:r>
        <w:rPr/>
        <w:t>元</w:t>
      </w:r>
    </w:p>
    <w:p>
      <w:pPr>
        <w:spacing w:line="240" w:lineRule="auto" w:before="12"/>
        <w:rPr>
          <w:rFonts w:ascii="宋体" w:hAnsi="宋体" w:cs="宋体" w:eastAsia="宋体" w:hint="default"/>
          <w:sz w:val="9"/>
          <w:szCs w:val="9"/>
        </w:rPr>
      </w:pPr>
    </w:p>
    <w:tbl>
      <w:tblPr>
        <w:tblW w:w="0" w:type="auto"/>
        <w:jc w:val="left"/>
        <w:tblInd w:w="198" w:type="dxa"/>
        <w:tblLayout w:type="fixed"/>
        <w:tblCellMar>
          <w:top w:w="0" w:type="dxa"/>
          <w:left w:w="0" w:type="dxa"/>
          <w:bottom w:w="0" w:type="dxa"/>
          <w:right w:w="0" w:type="dxa"/>
        </w:tblCellMar>
        <w:tblLook w:val="01E0"/>
      </w:tblPr>
      <w:tblGrid>
        <w:gridCol w:w="1915"/>
        <w:gridCol w:w="1652"/>
        <w:gridCol w:w="2100"/>
        <w:gridCol w:w="2098"/>
        <w:gridCol w:w="1805"/>
      </w:tblGrid>
      <w:tr>
        <w:trPr>
          <w:trHeight w:val="474" w:hRule="exact"/>
        </w:trPr>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9"/>
              <w:ind w:left="458"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9"/>
              <w:ind w:left="684"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0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9"/>
              <w:ind w:left="681"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35" w:hRule="exact"/>
        </w:trPr>
        <w:tc>
          <w:tcPr>
            <w:tcW w:w="1915"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0" w:lineRule="auto" w:before="54"/>
              <w:ind w:left="638" w:right="2" w:hanging="630"/>
              <w:jc w:val="lef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个月预期信用 损失</w:t>
            </w:r>
          </w:p>
        </w:tc>
        <w:tc>
          <w:tcPr>
            <w:tcW w:w="2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6" w:space="0" w:color="000000"/>
              <w:bottom w:val="single" w:sz="6" w:space="0" w:color="000000"/>
              <w:right w:val="single" w:sz="6" w:space="0" w:color="000000"/>
            </w:tcBorders>
            <w:shd w:val="clear" w:color="auto" w:fill="D2D2D2"/>
          </w:tcPr>
          <w:p>
            <w:pPr/>
          </w:p>
        </w:tc>
      </w:tr>
      <w:tr>
        <w:trPr>
          <w:trHeight w:val="4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2,307,796.17</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10,376,283.92</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42,011,131.85</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54,695,211.94</w:t>
            </w:r>
          </w:p>
        </w:tc>
      </w:tr>
      <w:tr>
        <w:trPr>
          <w:trHeight w:val="487"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-921,515.36</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2,856,551.08</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1,772,832.56</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3,707,868.28</w:t>
            </w:r>
          </w:p>
        </w:tc>
      </w:tr>
      <w:tr>
        <w:trPr>
          <w:trHeight w:val="4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2"/>
              <w:ind w:left="4" w:right="0"/>
              <w:jc w:val="left"/>
              <w:rPr>
                <w:rFonts w:ascii="宋体" w:hAnsi="宋体" w:cs="宋体" w:eastAsia="宋体" w:hint="default"/>
                <w:sz w:val="18"/>
                <w:szCs w:val="18"/>
              </w:rPr>
            </w:pPr>
            <w:r>
              <w:rPr>
                <w:rFonts w:ascii="宋体" w:hAnsi="宋体" w:cs="宋体" w:eastAsia="宋体" w:hint="default"/>
                <w:sz w:val="18"/>
                <w:szCs w:val="18"/>
              </w:rPr>
              <w:t>本年合并增加</w:t>
            </w:r>
          </w:p>
        </w:tc>
        <w:tc>
          <w:tcPr>
            <w:tcW w:w="1652" w:type="dxa"/>
            <w:tcBorders>
              <w:top w:val="single" w:sz="6" w:space="0" w:color="000000"/>
              <w:left w:val="single" w:sz="6" w:space="0" w:color="000000"/>
              <w:bottom w:val="single" w:sz="6" w:space="0" w:color="000000"/>
              <w:right w:val="single" w:sz="6" w:space="0" w:color="000000"/>
            </w:tcBorders>
          </w:tcPr>
          <w:p>
            <w:pP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w w:val="95"/>
                <w:sz w:val="18"/>
              </w:rPr>
              <w:t>6,869.53</w:t>
            </w:r>
          </w:p>
        </w:tc>
        <w:tc>
          <w:tcPr>
            <w:tcW w:w="20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w w:val="95"/>
                <w:sz w:val="18"/>
              </w:rPr>
              <w:t>6,869.53</w:t>
            </w:r>
          </w:p>
        </w:tc>
      </w:tr>
      <w:tr>
        <w:trPr>
          <w:trHeight w:val="4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1,386,280.81</w:t>
            </w:r>
          </w:p>
        </w:tc>
        <w:tc>
          <w:tcPr>
            <w:tcW w:w="2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13,239,704.53</w:t>
            </w:r>
          </w:p>
        </w:tc>
        <w:tc>
          <w:tcPr>
            <w:tcW w:w="20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43,783,964.41</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58,409,949.75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w:t>
      </w:r>
      <w:r>
        <w:rPr>
          <w:spacing w:val="-3"/>
        </w:rPr>
        <w:t> </w:t>
      </w:r>
      <w:r>
        <w:rPr/>
        <w:t>其他应收款按账龄列示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w:t>
      </w:r>
      <w:r>
        <w:rPr>
          <w:spacing w:val="-18"/>
        </w:rPr>
        <w:t> </w:t>
      </w:r>
      <w:r>
        <w:rPr/>
        <w:t>元</w:t>
      </w:r>
    </w:p>
    <w:p>
      <w:pPr>
        <w:spacing w:line="240" w:lineRule="auto" w:before="4"/>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4784"/>
        <w:gridCol w:w="4787"/>
      </w:tblGrid>
      <w:tr>
        <w:trPr>
          <w:trHeight w:val="487"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90"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63,436,830.32</w:t>
            </w:r>
          </w:p>
        </w:tc>
      </w:tr>
      <w:tr>
        <w:trPr>
          <w:trHeight w:val="490"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34,644,544.93</w:t>
            </w:r>
          </w:p>
        </w:tc>
      </w:tr>
      <w:tr>
        <w:trPr>
          <w:trHeight w:val="490"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15,047,994.70</w:t>
            </w:r>
          </w:p>
        </w:tc>
      </w:tr>
      <w:tr>
        <w:trPr>
          <w:trHeight w:val="487"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17,078,834.56</w:t>
            </w:r>
          </w:p>
        </w:tc>
      </w:tr>
      <w:tr>
        <w:trPr>
          <w:trHeight w:val="490"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6,954,541.15</w:t>
            </w:r>
          </w:p>
        </w:tc>
      </w:tr>
      <w:tr>
        <w:trPr>
          <w:trHeight w:val="490"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spacing w:val="-1"/>
                <w:sz w:val="18"/>
              </w:rPr>
              <w:t>41,396,292.75</w:t>
            </w:r>
          </w:p>
        </w:tc>
      </w:tr>
      <w:tr>
        <w:trPr>
          <w:trHeight w:val="490"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178,559,038.41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w:t>
      </w:r>
      <w:r>
        <w:rPr>
          <w:spacing w:val="-2"/>
        </w:rPr>
        <w:t> </w:t>
      </w:r>
      <w:r>
        <w:rPr/>
        <w:t>其他应收款坏账准备情况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w:t>
      </w:r>
      <w:r>
        <w:rPr>
          <w:spacing w:val="-18"/>
        </w:rPr>
        <w:t> </w:t>
      </w:r>
      <w:r>
        <w:rPr/>
        <w:t>元</w:t>
      </w:r>
    </w:p>
    <w:p>
      <w:pPr>
        <w:spacing w:line="240" w:lineRule="auto" w:before="4"/>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1721"/>
        <w:gridCol w:w="1342"/>
        <w:gridCol w:w="1457"/>
        <w:gridCol w:w="1594"/>
        <w:gridCol w:w="1335"/>
        <w:gridCol w:w="2122"/>
      </w:tblGrid>
      <w:tr>
        <w:trPr>
          <w:trHeight w:val="488" w:hRule="exact"/>
        </w:trPr>
        <w:tc>
          <w:tcPr>
            <w:tcW w:w="172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4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8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本年变动金额</w:t>
            </w:r>
          </w:p>
        </w:tc>
        <w:tc>
          <w:tcPr>
            <w:tcW w:w="21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6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1" w:hRule="exact"/>
        </w:trPr>
        <w:tc>
          <w:tcPr>
            <w:tcW w:w="1721" w:type="dxa"/>
            <w:vMerge/>
            <w:tcBorders>
              <w:left w:val="single" w:sz="6" w:space="0" w:color="000000"/>
              <w:bottom w:val="single" w:sz="6" w:space="0" w:color="000000"/>
              <w:right w:val="single" w:sz="6" w:space="0" w:color="000000"/>
            </w:tcBorders>
            <w:shd w:val="clear" w:color="auto" w:fill="D2D2D2"/>
          </w:tcPr>
          <w:p>
            <w:pPr/>
          </w:p>
        </w:tc>
        <w:tc>
          <w:tcPr>
            <w:tcW w:w="1342" w:type="dxa"/>
            <w:vMerge/>
            <w:tcBorders>
              <w:left w:val="single" w:sz="6" w:space="0" w:color="000000"/>
              <w:bottom w:val="single" w:sz="6" w:space="0" w:color="000000"/>
              <w:right w:val="single" w:sz="6" w:space="0" w:color="000000"/>
            </w:tcBorders>
            <w:shd w:val="clear" w:color="auto" w:fill="D2D2D2"/>
          </w:tcPr>
          <w:p>
            <w:pPr/>
          </w:p>
        </w:tc>
        <w:tc>
          <w:tcPr>
            <w:tcW w:w="1457" w:type="dxa"/>
            <w:tcBorders>
              <w:top w:val="single" w:sz="6" w:space="0" w:color="000000"/>
              <w:left w:val="single" w:sz="6" w:space="0" w:color="000000"/>
              <w:bottom w:val="nil" w:sz="6" w:space="0" w:color="auto"/>
              <w:right w:val="single" w:sz="6" w:space="0" w:color="000000"/>
            </w:tcBorders>
            <w:shd w:val="clear" w:color="auto" w:fill="D2D2D2"/>
          </w:tcPr>
          <w:p>
            <w:pPr>
              <w:pStyle w:val="TableParagraph"/>
              <w:spacing w:line="240" w:lineRule="auto" w:before="91"/>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6" w:space="0" w:color="000000"/>
              <w:left w:val="single" w:sz="6" w:space="0" w:color="000000"/>
              <w:bottom w:val="nil" w:sz="6" w:space="0" w:color="auto"/>
              <w:right w:val="single" w:sz="6" w:space="0" w:color="000000"/>
            </w:tcBorders>
            <w:shd w:val="clear" w:color="auto" w:fill="D2D2D2"/>
          </w:tcPr>
          <w:p>
            <w:pPr>
              <w:pStyle w:val="TableParagraph"/>
              <w:spacing w:line="240" w:lineRule="auto" w:before="91"/>
              <w:ind w:left="429"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335" w:type="dxa"/>
            <w:tcBorders>
              <w:top w:val="single" w:sz="6" w:space="0" w:color="000000"/>
              <w:left w:val="single" w:sz="6" w:space="0" w:color="000000"/>
              <w:bottom w:val="nil" w:sz="6" w:space="0" w:color="auto"/>
              <w:right w:val="single" w:sz="6" w:space="0" w:color="000000"/>
            </w:tcBorders>
            <w:shd w:val="clear" w:color="auto" w:fill="D2D2D2"/>
          </w:tcPr>
          <w:p>
            <w:pPr>
              <w:pStyle w:val="TableParagraph"/>
              <w:spacing w:line="240" w:lineRule="auto" w:before="91"/>
              <w:ind w:left="208" w:right="0"/>
              <w:jc w:val="left"/>
              <w:rPr>
                <w:rFonts w:ascii="宋体" w:hAnsi="宋体" w:cs="宋体" w:eastAsia="宋体" w:hint="default"/>
                <w:sz w:val="18"/>
                <w:szCs w:val="18"/>
              </w:rPr>
            </w:pPr>
            <w:r>
              <w:rPr>
                <w:rFonts w:ascii="宋体" w:hAnsi="宋体" w:cs="宋体" w:eastAsia="宋体" w:hint="default"/>
                <w:sz w:val="18"/>
                <w:szCs w:val="18"/>
              </w:rPr>
              <w:t>转销或核销</w:t>
            </w:r>
          </w:p>
        </w:tc>
        <w:tc>
          <w:tcPr>
            <w:tcW w:w="2122" w:type="dxa"/>
            <w:vMerge/>
            <w:tcBorders>
              <w:left w:val="single" w:sz="6" w:space="0" w:color="000000"/>
              <w:bottom w:val="single" w:sz="6" w:space="0" w:color="000000"/>
              <w:right w:val="single" w:sz="6" w:space="0" w:color="000000"/>
            </w:tcBorders>
            <w:shd w:val="clear" w:color="auto" w:fill="D2D2D2"/>
          </w:tcPr>
          <w:p>
            <w:pPr/>
          </w:p>
        </w:tc>
      </w:tr>
    </w:tbl>
    <w:p>
      <w:pPr>
        <w:spacing w:after="0"/>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98" w:type="dxa"/>
        <w:tblLayout w:type="fixed"/>
        <w:tblCellMar>
          <w:top w:w="0" w:type="dxa"/>
          <w:left w:w="0" w:type="dxa"/>
          <w:bottom w:w="0" w:type="dxa"/>
          <w:right w:w="0" w:type="dxa"/>
        </w:tblCellMar>
        <w:tblLook w:val="01E0"/>
      </w:tblPr>
      <w:tblGrid>
        <w:gridCol w:w="1721"/>
        <w:gridCol w:w="1342"/>
        <w:gridCol w:w="1457"/>
        <w:gridCol w:w="1594"/>
        <w:gridCol w:w="1335"/>
        <w:gridCol w:w="2122"/>
      </w:tblGrid>
      <w:tr>
        <w:trPr>
          <w:trHeight w:val="490" w:hRule="exact"/>
        </w:trPr>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290" w:right="0"/>
              <w:jc w:val="left"/>
              <w:rPr>
                <w:rFonts w:ascii="Times New Roman" w:hAnsi="Times New Roman" w:cs="Times New Roman" w:eastAsia="Times New Roman" w:hint="default"/>
                <w:sz w:val="18"/>
                <w:szCs w:val="18"/>
              </w:rPr>
            </w:pPr>
            <w:r>
              <w:rPr>
                <w:rFonts w:ascii="Times New Roman"/>
                <w:sz w:val="18"/>
              </w:rPr>
              <w:t>54,695,211.94</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496" w:right="0"/>
              <w:jc w:val="left"/>
              <w:rPr>
                <w:rFonts w:ascii="Times New Roman" w:hAnsi="Times New Roman" w:cs="Times New Roman" w:eastAsia="Times New Roman" w:hint="default"/>
                <w:sz w:val="18"/>
                <w:szCs w:val="18"/>
              </w:rPr>
            </w:pPr>
            <w:r>
              <w:rPr>
                <w:rFonts w:ascii="Times New Roman"/>
                <w:sz w:val="18"/>
              </w:rPr>
              <w:t>3,707,868.28</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945" w:right="0"/>
              <w:jc w:val="left"/>
              <w:rPr>
                <w:rFonts w:ascii="Times New Roman" w:hAnsi="Times New Roman" w:cs="Times New Roman" w:eastAsia="Times New Roman" w:hint="default"/>
                <w:sz w:val="18"/>
                <w:szCs w:val="18"/>
              </w:rPr>
            </w:pPr>
            <w:r>
              <w:rPr>
                <w:rFonts w:ascii="Times New Roman"/>
                <w:sz w:val="18"/>
              </w:rPr>
              <w:t>6,869.53</w:t>
            </w:r>
          </w:p>
        </w:tc>
        <w:tc>
          <w:tcPr>
            <w:tcW w:w="1335" w:type="dxa"/>
            <w:tcBorders>
              <w:top w:val="single" w:sz="6" w:space="0" w:color="000000"/>
              <w:left w:val="single" w:sz="6" w:space="0" w:color="000000"/>
              <w:bottom w:val="single" w:sz="6" w:space="0" w:color="000000"/>
              <w:right w:val="single" w:sz="6" w:space="0" w:color="000000"/>
            </w:tcBorders>
          </w:tcPr>
          <w:p>
            <w:pP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left="1070" w:right="0"/>
              <w:jc w:val="left"/>
              <w:rPr>
                <w:rFonts w:ascii="Times New Roman" w:hAnsi="Times New Roman" w:cs="Times New Roman" w:eastAsia="Times New Roman" w:hint="default"/>
                <w:sz w:val="18"/>
                <w:szCs w:val="18"/>
              </w:rPr>
            </w:pPr>
            <w:r>
              <w:rPr>
                <w:rFonts w:ascii="Times New Roman"/>
                <w:sz w:val="18"/>
              </w:rPr>
              <w:t>58,409,949.75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739"/>
        <w:gridCol w:w="1289"/>
        <w:gridCol w:w="1246"/>
        <w:gridCol w:w="1102"/>
        <w:gridCol w:w="1597"/>
        <w:gridCol w:w="1596"/>
      </w:tblGrid>
      <w:tr>
        <w:trPr>
          <w:trHeight w:val="713"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4"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63"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安力博发集团有限公司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待结诉讼款</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38,876,998.00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21.77%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38,876,998.00</w:t>
            </w:r>
          </w:p>
        </w:tc>
      </w:tr>
      <w:tr>
        <w:trPr>
          <w:trHeight w:val="466"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中化商务有限公司上海分公司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2,809,121.35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67,182.43</w:t>
            </w:r>
          </w:p>
        </w:tc>
      </w:tr>
      <w:tr>
        <w:trPr>
          <w:trHeight w:val="464"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2,600,000.00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1.46%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52,000.00</w:t>
            </w:r>
          </w:p>
        </w:tc>
      </w:tr>
      <w:tr>
        <w:trPr>
          <w:trHeight w:val="463" w:hRule="exact"/>
        </w:trPr>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陕西省农业工程勘察设计院</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2,001,000.00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1.12%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140,070.00</w:t>
            </w:r>
          </w:p>
        </w:tc>
      </w:tr>
      <w:tr>
        <w:trPr>
          <w:trHeight w:val="466" w:hRule="exact"/>
        </w:trPr>
        <w:tc>
          <w:tcPr>
            <w:tcW w:w="2739"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安徽合肥公共资源交易中心</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1,937,200.00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43,244.00</w:t>
            </w:r>
          </w:p>
        </w:tc>
      </w:tr>
      <w:tr>
        <w:trPr>
          <w:trHeight w:val="463" w:hRule="exact"/>
        </w:trPr>
        <w:tc>
          <w:tcPr>
            <w:tcW w:w="2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48,224,319.35</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27.00%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39,179,494.43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7"/>
        <w:ind w:right="0"/>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w:t>
      </w:r>
      <w:r>
        <w:rPr>
          <w:spacing w:val="1"/>
        </w:rPr>
        <w:t> </w:t>
      </w:r>
      <w:r>
        <w:rPr/>
        <w:t>元</w:t>
      </w:r>
    </w:p>
    <w:p>
      <w:pPr>
        <w:spacing w:line="240" w:lineRule="auto" w:before="5"/>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455" w:hRule="exact"/>
        </w:trPr>
        <w:tc>
          <w:tcPr>
            <w:tcW w:w="1368" w:type="dxa"/>
            <w:vMerge w:val="restart"/>
            <w:tcBorders>
              <w:top w:val="single" w:sz="4" w:space="0" w:color="000000"/>
              <w:left w:val="single" w:sz="4" w:space="0" w:color="000000"/>
              <w:right w:val="single" w:sz="4" w:space="0" w:color="FFFFFF"/>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8" w:hRule="exact"/>
        </w:trPr>
        <w:tc>
          <w:tcPr>
            <w:tcW w:w="1368" w:type="dxa"/>
            <w:vMerge/>
            <w:tcBorders>
              <w:left w:val="single" w:sz="4" w:space="0" w:color="000000"/>
              <w:bottom w:val="single" w:sz="4" w:space="0" w:color="000000"/>
              <w:right w:val="single" w:sz="4" w:space="0" w:color="FFFFFF"/>
            </w:tcBorders>
            <w:shd w:val="clear" w:color="auto" w:fill="D2D2D2"/>
          </w:tcPr>
          <w:p>
            <w:pPr/>
          </w:p>
        </w:tc>
        <w:tc>
          <w:tcPr>
            <w:tcW w:w="1369"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7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63"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419,375,189.76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419,375,189.76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951,275,832.44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951,275,832.44</w:t>
            </w:r>
          </w:p>
        </w:tc>
      </w:tr>
      <w:tr>
        <w:trPr>
          <w:trHeight w:val="466"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1,328,746,733.51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113,220,863.64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1,215,525,869.87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824,943,745.95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117,317,091.95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707,626,654.00</w:t>
            </w:r>
          </w:p>
        </w:tc>
      </w:tr>
      <w:tr>
        <w:trPr>
          <w:trHeight w:val="463" w:hRule="exact"/>
        </w:trPr>
        <w:tc>
          <w:tcPr>
            <w:tcW w:w="1368"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253,837,938.81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253,837,938.81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67,196,162.81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67,196,162.81</w:t>
            </w:r>
          </w:p>
        </w:tc>
      </w:tr>
      <w:tr>
        <w:trPr>
          <w:trHeight w:val="463" w:hRule="exact"/>
        </w:trPr>
        <w:tc>
          <w:tcPr>
            <w:tcW w:w="1368"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2,001,959,862.08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113,220,863.64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1,888,738,998.44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1,843,415,741.20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117,317,091.95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1,726,098,649.25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7"/>
        <w:gridCol w:w="1367"/>
      </w:tblGrid>
      <w:tr>
        <w:trPr>
          <w:trHeight w:val="455"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58"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18" w:right="0"/>
              <w:jc w:val="left"/>
              <w:rPr>
                <w:rFonts w:ascii="Times New Roman" w:hAnsi="Times New Roman" w:cs="Times New Roman" w:eastAsia="Times New Roman" w:hint="default"/>
                <w:sz w:val="18"/>
                <w:szCs w:val="18"/>
              </w:rPr>
            </w:pPr>
            <w:r>
              <w:rPr>
                <w:rFonts w:ascii="Times New Roman"/>
                <w:sz w:val="18"/>
              </w:rPr>
              <w:t>117,317,091.95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00" w:right="0"/>
              <w:jc w:val="left"/>
              <w:rPr>
                <w:rFonts w:ascii="Times New Roman" w:hAnsi="Times New Roman" w:cs="Times New Roman" w:eastAsia="Times New Roman" w:hint="default"/>
                <w:sz w:val="18"/>
                <w:szCs w:val="18"/>
              </w:rPr>
            </w:pPr>
            <w:r>
              <w:rPr>
                <w:rFonts w:ascii="Times New Roman"/>
                <w:sz w:val="18"/>
              </w:rPr>
              <w:t>76,328,539.72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99" w:right="0"/>
              <w:jc w:val="left"/>
              <w:rPr>
                <w:rFonts w:ascii="Times New Roman" w:hAnsi="Times New Roman" w:cs="Times New Roman" w:eastAsia="Times New Roman" w:hint="default"/>
                <w:sz w:val="18"/>
                <w:szCs w:val="18"/>
              </w:rPr>
            </w:pPr>
            <w:r>
              <w:rPr>
                <w:rFonts w:ascii="Times New Roman"/>
                <w:sz w:val="18"/>
              </w:rPr>
              <w:t>80,424,768.03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14" w:right="0"/>
              <w:jc w:val="left"/>
              <w:rPr>
                <w:rFonts w:ascii="Times New Roman" w:hAnsi="Times New Roman" w:cs="Times New Roman" w:eastAsia="Times New Roman" w:hint="default"/>
                <w:sz w:val="18"/>
                <w:szCs w:val="18"/>
              </w:rPr>
            </w:pPr>
            <w:r>
              <w:rPr>
                <w:rFonts w:ascii="Times New Roman"/>
                <w:sz w:val="18"/>
              </w:rPr>
              <w:t>113,220,863.64</w:t>
            </w:r>
          </w:p>
        </w:tc>
      </w:tr>
    </w:tbl>
    <w:p>
      <w:pPr>
        <w:spacing w:after="0" w:line="240" w:lineRule="auto"/>
        <w:jc w:val="lef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46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18" w:right="0"/>
              <w:jc w:val="left"/>
              <w:rPr>
                <w:rFonts w:ascii="Times New Roman" w:hAnsi="Times New Roman" w:cs="Times New Roman" w:eastAsia="Times New Roman" w:hint="default"/>
                <w:sz w:val="18"/>
                <w:szCs w:val="18"/>
              </w:rPr>
            </w:pPr>
            <w:r>
              <w:rPr>
                <w:rFonts w:ascii="Times New Roman"/>
                <w:sz w:val="18"/>
              </w:rPr>
              <w:t>117,317,091.95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99" w:right="0"/>
              <w:jc w:val="left"/>
              <w:rPr>
                <w:rFonts w:ascii="Times New Roman" w:hAnsi="Times New Roman" w:cs="Times New Roman" w:eastAsia="Times New Roman" w:hint="default"/>
                <w:sz w:val="18"/>
                <w:szCs w:val="18"/>
              </w:rPr>
            </w:pPr>
            <w:r>
              <w:rPr>
                <w:rFonts w:ascii="Times New Roman"/>
                <w:sz w:val="18"/>
              </w:rPr>
              <w:t>76,328,539.72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99" w:right="0"/>
              <w:jc w:val="left"/>
              <w:rPr>
                <w:rFonts w:ascii="Times New Roman" w:hAnsi="Times New Roman" w:cs="Times New Roman" w:eastAsia="Times New Roman" w:hint="default"/>
                <w:sz w:val="18"/>
                <w:szCs w:val="18"/>
              </w:rPr>
            </w:pPr>
            <w:r>
              <w:rPr>
                <w:rFonts w:ascii="Times New Roman"/>
                <w:sz w:val="18"/>
              </w:rPr>
              <w:t>80,424,768.03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15" w:right="0"/>
              <w:jc w:val="left"/>
              <w:rPr>
                <w:rFonts w:ascii="Times New Roman" w:hAnsi="Times New Roman" w:cs="Times New Roman" w:eastAsia="Times New Roman" w:hint="default"/>
                <w:sz w:val="18"/>
                <w:szCs w:val="18"/>
              </w:rPr>
            </w:pPr>
            <w:r>
              <w:rPr>
                <w:rFonts w:ascii="Times New Roman"/>
                <w:sz w:val="18"/>
              </w:rPr>
              <w:t>113,220,863.64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16" w:footer="1261" w:top="1120" w:bottom="14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460" w:left="980" w:right="0"/>
          <w:cols w:num="2" w:equalWidth="0">
            <w:col w:w="1954" w:space="6695"/>
            <w:col w:w="2281"/>
          </w:cols>
        </w:sectPr>
      </w:pP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3"/>
      </w:tblGrid>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45,161,022.19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22,801,989.33</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待摊费用</w:t>
            </w:r>
            <w:r>
              <w:rPr>
                <w:rFonts w:ascii="Times New Roman" w:hAnsi="Times New Roman" w:cs="Times New Roman" w:eastAsia="Times New Roman" w:hint="default"/>
                <w:sz w:val="18"/>
                <w:szCs w:val="18"/>
              </w:rPr>
              <w:t>-</w:t>
            </w: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243,992.39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31,937.14</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52,109.27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45,457,123.85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22,833,926.47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65" w:type="dxa"/>
        <w:tblLayout w:type="fixed"/>
        <w:tblCellMar>
          <w:top w:w="0" w:type="dxa"/>
          <w:left w:w="0" w:type="dxa"/>
          <w:bottom w:w="0" w:type="dxa"/>
          <w:right w:w="0" w:type="dxa"/>
        </w:tblCellMar>
        <w:tblLook w:val="01E0"/>
      </w:tblPr>
      <w:tblGrid>
        <w:gridCol w:w="797"/>
        <w:gridCol w:w="1046"/>
        <w:gridCol w:w="567"/>
        <w:gridCol w:w="994"/>
        <w:gridCol w:w="992"/>
        <w:gridCol w:w="852"/>
        <w:gridCol w:w="991"/>
        <w:gridCol w:w="850"/>
        <w:gridCol w:w="569"/>
        <w:gridCol w:w="319"/>
        <w:gridCol w:w="1097"/>
        <w:gridCol w:w="499"/>
      </w:tblGrid>
      <w:tr>
        <w:trPr>
          <w:trHeight w:val="46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381" w:lineRule="auto" w:before="94"/>
              <w:ind w:left="316" w:right="89" w:hanging="224"/>
              <w:jc w:val="left"/>
              <w:rPr>
                <w:rFonts w:ascii="宋体" w:hAnsi="宋体" w:cs="宋体" w:eastAsia="宋体" w:hint="default"/>
                <w:sz w:val="15"/>
                <w:szCs w:val="15"/>
              </w:rPr>
            </w:pPr>
            <w:r>
              <w:rPr>
                <w:rFonts w:ascii="宋体" w:hAnsi="宋体" w:cs="宋体" w:eastAsia="宋体" w:hint="default"/>
                <w:sz w:val="15"/>
                <w:szCs w:val="15"/>
              </w:rPr>
              <w:t>被投资单</w:t>
            </w:r>
            <w:r>
              <w:rPr>
                <w:rFonts w:ascii="宋体" w:hAnsi="宋体" w:cs="宋体" w:eastAsia="宋体" w:hint="default"/>
                <w:w w:val="100"/>
                <w:sz w:val="15"/>
                <w:szCs w:val="15"/>
              </w:rPr>
              <w:t> </w:t>
            </w:r>
            <w:r>
              <w:rPr>
                <w:rFonts w:ascii="宋体" w:hAnsi="宋体" w:cs="宋体" w:eastAsia="宋体" w:hint="default"/>
                <w:sz w:val="15"/>
                <w:szCs w:val="15"/>
              </w:rPr>
              <w:t>位</w:t>
            </w: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60" w:lineRule="auto"/>
              <w:ind w:left="340" w:right="41" w:hanging="300"/>
              <w:jc w:val="left"/>
              <w:rPr>
                <w:rFonts w:ascii="Times New Roman" w:hAnsi="Times New Roman" w:cs="Times New Roman" w:eastAsia="Times New Roman" w:hint="default"/>
                <w:sz w:val="15"/>
                <w:szCs w:val="15"/>
              </w:rPr>
            </w:pPr>
            <w:r>
              <w:rPr>
                <w:rFonts w:ascii="宋体" w:hAnsi="宋体" w:cs="宋体" w:eastAsia="宋体" w:hint="default"/>
                <w:sz w:val="15"/>
                <w:szCs w:val="15"/>
              </w:rPr>
              <w:t>期初余额</w:t>
            </w:r>
            <w:r>
              <w:rPr>
                <w:rFonts w:ascii="Times New Roman" w:hAnsi="Times New Roman" w:cs="Times New Roman" w:eastAsia="Times New Roman" w:hint="default"/>
                <w:sz w:val="15"/>
                <w:szCs w:val="15"/>
              </w:rPr>
              <w:t>(</w:t>
            </w: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r>
              <w:rPr>
                <w:rFonts w:ascii="Times New Roman" w:hAnsi="Times New Roman" w:cs="Times New Roman" w:eastAsia="Times New Roman" w:hint="default"/>
                <w:sz w:val="15"/>
                <w:szCs w:val="15"/>
              </w:rPr>
              <w:t>)</w:t>
            </w:r>
          </w:p>
        </w:tc>
        <w:tc>
          <w:tcPr>
            <w:tcW w:w="613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2" w:right="0"/>
              <w:jc w:val="center"/>
              <w:rPr>
                <w:rFonts w:ascii="宋体" w:hAnsi="宋体" w:cs="宋体" w:eastAsia="宋体" w:hint="default"/>
                <w:sz w:val="15"/>
                <w:szCs w:val="15"/>
              </w:rPr>
            </w:pPr>
            <w:r>
              <w:rPr>
                <w:rFonts w:ascii="宋体" w:hAnsi="宋体" w:cs="宋体" w:eastAsia="宋体" w:hint="default"/>
                <w:sz w:val="15"/>
                <w:szCs w:val="15"/>
              </w:rPr>
              <w:t>本期增减变动</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60" w:lineRule="auto"/>
              <w:ind w:left="367" w:right="65" w:hanging="300"/>
              <w:jc w:val="left"/>
              <w:rPr>
                <w:rFonts w:ascii="Times New Roman" w:hAnsi="Times New Roman" w:cs="Times New Roman" w:eastAsia="Times New Roman" w:hint="default"/>
                <w:sz w:val="15"/>
                <w:szCs w:val="15"/>
              </w:rPr>
            </w:pPr>
            <w:r>
              <w:rPr>
                <w:rFonts w:ascii="宋体" w:hAnsi="宋体" w:cs="宋体" w:eastAsia="宋体" w:hint="default"/>
                <w:sz w:val="15"/>
                <w:szCs w:val="15"/>
              </w:rPr>
              <w:t>期末余额</w:t>
            </w:r>
            <w:r>
              <w:rPr>
                <w:rFonts w:ascii="Times New Roman" w:hAnsi="Times New Roman" w:cs="Times New Roman" w:eastAsia="Times New Roman" w:hint="default"/>
                <w:sz w:val="15"/>
                <w:szCs w:val="15"/>
              </w:rPr>
              <w:t>(</w:t>
            </w:r>
            <w:r>
              <w:rPr>
                <w:rFonts w:ascii="宋体" w:hAnsi="宋体" w:cs="宋体" w:eastAsia="宋体" w:hint="default"/>
                <w:sz w:val="15"/>
                <w:szCs w:val="15"/>
              </w:rPr>
              <w:t>账面</w:t>
            </w:r>
            <w:r>
              <w:rPr>
                <w:rFonts w:ascii="宋体" w:hAnsi="宋体" w:cs="宋体" w:eastAsia="宋体" w:hint="default"/>
                <w:w w:val="100"/>
                <w:sz w:val="15"/>
                <w:szCs w:val="15"/>
              </w:rPr>
              <w:t> </w:t>
            </w:r>
            <w:r>
              <w:rPr>
                <w:rFonts w:ascii="宋体" w:hAnsi="宋体" w:cs="宋体" w:eastAsia="宋体" w:hint="default"/>
                <w:sz w:val="15"/>
                <w:szCs w:val="15"/>
              </w:rPr>
              <w:t>价值</w:t>
            </w:r>
            <w:r>
              <w:rPr>
                <w:rFonts w:ascii="Times New Roman" w:hAnsi="Times New Roman" w:cs="Times New Roman" w:eastAsia="Times New Roman" w:hint="default"/>
                <w:sz w:val="15"/>
                <w:szCs w:val="15"/>
              </w:rPr>
              <w:t>)</w:t>
            </w:r>
          </w:p>
        </w:tc>
        <w:tc>
          <w:tcPr>
            <w:tcW w:w="4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1"/>
                <w:szCs w:val="11"/>
              </w:rPr>
            </w:pPr>
          </w:p>
          <w:p>
            <w:pPr>
              <w:pStyle w:val="TableParagraph"/>
              <w:spacing w:line="381" w:lineRule="auto"/>
              <w:ind w:left="95" w:right="89"/>
              <w:jc w:val="both"/>
              <w:rPr>
                <w:rFonts w:ascii="宋体" w:hAnsi="宋体" w:cs="宋体" w:eastAsia="宋体" w:hint="default"/>
                <w:sz w:val="15"/>
                <w:szCs w:val="15"/>
              </w:rPr>
            </w:pPr>
            <w:r>
              <w:rPr>
                <w:rFonts w:ascii="宋体" w:hAnsi="宋体" w:cs="宋体" w:eastAsia="宋体" w:hint="default"/>
                <w:sz w:val="15"/>
                <w:szCs w:val="15"/>
              </w:rPr>
              <w:t>减值</w:t>
            </w:r>
            <w:r>
              <w:rPr>
                <w:rFonts w:ascii="宋体" w:hAnsi="宋体" w:cs="宋体" w:eastAsia="宋体" w:hint="default"/>
                <w:spacing w:val="-73"/>
                <w:sz w:val="15"/>
                <w:szCs w:val="15"/>
              </w:rPr>
              <w:t> </w:t>
            </w:r>
            <w:r>
              <w:rPr>
                <w:rFonts w:ascii="宋体" w:hAnsi="宋体" w:cs="宋体" w:eastAsia="宋体" w:hint="default"/>
                <w:sz w:val="15"/>
                <w:szCs w:val="15"/>
              </w:rPr>
              <w:t>准备</w:t>
            </w:r>
            <w:r>
              <w:rPr>
                <w:rFonts w:ascii="宋体" w:hAnsi="宋体" w:cs="宋体" w:eastAsia="宋体" w:hint="default"/>
                <w:spacing w:val="-73"/>
                <w:sz w:val="15"/>
                <w:szCs w:val="15"/>
              </w:rPr>
              <w:t> </w:t>
            </w:r>
            <w:r>
              <w:rPr>
                <w:rFonts w:ascii="宋体" w:hAnsi="宋体" w:cs="宋体" w:eastAsia="宋体" w:hint="default"/>
                <w:sz w:val="15"/>
                <w:szCs w:val="15"/>
              </w:rPr>
              <w:t>期末</w:t>
            </w:r>
            <w:r>
              <w:rPr>
                <w:rFonts w:ascii="宋体" w:hAnsi="宋体" w:cs="宋体" w:eastAsia="宋体" w:hint="default"/>
                <w:spacing w:val="-73"/>
                <w:sz w:val="15"/>
                <w:szCs w:val="15"/>
              </w:rPr>
              <w:t> </w:t>
            </w:r>
            <w:r>
              <w:rPr>
                <w:rFonts w:ascii="宋体" w:hAnsi="宋体" w:cs="宋体" w:eastAsia="宋体" w:hint="default"/>
                <w:sz w:val="15"/>
                <w:szCs w:val="15"/>
              </w:rPr>
              <w:t>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203" w:right="50" w:hanging="152"/>
              <w:jc w:val="left"/>
              <w:rPr>
                <w:rFonts w:ascii="宋体" w:hAnsi="宋体" w:cs="宋体" w:eastAsia="宋体" w:hint="default"/>
                <w:sz w:val="15"/>
                <w:szCs w:val="15"/>
              </w:rPr>
            </w:pPr>
            <w:r>
              <w:rPr>
                <w:rFonts w:ascii="宋体" w:hAnsi="宋体" w:cs="宋体" w:eastAsia="宋体" w:hint="default"/>
                <w:sz w:val="15"/>
                <w:szCs w:val="15"/>
              </w:rPr>
              <w:t>追加投</w:t>
            </w:r>
            <w:r>
              <w:rPr>
                <w:rFonts w:ascii="宋体" w:hAnsi="宋体" w:cs="宋体" w:eastAsia="宋体" w:hint="default"/>
                <w:spacing w:val="-72"/>
                <w:sz w:val="15"/>
                <w:szCs w:val="15"/>
              </w:rPr>
              <w:t> </w:t>
            </w:r>
            <w:r>
              <w:rPr>
                <w:rFonts w:ascii="宋体" w:hAnsi="宋体" w:cs="宋体" w:eastAsia="宋体" w:hint="default"/>
                <w:sz w:val="15"/>
                <w:szCs w:val="15"/>
              </w:rPr>
              <w:t>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5"/>
                <w:szCs w:val="15"/>
              </w:rPr>
            </w:pPr>
            <w:r>
              <w:rPr>
                <w:rFonts w:ascii="宋体" w:hAnsi="宋体" w:cs="宋体" w:eastAsia="宋体" w:hint="default"/>
                <w:sz w:val="15"/>
                <w:szCs w:val="15"/>
              </w:rPr>
              <w:t>减少投资</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112" w:right="39" w:hanging="75"/>
              <w:jc w:val="left"/>
              <w:rPr>
                <w:rFonts w:ascii="宋体" w:hAnsi="宋体" w:cs="宋体" w:eastAsia="宋体" w:hint="default"/>
                <w:sz w:val="15"/>
                <w:szCs w:val="15"/>
              </w:rPr>
            </w:pPr>
            <w:r>
              <w:rPr>
                <w:rFonts w:ascii="宋体" w:hAnsi="宋体" w:cs="宋体" w:eastAsia="宋体" w:hint="default"/>
                <w:sz w:val="15"/>
                <w:szCs w:val="15"/>
              </w:rPr>
              <w:t>权益法下确认</w:t>
            </w:r>
            <w:r>
              <w:rPr>
                <w:rFonts w:ascii="宋体" w:hAnsi="宋体" w:cs="宋体" w:eastAsia="宋体" w:hint="default"/>
                <w:w w:val="100"/>
                <w:sz w:val="15"/>
                <w:szCs w:val="15"/>
              </w:rPr>
              <w:t> </w:t>
            </w:r>
            <w:r>
              <w:rPr>
                <w:rFonts w:ascii="宋体" w:hAnsi="宋体" w:cs="宋体" w:eastAsia="宋体" w:hint="default"/>
                <w:sz w:val="15"/>
                <w:szCs w:val="15"/>
              </w:rPr>
              <w:t>的投资损益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194" w:right="41" w:hanging="149"/>
              <w:jc w:val="left"/>
              <w:rPr>
                <w:rFonts w:ascii="宋体" w:hAnsi="宋体" w:cs="宋体" w:eastAsia="宋体" w:hint="default"/>
                <w:sz w:val="15"/>
                <w:szCs w:val="15"/>
              </w:rPr>
            </w:pPr>
            <w:r>
              <w:rPr>
                <w:rFonts w:ascii="宋体" w:hAnsi="宋体" w:cs="宋体" w:eastAsia="宋体" w:hint="default"/>
                <w:sz w:val="15"/>
                <w:szCs w:val="15"/>
              </w:rPr>
              <w:t>其他综合收</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益调整</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8"/>
              <w:jc w:val="right"/>
              <w:rPr>
                <w:rFonts w:ascii="宋体" w:hAnsi="宋体" w:cs="宋体" w:eastAsia="宋体" w:hint="default"/>
                <w:sz w:val="15"/>
                <w:szCs w:val="15"/>
              </w:rPr>
            </w:pPr>
            <w:r>
              <w:rPr>
                <w:rFonts w:ascii="宋体" w:hAnsi="宋体" w:cs="宋体" w:eastAsia="宋体" w:hint="default"/>
                <w:spacing w:val="-1"/>
                <w:sz w:val="15"/>
                <w:szCs w:val="15"/>
              </w:rPr>
              <w:t>其他权益变动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81" w:lineRule="auto" w:before="74"/>
              <w:ind w:left="45" w:right="39"/>
              <w:jc w:val="center"/>
              <w:rPr>
                <w:rFonts w:ascii="宋体" w:hAnsi="宋体" w:cs="宋体" w:eastAsia="宋体" w:hint="default"/>
                <w:sz w:val="15"/>
                <w:szCs w:val="15"/>
              </w:rPr>
            </w:pPr>
            <w:r>
              <w:rPr>
                <w:rFonts w:ascii="宋体" w:hAnsi="宋体" w:cs="宋体" w:eastAsia="宋体" w:hint="default"/>
                <w:sz w:val="15"/>
                <w:szCs w:val="15"/>
              </w:rPr>
              <w:t>宣告发放现</w:t>
            </w:r>
            <w:r>
              <w:rPr>
                <w:rFonts w:ascii="宋体" w:hAnsi="宋体" w:cs="宋体" w:eastAsia="宋体" w:hint="default"/>
                <w:w w:val="100"/>
                <w:sz w:val="15"/>
                <w:szCs w:val="15"/>
              </w:rPr>
              <w:t> </w:t>
            </w:r>
            <w:r>
              <w:rPr>
                <w:rFonts w:ascii="宋体" w:hAnsi="宋体" w:cs="宋体" w:eastAsia="宋体" w:hint="default"/>
                <w:sz w:val="15"/>
                <w:szCs w:val="15"/>
              </w:rPr>
              <w:t>金股利或利</w:t>
            </w:r>
            <w:r>
              <w:rPr>
                <w:rFonts w:ascii="宋体" w:hAnsi="宋体" w:cs="宋体" w:eastAsia="宋体" w:hint="default"/>
                <w:w w:val="100"/>
                <w:sz w:val="15"/>
                <w:szCs w:val="15"/>
              </w:rPr>
              <w:t> </w:t>
            </w:r>
            <w:r>
              <w:rPr>
                <w:rFonts w:ascii="宋体" w:hAnsi="宋体" w:cs="宋体" w:eastAsia="宋体" w:hint="default"/>
                <w:sz w:val="15"/>
                <w:szCs w:val="15"/>
              </w:rPr>
              <w:t>润</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52" w:right="50"/>
              <w:jc w:val="left"/>
              <w:rPr>
                <w:rFonts w:ascii="宋体" w:hAnsi="宋体" w:cs="宋体" w:eastAsia="宋体" w:hint="default"/>
                <w:sz w:val="15"/>
                <w:szCs w:val="15"/>
              </w:rPr>
            </w:pPr>
            <w:r>
              <w:rPr>
                <w:rFonts w:ascii="宋体" w:hAnsi="宋体" w:cs="宋体" w:eastAsia="宋体" w:hint="default"/>
                <w:sz w:val="15"/>
                <w:szCs w:val="15"/>
              </w:rPr>
              <w:t>计提减</w:t>
            </w:r>
            <w:r>
              <w:rPr>
                <w:rFonts w:ascii="宋体" w:hAnsi="宋体" w:cs="宋体" w:eastAsia="宋体" w:hint="default"/>
                <w:spacing w:val="-72"/>
                <w:sz w:val="15"/>
                <w:szCs w:val="15"/>
              </w:rPr>
              <w:t> </w:t>
            </w:r>
            <w:r>
              <w:rPr>
                <w:rFonts w:ascii="宋体" w:hAnsi="宋体" w:cs="宋体" w:eastAsia="宋体" w:hint="default"/>
                <w:sz w:val="15"/>
                <w:szCs w:val="15"/>
              </w:rPr>
              <w:t>值准备</w:t>
            </w:r>
          </w:p>
        </w:tc>
        <w:tc>
          <w:tcPr>
            <w:tcW w:w="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381" w:lineRule="auto"/>
              <w:ind w:left="76" w:right="79"/>
              <w:jc w:val="left"/>
              <w:rPr>
                <w:rFonts w:ascii="宋体" w:hAnsi="宋体" w:cs="宋体" w:eastAsia="宋体" w:hint="default"/>
                <w:sz w:val="15"/>
                <w:szCs w:val="15"/>
              </w:rPr>
            </w:pPr>
            <w:r>
              <w:rPr>
                <w:rFonts w:ascii="宋体" w:hAnsi="宋体" w:cs="宋体" w:eastAsia="宋体" w:hint="default"/>
                <w:sz w:val="15"/>
                <w:szCs w:val="15"/>
              </w:rPr>
              <w:t>其</w:t>
            </w:r>
            <w:r>
              <w:rPr>
                <w:rFonts w:ascii="宋体" w:hAnsi="宋体" w:cs="宋体" w:eastAsia="宋体" w:hint="default"/>
                <w:w w:val="100"/>
                <w:sz w:val="15"/>
                <w:szCs w:val="15"/>
              </w:rPr>
              <w:t> </w:t>
            </w:r>
            <w:r>
              <w:rPr>
                <w:rFonts w:ascii="宋体" w:hAnsi="宋体" w:cs="宋体" w:eastAsia="宋体" w:hint="default"/>
                <w:sz w:val="15"/>
                <w:szCs w:val="15"/>
              </w:rPr>
              <w:t>他</w:t>
            </w:r>
          </w:p>
        </w:tc>
        <w:tc>
          <w:tcPr>
            <w:tcW w:w="1097" w:type="dxa"/>
            <w:vMerge/>
            <w:tcBorders>
              <w:left w:val="single" w:sz="4" w:space="0" w:color="000000"/>
              <w:bottom w:val="single" w:sz="4" w:space="0" w:color="000000"/>
              <w:right w:val="single" w:sz="4" w:space="0" w:color="000000"/>
            </w:tcBorders>
            <w:shd w:val="clear" w:color="auto" w:fill="D2D2D2"/>
          </w:tcPr>
          <w:p>
            <w:pPr/>
          </w:p>
        </w:tc>
        <w:tc>
          <w:tcPr>
            <w:tcW w:w="499" w:type="dxa"/>
            <w:vMerge/>
            <w:tcBorders>
              <w:left w:val="single" w:sz="4" w:space="0" w:color="000000"/>
              <w:bottom w:val="single" w:sz="4" w:space="0" w:color="000000"/>
              <w:right w:val="single" w:sz="4" w:space="0" w:color="000000"/>
            </w:tcBorders>
            <w:shd w:val="clear" w:color="auto" w:fill="D2D2D2"/>
          </w:tcPr>
          <w:p>
            <w:pPr/>
          </w:p>
        </w:tc>
      </w:tr>
      <w:tr>
        <w:trPr>
          <w:trHeight w:val="48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5"/>
              <w:ind w:left="24" w:right="0"/>
              <w:jc w:val="left"/>
              <w:rPr>
                <w:rFonts w:ascii="宋体" w:hAnsi="宋体" w:cs="宋体" w:eastAsia="宋体" w:hint="default"/>
                <w:sz w:val="15"/>
                <w:szCs w:val="15"/>
              </w:rPr>
            </w:pPr>
            <w:r>
              <w:rPr>
                <w:rFonts w:ascii="宋体" w:hAnsi="宋体" w:cs="宋体" w:eastAsia="宋体" w:hint="default"/>
                <w:sz w:val="15"/>
                <w:szCs w:val="15"/>
              </w:rPr>
              <w:t>一、合营企业</w:t>
            </w:r>
          </w:p>
        </w:tc>
      </w:tr>
      <w:tr>
        <w:trPr>
          <w:trHeight w:val="448"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0"/>
              <w:ind w:left="24" w:right="0"/>
              <w:jc w:val="left"/>
              <w:rPr>
                <w:rFonts w:ascii="宋体" w:hAnsi="宋体" w:cs="宋体" w:eastAsia="宋体" w:hint="default"/>
                <w:sz w:val="15"/>
                <w:szCs w:val="15"/>
              </w:rPr>
            </w:pPr>
            <w:r>
              <w:rPr>
                <w:rFonts w:ascii="宋体" w:hAnsi="宋体" w:cs="宋体" w:eastAsia="宋体" w:hint="default"/>
                <w:sz w:val="15"/>
                <w:szCs w:val="15"/>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158"/>
              <w:jc w:val="both"/>
              <w:rPr>
                <w:rFonts w:ascii="宋体" w:hAnsi="宋体" w:cs="宋体" w:eastAsia="宋体" w:hint="default"/>
                <w:sz w:val="15"/>
                <w:szCs w:val="15"/>
              </w:rPr>
            </w:pPr>
            <w:r>
              <w:rPr>
                <w:rFonts w:ascii="宋体" w:hAnsi="宋体" w:cs="宋体" w:eastAsia="宋体" w:hint="default"/>
                <w:sz w:val="15"/>
                <w:szCs w:val="15"/>
              </w:rPr>
              <w:t>苏州神州</w:t>
            </w:r>
            <w:r>
              <w:rPr>
                <w:rFonts w:ascii="宋体" w:hAnsi="宋体" w:cs="宋体" w:eastAsia="宋体" w:hint="default"/>
                <w:w w:val="100"/>
                <w:sz w:val="15"/>
                <w:szCs w:val="15"/>
              </w:rPr>
              <w:t> </w:t>
            </w:r>
            <w:r>
              <w:rPr>
                <w:rFonts w:ascii="宋体" w:hAnsi="宋体" w:cs="宋体" w:eastAsia="宋体" w:hint="default"/>
                <w:sz w:val="15"/>
                <w:szCs w:val="15"/>
              </w:rPr>
              <w:t>数码捷通</w:t>
            </w:r>
            <w:r>
              <w:rPr>
                <w:rFonts w:ascii="宋体" w:hAnsi="宋体" w:cs="宋体" w:eastAsia="宋体" w:hint="default"/>
                <w:w w:val="100"/>
                <w:sz w:val="15"/>
                <w:szCs w:val="15"/>
              </w:rPr>
              <w:t> </w:t>
            </w:r>
            <w:r>
              <w:rPr>
                <w:rFonts w:ascii="宋体" w:hAnsi="宋体" w:cs="宋体" w:eastAsia="宋体" w:hint="default"/>
                <w:sz w:val="15"/>
                <w:szCs w:val="15"/>
              </w:rPr>
              <w:t>科技有限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4,948,225.16</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2,814,815.88</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7,763,041.04</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158"/>
              <w:jc w:val="both"/>
              <w:rPr>
                <w:rFonts w:ascii="宋体" w:hAnsi="宋体" w:cs="宋体" w:eastAsia="宋体" w:hint="default"/>
                <w:sz w:val="15"/>
                <w:szCs w:val="15"/>
              </w:rPr>
            </w:pPr>
            <w:r>
              <w:rPr>
                <w:rFonts w:ascii="宋体" w:hAnsi="宋体" w:cs="宋体" w:eastAsia="宋体" w:hint="default"/>
                <w:sz w:val="15"/>
                <w:szCs w:val="15"/>
              </w:rPr>
              <w:t>平湖神州</w:t>
            </w:r>
            <w:r>
              <w:rPr>
                <w:rFonts w:ascii="宋体" w:hAnsi="宋体" w:cs="宋体" w:eastAsia="宋体" w:hint="default"/>
                <w:w w:val="100"/>
                <w:sz w:val="15"/>
                <w:szCs w:val="15"/>
              </w:rPr>
              <w:t> </w:t>
            </w:r>
            <w:r>
              <w:rPr>
                <w:rFonts w:ascii="宋体" w:hAnsi="宋体" w:cs="宋体" w:eastAsia="宋体" w:hint="default"/>
                <w:sz w:val="15"/>
                <w:szCs w:val="15"/>
              </w:rPr>
              <w:t>数码博海</w:t>
            </w:r>
            <w:r>
              <w:rPr>
                <w:rFonts w:ascii="宋体" w:hAnsi="宋体" w:cs="宋体" w:eastAsia="宋体" w:hint="default"/>
                <w:w w:val="100"/>
                <w:sz w:val="15"/>
                <w:szCs w:val="15"/>
              </w:rPr>
              <w:t> </w:t>
            </w:r>
            <w:r>
              <w:rPr>
                <w:rFonts w:ascii="宋体" w:hAnsi="宋体" w:cs="宋体" w:eastAsia="宋体" w:hint="default"/>
                <w:sz w:val="15"/>
                <w:szCs w:val="15"/>
              </w:rPr>
              <w:t>科技有限</w:t>
            </w:r>
            <w:r>
              <w:rPr>
                <w:rFonts w:ascii="宋体" w:hAnsi="宋体" w:cs="宋体" w:eastAsia="宋体" w:hint="default"/>
                <w:w w:val="100"/>
                <w:sz w:val="15"/>
                <w:szCs w:val="15"/>
              </w:rPr>
              <w:t> </w:t>
            </w:r>
            <w:r>
              <w:rPr>
                <w:rFonts w:ascii="宋体" w:hAnsi="宋体" w:cs="宋体" w:eastAsia="宋体" w:hint="default"/>
                <w:sz w:val="15"/>
                <w:szCs w:val="15"/>
              </w:rPr>
              <w:t>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2,937,095.06</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510,404.94</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3,447,500.00</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4"/>
              <w:ind w:left="24" w:right="158"/>
              <w:jc w:val="both"/>
              <w:rPr>
                <w:rFonts w:ascii="宋体" w:hAnsi="宋体" w:cs="宋体" w:eastAsia="宋体" w:hint="default"/>
                <w:sz w:val="15"/>
                <w:szCs w:val="15"/>
              </w:rPr>
            </w:pPr>
            <w:r>
              <w:rPr>
                <w:rFonts w:ascii="宋体" w:hAnsi="宋体" w:cs="宋体" w:eastAsia="宋体" w:hint="default"/>
                <w:sz w:val="15"/>
                <w:szCs w:val="15"/>
              </w:rPr>
              <w:t>鼎捷软件</w:t>
            </w:r>
            <w:r>
              <w:rPr>
                <w:rFonts w:ascii="宋体" w:hAnsi="宋体" w:cs="宋体" w:eastAsia="宋体" w:hint="default"/>
                <w:w w:val="100"/>
                <w:sz w:val="15"/>
                <w:szCs w:val="15"/>
              </w:rPr>
              <w:t> </w:t>
            </w:r>
            <w:r>
              <w:rPr>
                <w:rFonts w:ascii="宋体" w:hAnsi="宋体" w:cs="宋体" w:eastAsia="宋体" w:hint="default"/>
                <w:sz w:val="15"/>
                <w:szCs w:val="15"/>
              </w:rPr>
              <w:t>股份有限</w:t>
            </w:r>
            <w:r>
              <w:rPr>
                <w:rFonts w:ascii="宋体" w:hAnsi="宋体" w:cs="宋体" w:eastAsia="宋体" w:hint="default"/>
                <w:w w:val="100"/>
                <w:sz w:val="15"/>
                <w:szCs w:val="15"/>
              </w:rPr>
              <w:t> </w:t>
            </w:r>
            <w:r>
              <w:rPr>
                <w:rFonts w:ascii="宋体" w:hAnsi="宋体" w:cs="宋体" w:eastAsia="宋体" w:hint="default"/>
                <w:sz w:val="15"/>
                <w:szCs w:val="15"/>
              </w:rPr>
              <w:t>公司</w:t>
            </w:r>
          </w:p>
          <w:p>
            <w:pPr>
              <w:pStyle w:val="TableParagraph"/>
              <w:spacing w:line="240" w:lineRule="auto" w:before="27"/>
              <w:ind w:left="24" w:right="0"/>
              <w:jc w:val="both"/>
              <w:rPr>
                <w:rFonts w:ascii="宋体" w:hAnsi="宋体" w:cs="宋体" w:eastAsia="宋体" w:hint="default"/>
                <w:sz w:val="15"/>
                <w:szCs w:val="15"/>
              </w:rPr>
            </w:pPr>
            <w:r>
              <w:rPr>
                <w:rFonts w:ascii="宋体" w:hAnsi="宋体" w:cs="宋体" w:eastAsia="宋体" w:hint="default"/>
                <w:sz w:val="15"/>
                <w:szCs w:val="15"/>
              </w:rPr>
              <w:t>（注）</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379,133,855.61</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74" w:right="0"/>
              <w:jc w:val="center"/>
              <w:rPr>
                <w:rFonts w:ascii="Times New Roman" w:hAnsi="Times New Roman" w:cs="Times New Roman" w:eastAsia="Times New Roman" w:hint="default"/>
                <w:sz w:val="15"/>
                <w:szCs w:val="15"/>
              </w:rPr>
            </w:pPr>
            <w:r>
              <w:rPr>
                <w:rFonts w:ascii="Times New Roman"/>
                <w:sz w:val="15"/>
              </w:rPr>
              <w:t>45,900,008.16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16,457,467.13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1,537,667.02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-2,763,912.41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4,691,337.44</w:t>
            </w:r>
          </w:p>
        </w:tc>
        <w:tc>
          <w:tcPr>
            <w:tcW w:w="56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343,773,731.75</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79" w:lineRule="auto" w:before="74"/>
              <w:ind w:left="24" w:right="158"/>
              <w:jc w:val="both"/>
              <w:rPr>
                <w:rFonts w:ascii="宋体" w:hAnsi="宋体" w:cs="宋体" w:eastAsia="宋体" w:hint="default"/>
                <w:sz w:val="15"/>
                <w:szCs w:val="15"/>
              </w:rPr>
            </w:pPr>
            <w:r>
              <w:rPr>
                <w:rFonts w:ascii="宋体" w:hAnsi="宋体" w:cs="宋体" w:eastAsia="宋体" w:hint="default"/>
                <w:sz w:val="15"/>
                <w:szCs w:val="15"/>
              </w:rPr>
              <w:t>天津国科</w:t>
            </w:r>
            <w:r>
              <w:rPr>
                <w:rFonts w:ascii="宋体" w:hAnsi="宋体" w:cs="宋体" w:eastAsia="宋体" w:hint="default"/>
                <w:w w:val="100"/>
                <w:sz w:val="15"/>
                <w:szCs w:val="15"/>
              </w:rPr>
              <w:t> </w:t>
            </w:r>
            <w:r>
              <w:rPr>
                <w:rFonts w:ascii="宋体" w:hAnsi="宋体" w:cs="宋体" w:eastAsia="宋体" w:hint="default"/>
                <w:sz w:val="15"/>
                <w:szCs w:val="15"/>
              </w:rPr>
              <w:t>量子科技</w:t>
            </w:r>
            <w:r>
              <w:rPr>
                <w:rFonts w:ascii="宋体" w:hAnsi="宋体" w:cs="宋体" w:eastAsia="宋体" w:hint="default"/>
                <w:w w:val="100"/>
                <w:sz w:val="15"/>
                <w:szCs w:val="15"/>
              </w:rPr>
              <w:t> </w:t>
            </w:r>
            <w:r>
              <w:rPr>
                <w:rFonts w:ascii="宋体" w:hAnsi="宋体" w:cs="宋体" w:eastAsia="宋体" w:hint="default"/>
                <w:sz w:val="15"/>
                <w:szCs w:val="15"/>
              </w:rPr>
              <w:t>有限公司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2,644,956.50</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-323,485.13</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2,321,471.37</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460" w:left="980" w:right="0"/>
        </w:sectPr>
      </w:pPr>
    </w:p>
    <w:p>
      <w:pPr>
        <w:spacing w:line="240" w:lineRule="auto" w:before="6"/>
        <w:rPr>
          <w:rFonts w:ascii="宋体" w:hAnsi="宋体" w:cs="宋体" w:eastAsia="宋体" w:hint="default"/>
          <w:sz w:val="23"/>
          <w:szCs w:val="23"/>
        </w:rPr>
      </w:pPr>
    </w:p>
    <w:tbl>
      <w:tblPr>
        <w:tblW w:w="0" w:type="auto"/>
        <w:jc w:val="left"/>
        <w:tblInd w:w="165" w:type="dxa"/>
        <w:tblLayout w:type="fixed"/>
        <w:tblCellMar>
          <w:top w:w="0" w:type="dxa"/>
          <w:left w:w="0" w:type="dxa"/>
          <w:bottom w:w="0" w:type="dxa"/>
          <w:right w:w="0" w:type="dxa"/>
        </w:tblCellMar>
        <w:tblLook w:val="01E0"/>
      </w:tblPr>
      <w:tblGrid>
        <w:gridCol w:w="797"/>
        <w:gridCol w:w="1046"/>
        <w:gridCol w:w="567"/>
        <w:gridCol w:w="994"/>
        <w:gridCol w:w="992"/>
        <w:gridCol w:w="852"/>
        <w:gridCol w:w="991"/>
        <w:gridCol w:w="850"/>
        <w:gridCol w:w="569"/>
        <w:gridCol w:w="319"/>
        <w:gridCol w:w="1097"/>
        <w:gridCol w:w="499"/>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75"/>
              <w:ind w:left="24" w:right="158"/>
              <w:jc w:val="both"/>
              <w:rPr>
                <w:rFonts w:ascii="宋体" w:hAnsi="宋体" w:cs="宋体" w:eastAsia="宋体" w:hint="default"/>
                <w:sz w:val="15"/>
                <w:szCs w:val="15"/>
              </w:rPr>
            </w:pPr>
            <w:r>
              <w:rPr>
                <w:rFonts w:ascii="宋体" w:hAnsi="宋体" w:cs="宋体" w:eastAsia="宋体" w:hint="default"/>
                <w:sz w:val="15"/>
                <w:szCs w:val="15"/>
              </w:rPr>
              <w:t>神州数码</w:t>
            </w:r>
            <w:r>
              <w:rPr>
                <w:rFonts w:ascii="宋体" w:hAnsi="宋体" w:cs="宋体" w:eastAsia="宋体" w:hint="default"/>
                <w:w w:val="100"/>
                <w:sz w:val="15"/>
                <w:szCs w:val="15"/>
              </w:rPr>
              <w:t> </w:t>
            </w:r>
            <w:r>
              <w:rPr>
                <w:rFonts w:ascii="宋体" w:hAnsi="宋体" w:cs="宋体" w:eastAsia="宋体" w:hint="default"/>
                <w:sz w:val="15"/>
                <w:szCs w:val="15"/>
              </w:rPr>
              <w:t>融信云技</w:t>
            </w:r>
            <w:r>
              <w:rPr>
                <w:rFonts w:ascii="宋体" w:hAnsi="宋体" w:cs="宋体" w:eastAsia="宋体" w:hint="default"/>
                <w:w w:val="100"/>
                <w:sz w:val="15"/>
                <w:szCs w:val="15"/>
              </w:rPr>
              <w:t> </w:t>
            </w:r>
            <w:r>
              <w:rPr>
                <w:rFonts w:ascii="宋体" w:hAnsi="宋体" w:cs="宋体" w:eastAsia="宋体" w:hint="default"/>
                <w:sz w:val="15"/>
                <w:szCs w:val="15"/>
              </w:rPr>
              <w:t>术服务有</w:t>
            </w:r>
            <w:r>
              <w:rPr>
                <w:rFonts w:ascii="宋体" w:hAnsi="宋体" w:cs="宋体" w:eastAsia="宋体" w:hint="default"/>
                <w:w w:val="100"/>
                <w:sz w:val="15"/>
                <w:szCs w:val="15"/>
              </w:rPr>
              <w:t> </w:t>
            </w:r>
            <w:r>
              <w:rPr>
                <w:rFonts w:ascii="宋体" w:hAnsi="宋体" w:cs="宋体" w:eastAsia="宋体" w:hint="default"/>
                <w:sz w:val="15"/>
                <w:szCs w:val="15"/>
              </w:rPr>
              <w:t>限公司</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119,720,236.11</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151,658.39</w:t>
            </w:r>
          </w:p>
        </w:tc>
        <w:tc>
          <w:tcPr>
            <w:tcW w:w="85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2"/>
                <w:sz w:val="15"/>
              </w:rPr>
              <w:t>119,871,894.50</w:t>
            </w: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8"/>
              <w:ind w:left="24"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509,384,368.44</w:t>
            </w:r>
          </w:p>
        </w:tc>
        <w:tc>
          <w:tcPr>
            <w:tcW w:w="567"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98" w:right="0"/>
              <w:jc w:val="left"/>
              <w:rPr>
                <w:rFonts w:ascii="Times New Roman" w:hAnsi="Times New Roman" w:cs="Times New Roman" w:eastAsia="Times New Roman" w:hint="default"/>
                <w:sz w:val="15"/>
                <w:szCs w:val="15"/>
              </w:rPr>
            </w:pPr>
            <w:r>
              <w:rPr>
                <w:rFonts w:ascii="Times New Roman"/>
                <w:sz w:val="15"/>
              </w:rPr>
              <w:t>45,900,008.16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1"/>
              <w:jc w:val="right"/>
              <w:rPr>
                <w:rFonts w:ascii="Times New Roman" w:hAnsi="Times New Roman" w:cs="Times New Roman" w:eastAsia="Times New Roman" w:hint="default"/>
                <w:sz w:val="15"/>
                <w:szCs w:val="15"/>
              </w:rPr>
            </w:pPr>
            <w:r>
              <w:rPr>
                <w:rFonts w:ascii="Times New Roman"/>
                <w:spacing w:val="-1"/>
                <w:sz w:val="15"/>
              </w:rPr>
              <w:t>19,610,861.21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1,537,667.02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119" w:right="0"/>
              <w:jc w:val="left"/>
              <w:rPr>
                <w:rFonts w:ascii="Times New Roman" w:hAnsi="Times New Roman" w:cs="Times New Roman" w:eastAsia="Times New Roman" w:hint="default"/>
                <w:sz w:val="15"/>
                <w:szCs w:val="15"/>
              </w:rPr>
            </w:pPr>
            <w:r>
              <w:rPr>
                <w:rFonts w:ascii="Times New Roman"/>
                <w:sz w:val="15"/>
              </w:rPr>
              <w:t>-2,763,912.41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left="31" w:right="0"/>
              <w:jc w:val="left"/>
              <w:rPr>
                <w:rFonts w:ascii="Times New Roman" w:hAnsi="Times New Roman" w:cs="Times New Roman" w:eastAsia="Times New Roman" w:hint="default"/>
                <w:sz w:val="15"/>
                <w:szCs w:val="15"/>
              </w:rPr>
            </w:pPr>
            <w:r>
              <w:rPr>
                <w:rFonts w:ascii="Times New Roman"/>
                <w:sz w:val="15"/>
              </w:rPr>
              <w:t>4,691,337.44</w:t>
            </w:r>
          </w:p>
        </w:tc>
        <w:tc>
          <w:tcPr>
            <w:tcW w:w="569" w:type="dxa"/>
            <w:tcBorders>
              <w:top w:val="single" w:sz="4" w:space="0" w:color="000000"/>
              <w:left w:val="single" w:sz="4" w:space="0" w:color="000000"/>
              <w:bottom w:val="single" w:sz="4" w:space="0" w:color="000000"/>
              <w:right w:val="single" w:sz="4" w:space="0" w:color="000000"/>
            </w:tcBorders>
          </w:tcPr>
          <w:p>
            <w:pPr/>
          </w:p>
        </w:tc>
        <w:tc>
          <w:tcPr>
            <w:tcW w:w="319"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0"/>
                <w:szCs w:val="10"/>
              </w:rPr>
            </w:pPr>
          </w:p>
          <w:p>
            <w:pPr>
              <w:pStyle w:val="TableParagraph"/>
              <w:spacing w:line="240" w:lineRule="auto"/>
              <w:ind w:right="23"/>
              <w:jc w:val="right"/>
              <w:rPr>
                <w:rFonts w:ascii="Times New Roman" w:hAnsi="Times New Roman" w:cs="Times New Roman" w:eastAsia="Times New Roman" w:hint="default"/>
                <w:sz w:val="15"/>
                <w:szCs w:val="15"/>
              </w:rPr>
            </w:pPr>
            <w:r>
              <w:rPr>
                <w:rFonts w:ascii="Times New Roman"/>
                <w:spacing w:val="-1"/>
                <w:sz w:val="15"/>
              </w:rPr>
              <w:t>477,177,638.66</w:t>
            </w:r>
          </w:p>
        </w:tc>
        <w:tc>
          <w:tcPr>
            <w:tcW w:w="4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5"/>
          <w:szCs w:val="15"/>
        </w:rPr>
      </w:pPr>
    </w:p>
    <w:p>
      <w:pPr>
        <w:pStyle w:val="BodyText"/>
        <w:spacing w:line="300" w:lineRule="auto" w:before="44"/>
        <w:ind w:right="1130" w:firstLine="439"/>
        <w:jc w:val="both"/>
      </w:pPr>
      <w:r>
        <w:rPr/>
        <w:t>注：本公司下属子公司 </w:t>
      </w:r>
      <w:r>
        <w:rPr>
          <w:rFonts w:ascii="Times New Roman" w:hAnsi="Times New Roman" w:cs="Times New Roman" w:eastAsia="Times New Roman" w:hint="default"/>
        </w:rPr>
        <w:t>Digital China Software (BVI)</w:t>
      </w:r>
      <w:r>
        <w:rPr>
          <w:rFonts w:ascii="Times New Roman" w:hAnsi="Times New Roman" w:cs="Times New Roman" w:eastAsia="Times New Roman" w:hint="default"/>
          <w:spacing w:val="39"/>
        </w:rPr>
        <w:t> </w:t>
      </w:r>
      <w:r>
        <w:rPr>
          <w:rFonts w:ascii="Times New Roman" w:hAnsi="Times New Roman" w:cs="Times New Roman" w:eastAsia="Times New Roman" w:hint="default"/>
        </w:rPr>
        <w:t>Limited</w:t>
      </w:r>
      <w:r>
        <w:rPr/>
        <w:t>原持有鼎捷软件股份有限公司（以下简称“鼎捷软件”） 股票</w:t>
      </w:r>
      <w:r>
        <w:rPr>
          <w:rFonts w:ascii="Times New Roman" w:hAnsi="Times New Roman" w:cs="Times New Roman" w:eastAsia="Times New Roman" w:hint="default"/>
        </w:rPr>
        <w:t>4,672.76</w:t>
      </w:r>
      <w:r>
        <w:rPr/>
        <w:t>万股，持股比例为</w:t>
      </w:r>
      <w:r>
        <w:rPr>
          <w:rFonts w:ascii="Times New Roman" w:hAnsi="Times New Roman" w:cs="Times New Roman" w:eastAsia="Times New Roman" w:hint="default"/>
        </w:rPr>
        <w:t>17.66%</w:t>
      </w:r>
      <w:r>
        <w:rPr/>
        <w:t>，本年</w:t>
      </w:r>
      <w:r>
        <w:rPr>
          <w:rFonts w:ascii="Times New Roman" w:hAnsi="Times New Roman" w:cs="Times New Roman" w:eastAsia="Times New Roman" w:hint="default"/>
        </w:rPr>
        <w:t>Digital</w:t>
      </w:r>
      <w:r>
        <w:rPr>
          <w:rFonts w:ascii="Times New Roman" w:hAnsi="Times New Roman" w:cs="Times New Roman" w:eastAsia="Times New Roman" w:hint="default"/>
          <w:spacing w:val="-19"/>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21"/>
        </w:rPr>
        <w:t> </w:t>
      </w:r>
      <w:r>
        <w:rPr>
          <w:rFonts w:ascii="Times New Roman" w:hAnsi="Times New Roman" w:cs="Times New Roman" w:eastAsia="Times New Roman" w:hint="default"/>
        </w:rPr>
        <w:t>Software</w:t>
      </w:r>
      <w:r>
        <w:rPr>
          <w:rFonts w:ascii="Times New Roman" w:hAnsi="Times New Roman" w:cs="Times New Roman" w:eastAsia="Times New Roman" w:hint="default"/>
          <w:spacing w:val="-21"/>
        </w:rPr>
        <w:t> </w:t>
      </w:r>
      <w:r>
        <w:rPr>
          <w:rFonts w:ascii="Times New Roman" w:hAnsi="Times New Roman" w:cs="Times New Roman" w:eastAsia="Times New Roman" w:hint="default"/>
        </w:rPr>
        <w:t>(BVI)</w:t>
      </w:r>
      <w:r>
        <w:rPr>
          <w:rFonts w:ascii="Times New Roman" w:hAnsi="Times New Roman" w:cs="Times New Roman" w:eastAsia="Times New Roman" w:hint="default"/>
          <w:spacing w:val="-20"/>
        </w:rPr>
        <w:t> </w:t>
      </w:r>
      <w:r>
        <w:rPr>
          <w:rFonts w:ascii="Times New Roman" w:hAnsi="Times New Roman" w:cs="Times New Roman" w:eastAsia="Times New Roman" w:hint="default"/>
        </w:rPr>
        <w:t>Limited</w:t>
      </w:r>
      <w:r>
        <w:rPr/>
        <w:t>通过深圳证券交易所集中竞价交易系统累计 </w:t>
      </w:r>
      <w:r>
        <w:rPr>
          <w:spacing w:val="-6"/>
          <w:w w:val="99"/>
        </w:rPr>
        <w:t>出售鼎捷软件股票</w:t>
      </w:r>
      <w:r>
        <w:rPr>
          <w:rFonts w:ascii="Times New Roman" w:hAnsi="Times New Roman" w:cs="Times New Roman" w:eastAsia="Times New Roman" w:hint="default"/>
          <w:spacing w:val="-6"/>
          <w:w w:val="99"/>
        </w:rPr>
        <w:t>565.63</w:t>
      </w:r>
      <w:r>
        <w:rPr>
          <w:spacing w:val="-6"/>
          <w:w w:val="99"/>
        </w:rPr>
        <w:t>万股，截至</w:t>
      </w:r>
      <w:r>
        <w:rPr>
          <w:rFonts w:ascii="Times New Roman" w:hAnsi="Times New Roman" w:cs="Times New Roman" w:eastAsia="Times New Roman" w:hint="default"/>
          <w:spacing w:val="-6"/>
          <w:w w:val="99"/>
        </w:rPr>
        <w:t>2019</w:t>
      </w:r>
      <w:r>
        <w:rPr>
          <w:spacing w:val="-6"/>
          <w:w w:val="99"/>
        </w:rPr>
        <w:t>年</w:t>
      </w:r>
      <w:r>
        <w:rPr>
          <w:rFonts w:ascii="Times New Roman" w:hAnsi="Times New Roman" w:cs="Times New Roman" w:eastAsia="Times New Roman" w:hint="default"/>
          <w:spacing w:val="-6"/>
          <w:w w:val="99"/>
        </w:rPr>
        <w:t>12</w:t>
      </w:r>
      <w:r>
        <w:rPr>
          <w:spacing w:val="-6"/>
          <w:w w:val="99"/>
        </w:rPr>
        <w:t>月</w:t>
      </w:r>
      <w:r>
        <w:rPr>
          <w:rFonts w:ascii="Times New Roman" w:hAnsi="Times New Roman" w:cs="Times New Roman" w:eastAsia="Times New Roman" w:hint="default"/>
          <w:spacing w:val="-6"/>
          <w:w w:val="99"/>
        </w:rPr>
        <w:t>31</w:t>
      </w:r>
      <w:r>
        <w:rPr>
          <w:spacing w:val="-6"/>
          <w:w w:val="99"/>
        </w:rPr>
        <w:t>日，尚持有其股票</w:t>
      </w:r>
      <w:r>
        <w:rPr>
          <w:rFonts w:ascii="Times New Roman" w:hAnsi="Times New Roman" w:cs="Times New Roman" w:eastAsia="Times New Roman" w:hint="default"/>
          <w:spacing w:val="-6"/>
          <w:w w:val="99"/>
        </w:rPr>
        <w:t>4,107.13</w:t>
      </w:r>
      <w:r>
        <w:rPr>
          <w:spacing w:val="-6"/>
          <w:w w:val="99"/>
        </w:rPr>
        <w:t>万股，持股比例为</w:t>
      </w:r>
      <w:r>
        <w:rPr>
          <w:rFonts w:ascii="Times New Roman" w:hAnsi="Times New Roman" w:cs="Times New Roman" w:eastAsia="Times New Roman" w:hint="default"/>
          <w:spacing w:val="-6"/>
          <w:w w:val="99"/>
        </w:rPr>
        <w:t>15.44%</w:t>
      </w:r>
      <w:r>
        <w:rPr>
          <w:spacing w:val="-6"/>
          <w:w w:val="99"/>
        </w:rPr>
        <w:t>。因</w:t>
      </w:r>
      <w:r>
        <w:rPr>
          <w:rFonts w:ascii="Times New Roman" w:hAnsi="Times New Roman" w:cs="Times New Roman" w:eastAsia="Times New Roman" w:hint="default"/>
          <w:spacing w:val="-6"/>
          <w:w w:val="99"/>
        </w:rPr>
        <w:t>Digital</w:t>
      </w:r>
      <w:r>
        <w:rPr>
          <w:rFonts w:ascii="Times New Roman" w:hAnsi="Times New Roman" w:cs="Times New Roman" w:eastAsia="Times New Roman" w:hint="default"/>
          <w:w w:val="99"/>
        </w:rPr>
        <w:t> </w:t>
      </w:r>
      <w:r>
        <w:rPr>
          <w:rFonts w:ascii="Times New Roman" w:hAnsi="Times New Roman" w:cs="Times New Roman" w:eastAsia="Times New Roman" w:hint="default"/>
        </w:rPr>
        <w:t>China </w:t>
      </w:r>
      <w:r>
        <w:rPr>
          <w:rFonts w:ascii="Times New Roman" w:hAnsi="Times New Roman" w:cs="Times New Roman" w:eastAsia="Times New Roman" w:hint="default"/>
          <w:spacing w:val="-1"/>
          <w:w w:val="99"/>
        </w:rPr>
        <w:t>Software</w:t>
      </w:r>
      <w:r>
        <w:rPr>
          <w:rFonts w:ascii="Times New Roman" w:hAnsi="Times New Roman" w:cs="Times New Roman" w:eastAsia="Times New Roman" w:hint="default"/>
          <w:spacing w:val="-22"/>
          <w:w w:val="99"/>
        </w:rPr>
        <w:t> </w:t>
      </w:r>
      <w:r>
        <w:rPr>
          <w:rFonts w:ascii="Times New Roman" w:hAnsi="Times New Roman" w:cs="Times New Roman" w:eastAsia="Times New Roman" w:hint="default"/>
          <w:spacing w:val="-22"/>
          <w:w w:val="99"/>
        </w:rPr>
      </w:r>
      <w:r>
        <w:rPr>
          <w:rFonts w:ascii="Times New Roman" w:hAnsi="Times New Roman" w:cs="Times New Roman" w:eastAsia="Times New Roman" w:hint="default"/>
        </w:rPr>
        <w:t>(BVI)</w:t>
      </w:r>
      <w:r>
        <w:rPr>
          <w:rFonts w:ascii="Times New Roman" w:hAnsi="Times New Roman" w:cs="Times New Roman" w:eastAsia="Times New Roman" w:hint="default"/>
          <w:spacing w:val="-5"/>
        </w:rPr>
        <w:t> </w:t>
      </w:r>
      <w:r>
        <w:rPr>
          <w:rFonts w:ascii="Times New Roman" w:hAnsi="Times New Roman" w:cs="Times New Roman" w:eastAsia="Times New Roman" w:hint="default"/>
        </w:rPr>
        <w:t>Limited</w:t>
      </w:r>
      <w:r>
        <w:rPr/>
        <w:t>在鼎捷软件派驻的董事未发生变化，对鼎捷软件仍有重大影响，故对鼎捷软件仍按权益法进行核算。</w:t>
      </w:r>
    </w:p>
    <w:p>
      <w:pPr>
        <w:spacing w:line="240" w:lineRule="auto" w:before="5"/>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10</w:t>
      </w:r>
      <w:r>
        <w:rPr/>
        <w:t>、其他权益工具投资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734"/>
        <w:gridCol w:w="2417"/>
        <w:gridCol w:w="2420"/>
      </w:tblGrid>
      <w:tr>
        <w:trPr>
          <w:trHeight w:val="450" w:hRule="exact"/>
        </w:trPr>
        <w:tc>
          <w:tcPr>
            <w:tcW w:w="4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4734"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天津君联林海企业管理咨询合伙企业（有限合伙）（注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2417"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61,689,435.00</w:t>
            </w:r>
          </w:p>
        </w:tc>
        <w:tc>
          <w:tcPr>
            <w:tcW w:w="242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78,007,493.00</w:t>
            </w:r>
          </w:p>
        </w:tc>
      </w:tr>
      <w:tr>
        <w:trPr>
          <w:trHeight w:val="463"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北京柘量投资中心（有限合伙）（注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39,358,940.00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27,487,585.00</w:t>
            </w:r>
          </w:p>
        </w:tc>
      </w:tr>
      <w:tr>
        <w:trPr>
          <w:trHeight w:val="466"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北京柘益投资中心（有限合伙）（注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11,225,837.00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9,876,386.16</w:t>
            </w:r>
          </w:p>
        </w:tc>
      </w:tr>
      <w:tr>
        <w:trPr>
          <w:trHeight w:val="463"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天津神州数码信息科技服务有限公司（注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63" w:hRule="exact"/>
        </w:trPr>
        <w:tc>
          <w:tcPr>
            <w:tcW w:w="4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北京聚源汇鑫科技发展中心（有限合伙）（注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66" w:hRule="exact"/>
        </w:trPr>
        <w:tc>
          <w:tcPr>
            <w:tcW w:w="4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113,274,212.00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116,371,464.16</w:t>
            </w:r>
          </w:p>
        </w:tc>
      </w:tr>
    </w:tbl>
    <w:p>
      <w:pPr>
        <w:pStyle w:val="BodyText"/>
        <w:spacing w:line="300" w:lineRule="auto" w:before="49"/>
        <w:ind w:right="1128" w:firstLine="360"/>
        <w:jc w:val="both"/>
      </w:pPr>
      <w:r>
        <w:rPr/>
        <w:t>注</w:t>
      </w:r>
      <w:r>
        <w:rPr>
          <w:rFonts w:ascii="Times New Roman" w:hAnsi="Times New Roman" w:cs="Times New Roman" w:eastAsia="Times New Roman" w:hint="default"/>
        </w:rPr>
        <w:t>1</w:t>
      </w:r>
      <w:r>
        <w:rPr/>
        <w:t>：天津君联林海企业管理咨询合伙企业（有限合伙）为本公司</w:t>
      </w:r>
      <w:r>
        <w:rPr>
          <w:rFonts w:ascii="Times New Roman" w:hAnsi="Times New Roman" w:cs="Times New Roman" w:eastAsia="Times New Roman" w:hint="default"/>
        </w:rPr>
        <w:t>2016</w:t>
      </w:r>
      <w:r>
        <w:rPr/>
        <w:t>年新增的投资项目，根据有限合伙协议，本公司 </w:t>
      </w:r>
      <w:r>
        <w:rPr>
          <w:rFonts w:ascii="Times New Roman" w:hAnsi="Times New Roman" w:cs="Times New Roman" w:eastAsia="Times New Roman" w:hint="default"/>
          <w:spacing w:val="-1"/>
        </w:rPr>
        <w:t>2016</w:t>
      </w:r>
      <w:r>
        <w:rPr>
          <w:spacing w:val="-1"/>
        </w:rPr>
        <w:t>年缴纳出资额</w:t>
      </w:r>
      <w:r>
        <w:rPr>
          <w:rFonts w:ascii="Times New Roman" w:hAnsi="Times New Roman" w:cs="Times New Roman" w:eastAsia="Times New Roman" w:hint="default"/>
          <w:spacing w:val="-1"/>
        </w:rPr>
        <w:t>37,522,500.00</w:t>
      </w:r>
      <w:r>
        <w:rPr>
          <w:spacing w:val="-1"/>
        </w:rPr>
        <w:t>元。本公司为该合伙企业非执行事务的有限合伙人，根据合伙协议，执行事务合伙人对合伙</w:t>
      </w:r>
      <w:r>
        <w:rPr>
          <w:spacing w:val="-74"/>
        </w:rPr>
        <w:t> </w:t>
      </w:r>
      <w:r>
        <w:rPr>
          <w:spacing w:val="-74"/>
        </w:rPr>
      </w:r>
      <w:r>
        <w:rPr/>
        <w:t>事务享有全部管理权和支配权，其他合伙人不再执行合伙企业事务，故本公司持股比例虽然超过</w:t>
      </w:r>
      <w:r>
        <w:rPr>
          <w:rFonts w:ascii="Times New Roman" w:hAnsi="Times New Roman" w:cs="Times New Roman" w:eastAsia="Times New Roman" w:hint="default"/>
        </w:rPr>
        <w:t>20.00%</w:t>
      </w:r>
      <w:r>
        <w:rPr/>
        <w:t>，但无重大影响。</w:t>
      </w:r>
      <w:r>
        <w:rPr>
          <w:spacing w:val="-15"/>
        </w:rPr>
        <w:t> </w:t>
      </w:r>
      <w:r>
        <w:rPr>
          <w:spacing w:val="-15"/>
        </w:rPr>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日执行新金融工具准则，天津君联林海企业管理咨询合伙企业（有限合伙）按公允价值计量金额为</w:t>
      </w:r>
      <w:r>
        <w:rPr>
          <w:rFonts w:ascii="Times New Roman" w:hAnsi="Times New Roman" w:cs="Times New Roman" w:eastAsia="Times New Roman" w:hint="default"/>
          <w:spacing w:val="-1"/>
        </w:rPr>
        <w:t>78,007,493.00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元，本年公允价值变动金额</w:t>
      </w:r>
      <w:r>
        <w:rPr>
          <w:rFonts w:ascii="Times New Roman" w:hAnsi="Times New Roman" w:cs="Times New Roman" w:eastAsia="Times New Roman" w:hint="default"/>
        </w:rPr>
        <w:t>-16,318,058.00</w:t>
      </w:r>
      <w:r>
        <w:rPr/>
        <w:t>元。</w:t>
      </w:r>
    </w:p>
    <w:p>
      <w:pPr>
        <w:pStyle w:val="BodyText"/>
        <w:spacing w:line="304" w:lineRule="auto" w:before="53"/>
        <w:ind w:right="1126" w:firstLine="360"/>
        <w:jc w:val="both"/>
      </w:pPr>
      <w:r>
        <w:rPr/>
        <w:t>注</w:t>
      </w:r>
      <w:r>
        <w:rPr>
          <w:rFonts w:ascii="Times New Roman" w:hAnsi="Times New Roman" w:cs="Times New Roman" w:eastAsia="Times New Roman" w:hint="default"/>
        </w:rPr>
        <w:t>2</w:t>
      </w:r>
      <w:r>
        <w:rPr/>
        <w:t>：北京柘量投资中心（有限合伙）系本公司于</w:t>
      </w:r>
      <w:r>
        <w:rPr>
          <w:rFonts w:ascii="Times New Roman" w:hAnsi="Times New Roman" w:cs="Times New Roman" w:eastAsia="Times New Roman" w:hint="default"/>
        </w:rPr>
        <w:t>2016</w:t>
      </w:r>
      <w:r>
        <w:rPr/>
        <w:t>年参与出资设立的有限合伙企业，根据合伙协议，本公司</w:t>
      </w:r>
      <w:r>
        <w:rPr>
          <w:rFonts w:ascii="Times New Roman" w:hAnsi="Times New Roman" w:cs="Times New Roman" w:eastAsia="Times New Roman" w:hint="default"/>
        </w:rPr>
        <w:t>2016</w:t>
      </w:r>
      <w:r>
        <w:rPr/>
        <w:t>年 缴纳出资</w:t>
      </w:r>
      <w:r>
        <w:rPr>
          <w:rFonts w:ascii="Times New Roman" w:hAnsi="Times New Roman" w:cs="Times New Roman" w:eastAsia="Times New Roman" w:hint="default"/>
        </w:rPr>
        <w:t>25,000,000.00</w:t>
      </w:r>
      <w:r>
        <w:rPr/>
        <w:t>元，</w:t>
      </w:r>
      <w:r>
        <w:rPr>
          <w:rFonts w:ascii="Times New Roman" w:hAnsi="Times New Roman" w:cs="Times New Roman" w:eastAsia="Times New Roman" w:hint="default"/>
        </w:rPr>
        <w:t>2017</w:t>
      </w:r>
      <w:r>
        <w:rPr/>
        <w:t>年支付第二期出资款</w:t>
      </w:r>
      <w:r>
        <w:rPr>
          <w:rFonts w:ascii="Times New Roman" w:hAnsi="Times New Roman" w:cs="Times New Roman" w:eastAsia="Times New Roman" w:hint="default"/>
        </w:rPr>
        <w:t>25,000,000.00</w:t>
      </w:r>
      <w:r>
        <w:rPr/>
        <w:t>元。本公司为该合伙企业非执行事务的有限合伙人，根据 </w:t>
      </w:r>
      <w:r>
        <w:rPr>
          <w:spacing w:val="-2"/>
        </w:rPr>
        <w:t>合伙协议，执行事务合伙人对合伙事务享有全部管理权和支配权，其他合伙人不再执行合伙企业事务，故本公司持股比例虽</w:t>
      </w:r>
      <w:r>
        <w:rPr>
          <w:spacing w:val="-63"/>
        </w:rPr>
        <w:t> </w:t>
      </w:r>
      <w:r>
        <w:rPr>
          <w:spacing w:val="-63"/>
        </w:rPr>
      </w:r>
      <w:r>
        <w:rPr>
          <w:spacing w:val="-2"/>
        </w:rPr>
        <w:t>然超过</w:t>
      </w:r>
      <w:r>
        <w:rPr>
          <w:rFonts w:ascii="Times New Roman" w:hAnsi="Times New Roman" w:cs="Times New Roman" w:eastAsia="Times New Roman" w:hint="default"/>
          <w:spacing w:val="-2"/>
        </w:rPr>
        <w:t>20.00%</w:t>
      </w:r>
      <w:r>
        <w:rPr>
          <w:spacing w:val="-2"/>
        </w:rPr>
        <w:t>，但无重大影响。</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日执行新金融工具准则，北京柘量投资中心（有限合伙）按公允价值计量金额为</w:t>
      </w:r>
      <w:r>
        <w:rPr>
          <w:spacing w:val="-74"/>
        </w:rPr>
        <w:t> </w:t>
      </w:r>
      <w:r>
        <w:rPr>
          <w:spacing w:val="-74"/>
        </w:rPr>
      </w:r>
      <w:r>
        <w:rPr>
          <w:rFonts w:ascii="Times New Roman" w:hAnsi="Times New Roman" w:cs="Times New Roman" w:eastAsia="Times New Roman" w:hint="default"/>
        </w:rPr>
        <w:t>27,487,585.00</w:t>
      </w:r>
      <w:r>
        <w:rPr/>
        <w:t>元，本年公允价值变动金额为</w:t>
      </w:r>
      <w:r>
        <w:rPr>
          <w:rFonts w:ascii="Times New Roman" w:hAnsi="Times New Roman" w:cs="Times New Roman" w:eastAsia="Times New Roman" w:hint="default"/>
        </w:rPr>
        <w:t>11,871,355.00</w:t>
      </w:r>
      <w:r>
        <w:rPr/>
        <w:t>元。</w:t>
      </w:r>
    </w:p>
    <w:p>
      <w:pPr>
        <w:pStyle w:val="BodyText"/>
        <w:spacing w:line="300" w:lineRule="auto" w:before="50"/>
        <w:ind w:right="1126" w:firstLine="360"/>
        <w:jc w:val="both"/>
      </w:pPr>
      <w:r>
        <w:rPr/>
        <w:t>注</w:t>
      </w:r>
      <w:r>
        <w:rPr>
          <w:rFonts w:ascii="Times New Roman" w:hAnsi="Times New Roman" w:cs="Times New Roman" w:eastAsia="Times New Roman" w:hint="default"/>
        </w:rPr>
        <w:t>3</w:t>
      </w:r>
      <w:r>
        <w:rPr/>
        <w:t>：北京柘益投资中心（有限合伙）系本公司于</w:t>
      </w:r>
      <w:r>
        <w:rPr>
          <w:rFonts w:ascii="Times New Roman" w:hAnsi="Times New Roman" w:cs="Times New Roman" w:eastAsia="Times New Roman" w:hint="default"/>
        </w:rPr>
        <w:t>2014</w:t>
      </w:r>
      <w:r>
        <w:rPr/>
        <w:t>年参与出资设立的有限合伙企业，根据合伙协议，本公司</w:t>
      </w:r>
      <w:r>
        <w:rPr>
          <w:rFonts w:ascii="Times New Roman" w:hAnsi="Times New Roman" w:cs="Times New Roman" w:eastAsia="Times New Roman" w:hint="default"/>
        </w:rPr>
        <w:t>2014</w:t>
      </w:r>
      <w:r>
        <w:rPr/>
        <w:t>年 </w:t>
      </w:r>
      <w:r>
        <w:rPr>
          <w:spacing w:val="-2"/>
        </w:rPr>
        <w:t>缴纳出资额</w:t>
      </w:r>
      <w:r>
        <w:rPr>
          <w:rFonts w:ascii="Times New Roman" w:hAnsi="Times New Roman" w:cs="Times New Roman" w:eastAsia="Times New Roman" w:hint="default"/>
          <w:spacing w:val="-2"/>
        </w:rPr>
        <w:t>25,000,000.00</w:t>
      </w:r>
      <w:r>
        <w:rPr>
          <w:spacing w:val="-2"/>
        </w:rPr>
        <w:t>元，</w:t>
      </w:r>
      <w:r>
        <w:rPr>
          <w:rFonts w:ascii="Times New Roman" w:hAnsi="Times New Roman" w:cs="Times New Roman" w:eastAsia="Times New Roman" w:hint="default"/>
          <w:spacing w:val="-2"/>
        </w:rPr>
        <w:t>2015</w:t>
      </w:r>
      <w:r>
        <w:rPr>
          <w:spacing w:val="-2"/>
        </w:rPr>
        <w:t>年支付剩余出资额</w:t>
      </w:r>
      <w:r>
        <w:rPr>
          <w:rFonts w:ascii="Times New Roman" w:hAnsi="Times New Roman" w:cs="Times New Roman" w:eastAsia="Times New Roman" w:hint="default"/>
          <w:spacing w:val="-2"/>
        </w:rPr>
        <w:t>25,000,000.00</w:t>
      </w:r>
      <w:r>
        <w:rPr>
          <w:spacing w:val="-2"/>
        </w:rPr>
        <w:t>元，</w:t>
      </w:r>
      <w:r>
        <w:rPr>
          <w:rFonts w:ascii="Times New Roman" w:hAnsi="Times New Roman" w:cs="Times New Roman" w:eastAsia="Times New Roman" w:hint="default"/>
          <w:spacing w:val="-2"/>
        </w:rPr>
        <w:t>2015</w:t>
      </w:r>
      <w:r>
        <w:rPr>
          <w:spacing w:val="-2"/>
        </w:rPr>
        <w:t>年收回投资本金</w:t>
      </w:r>
      <w:r>
        <w:rPr>
          <w:rFonts w:ascii="Times New Roman" w:hAnsi="Times New Roman" w:cs="Times New Roman" w:eastAsia="Times New Roman" w:hint="default"/>
          <w:spacing w:val="-2"/>
        </w:rPr>
        <w:t>17,100,555.55</w:t>
      </w:r>
      <w:r>
        <w:rPr>
          <w:spacing w:val="-2"/>
        </w:rPr>
        <w:t>元，</w:t>
      </w:r>
      <w:r>
        <w:rPr>
          <w:rFonts w:ascii="Times New Roman" w:hAnsi="Times New Roman" w:cs="Times New Roman" w:eastAsia="Times New Roman" w:hint="default"/>
          <w:spacing w:val="-2"/>
        </w:rPr>
        <w:t>2016</w:t>
      </w:r>
      <w:r>
        <w:rPr>
          <w:spacing w:val="-2"/>
        </w:rPr>
        <w:t>年收回投资</w:t>
      </w:r>
      <w:r>
        <w:rPr>
          <w:spacing w:val="-68"/>
        </w:rPr>
        <w:t> </w:t>
      </w:r>
      <w:r>
        <w:rPr/>
        <w:t>本金</w:t>
      </w:r>
      <w:r>
        <w:rPr>
          <w:rFonts w:ascii="Times New Roman" w:hAnsi="Times New Roman" w:cs="Times New Roman" w:eastAsia="Times New Roman" w:hint="default"/>
        </w:rPr>
        <w:t>7,378,314.09</w:t>
      </w:r>
      <w:r>
        <w:rPr/>
        <w:t>元，</w:t>
      </w:r>
      <w:r>
        <w:rPr>
          <w:rFonts w:ascii="Times New Roman" w:hAnsi="Times New Roman" w:cs="Times New Roman" w:eastAsia="Times New Roman" w:hint="default"/>
        </w:rPr>
        <w:t>2017</w:t>
      </w:r>
      <w:r>
        <w:rPr/>
        <w:t>年收回投资本金</w:t>
      </w:r>
      <w:r>
        <w:rPr>
          <w:rFonts w:ascii="Times New Roman" w:hAnsi="Times New Roman" w:cs="Times New Roman" w:eastAsia="Times New Roman" w:hint="default"/>
        </w:rPr>
        <w:t>3,708,933.04</w:t>
      </w:r>
      <w:r>
        <w:rPr/>
        <w:t>元。本公司为该合伙企业非执行事务的有限合伙人，根据合伙协议， </w:t>
      </w:r>
      <w:r>
        <w:rPr>
          <w:spacing w:val="-2"/>
        </w:rPr>
        <w:t>执行事务合伙人对合伙事务享有全部管理权和支配权，其他合伙人不再执行合伙企业事务，本公司持股比例为</w:t>
      </w:r>
      <w:r>
        <w:rPr>
          <w:rFonts w:ascii="Times New Roman" w:hAnsi="Times New Roman" w:cs="Times New Roman" w:eastAsia="Times New Roman" w:hint="default"/>
          <w:spacing w:val="-2"/>
        </w:rPr>
        <w:t>18.52%</w:t>
      </w:r>
      <w:r>
        <w:rPr>
          <w:spacing w:val="-2"/>
        </w:rPr>
        <w:t>，无重</w:t>
      </w:r>
      <w:r>
        <w:rPr>
          <w:spacing w:val="-76"/>
        </w:rPr>
        <w:t> </w:t>
      </w:r>
      <w:r>
        <w:rPr>
          <w:spacing w:val="-76"/>
        </w:rPr>
      </w:r>
      <w:r>
        <w:rPr>
          <w:spacing w:val="-3"/>
        </w:rPr>
        <w:t>大影响。</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日执行新准则，北京柘益投资中心（有限合伙）按公允价值计量金额为</w:t>
      </w:r>
      <w:r>
        <w:rPr>
          <w:rFonts w:ascii="Times New Roman" w:hAnsi="Times New Roman" w:cs="Times New Roman" w:eastAsia="Times New Roman" w:hint="default"/>
          <w:spacing w:val="-3"/>
        </w:rPr>
        <w:t>9,876,386.16</w:t>
      </w:r>
      <w:r>
        <w:rPr>
          <w:spacing w:val="-3"/>
        </w:rPr>
        <w:t>元，本年公允价值变</w:t>
      </w:r>
      <w:r>
        <w:rPr>
          <w:spacing w:val="-36"/>
        </w:rPr>
        <w:t> </w:t>
      </w:r>
      <w:r>
        <w:rPr>
          <w:spacing w:val="-36"/>
        </w:rPr>
      </w:r>
      <w:r>
        <w:rPr/>
        <w:t>动金额</w:t>
      </w:r>
      <w:r>
        <w:rPr>
          <w:rFonts w:ascii="Times New Roman" w:hAnsi="Times New Roman" w:cs="Times New Roman" w:eastAsia="Times New Roman" w:hint="default"/>
        </w:rPr>
        <w:t>1,349,450.84</w:t>
      </w:r>
      <w:r>
        <w:rPr/>
        <w:t>元。</w:t>
      </w:r>
    </w:p>
    <w:p>
      <w:pPr>
        <w:pStyle w:val="BodyText"/>
        <w:spacing w:line="300" w:lineRule="auto" w:before="51"/>
        <w:ind w:right="1124" w:firstLine="360"/>
        <w:jc w:val="both"/>
      </w:pPr>
      <w:r>
        <w:rPr/>
        <w:t>注</w:t>
      </w:r>
      <w:r>
        <w:rPr>
          <w:rFonts w:ascii="Times New Roman" w:hAnsi="Times New Roman" w:cs="Times New Roman" w:eastAsia="Times New Roman" w:hint="default"/>
        </w:rPr>
        <w:t>4</w:t>
      </w:r>
      <w:r>
        <w:rPr/>
        <w:t>：天津神州数码信息科技服务有限公司系本公司之子公司神州数码系统集成服务有限公司在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月设立的全资</w:t>
      </w:r>
      <w:r>
        <w:rPr>
          <w:spacing w:val="2"/>
        </w:rPr>
        <w:t> </w:t>
      </w:r>
      <w:r>
        <w:rPr/>
        <w:t>子公司，同年</w:t>
      </w:r>
      <w:r>
        <w:rPr>
          <w:rFonts w:ascii="Times New Roman" w:hAnsi="Times New Roman" w:cs="Times New Roman" w:eastAsia="Times New Roman" w:hint="default"/>
        </w:rPr>
        <w:t>12</w:t>
      </w:r>
      <w:r>
        <w:rPr/>
        <w:t>月，将其持有的</w:t>
      </w:r>
      <w:r>
        <w:rPr>
          <w:rFonts w:ascii="Times New Roman" w:hAnsi="Times New Roman" w:cs="Times New Roman" w:eastAsia="Times New Roman" w:hint="default"/>
        </w:rPr>
        <w:t>90.00%</w:t>
      </w:r>
      <w:r>
        <w:rPr/>
        <w:t>股权进行了处置。</w:t>
      </w:r>
    </w:p>
    <w:p>
      <w:pPr>
        <w:pStyle w:val="BodyText"/>
        <w:spacing w:line="240" w:lineRule="auto" w:before="53"/>
        <w:ind w:left="513" w:right="0"/>
        <w:jc w:val="left"/>
      </w:pPr>
      <w:r>
        <w:rPr/>
        <w:t>注</w:t>
      </w:r>
      <w:r>
        <w:rPr>
          <w:rFonts w:ascii="Times New Roman" w:hAnsi="Times New Roman" w:cs="Times New Roman" w:eastAsia="Times New Roman" w:hint="default"/>
        </w:rPr>
        <w:t>5</w:t>
      </w:r>
      <w:r>
        <w:rPr/>
        <w:t>：北京聚源汇鑫科技发展中心（有限合伙）系本公司之子公司神州数码系统集成服务有限公司于</w:t>
      </w:r>
      <w:r>
        <w:rPr>
          <w:rFonts w:ascii="Times New Roman" w:hAnsi="Times New Roman" w:cs="Times New Roman" w:eastAsia="Times New Roman" w:hint="default"/>
        </w:rPr>
        <w:t>2018</w:t>
      </w:r>
      <w:r>
        <w:rPr/>
        <w:t>年度参与出资</w:t>
      </w:r>
    </w:p>
    <w:p>
      <w:pPr>
        <w:spacing w:after="0" w:line="240" w:lineRule="auto"/>
        <w:jc w:val="left"/>
        <w:sectPr>
          <w:pgSz w:w="11910" w:h="16840"/>
          <w:pgMar w:header="916" w:footer="1261" w:top="1120" w:bottom="1460" w:left="980" w:right="0"/>
        </w:sectPr>
      </w:pPr>
    </w:p>
    <w:p>
      <w:pPr>
        <w:spacing w:line="240" w:lineRule="auto" w:before="9"/>
        <w:rPr>
          <w:rFonts w:ascii="宋体" w:hAnsi="宋体" w:cs="宋体" w:eastAsia="宋体" w:hint="default"/>
          <w:sz w:val="20"/>
          <w:szCs w:val="20"/>
        </w:rPr>
      </w:pPr>
    </w:p>
    <w:p>
      <w:pPr>
        <w:pStyle w:val="BodyText"/>
        <w:spacing w:line="319" w:lineRule="auto" w:before="44"/>
        <w:ind w:right="0"/>
        <w:jc w:val="left"/>
      </w:pPr>
      <w:r>
        <w:rPr>
          <w:spacing w:val="-2"/>
        </w:rPr>
        <w:t>设立的有限合伙企业，根据合伙协议，全体合伙人委托合伙人北京金誉世邦咨询顾问有限公司为执行事务合伙人，其他合伙</w:t>
      </w:r>
      <w:r>
        <w:rPr>
          <w:spacing w:val="-63"/>
        </w:rPr>
        <w:t> </w:t>
      </w:r>
      <w:r>
        <w:rPr>
          <w:spacing w:val="-63"/>
        </w:rPr>
      </w:r>
      <w:r>
        <w:rPr/>
        <w:t>人不再执行合伙企业事务，本公司对其不具有重大影响。</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 适用 □</w:t>
      </w:r>
      <w:r>
        <w:rPr>
          <w:spacing w:val="3"/>
        </w:rPr>
        <w:t> </w:t>
      </w:r>
      <w:r>
        <w:rPr/>
        <w:t>不适用</w:t>
      </w:r>
    </w:p>
    <w:p>
      <w:pPr>
        <w:pStyle w:val="BodyText"/>
        <w:spacing w:line="240" w:lineRule="auto" w:before="117"/>
        <w:ind w:left="0" w:right="1130"/>
        <w:jc w:val="right"/>
      </w:pPr>
      <w:r>
        <w:rPr/>
        <w:t>单位：</w:t>
      </w:r>
      <w:r>
        <w:rPr>
          <w:spacing w:val="1"/>
        </w:rPr>
        <w:t> </w:t>
      </w:r>
      <w:r>
        <w:rPr/>
        <w:t>元</w:t>
      </w:r>
    </w:p>
    <w:p>
      <w:pPr>
        <w:spacing w:line="240" w:lineRule="auto" w:before="5"/>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4962"/>
        <w:gridCol w:w="4820"/>
      </w:tblGrid>
      <w:tr>
        <w:trPr>
          <w:trHeight w:val="434"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r>
      <w:tr>
        <w:trPr>
          <w:trHeight w:val="479"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4820" w:type="dxa"/>
            <w:tcBorders>
              <w:top w:val="single" w:sz="16" w:space="0" w:color="D2D2D2"/>
              <w:left w:val="single" w:sz="4" w:space="0" w:color="000000"/>
              <w:bottom w:val="single" w:sz="4" w:space="0" w:color="000000"/>
              <w:right w:val="single" w:sz="4" w:space="0" w:color="000000"/>
            </w:tcBorders>
          </w:tcPr>
          <w:p>
            <w:pPr/>
          </w:p>
        </w:tc>
      </w:tr>
      <w:tr>
        <w:trPr>
          <w:trHeight w:val="46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16,508,919.88</w:t>
            </w:r>
          </w:p>
        </w:tc>
      </w:tr>
      <w:tr>
        <w:trPr>
          <w:trHeight w:val="466"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48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48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16,508,919.88</w:t>
            </w:r>
          </w:p>
        </w:tc>
      </w:tr>
      <w:tr>
        <w:trPr>
          <w:trHeight w:val="466"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48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2,135,841.51</w:t>
            </w:r>
          </w:p>
        </w:tc>
      </w:tr>
      <w:tr>
        <w:trPr>
          <w:trHeight w:val="46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371,450.70</w:t>
            </w:r>
          </w:p>
        </w:tc>
      </w:tr>
      <w:tr>
        <w:trPr>
          <w:trHeight w:val="466"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371,450.70</w:t>
            </w:r>
          </w:p>
        </w:tc>
      </w:tr>
      <w:tr>
        <w:trPr>
          <w:trHeight w:val="46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48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2,507,292.21</w:t>
            </w:r>
          </w:p>
        </w:tc>
      </w:tr>
      <w:tr>
        <w:trPr>
          <w:trHeight w:val="466"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48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48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4820"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48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4820"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4820"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14,001,627.67</w:t>
            </w:r>
          </w:p>
        </w:tc>
      </w:tr>
      <w:tr>
        <w:trPr>
          <w:trHeight w:val="463" w:hRule="exact"/>
        </w:trPr>
        <w:tc>
          <w:tcPr>
            <w:tcW w:w="4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14,373,078.37</w:t>
            </w:r>
          </w:p>
        </w:tc>
      </w:tr>
    </w:tbl>
    <w:p>
      <w:pPr>
        <w:pStyle w:val="BodyText"/>
        <w:spacing w:line="309" w:lineRule="auto" w:before="49"/>
        <w:ind w:right="1125" w:firstLine="360"/>
        <w:jc w:val="both"/>
      </w:pPr>
      <w:r>
        <w:rPr/>
        <w:t>注：年末投资性房地产为本公司之子公司神州数码系统集成服务有限公司向神州数码融信云技术服务有限公司出租的</w:t>
      </w:r>
      <w:r>
        <w:rPr>
          <w:spacing w:val="2"/>
        </w:rPr>
        <w:t> </w:t>
      </w:r>
      <w:r>
        <w:rPr/>
        <w:t>办公房屋，房屋租赁合同起止日期为</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29 </w:t>
      </w:r>
      <w:r>
        <w:rPr/>
        <w:t>日至</w:t>
      </w:r>
      <w:r>
        <w:rPr>
          <w:spacing w:val="-45"/>
        </w:rPr>
        <w:t> </w:t>
      </w:r>
      <w:r>
        <w:rPr>
          <w:rFonts w:ascii="Times New Roman" w:hAnsi="Times New Roman" w:cs="Times New Roman" w:eastAsia="Times New Roman" w:hint="default"/>
        </w:rPr>
        <w:t>2025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1 </w:t>
      </w:r>
      <w:r>
        <w:rPr/>
        <w:t>日，租赁期限为</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年。投资性房地产采用成本计量 模式。</w:t>
      </w:r>
    </w:p>
    <w:p>
      <w:pPr>
        <w:spacing w:after="0" w:line="309" w:lineRule="auto"/>
        <w:jc w:val="both"/>
        <w:sectPr>
          <w:pgSz w:w="11910" w:h="16840"/>
          <w:pgMar w:header="916" w:footer="1261" w:top="112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3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490,712,621.32</w:t>
            </w:r>
          </w:p>
        </w:tc>
        <w:tc>
          <w:tcPr>
            <w:tcW w:w="319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532,791,372.68</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490,712,621.32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532,791,372.68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6"/>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6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3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427,728,395.50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179,593,876.93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4,395,676.41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104,116,448.75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715,834,397.59</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1,359,238.32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169,277.74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143,644.14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9,494,415.21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pacing w:val="-1"/>
                <w:sz w:val="18"/>
              </w:rPr>
              <w:t>11,166,575.41</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1,359,238.32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169,277.74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9,309,374.45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10,837,890.51</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143,644.14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183,166.04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326,810.18</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w w:val="95"/>
                <w:sz w:val="18"/>
              </w:rPr>
              <w:t>1,874.72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w w:val="95"/>
                <w:sz w:val="18"/>
              </w:rPr>
              <w:t>1,874.72</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w w:val="95"/>
                <w:sz w:val="18"/>
              </w:rPr>
              <w:t>6,239.71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29,603,937.86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1,147,709.71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20,328,186.70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51,086,073.98</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29,603,937.86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1,147,709.71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20,328,186.70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51,079,834.27</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w w:val="95"/>
                <w:sz w:val="18"/>
              </w:rPr>
              <w:t>6,239.71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w w:val="95"/>
                <w:sz w:val="18"/>
              </w:rPr>
              <w:t>6,239.71</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429,081,394.11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150,159,216.81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3,391,610.84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93,282,677.26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675,914,899.02</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24,055,958.11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83,096,897.67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3,739,189.60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60,326,085.27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171,218,130.65</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9,934,435.51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30,022,856.92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329,099.62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9,846,045.19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50,132,437.24</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9,934,435.51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30,022,856.92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230,277.17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9,709,499.73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49,897,069.33</w:t>
            </w:r>
          </w:p>
        </w:tc>
      </w:tr>
      <w:tr>
        <w:trPr>
          <w:trHeight w:val="46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98,822.45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135,279.58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234,102.03</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）汇率变动</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w w:val="95"/>
                <w:sz w:val="18"/>
              </w:rPr>
              <w:t>1,265.88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w w:val="95"/>
                <w:sz w:val="18"/>
              </w:rPr>
              <w:t>1,265.88</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22,897,302.52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1,017,821.82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16,959,506.80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40,874,631.14</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22,897,302.52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1,017,821.82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16,959,506.80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40,874,631.14</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33,990,393.62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90,222,452.07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3,050,467.40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53,212,623.66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Times New Roman" w:hAnsi="Times New Roman" w:cs="Times New Roman" w:eastAsia="Times New Roman" w:hint="default"/>
                <w:sz w:val="18"/>
                <w:szCs w:val="18"/>
              </w:rPr>
            </w:pPr>
            <w:r>
              <w:rPr>
                <w:rFonts w:ascii="Times New Roman"/>
                <w:spacing w:val="-1"/>
                <w:sz w:val="18"/>
              </w:rPr>
              <w:t>180,475,936.75</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8,611,655.12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3,213,239.14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Times New Roman" w:hAnsi="Times New Roman" w:cs="Times New Roman" w:eastAsia="Times New Roman" w:hint="default"/>
                <w:sz w:val="18"/>
                <w:szCs w:val="18"/>
              </w:rPr>
            </w:pPr>
            <w:r>
              <w:rPr>
                <w:rFonts w:ascii="Times New Roman"/>
                <w:spacing w:val="-1"/>
                <w:sz w:val="18"/>
              </w:rPr>
              <w:t>11,824,894.26</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54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6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4,641,747.44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2,456,805.87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7,098,553.31</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3,969,907.68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756,433.27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4,726,340.95</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395,091,000.49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55,966,857.06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341,143.44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39,313,620.33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490,712,621.32</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403,672,437.39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87,885,324.14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656,486.81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40,577,124.34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532,791,372.68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13</w:t>
      </w:r>
      <w:r>
        <w:rPr/>
        <w:t>、无形资产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30,642,364.41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5,286,201.14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209,272,286.23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245,900,851.78</w:t>
            </w:r>
          </w:p>
        </w:tc>
      </w:tr>
      <w:tr>
        <w:trPr>
          <w:trHeight w:val="46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542,540.37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542,540.37</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542,540.37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542,540.37</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850,794.19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13,303,849.45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14,154,643.64</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850,794.19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13,303,849.45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14,154,643.64</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30,642,364.41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4,435,406.95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196,510,977.15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232,288,748.51</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1,777,149.47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1,168,360.74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371,016.69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89,214,095.94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92,530,622.84</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646,236.17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41,484,938.77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42,166,174.94</w:t>
            </w:r>
          </w:p>
        </w:tc>
      </w:tr>
      <w:tr>
        <w:trPr>
          <w:trHeight w:val="46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646,236.17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35,000.00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41,484,938.77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42,166,174.94</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467,937.08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9,261,165.67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9,729,102.75</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467,937.08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9,261,165.67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9,729,102.75</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2,423,385.64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700,423.66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406,016.69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121,437,869.04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124,967,695.03</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1,306.27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495,516.97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496,823.24</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1594"/>
        <w:gridCol w:w="1594"/>
        <w:gridCol w:w="1594"/>
        <w:gridCol w:w="1594"/>
        <w:gridCol w:w="1597"/>
        <w:gridCol w:w="1594"/>
      </w:tblGrid>
      <w:tr>
        <w:trPr>
          <w:trHeight w:val="46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429,583.63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429,583.63</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429,583.63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429,583.63</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1,306.27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65,933.34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67,239.61</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28,218,978.77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3,733,677.02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293,983.31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75,007,174.77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107,253,813.87</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28,865,214.94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4,116,534.13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328,983.31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119,562,673.32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152,873,405.70</w:t>
            </w:r>
          </w:p>
        </w:tc>
      </w:tr>
    </w:tbl>
    <w:p>
      <w:pPr>
        <w:pStyle w:val="BodyText"/>
        <w:spacing w:line="240" w:lineRule="auto" w:before="49"/>
        <w:ind w:right="0"/>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29.64%</w:t>
      </w:r>
      <w:r>
        <w:rPr/>
        <w:t>。</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14</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063"/>
        <w:gridCol w:w="1347"/>
        <w:gridCol w:w="1560"/>
        <w:gridCol w:w="1133"/>
        <w:gridCol w:w="1561"/>
        <w:gridCol w:w="1416"/>
        <w:gridCol w:w="1419"/>
      </w:tblGrid>
      <w:tr>
        <w:trPr>
          <w:trHeight w:val="432" w:hRule="exact"/>
        </w:trPr>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80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94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9" w:hRule="exact"/>
        </w:trPr>
        <w:tc>
          <w:tcPr>
            <w:tcW w:w="1063" w:type="dxa"/>
            <w:vMerge/>
            <w:tcBorders>
              <w:left w:val="single" w:sz="4" w:space="0" w:color="000000"/>
              <w:bottom w:val="single" w:sz="4" w:space="0" w:color="000000"/>
              <w:right w:val="single" w:sz="4" w:space="0" w:color="000000"/>
            </w:tcBorders>
            <w:shd w:val="clear" w:color="auto" w:fill="D2D2D2"/>
          </w:tcPr>
          <w:p>
            <w:pPr/>
          </w:p>
        </w:tc>
        <w:tc>
          <w:tcPr>
            <w:tcW w:w="1347"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35"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46"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6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41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行业大数据 领域</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17,733,832.82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24,238,073.53</w:t>
            </w:r>
          </w:p>
        </w:tc>
        <w:tc>
          <w:tcPr>
            <w:tcW w:w="11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41,971,906.35</w:t>
            </w:r>
          </w:p>
        </w:tc>
      </w:tr>
    </w:tbl>
    <w:p>
      <w:pPr>
        <w:pStyle w:val="BodyText"/>
        <w:spacing w:line="240" w:lineRule="auto" w:before="49"/>
        <w:ind w:right="0"/>
        <w:jc w:val="left"/>
      </w:pPr>
      <w:r>
        <w:rPr/>
        <w:t>注</w:t>
      </w:r>
      <w:r>
        <w:rPr>
          <w:rFonts w:ascii="Times New Roman" w:hAnsi="Times New Roman" w:cs="Times New Roman" w:eastAsia="Times New Roman" w:hint="default"/>
        </w:rPr>
        <w:t>:</w:t>
      </w:r>
      <w:r>
        <w:rPr/>
        <w:t>尚在开发中项目自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月陆续开始资本化，截至年末研发进度为</w:t>
      </w:r>
      <w:r>
        <w:rPr>
          <w:rFonts w:ascii="Times New Roman" w:hAnsi="Times New Roman" w:cs="Times New Roman" w:eastAsia="Times New Roman" w:hint="default"/>
        </w:rPr>
        <w:t>80.00%-100.00%</w:t>
      </w:r>
      <w:r>
        <w:rPr/>
        <w:t>。</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15</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846"/>
        <w:gridCol w:w="1985"/>
        <w:gridCol w:w="2127"/>
        <w:gridCol w:w="1844"/>
        <w:gridCol w:w="1846"/>
      </w:tblGrid>
      <w:tr>
        <w:trPr>
          <w:trHeight w:val="466" w:hRule="exact"/>
        </w:trPr>
        <w:tc>
          <w:tcPr>
            <w:tcW w:w="184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7"/>
              <w:ind w:left="376" w:right="105" w:hanging="269"/>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6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63" w:hRule="exact"/>
        </w:trPr>
        <w:tc>
          <w:tcPr>
            <w:tcW w:w="1846"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企业合并形成的</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84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神州数码金信科技股 份有限公司（注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193,671,128.85</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193,671,128.85</w:t>
            </w:r>
          </w:p>
        </w:tc>
      </w:tr>
      <w:tr>
        <w:trPr>
          <w:trHeight w:val="464"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中农信达（注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646,012,991.72</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646,012,991.72</w:t>
            </w:r>
          </w:p>
        </w:tc>
      </w:tr>
      <w:tr>
        <w:trPr>
          <w:trHeight w:val="713"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北京旗硕基业科技股 份有限公司（注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19,823,884.02</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19,823,884.02</w:t>
            </w:r>
          </w:p>
        </w:tc>
      </w:tr>
      <w:tr>
        <w:trPr>
          <w:trHeight w:val="466"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华苏科技（注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872,376,988.38</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872,376,988.38</w:t>
            </w:r>
          </w:p>
        </w:tc>
      </w:tr>
      <w:tr>
        <w:trPr>
          <w:trHeight w:val="713"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jc w:val="left"/>
              <w:rPr>
                <w:rFonts w:ascii="宋体" w:hAnsi="宋体" w:cs="宋体" w:eastAsia="宋体" w:hint="default"/>
                <w:sz w:val="18"/>
                <w:szCs w:val="18"/>
              </w:rPr>
            </w:pPr>
            <w:r>
              <w:rPr>
                <w:rFonts w:ascii="宋体" w:hAnsi="宋体" w:cs="宋体" w:eastAsia="宋体" w:hint="default"/>
                <w:sz w:val="18"/>
                <w:szCs w:val="18"/>
              </w:rPr>
              <w:t>西安远景信息技术有 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5,918,679.91</w:t>
            </w:r>
          </w:p>
        </w:tc>
        <w:tc>
          <w:tcPr>
            <w:tcW w:w="2127"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5,918,679.91</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1846"/>
        <w:gridCol w:w="1985"/>
        <w:gridCol w:w="2127"/>
        <w:gridCol w:w="1844"/>
        <w:gridCol w:w="1846"/>
      </w:tblGrid>
      <w:tr>
        <w:trPr>
          <w:trHeight w:val="1025"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9"/>
              <w:jc w:val="both"/>
              <w:rPr>
                <w:rFonts w:ascii="宋体" w:hAnsi="宋体" w:cs="宋体" w:eastAsia="宋体" w:hint="default"/>
                <w:sz w:val="18"/>
                <w:szCs w:val="18"/>
              </w:rPr>
            </w:pPr>
            <w:r>
              <w:rPr>
                <w:rFonts w:ascii="宋体" w:hAnsi="宋体" w:cs="宋体" w:eastAsia="宋体" w:hint="default"/>
                <w:sz w:val="18"/>
                <w:szCs w:val="18"/>
              </w:rPr>
              <w:t>神州土地（北京）信 息技术有限公司（注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1985"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59,673,000.70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59,673,000.70</w:t>
            </w:r>
          </w:p>
        </w:tc>
      </w:tr>
      <w:tr>
        <w:trPr>
          <w:trHeight w:val="466" w:hRule="exact"/>
        </w:trPr>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694" w:right="0"/>
              <w:jc w:val="left"/>
              <w:rPr>
                <w:rFonts w:ascii="Times New Roman" w:hAnsi="Times New Roman" w:cs="Times New Roman" w:eastAsia="Times New Roman" w:hint="default"/>
                <w:sz w:val="18"/>
                <w:szCs w:val="18"/>
              </w:rPr>
            </w:pPr>
            <w:r>
              <w:rPr>
                <w:rFonts w:ascii="Times New Roman"/>
                <w:sz w:val="18"/>
              </w:rPr>
              <w:t>1,737,803,672.88</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59,673,000.70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1,797,476,673.58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w:t>
      </w:r>
      <w:r>
        <w:rPr>
          <w:spacing w:val="-1"/>
        </w:rPr>
        <w:t> </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8"/>
        </w:rPr>
        <w:t> </w:t>
      </w:r>
      <w:r>
        <w:rPr/>
        <w:t>元</w:t>
      </w:r>
    </w:p>
    <w:p>
      <w:pPr>
        <w:spacing w:line="240" w:lineRule="auto" w:before="4"/>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1810"/>
        <w:gridCol w:w="1985"/>
        <w:gridCol w:w="2127"/>
        <w:gridCol w:w="1844"/>
        <w:gridCol w:w="1844"/>
      </w:tblGrid>
      <w:tr>
        <w:trPr>
          <w:trHeight w:val="488" w:hRule="exact"/>
        </w:trPr>
        <w:tc>
          <w:tcPr>
            <w:tcW w:w="181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360" w:right="84" w:hanging="272"/>
              <w:jc w:val="left"/>
              <w:rPr>
                <w:rFonts w:ascii="宋体" w:hAnsi="宋体" w:cs="宋体" w:eastAsia="宋体" w:hint="default"/>
                <w:sz w:val="18"/>
                <w:szCs w:val="18"/>
              </w:rPr>
            </w:pPr>
            <w:r>
              <w:rPr>
                <w:rFonts w:ascii="宋体" w:hAnsi="宋体" w:cs="宋体" w:eastAsia="宋体" w:hint="default"/>
                <w:sz w:val="18"/>
                <w:szCs w:val="18"/>
              </w:rPr>
              <w:t>被投资单位名称或形 成商誉的事项</w:t>
            </w:r>
          </w:p>
        </w:tc>
        <w:tc>
          <w:tcPr>
            <w:tcW w:w="198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62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5"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4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8" w:hRule="exact"/>
        </w:trPr>
        <w:tc>
          <w:tcPr>
            <w:tcW w:w="1810" w:type="dxa"/>
            <w:vMerge/>
            <w:tcBorders>
              <w:left w:val="single" w:sz="6" w:space="0" w:color="000000"/>
              <w:bottom w:val="single" w:sz="6" w:space="0" w:color="000000"/>
              <w:right w:val="single" w:sz="6" w:space="0" w:color="000000"/>
            </w:tcBorders>
            <w:shd w:val="clear" w:color="auto" w:fill="D2D2D2"/>
          </w:tcPr>
          <w:p>
            <w:pPr/>
          </w:p>
        </w:tc>
        <w:tc>
          <w:tcPr>
            <w:tcW w:w="1985" w:type="dxa"/>
            <w:vMerge/>
            <w:tcBorders>
              <w:left w:val="single" w:sz="6" w:space="0" w:color="000000"/>
              <w:bottom w:val="single" w:sz="6" w:space="0" w:color="000000"/>
              <w:right w:val="single" w:sz="6" w:space="0" w:color="000000"/>
            </w:tcBorders>
            <w:shd w:val="clear" w:color="auto" w:fill="D2D2D2"/>
          </w:tcPr>
          <w:p>
            <w:pPr/>
          </w:p>
        </w:tc>
        <w:tc>
          <w:tcPr>
            <w:tcW w:w="21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8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844" w:type="dxa"/>
            <w:vMerge/>
            <w:tcBorders>
              <w:left w:val="single" w:sz="6" w:space="0" w:color="000000"/>
              <w:bottom w:val="single" w:sz="6" w:space="0" w:color="000000"/>
              <w:right w:val="single" w:sz="6" w:space="0" w:color="000000"/>
            </w:tcBorders>
            <w:shd w:val="clear" w:color="auto" w:fill="D2D2D2"/>
          </w:tcPr>
          <w:p>
            <w:pPr/>
          </w:p>
        </w:tc>
      </w:tr>
      <w:tr>
        <w:trPr>
          <w:trHeight w:val="740" w:hRule="exact"/>
        </w:trPr>
        <w:tc>
          <w:tcPr>
            <w:tcW w:w="18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61"/>
              <w:ind w:left="4" w:right="168"/>
              <w:jc w:val="left"/>
              <w:rPr>
                <w:rFonts w:ascii="宋体" w:hAnsi="宋体" w:cs="宋体" w:eastAsia="宋体" w:hint="default"/>
                <w:sz w:val="18"/>
                <w:szCs w:val="18"/>
              </w:rPr>
            </w:pPr>
            <w:r>
              <w:rPr>
                <w:rFonts w:ascii="宋体" w:hAnsi="宋体" w:cs="宋体" w:eastAsia="宋体" w:hint="default"/>
                <w:sz w:val="18"/>
                <w:szCs w:val="18"/>
              </w:rPr>
              <w:t>神州数码金信科技股 份有限公司（注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193,671,128.85</w:t>
            </w:r>
          </w:p>
        </w:tc>
        <w:tc>
          <w:tcPr>
            <w:tcW w:w="212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193,671,128.85</w:t>
            </w:r>
          </w:p>
        </w:tc>
      </w:tr>
      <w:tr>
        <w:trPr>
          <w:trHeight w:val="490" w:hRule="exact"/>
        </w:trPr>
        <w:tc>
          <w:tcPr>
            <w:tcW w:w="18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193,671,128.85</w:t>
            </w:r>
          </w:p>
        </w:tc>
        <w:tc>
          <w:tcPr>
            <w:tcW w:w="2127"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193,671,128.85</w:t>
            </w:r>
          </w:p>
        </w:tc>
      </w:tr>
    </w:tbl>
    <w:p>
      <w:pPr>
        <w:pStyle w:val="BodyText"/>
        <w:spacing w:line="451" w:lineRule="auto" w:before="87"/>
        <w:ind w:right="1137" w:firstLine="360"/>
        <w:jc w:val="left"/>
      </w:pPr>
      <w:r>
        <w:rPr/>
        <w:t>注</w:t>
      </w:r>
      <w:r>
        <w:rPr>
          <w:spacing w:val="-47"/>
        </w:rPr>
        <w:t> </w:t>
      </w:r>
      <w:r>
        <w:rPr>
          <w:rFonts w:ascii="Times New Roman" w:hAnsi="Times New Roman" w:cs="Times New Roman" w:eastAsia="Times New Roman" w:hint="default"/>
        </w:rPr>
        <w:t>1</w:t>
      </w:r>
      <w:r>
        <w:rPr/>
        <w:t>：该商誉为神州数码融信软件有限公司于</w:t>
      </w:r>
      <w:r>
        <w:rPr>
          <w:spacing w:val="-46"/>
        </w:rPr>
        <w:t> </w:t>
      </w:r>
      <w:r>
        <w:rPr>
          <w:rFonts w:ascii="Times New Roman" w:hAnsi="Times New Roman" w:cs="Times New Roman" w:eastAsia="Times New Roman" w:hint="default"/>
        </w:rPr>
        <w:t>2010 </w:t>
      </w:r>
      <w:r>
        <w:rPr/>
        <w:t>年非同一控制收购神州数码金信科技股份有限公司股权产生，合并 对价</w:t>
      </w:r>
      <w:r>
        <w:rPr>
          <w:spacing w:val="-50"/>
        </w:rPr>
        <w:t> </w:t>
      </w:r>
      <w:r>
        <w:rPr>
          <w:rFonts w:ascii="Times New Roman" w:hAnsi="Times New Roman" w:cs="Times New Roman" w:eastAsia="Times New Roman" w:hint="default"/>
        </w:rPr>
        <w:t>308,980,000.00</w:t>
      </w:r>
      <w:r>
        <w:rPr>
          <w:rFonts w:ascii="Times New Roman" w:hAnsi="Times New Roman" w:cs="Times New Roman" w:eastAsia="Times New Roman" w:hint="default"/>
          <w:spacing w:val="-2"/>
        </w:rPr>
        <w:t> </w:t>
      </w:r>
      <w:r>
        <w:rPr/>
        <w:t>元，合并日神州数码融信软件有限公司应享有的被购买方可辨认净资产公允价值为</w:t>
      </w:r>
      <w:r>
        <w:rPr>
          <w:spacing w:val="-48"/>
        </w:rPr>
        <w:t> </w:t>
      </w:r>
      <w:r>
        <w:rPr>
          <w:rFonts w:ascii="Times New Roman" w:hAnsi="Times New Roman" w:cs="Times New Roman" w:eastAsia="Times New Roman" w:hint="default"/>
        </w:rPr>
        <w:t>115,308,871.15</w:t>
      </w:r>
      <w:r>
        <w:rPr>
          <w:rFonts w:ascii="Times New Roman" w:hAnsi="Times New Roman" w:cs="Times New Roman" w:eastAsia="Times New Roman" w:hint="default"/>
          <w:spacing w:val="-4"/>
        </w:rPr>
        <w:t> </w:t>
      </w:r>
      <w:r>
        <w:rPr/>
        <w:t>元，</w:t>
      </w:r>
    </w:p>
    <w:p>
      <w:pPr>
        <w:pStyle w:val="BodyText"/>
        <w:spacing w:line="240" w:lineRule="auto" w:before="43"/>
        <w:ind w:right="0"/>
        <w:jc w:val="left"/>
      </w:pPr>
      <w:r>
        <w:rPr/>
        <w:t>差额</w:t>
      </w:r>
      <w:r>
        <w:rPr>
          <w:spacing w:val="-48"/>
        </w:rPr>
        <w:t> </w:t>
      </w:r>
      <w:r>
        <w:rPr>
          <w:rFonts w:ascii="Times New Roman" w:hAnsi="Times New Roman" w:cs="Times New Roman" w:eastAsia="Times New Roman" w:hint="default"/>
        </w:rPr>
        <w:t>193,671,128.85</w:t>
      </w:r>
      <w:r>
        <w:rPr>
          <w:rFonts w:ascii="Times New Roman" w:hAnsi="Times New Roman" w:cs="Times New Roman" w:eastAsia="Times New Roman" w:hint="default"/>
          <w:spacing w:val="-1"/>
        </w:rPr>
        <w:t> </w:t>
      </w:r>
      <w:r>
        <w:rPr/>
        <w:t>元计入商誉。</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月，神州信息之子公司神州数码系统集成服务有限公司与神州数码融信软件有</w:t>
      </w:r>
    </w:p>
    <w:p>
      <w:pPr>
        <w:spacing w:line="240" w:lineRule="auto" w:before="9"/>
        <w:rPr>
          <w:rFonts w:ascii="宋体" w:hAnsi="宋体" w:cs="宋体" w:eastAsia="宋体" w:hint="default"/>
          <w:sz w:val="16"/>
          <w:szCs w:val="16"/>
        </w:rPr>
      </w:pPr>
    </w:p>
    <w:p>
      <w:pPr>
        <w:pStyle w:val="BodyText"/>
        <w:spacing w:line="451" w:lineRule="auto"/>
        <w:ind w:left="513" w:right="1265" w:hanging="360"/>
        <w:jc w:val="left"/>
      </w:pPr>
      <w:r>
        <w:rPr/>
        <w:t>限公司签订股权转让协议，以</w:t>
      </w:r>
      <w:r>
        <w:rPr>
          <w:spacing w:val="-45"/>
        </w:rPr>
        <w:t> </w:t>
      </w:r>
      <w:r>
        <w:rPr>
          <w:rFonts w:ascii="Times New Roman" w:hAnsi="Times New Roman" w:cs="Times New Roman" w:eastAsia="Times New Roman" w:hint="default"/>
        </w:rPr>
        <w:t>308,980,000.00</w:t>
      </w:r>
      <w:r>
        <w:rPr>
          <w:rFonts w:ascii="Times New Roman" w:hAnsi="Times New Roman" w:cs="Times New Roman" w:eastAsia="Times New Roman" w:hint="default"/>
          <w:spacing w:val="2"/>
        </w:rPr>
        <w:t> </w:t>
      </w:r>
      <w:r>
        <w:rPr/>
        <w:t>元的对价购买神州数码金信科技股份有限公司的全部股权。 神州数码金信科技股份有限公司以</w:t>
      </w:r>
      <w:r>
        <w:rPr>
          <w:spacing w:val="-46"/>
        </w:rPr>
        <w:t> </w:t>
      </w:r>
      <w:r>
        <w:rPr>
          <w:rFonts w:ascii="Times New Roman" w:hAnsi="Times New Roman" w:cs="Times New Roman" w:eastAsia="Times New Roman" w:hint="default"/>
        </w:rPr>
        <w:t>ATM</w:t>
      </w:r>
      <w:r>
        <w:rPr>
          <w:rFonts w:ascii="Times New Roman" w:hAnsi="Times New Roman" w:cs="Times New Roman" w:eastAsia="Times New Roman" w:hint="default"/>
          <w:spacing w:val="-1"/>
        </w:rPr>
        <w:t> </w:t>
      </w:r>
      <w:r>
        <w:rPr/>
        <w:t>机销售及相关服务为主营业务，受宏观经济、行业环境、技术环境等因素影</w:t>
      </w:r>
    </w:p>
    <w:p>
      <w:pPr>
        <w:pStyle w:val="BodyText"/>
        <w:spacing w:line="463" w:lineRule="auto" w:before="44"/>
        <w:ind w:right="1231"/>
        <w:jc w:val="both"/>
      </w:pPr>
      <w:r>
        <w:rPr/>
        <w:t>响，在移动支付普及并广泛使用下受到较大冲击，</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年经营业绩亏损</w:t>
      </w:r>
      <w:r>
        <w:rPr>
          <w:spacing w:val="-48"/>
        </w:rPr>
        <w:t> </w:t>
      </w:r>
      <w:r>
        <w:rPr>
          <w:rFonts w:ascii="Times New Roman" w:hAnsi="Times New Roman" w:cs="Times New Roman" w:eastAsia="Times New Roman" w:hint="default"/>
        </w:rPr>
        <w:t>240,027,256.89 </w:t>
      </w:r>
      <w:r>
        <w:rPr/>
        <w:t>元。本公司拟关闭</w:t>
      </w:r>
      <w:r>
        <w:rPr>
          <w:spacing w:val="-48"/>
        </w:rPr>
        <w:t> </w:t>
      </w:r>
      <w:r>
        <w:rPr>
          <w:rFonts w:ascii="Times New Roman" w:hAnsi="Times New Roman" w:cs="Times New Roman" w:eastAsia="Times New Roman" w:hint="default"/>
        </w:rPr>
        <w:t>ATM</w:t>
      </w:r>
      <w:r>
        <w:rPr>
          <w:rFonts w:ascii="Times New Roman" w:hAnsi="Times New Roman" w:cs="Times New Roman" w:eastAsia="Times New Roman" w:hint="default"/>
          <w:spacing w:val="-2"/>
        </w:rPr>
        <w:t> </w:t>
      </w:r>
      <w:r>
        <w:rPr/>
        <w:t>机相关业 务，相关资产组未来现金流现值仅为账面资产的可收回金额。故本公司对因收购神州数码金信科技股份有限公司产生的商 誉全额计提减值准备</w:t>
      </w:r>
      <w:r>
        <w:rPr>
          <w:spacing w:val="-47"/>
        </w:rPr>
        <w:t> </w:t>
      </w:r>
      <w:r>
        <w:rPr>
          <w:rFonts w:ascii="Times New Roman" w:hAnsi="Times New Roman" w:cs="Times New Roman" w:eastAsia="Times New Roman" w:hint="default"/>
        </w:rPr>
        <w:t>193,671,128.85 </w:t>
      </w:r>
      <w:r>
        <w:rPr/>
        <w:t>元。</w:t>
      </w:r>
    </w:p>
    <w:p>
      <w:pPr>
        <w:pStyle w:val="BodyText"/>
        <w:spacing w:line="240" w:lineRule="auto" w:before="33"/>
        <w:ind w:left="513" w:right="0"/>
        <w:jc w:val="left"/>
      </w:pPr>
      <w:r>
        <w:rPr/>
        <w:t>注</w:t>
      </w:r>
      <w:r>
        <w:rPr>
          <w:spacing w:val="-46"/>
        </w:rPr>
        <w:t> </w:t>
      </w:r>
      <w:r>
        <w:rPr>
          <w:rFonts w:ascii="Times New Roman" w:hAnsi="Times New Roman" w:cs="Times New Roman" w:eastAsia="Times New Roman" w:hint="default"/>
        </w:rPr>
        <w:t>2</w:t>
      </w:r>
      <w:r>
        <w:rPr/>
        <w:t>：该商誉为本公司于</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年（购买日</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2 </w:t>
      </w:r>
      <w:r>
        <w:rPr/>
        <w:t>日）非同一控制下收购中农信达</w:t>
      </w:r>
      <w:r>
        <w:rPr>
          <w:spacing w:val="-45"/>
        </w:rPr>
        <w:t> </w:t>
      </w:r>
      <w:r>
        <w:rPr>
          <w:rFonts w:ascii="Times New Roman" w:hAnsi="Times New Roman" w:cs="Times New Roman" w:eastAsia="Times New Roman" w:hint="default"/>
        </w:rPr>
        <w:t>100.00%</w:t>
      </w:r>
      <w:r>
        <w:rPr/>
        <w:t>股权产生，合并对</w:t>
      </w:r>
    </w:p>
    <w:p>
      <w:pPr>
        <w:spacing w:line="240" w:lineRule="auto" w:before="9"/>
        <w:rPr>
          <w:rFonts w:ascii="宋体" w:hAnsi="宋体" w:cs="宋体" w:eastAsia="宋体" w:hint="default"/>
          <w:sz w:val="16"/>
          <w:szCs w:val="16"/>
        </w:rPr>
      </w:pPr>
    </w:p>
    <w:p>
      <w:pPr>
        <w:pStyle w:val="BodyText"/>
        <w:spacing w:line="451" w:lineRule="auto"/>
        <w:ind w:left="513" w:right="1213" w:hanging="360"/>
        <w:jc w:val="left"/>
      </w:pPr>
      <w:r>
        <w:rPr/>
        <w:t>价</w:t>
      </w:r>
      <w:r>
        <w:rPr>
          <w:spacing w:val="-47"/>
        </w:rPr>
        <w:t> </w:t>
      </w:r>
      <w:r>
        <w:rPr>
          <w:rFonts w:ascii="Times New Roman" w:hAnsi="Times New Roman" w:cs="Times New Roman" w:eastAsia="Times New Roman" w:hint="default"/>
        </w:rPr>
        <w:t>710,000,000.00</w:t>
      </w:r>
      <w:r>
        <w:rPr>
          <w:rFonts w:ascii="Times New Roman" w:hAnsi="Times New Roman" w:cs="Times New Roman" w:eastAsia="Times New Roman" w:hint="default"/>
          <w:spacing w:val="1"/>
        </w:rPr>
        <w:t> </w:t>
      </w:r>
      <w:r>
        <w:rPr/>
        <w:t>元，合并日中农信达可辨认净资产公允价值为</w:t>
      </w:r>
      <w:r>
        <w:rPr>
          <w:spacing w:val="-46"/>
        </w:rPr>
        <w:t> </w:t>
      </w:r>
      <w:r>
        <w:rPr>
          <w:rFonts w:ascii="Times New Roman" w:hAnsi="Times New Roman" w:cs="Times New Roman" w:eastAsia="Times New Roman" w:hint="default"/>
        </w:rPr>
        <w:t>63,987,008.28 </w:t>
      </w:r>
      <w:r>
        <w:rPr/>
        <w:t>元，差额</w:t>
      </w:r>
      <w:r>
        <w:rPr>
          <w:spacing w:val="-4"/>
        </w:rPr>
        <w:t> </w:t>
      </w:r>
      <w:r>
        <w:rPr>
          <w:rFonts w:ascii="Times New Roman" w:hAnsi="Times New Roman" w:cs="Times New Roman" w:eastAsia="Times New Roman" w:hint="default"/>
        </w:rPr>
        <w:t>646,012,991.72</w:t>
      </w:r>
      <w:r>
        <w:rPr>
          <w:rFonts w:ascii="Times New Roman" w:hAnsi="Times New Roman" w:cs="Times New Roman" w:eastAsia="Times New Roman" w:hint="default"/>
          <w:spacing w:val="1"/>
        </w:rPr>
        <w:t> </w:t>
      </w:r>
      <w:r>
        <w:rPr/>
        <w:t>元计入商誉。 本公司管理层对因收购中农信达产生的商誉进行减值测试，考虑中农信达主营业务明确并且单一，同时其主营业务或</w:t>
      </w:r>
    </w:p>
    <w:p>
      <w:pPr>
        <w:pStyle w:val="BodyText"/>
        <w:spacing w:line="456" w:lineRule="auto" w:before="74"/>
        <w:ind w:right="1140"/>
        <w:jc w:val="left"/>
      </w:pPr>
      <w:r>
        <w:rPr/>
        <w:t>产品直接与市场衔接，由市场定价，符合资产组的相关要件，同时企业内不再存在其他与中农信达相同条件的经营业务， 因此将中农信达认定为一个资产组，并以该资产组为基础进行商誉的减值测试。本公司采用收益法对</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 </w:t>
      </w:r>
      <w:r>
        <w:rPr>
          <w:spacing w:val="-3"/>
        </w:rPr>
        <w:t>日资 </w:t>
      </w:r>
      <w:r>
        <w:rPr/>
        <w:t>产组未来预计产生的现金流量现值进行估算，依据中农信达管理层制定的未来</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年财务预算及</w:t>
      </w:r>
      <w:r>
        <w:rPr>
          <w:spacing w:val="-46"/>
        </w:rPr>
        <w:t> </w:t>
      </w:r>
      <w:r>
        <w:rPr>
          <w:rFonts w:ascii="Times New Roman" w:hAnsi="Times New Roman" w:cs="Times New Roman" w:eastAsia="Times New Roman" w:hint="default"/>
        </w:rPr>
        <w:t>13.83%</w:t>
      </w:r>
      <w:r>
        <w:rPr/>
        <w:t>税前折现率预计未来 现金流量现值，超过</w:t>
      </w:r>
      <w:r>
        <w:rPr>
          <w:spacing w:val="-46"/>
        </w:rPr>
        <w:t> </w:t>
      </w:r>
      <w:r>
        <w:rPr>
          <w:rFonts w:ascii="Times New Roman" w:hAnsi="Times New Roman" w:cs="Times New Roman" w:eastAsia="Times New Roman" w:hint="default"/>
        </w:rPr>
        <w:t>5 </w:t>
      </w:r>
      <w:r>
        <w:rPr/>
        <w:t>年财务预算之后年份的现金流量均保持稳定。对中农信达预计未来现金流量现值的计算采用了管理 层根据历史经验及对未来市场发展的预测确定的预算毛利率及</w:t>
      </w:r>
      <w:r>
        <w:rPr>
          <w:rFonts w:ascii="Times New Roman" w:hAnsi="Times New Roman" w:cs="Times New Roman" w:eastAsia="Times New Roman" w:hint="default"/>
        </w:rPr>
        <w:t>-13.15%-6.28%</w:t>
      </w:r>
      <w:r>
        <w:rPr/>
        <w:t>的营业收入增长率作为关键假设，确定依据是 预算期间之前的历史情况及对市场发展的预测。减值测试后，未发现商誉需要计提减值的情况。</w:t>
      </w:r>
    </w:p>
    <w:p>
      <w:pPr>
        <w:pStyle w:val="BodyText"/>
        <w:spacing w:line="240" w:lineRule="auto" w:before="70"/>
        <w:ind w:left="513" w:right="0"/>
        <w:jc w:val="left"/>
      </w:pPr>
      <w:r>
        <w:rPr/>
        <w:t>注</w:t>
      </w:r>
      <w:r>
        <w:rPr>
          <w:spacing w:val="-47"/>
        </w:rPr>
        <w:t> </w:t>
      </w:r>
      <w:r>
        <w:rPr>
          <w:rFonts w:ascii="Times New Roman" w:hAnsi="Times New Roman" w:cs="Times New Roman" w:eastAsia="Times New Roman" w:hint="default"/>
        </w:rPr>
        <w:t>3</w:t>
      </w:r>
      <w:r>
        <w:rPr/>
        <w:t>：该商誉为</w:t>
      </w:r>
      <w:r>
        <w:rPr>
          <w:spacing w:val="-47"/>
        </w:rPr>
        <w:t> </w:t>
      </w:r>
      <w:r>
        <w:rPr>
          <w:rFonts w:ascii="Times New Roman" w:hAnsi="Times New Roman" w:cs="Times New Roman" w:eastAsia="Times New Roman" w:hint="default"/>
        </w:rPr>
        <w:t>2016 </w:t>
      </w:r>
      <w:r>
        <w:rPr/>
        <w:t>年（购买日</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日）中农信达非同一控制下收购北京旗硕基业科技股份有限公司</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40.81%</w:t>
      </w:r>
      <w:r>
        <w:rPr/>
        <w:t>股权产生，合并对价</w:t>
      </w:r>
      <w:r>
        <w:rPr>
          <w:spacing w:val="-49"/>
        </w:rPr>
        <w:t> </w:t>
      </w:r>
      <w:r>
        <w:rPr>
          <w:rFonts w:ascii="Times New Roman" w:hAnsi="Times New Roman" w:cs="Times New Roman" w:eastAsia="Times New Roman" w:hint="default"/>
        </w:rPr>
        <w:t>28,635,631.00</w:t>
      </w:r>
      <w:r>
        <w:rPr>
          <w:rFonts w:ascii="Times New Roman" w:hAnsi="Times New Roman" w:cs="Times New Roman" w:eastAsia="Times New Roman" w:hint="default"/>
          <w:spacing w:val="-3"/>
        </w:rPr>
        <w:t> </w:t>
      </w:r>
      <w:r>
        <w:rPr/>
        <w:t>元，合并日北京旗硕基业科技股份有限公司的可辨认净资产公允价值为</w:t>
      </w:r>
    </w:p>
    <w:p>
      <w:pPr>
        <w:spacing w:after="0" w:line="240"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240" w:lineRule="auto" w:before="44"/>
        <w:ind w:right="0"/>
        <w:jc w:val="left"/>
      </w:pPr>
      <w:r>
        <w:rPr>
          <w:rFonts w:ascii="Times New Roman" w:hAnsi="Times New Roman" w:cs="Times New Roman" w:eastAsia="Times New Roman" w:hint="default"/>
        </w:rPr>
        <w:t>21,592,603.07</w:t>
      </w:r>
      <w:r>
        <w:rPr>
          <w:rFonts w:ascii="Times New Roman" w:hAnsi="Times New Roman" w:cs="Times New Roman" w:eastAsia="Times New Roman" w:hint="default"/>
          <w:spacing w:val="-2"/>
        </w:rPr>
        <w:t> </w:t>
      </w:r>
      <w:r>
        <w:rPr/>
        <w:t>元，合并对价与应享有的北京旗硕基业科技股份有限公司的可辨认净资产公允价值</w:t>
      </w:r>
      <w:r>
        <w:rPr>
          <w:spacing w:val="-48"/>
        </w:rPr>
        <w:t> </w:t>
      </w:r>
      <w:r>
        <w:rPr>
          <w:rFonts w:ascii="Times New Roman" w:hAnsi="Times New Roman" w:cs="Times New Roman" w:eastAsia="Times New Roman" w:hint="default"/>
        </w:rPr>
        <w:t>8,811,746.98</w:t>
      </w:r>
      <w:r>
        <w:rPr>
          <w:rFonts w:ascii="Times New Roman" w:hAnsi="Times New Roman" w:cs="Times New Roman" w:eastAsia="Times New Roman" w:hint="default"/>
          <w:spacing w:val="-2"/>
        </w:rPr>
        <w:t> </w:t>
      </w:r>
      <w:r>
        <w:rPr/>
        <w:t>元的差额</w:t>
      </w:r>
    </w:p>
    <w:p>
      <w:pPr>
        <w:spacing w:line="240" w:lineRule="auto" w:before="9"/>
        <w:rPr>
          <w:rFonts w:ascii="宋体" w:hAnsi="宋体" w:cs="宋体" w:eastAsia="宋体" w:hint="default"/>
          <w:sz w:val="16"/>
          <w:szCs w:val="16"/>
        </w:rPr>
      </w:pPr>
    </w:p>
    <w:p>
      <w:pPr>
        <w:pStyle w:val="BodyText"/>
        <w:spacing w:line="451" w:lineRule="auto"/>
        <w:ind w:left="513" w:right="1213" w:hanging="360"/>
        <w:jc w:val="left"/>
      </w:pPr>
      <w:r>
        <w:rPr>
          <w:rFonts w:ascii="Times New Roman" w:hAnsi="Times New Roman" w:cs="Times New Roman" w:eastAsia="Times New Roman" w:hint="default"/>
        </w:rPr>
        <w:t>19,823,884.02</w:t>
      </w:r>
      <w:r>
        <w:rPr>
          <w:rFonts w:ascii="Times New Roman" w:hAnsi="Times New Roman" w:cs="Times New Roman" w:eastAsia="Times New Roman" w:hint="default"/>
          <w:spacing w:val="1"/>
        </w:rPr>
        <w:t> </w:t>
      </w:r>
      <w:r>
        <w:rPr/>
        <w:t>元计入商誉。 本公司管理层对因收购北京旗硕基业科技股份有限公司产生的商誉进行减值测试，考虑北京旗硕基业科技股份有限公</w:t>
      </w:r>
    </w:p>
    <w:p>
      <w:pPr>
        <w:pStyle w:val="BodyText"/>
        <w:spacing w:line="458" w:lineRule="auto" w:before="74"/>
        <w:ind w:right="1129"/>
        <w:jc w:val="left"/>
      </w:pPr>
      <w:r>
        <w:rPr/>
        <w:t>司主营业务明确并且单一，同时其主营业务或产品直接与市场衔接，由市场定价，符合资产组的相关要件，同时企业内不 再存在其他与北京旗硕基业科技股份有限公司相同条件的经营业务，因此将北京旗硕基业科技股份有限公司认定为一个资 产组，并以该资产组为基础进行商誉的减值测试。本公司采用收益法对</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日资产组未来预计产生的现金流量 现值进行估算，依据北京旗硕基业科技股份有限公司管理层制定的未来</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年财务预算及</w:t>
      </w:r>
      <w:r>
        <w:rPr>
          <w:spacing w:val="-47"/>
        </w:rPr>
        <w:t> </w:t>
      </w:r>
      <w:r>
        <w:rPr>
          <w:rFonts w:ascii="Times New Roman" w:hAnsi="Times New Roman" w:cs="Times New Roman" w:eastAsia="Times New Roman" w:hint="default"/>
        </w:rPr>
        <w:t>12.85%</w:t>
      </w:r>
      <w:r>
        <w:rPr/>
        <w:t>税前折现率预计未来现金流 量现值，超过</w:t>
      </w:r>
      <w:r>
        <w:rPr>
          <w:spacing w:val="-46"/>
        </w:rPr>
        <w:t> </w:t>
      </w:r>
      <w:r>
        <w:rPr>
          <w:rFonts w:ascii="Times New Roman" w:hAnsi="Times New Roman" w:cs="Times New Roman" w:eastAsia="Times New Roman" w:hint="default"/>
        </w:rPr>
        <w:t>5 </w:t>
      </w:r>
      <w:r>
        <w:rPr/>
        <w:t>年财务预算之后年份的现金流量均保持稳定。对北京旗硕基业科技股份有限公司预计未来现金流量现值的 计算采用了管理层根据历史经验及对未来市场发展的预测确定的预算毛利率及</w:t>
      </w:r>
      <w:r>
        <w:rPr>
          <w:spacing w:val="-46"/>
        </w:rPr>
        <w:t> </w:t>
      </w:r>
      <w:r>
        <w:rPr>
          <w:rFonts w:ascii="Times New Roman" w:hAnsi="Times New Roman" w:cs="Times New Roman" w:eastAsia="Times New Roman" w:hint="default"/>
        </w:rPr>
        <w:t>2.50%-30.00%</w:t>
      </w:r>
      <w:r>
        <w:rPr/>
        <w:t>的营业收入增长率作为关键假 设，确定依据是预算期间之前的历史情况及对市场发展的预测。减值测试后，未发现商誉需要计提减值的情况。</w:t>
      </w:r>
    </w:p>
    <w:p>
      <w:pPr>
        <w:pStyle w:val="BodyText"/>
        <w:spacing w:line="240" w:lineRule="auto" w:before="68"/>
        <w:ind w:left="513" w:right="0"/>
        <w:jc w:val="left"/>
      </w:pPr>
      <w:r>
        <w:rPr/>
        <w:t>注</w:t>
      </w:r>
      <w:r>
        <w:rPr>
          <w:spacing w:val="-46"/>
        </w:rPr>
        <w:t> </w:t>
      </w:r>
      <w:r>
        <w:rPr>
          <w:rFonts w:ascii="Times New Roman" w:hAnsi="Times New Roman" w:cs="Times New Roman" w:eastAsia="Times New Roman" w:hint="default"/>
        </w:rPr>
        <w:t>4</w:t>
      </w:r>
      <w:r>
        <w:rPr/>
        <w:t>：该商誉为本公司</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年（购买日</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2 </w:t>
      </w:r>
      <w:r>
        <w:rPr/>
        <w:t>日）非同一控制下收购华苏科技</w:t>
      </w:r>
      <w:r>
        <w:rPr>
          <w:spacing w:val="-45"/>
        </w:rPr>
        <w:t> </w:t>
      </w:r>
      <w:r>
        <w:rPr>
          <w:rFonts w:ascii="Times New Roman" w:hAnsi="Times New Roman" w:cs="Times New Roman" w:eastAsia="Times New Roman" w:hint="default"/>
        </w:rPr>
        <w:t>98.60%</w:t>
      </w:r>
      <w:r>
        <w:rPr/>
        <w:t>股权产生，合并对价</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1,183,184,287.50</w:t>
      </w:r>
      <w:r>
        <w:rPr>
          <w:rFonts w:ascii="Times New Roman" w:hAnsi="Times New Roman" w:cs="Times New Roman" w:eastAsia="Times New Roman" w:hint="default"/>
          <w:spacing w:val="-4"/>
        </w:rPr>
        <w:t> </w:t>
      </w:r>
      <w:r>
        <w:rPr/>
        <w:t>元，合并日华苏科技的可辨认净资产公允价值为</w:t>
      </w:r>
      <w:r>
        <w:rPr>
          <w:spacing w:val="-50"/>
        </w:rPr>
        <w:t> </w:t>
      </w:r>
      <w:r>
        <w:rPr>
          <w:rFonts w:ascii="Times New Roman" w:hAnsi="Times New Roman" w:cs="Times New Roman" w:eastAsia="Times New Roman" w:hint="default"/>
        </w:rPr>
        <w:t>315,224,570.54</w:t>
      </w:r>
      <w:r>
        <w:rPr>
          <w:rFonts w:ascii="Times New Roman" w:hAnsi="Times New Roman" w:cs="Times New Roman" w:eastAsia="Times New Roman" w:hint="default"/>
          <w:spacing w:val="-4"/>
        </w:rPr>
        <w:t> </w:t>
      </w:r>
      <w:r>
        <w:rPr/>
        <w:t>元，合并对价与应享受的华苏科技的可辨</w:t>
      </w:r>
    </w:p>
    <w:p>
      <w:pPr>
        <w:spacing w:line="240" w:lineRule="auto" w:before="9"/>
        <w:rPr>
          <w:rFonts w:ascii="宋体" w:hAnsi="宋体" w:cs="宋体" w:eastAsia="宋体" w:hint="default"/>
          <w:sz w:val="16"/>
          <w:szCs w:val="16"/>
        </w:rPr>
      </w:pPr>
    </w:p>
    <w:p>
      <w:pPr>
        <w:pStyle w:val="BodyText"/>
        <w:spacing w:line="451" w:lineRule="auto"/>
        <w:ind w:left="513" w:right="1213" w:hanging="360"/>
        <w:jc w:val="left"/>
      </w:pPr>
      <w:r>
        <w:rPr/>
        <w:t>认净资产公允价值</w:t>
      </w:r>
      <w:r>
        <w:rPr>
          <w:spacing w:val="-46"/>
        </w:rPr>
        <w:t> </w:t>
      </w:r>
      <w:r>
        <w:rPr>
          <w:rFonts w:ascii="Times New Roman" w:hAnsi="Times New Roman" w:cs="Times New Roman" w:eastAsia="Times New Roman" w:hint="default"/>
        </w:rPr>
        <w:t>310,807,299.12</w:t>
      </w:r>
      <w:r>
        <w:rPr>
          <w:rFonts w:ascii="Times New Roman" w:hAnsi="Times New Roman" w:cs="Times New Roman" w:eastAsia="Times New Roman" w:hint="default"/>
          <w:spacing w:val="2"/>
        </w:rPr>
        <w:t> </w:t>
      </w:r>
      <w:r>
        <w:rPr/>
        <w:t>元的差额</w:t>
      </w:r>
      <w:r>
        <w:rPr>
          <w:spacing w:val="-48"/>
        </w:rPr>
        <w:t> </w:t>
      </w:r>
      <w:r>
        <w:rPr>
          <w:rFonts w:ascii="Times New Roman" w:hAnsi="Times New Roman" w:cs="Times New Roman" w:eastAsia="Times New Roman" w:hint="default"/>
        </w:rPr>
        <w:t>872,376,988.38</w:t>
      </w:r>
      <w:r>
        <w:rPr>
          <w:rFonts w:ascii="Times New Roman" w:hAnsi="Times New Roman" w:cs="Times New Roman" w:eastAsia="Times New Roman" w:hint="default"/>
          <w:spacing w:val="2"/>
        </w:rPr>
        <w:t> </w:t>
      </w:r>
      <w:r>
        <w:rPr/>
        <w:t>元计入商誉。 本公司管理层对因收购华苏科技产生的商誉进行减值测试，考虑华苏科技主营业务明确并且单一，同时其主营业务或</w:t>
      </w:r>
    </w:p>
    <w:p>
      <w:pPr>
        <w:pStyle w:val="BodyText"/>
        <w:spacing w:line="456" w:lineRule="auto" w:before="74"/>
        <w:ind w:right="1129"/>
        <w:jc w:val="left"/>
      </w:pPr>
      <w:r>
        <w:rPr/>
        <w:t>产品直接与市场衔接，由市场定价，符合资产组的相关要件，同时企业内不再存在其他与华苏科技相同条件的经营业务， 因此将华苏科技认定为一个资产组，并以该资产组为基础进行商誉的减值测试。本公司采用收益法对</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日资 </w:t>
      </w:r>
      <w:r>
        <w:rPr/>
        <w:t>产组未来预计产生的现金流量现值进行估算，依据华苏科技管理层制定的未来</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年财务预算及</w:t>
      </w:r>
      <w:r>
        <w:rPr>
          <w:spacing w:val="-46"/>
        </w:rPr>
        <w:t> </w:t>
      </w:r>
      <w:r>
        <w:rPr>
          <w:rFonts w:ascii="Times New Roman" w:hAnsi="Times New Roman" w:cs="Times New Roman" w:eastAsia="Times New Roman" w:hint="default"/>
        </w:rPr>
        <w:t>13.07%</w:t>
      </w:r>
      <w:r>
        <w:rPr/>
        <w:t>税前折现率预计未来 现金流量现值，超过</w:t>
      </w:r>
      <w:r>
        <w:rPr>
          <w:spacing w:val="-46"/>
        </w:rPr>
        <w:t> </w:t>
      </w:r>
      <w:r>
        <w:rPr>
          <w:rFonts w:ascii="Times New Roman" w:hAnsi="Times New Roman" w:cs="Times New Roman" w:eastAsia="Times New Roman" w:hint="default"/>
        </w:rPr>
        <w:t>5 </w:t>
      </w:r>
      <w:r>
        <w:rPr/>
        <w:t>年财务预算之后年份的现金流量均保持稳定。对华苏科技预计未来现金流量现值的计算采用了管理 层根据历史经验及对未来市场发展的预测确定的预算毛利率及</w:t>
      </w:r>
      <w:r>
        <w:rPr>
          <w:spacing w:val="-46"/>
        </w:rPr>
        <w:t> </w:t>
      </w:r>
      <w:r>
        <w:rPr>
          <w:rFonts w:ascii="Times New Roman" w:hAnsi="Times New Roman" w:cs="Times New Roman" w:eastAsia="Times New Roman" w:hint="default"/>
        </w:rPr>
        <w:t>2.50%-18.00%</w:t>
      </w:r>
      <w:r>
        <w:rPr/>
        <w:t>的营业收入增长率作为关键假设，确定依据是 预算期间之前的历史情况及对市场发展的预测。减值测试后，未发现商誉需要计提减值的情况。</w:t>
      </w:r>
    </w:p>
    <w:p>
      <w:pPr>
        <w:pStyle w:val="BodyText"/>
        <w:spacing w:line="451" w:lineRule="auto" w:before="70"/>
        <w:ind w:right="2035" w:firstLine="360"/>
        <w:jc w:val="left"/>
      </w:pPr>
      <w:r>
        <w:rPr/>
        <w:t>注</w:t>
      </w:r>
      <w:r>
        <w:rPr>
          <w:spacing w:val="-46"/>
        </w:rPr>
        <w:t> </w:t>
      </w:r>
      <w:r>
        <w:rPr>
          <w:rFonts w:ascii="Times New Roman" w:hAnsi="Times New Roman" w:cs="Times New Roman" w:eastAsia="Times New Roman" w:hint="default"/>
        </w:rPr>
        <w:t>5</w:t>
      </w:r>
      <w:r>
        <w:rPr/>
        <w:t>：该商誉为本公司</w:t>
      </w:r>
      <w:r>
        <w:rPr>
          <w:spacing w:val="-45"/>
        </w:rPr>
        <w:t> </w:t>
      </w:r>
      <w:r>
        <w:rPr>
          <w:rFonts w:ascii="Times New Roman" w:hAnsi="Times New Roman" w:cs="Times New Roman" w:eastAsia="Times New Roman" w:hint="default"/>
        </w:rPr>
        <w:t>2018 </w:t>
      </w:r>
      <w:r>
        <w:rPr/>
        <w:t>年非同一控制下收购西安远景信息技术有限公司</w:t>
      </w:r>
      <w:r>
        <w:rPr>
          <w:spacing w:val="-46"/>
        </w:rPr>
        <w:t> </w:t>
      </w:r>
      <w:r>
        <w:rPr>
          <w:rFonts w:ascii="Times New Roman" w:hAnsi="Times New Roman" w:cs="Times New Roman" w:eastAsia="Times New Roman" w:hint="default"/>
        </w:rPr>
        <w:t>100.00%</w:t>
      </w:r>
      <w:r>
        <w:rPr/>
        <w:t>股权产生，合并对价 </w:t>
      </w:r>
      <w:r>
        <w:rPr>
          <w:rFonts w:ascii="Times New Roman" w:hAnsi="Times New Roman" w:cs="Times New Roman" w:eastAsia="Times New Roman" w:hint="default"/>
        </w:rPr>
        <w:t>10,000,000.00</w:t>
      </w:r>
      <w:r>
        <w:rPr>
          <w:rFonts w:ascii="Times New Roman" w:hAnsi="Times New Roman" w:cs="Times New Roman" w:eastAsia="Times New Roman" w:hint="default"/>
          <w:spacing w:val="-2"/>
        </w:rPr>
        <w:t> </w:t>
      </w:r>
      <w:r>
        <w:rPr/>
        <w:t>元，合并日西安远景的可辨认净资产公允价值为</w:t>
      </w:r>
      <w:r>
        <w:rPr>
          <w:spacing w:val="-48"/>
        </w:rPr>
        <w:t> </w:t>
      </w:r>
      <w:r>
        <w:rPr>
          <w:rFonts w:ascii="Times New Roman" w:hAnsi="Times New Roman" w:cs="Times New Roman" w:eastAsia="Times New Roman" w:hint="default"/>
        </w:rPr>
        <w:t>4,081,320.09</w:t>
      </w:r>
      <w:r>
        <w:rPr>
          <w:rFonts w:ascii="Times New Roman" w:hAnsi="Times New Roman" w:cs="Times New Roman" w:eastAsia="Times New Roman" w:hint="default"/>
          <w:spacing w:val="-2"/>
        </w:rPr>
        <w:t> </w:t>
      </w:r>
      <w:r>
        <w:rPr/>
        <w:t>元，差额</w:t>
      </w:r>
      <w:r>
        <w:rPr>
          <w:spacing w:val="-48"/>
        </w:rPr>
        <w:t> </w:t>
      </w:r>
      <w:r>
        <w:rPr>
          <w:rFonts w:ascii="Times New Roman" w:hAnsi="Times New Roman" w:cs="Times New Roman" w:eastAsia="Times New Roman" w:hint="default"/>
        </w:rPr>
        <w:t>5,918,679.91</w:t>
      </w:r>
      <w:r>
        <w:rPr>
          <w:rFonts w:ascii="Times New Roman" w:hAnsi="Times New Roman" w:cs="Times New Roman" w:eastAsia="Times New Roman" w:hint="default"/>
          <w:spacing w:val="-2"/>
        </w:rPr>
        <w:t> </w:t>
      </w:r>
      <w:r>
        <w:rPr/>
        <w:t>元计入商誉。</w:t>
      </w:r>
    </w:p>
    <w:p>
      <w:pPr>
        <w:pStyle w:val="BodyText"/>
        <w:spacing w:line="477" w:lineRule="auto" w:before="43"/>
        <w:ind w:right="1138" w:firstLine="360"/>
        <w:jc w:val="both"/>
      </w:pPr>
      <w:r>
        <w:rPr/>
        <w:t>本公司管理层对因收购西安远景信息技术有限公司产生的商誉进行减值测试，考虑西安远景信息技术有限公司主营业 务明确并且单一，同时其主营业务或产品直接与市场衔接，由市场定价，符合资产组的相关要件，同时企业内不再存在其 他与西安远景信息技术有限公司相同条件的经营业务，因此将西安远景信息技术有限公司认定为一个资产组，并以该资产 组为基础进行商誉的减值测试。本公司采用收益法对</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日资产组未来预计产生的现金流量现值进行估算，依</w:t>
      </w:r>
    </w:p>
    <w:p>
      <w:pPr>
        <w:pStyle w:val="BodyText"/>
        <w:spacing w:line="451" w:lineRule="auto" w:before="21"/>
        <w:ind w:right="1159"/>
        <w:jc w:val="left"/>
      </w:pPr>
      <w:r>
        <w:rPr/>
        <w:t>据西安远景信息技术有限公司管理层制定的未来</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年财务预算及</w:t>
      </w:r>
      <w:r>
        <w:rPr>
          <w:spacing w:val="-47"/>
        </w:rPr>
        <w:t> </w:t>
      </w:r>
      <w:r>
        <w:rPr>
          <w:rFonts w:ascii="Times New Roman" w:hAnsi="Times New Roman" w:cs="Times New Roman" w:eastAsia="Times New Roman" w:hint="default"/>
        </w:rPr>
        <w:t>14.04%</w:t>
      </w:r>
      <w:r>
        <w:rPr/>
        <w:t>税前折现率预计未来现金流量现值，超过</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年财务 预算之后年份的现金流量均保持稳定。对西安远景信息技术有限公司预计未来现金流量现值的计算采用了管理层根据历史</w:t>
      </w:r>
    </w:p>
    <w:p>
      <w:pPr>
        <w:spacing w:after="0" w:line="451"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51" w:lineRule="auto" w:before="44"/>
        <w:ind w:right="1170"/>
        <w:jc w:val="left"/>
      </w:pPr>
      <w:r>
        <w:rPr/>
        <w:t>经验及对未来市场发展的预测确定的预算毛利率及</w:t>
      </w:r>
      <w:r>
        <w:rPr>
          <w:spacing w:val="-47"/>
        </w:rPr>
        <w:t> </w:t>
      </w:r>
      <w:r>
        <w:rPr>
          <w:rFonts w:ascii="Times New Roman" w:hAnsi="Times New Roman" w:cs="Times New Roman" w:eastAsia="Times New Roman" w:hint="default"/>
        </w:rPr>
        <w:t>2.50%-47.00%</w:t>
      </w:r>
      <w:r>
        <w:rPr/>
        <w:t>的营业收入增长率作为关键假设，确定依据是预算期间之 前的历史情况及对市场发展的预测。减值测试后，未发现商誉需要计提减值的情况。</w:t>
      </w:r>
    </w:p>
    <w:p>
      <w:pPr>
        <w:pStyle w:val="BodyText"/>
        <w:spacing w:line="451" w:lineRule="auto" w:before="74"/>
        <w:ind w:right="1201" w:firstLine="360"/>
        <w:jc w:val="left"/>
      </w:pPr>
      <w:r>
        <w:rPr/>
        <w:t>注</w:t>
      </w:r>
      <w:r>
        <w:rPr>
          <w:spacing w:val="-46"/>
        </w:rPr>
        <w:t> </w:t>
      </w:r>
      <w:r>
        <w:rPr>
          <w:rFonts w:ascii="Times New Roman" w:hAnsi="Times New Roman" w:cs="Times New Roman" w:eastAsia="Times New Roman" w:hint="default"/>
        </w:rPr>
        <w:t>6</w:t>
      </w:r>
      <w:r>
        <w:rPr/>
        <w:t>：该商誉为中农信达</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年非同一控制下收购神州土地（北京）信息技术有限公司</w:t>
      </w:r>
      <w:r>
        <w:rPr>
          <w:spacing w:val="-45"/>
        </w:rPr>
        <w:t> </w:t>
      </w:r>
      <w:r>
        <w:rPr>
          <w:rFonts w:ascii="Times New Roman" w:hAnsi="Times New Roman" w:cs="Times New Roman" w:eastAsia="Times New Roman" w:hint="default"/>
        </w:rPr>
        <w:t>100.00%</w:t>
      </w:r>
      <w:r>
        <w:rPr/>
        <w:t>股权产生，合并对价 </w:t>
      </w:r>
      <w:r>
        <w:rPr>
          <w:rFonts w:ascii="Times New Roman" w:hAnsi="Times New Roman" w:cs="Times New Roman" w:eastAsia="Times New Roman" w:hint="default"/>
        </w:rPr>
        <w:t>47,459,244.43 </w:t>
      </w:r>
      <w:r>
        <w:rPr/>
        <w:t>元，合并日神州土地（北京）信息技术有限公司的可辨认净资产公允价值为</w:t>
      </w:r>
      <w:r>
        <w:rPr>
          <w:rFonts w:ascii="Times New Roman" w:hAnsi="Times New Roman" w:cs="Times New Roman" w:eastAsia="Times New Roman" w:hint="default"/>
        </w:rPr>
        <w:t>-12,213,756.27</w:t>
      </w:r>
      <w:r>
        <w:rPr>
          <w:rFonts w:ascii="Times New Roman" w:hAnsi="Times New Roman" w:cs="Times New Roman" w:eastAsia="Times New Roman" w:hint="default"/>
          <w:spacing w:val="-6"/>
        </w:rPr>
        <w:t> </w:t>
      </w:r>
      <w:r>
        <w:rPr/>
        <w:t>元，差额</w:t>
      </w:r>
    </w:p>
    <w:p>
      <w:pPr>
        <w:pStyle w:val="BodyText"/>
        <w:spacing w:line="451" w:lineRule="auto" w:before="43"/>
        <w:ind w:left="513" w:right="1213" w:hanging="360"/>
        <w:jc w:val="left"/>
      </w:pPr>
      <w:r>
        <w:rPr>
          <w:rFonts w:ascii="Times New Roman" w:hAnsi="Times New Roman" w:cs="Times New Roman" w:eastAsia="Times New Roman" w:hint="default"/>
        </w:rPr>
        <w:t>59,673,000.70</w:t>
      </w:r>
      <w:r>
        <w:rPr>
          <w:rFonts w:ascii="Times New Roman" w:hAnsi="Times New Roman" w:cs="Times New Roman" w:eastAsia="Times New Roman" w:hint="default"/>
          <w:spacing w:val="2"/>
        </w:rPr>
        <w:t> </w:t>
      </w:r>
      <w:r>
        <w:rPr/>
        <w:t>元计入商誉。 本公司管理层对因收购神州土地（北京）信息技术有限公司产生的商誉进行减值测试，考虑神州土地（北京）信息技</w:t>
      </w:r>
    </w:p>
    <w:p>
      <w:pPr>
        <w:pStyle w:val="BodyText"/>
        <w:spacing w:line="463" w:lineRule="auto" w:before="74"/>
        <w:ind w:right="1131"/>
        <w:jc w:val="left"/>
      </w:pPr>
      <w:r>
        <w:rPr/>
        <w:t>术有限公司主营业务明确并且单一，同时其主营业务或产品直接与市场衔接，由市场定价，符合资产组的相关要件，同时 企业内不再存在其他与神州土地（北京）信息技术有限公司相同条件的经营业务，因此将神州土地（北京）信息技术有限 公司认定为一个资产组，并以该资产组为基础进行商誉的减值测试。本公司采用收益法对</w:t>
      </w:r>
      <w:r>
        <w:rPr>
          <w:spacing w:val="-45"/>
        </w:rPr>
        <w:t> </w:t>
      </w:r>
      <w:r>
        <w:rPr>
          <w:rFonts w:ascii="Times New Roman" w:hAnsi="Times New Roman" w:cs="Times New Roman" w:eastAsia="Times New Roman" w:hint="default"/>
        </w:rPr>
        <w:t>2019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日资产组未来预 计产生的现金流量现值进行估算，依据神州土地（北京）信息技术有限公司管理层制定的未来</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年财务预算及</w:t>
      </w:r>
      <w:r>
        <w:rPr>
          <w:spacing w:val="-49"/>
        </w:rPr>
        <w:t> </w:t>
      </w:r>
      <w:r>
        <w:rPr>
          <w:rFonts w:ascii="Times New Roman" w:hAnsi="Times New Roman" w:cs="Times New Roman" w:eastAsia="Times New Roman" w:hint="default"/>
        </w:rPr>
        <w:t>14.70%</w:t>
      </w:r>
      <w:r>
        <w:rPr/>
        <w:t>税前</w:t>
      </w:r>
      <w:r>
        <w:rPr>
          <w:spacing w:val="-3"/>
        </w:rPr>
        <w:t> </w:t>
      </w:r>
      <w:r>
        <w:rPr/>
        <w:t>折现率预计未来现金流量现值，超过</w:t>
      </w:r>
      <w:r>
        <w:rPr>
          <w:spacing w:val="-45"/>
        </w:rPr>
        <w:t> </w:t>
      </w:r>
      <w:r>
        <w:rPr>
          <w:rFonts w:ascii="Times New Roman" w:hAnsi="Times New Roman" w:cs="Times New Roman" w:eastAsia="Times New Roman" w:hint="default"/>
        </w:rPr>
        <w:t>5 </w:t>
      </w:r>
      <w:r>
        <w:rPr/>
        <w:t>年财务预算之后年份的现金流量均保持稳定。对神州土地（北京）信息技术有限公 司预计未来现金流量现值的计算采用了管理层根据历史经验及对未来市场发展的预测确定的预算毛利率及</w:t>
      </w:r>
      <w:r>
        <w:rPr>
          <w:spacing w:val="-47"/>
        </w:rPr>
        <w:t> </w:t>
      </w:r>
      <w:r>
        <w:rPr>
          <w:rFonts w:ascii="Times New Roman" w:hAnsi="Times New Roman" w:cs="Times New Roman" w:eastAsia="Times New Roman" w:hint="default"/>
        </w:rPr>
        <w:t>0.00%-43.67%</w:t>
      </w:r>
      <w:r>
        <w:rPr/>
        <w:t>的 营业收入增长率作为关键假设，确定依据是预算期间之前的历史情况及对市场发展的预测。减值测试后，未发现商誉需要 计提减值的情况。</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18,604,952.95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1,515,028.79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6,900,260.89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13,219,720.85</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办公家具及装配</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4,927,212.60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1,133,994.55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2,658,972.57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17,721.07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3,384,513.51</w:t>
            </w:r>
          </w:p>
        </w:tc>
      </w:tr>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23,532,165.55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2,649,023.34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9,559,233.46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17,721.07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16,604,234.36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34" w:hRule="exact"/>
        </w:trPr>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1910"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6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61" w:right="0"/>
              <w:jc w:val="left"/>
              <w:rPr>
                <w:rFonts w:ascii="Times New Roman" w:hAnsi="Times New Roman" w:cs="Times New Roman" w:eastAsia="Times New Roman" w:hint="default"/>
                <w:sz w:val="18"/>
                <w:szCs w:val="18"/>
              </w:rPr>
            </w:pPr>
            <w:r>
              <w:rPr>
                <w:rFonts w:ascii="Times New Roman"/>
                <w:sz w:val="18"/>
              </w:rPr>
              <w:t>582,699,643.20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47" w:right="0"/>
              <w:jc w:val="left"/>
              <w:rPr>
                <w:rFonts w:ascii="Times New Roman" w:hAnsi="Times New Roman" w:cs="Times New Roman" w:eastAsia="Times New Roman" w:hint="default"/>
                <w:sz w:val="18"/>
                <w:szCs w:val="18"/>
              </w:rPr>
            </w:pPr>
            <w:r>
              <w:rPr>
                <w:rFonts w:ascii="Times New Roman"/>
                <w:sz w:val="18"/>
              </w:rPr>
              <w:t>79,564,531.44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484,772,844.85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83,118,798.75</w:t>
            </w:r>
          </w:p>
        </w:tc>
      </w:tr>
      <w:tr>
        <w:trPr>
          <w:trHeight w:val="466"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1,906,280.27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383,426.91</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71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与子公司投资相关的可 抵扣暂时性差异</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175,255,527.20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26,288,329.08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175,255,527.20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26,288,329.08</w:t>
            </w:r>
          </w:p>
        </w:tc>
      </w:tr>
      <w:tr>
        <w:trPr>
          <w:trHeight w:val="466"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长期资产折旧或摊销</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44,907,780.67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6,172,643.55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31,845,483.65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4,977,859.36</w:t>
            </w:r>
          </w:p>
        </w:tc>
      </w:tr>
      <w:tr>
        <w:trPr>
          <w:trHeight w:val="46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8,168,994.00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1,078,426.55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3,628,255.03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544,238.25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4,535,900.00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1,133,975.00</w:t>
            </w:r>
          </w:p>
        </w:tc>
      </w:tr>
      <w:tr>
        <w:trPr>
          <w:trHeight w:val="466"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814,660,200.10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113,648,168.87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698,316,035.97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115,902,389.10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8"/>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52" w:hRule="exact"/>
        </w:trPr>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58" w:hRule="exact"/>
        </w:trPr>
        <w:tc>
          <w:tcPr>
            <w:tcW w:w="1910"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38,541,841.56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3,854,184.15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50,345,826.93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5,176,666.04</w:t>
            </w:r>
          </w:p>
        </w:tc>
      </w:tr>
      <w:tr>
        <w:trPr>
          <w:trHeight w:val="46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金融工具公允价值变动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25,557,408.67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6,250,305.55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40,484,996.00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10,121,249.00</w:t>
            </w: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长期股权投资公允价值 与账面价值的差额</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84,369,375.00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12,655,406.25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84,369,375.00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12,655,406.25</w:t>
            </w:r>
          </w:p>
        </w:tc>
      </w:tr>
      <w:tr>
        <w:trPr>
          <w:trHeight w:val="46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148,468,625.23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22,759,895.95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175,200,197.93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27,953,321.29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7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5" w:right="51"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48"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66"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423,706.84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113,224,462.03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115,902,389.10</w:t>
            </w:r>
          </w:p>
        </w:tc>
      </w:tr>
      <w:tr>
        <w:trPr>
          <w:trHeight w:val="46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423,706.84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22,336,189.11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27,953,321.29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3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2" w:type="dxa"/>
            <w:tcBorders>
              <w:top w:val="single" w:sz="16" w:space="0" w:color="D2D2D2"/>
              <w:left w:val="single" w:sz="4" w:space="0" w:color="000000"/>
              <w:bottom w:val="single" w:sz="4" w:space="0" w:color="000000"/>
              <w:right w:val="single" w:sz="4" w:space="0" w:color="000000"/>
            </w:tcBorders>
          </w:tcPr>
          <w:p>
            <w:pPr/>
          </w:p>
        </w:tc>
        <w:tc>
          <w:tcPr>
            <w:tcW w:w="319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5,007,642.71</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517,828,771.74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1,240,716,027.62</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434,650,740.09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420,358,937.94</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042" w:right="0"/>
              <w:jc w:val="left"/>
              <w:rPr>
                <w:rFonts w:ascii="Times New Roman" w:hAnsi="Times New Roman" w:cs="Times New Roman" w:eastAsia="Times New Roman" w:hint="default"/>
                <w:sz w:val="18"/>
                <w:szCs w:val="18"/>
              </w:rPr>
            </w:pPr>
            <w:r>
              <w:rPr>
                <w:rFonts w:ascii="Times New Roman"/>
                <w:sz w:val="18"/>
              </w:rPr>
              <w:t>952,479,511.83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896" w:right="0"/>
              <w:jc w:val="left"/>
              <w:rPr>
                <w:rFonts w:ascii="Times New Roman" w:hAnsi="Times New Roman" w:cs="Times New Roman" w:eastAsia="Times New Roman" w:hint="default"/>
                <w:sz w:val="18"/>
                <w:szCs w:val="18"/>
              </w:rPr>
            </w:pPr>
            <w:r>
              <w:rPr>
                <w:rFonts w:ascii="Times New Roman"/>
                <w:sz w:val="18"/>
              </w:rPr>
              <w:t>1,666,082,608.27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19</w:t>
      </w:r>
      <w:r>
        <w:rPr/>
        <w:t>、应付票据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3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237,436,469.60</w:t>
            </w:r>
          </w:p>
        </w:tc>
        <w:tc>
          <w:tcPr>
            <w:tcW w:w="319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205,472,679.21</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454,195,244.81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297,928,502.95</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691,631,714.41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503,401,182.16</w:t>
            </w: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20</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4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1" w:hRule="exact"/>
        </w:trPr>
        <w:tc>
          <w:tcPr>
            <w:tcW w:w="3188" w:type="dxa"/>
            <w:tcBorders>
              <w:top w:val="single" w:sz="16" w:space="0" w:color="D2D2D2"/>
              <w:left w:val="single" w:sz="4" w:space="0" w:color="000000"/>
              <w:bottom w:val="single" w:sz="16" w:space="0" w:color="D2D2D2"/>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货款及服务款等</w:t>
            </w:r>
          </w:p>
        </w:tc>
        <w:tc>
          <w:tcPr>
            <w:tcW w:w="319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2,039,020,530.75</w:t>
            </w:r>
          </w:p>
        </w:tc>
        <w:tc>
          <w:tcPr>
            <w:tcW w:w="319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1,757,615,905.90</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2,039,020,530.75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1,757,615,905.90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4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81" w:hRule="exact"/>
        </w:trPr>
        <w:tc>
          <w:tcPr>
            <w:tcW w:w="318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319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28,959,641.51</w:t>
            </w:r>
          </w:p>
        </w:tc>
        <w:tc>
          <w:tcPr>
            <w:tcW w:w="319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8,059,710.00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7,590,098.63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7,391,042.84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6,563,215.00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58,563,707.98</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21</w:t>
      </w:r>
      <w:r>
        <w:rPr/>
        <w:t>、预收款项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7"/>
        <w:ind w:right="0"/>
        <w:jc w:val="left"/>
      </w:pPr>
      <w:r>
        <w:rPr/>
        <w:t>□ 是 √</w:t>
      </w:r>
      <w:r>
        <w:rPr>
          <w:spacing w:val="3"/>
        </w:rPr>
        <w:t> </w:t>
      </w:r>
      <w:r>
        <w:rPr/>
        <w:t>否</w:t>
      </w:r>
    </w:p>
    <w:p>
      <w:pPr>
        <w:spacing w:after="0" w:line="240" w:lineRule="auto"/>
        <w:jc w:val="left"/>
        <w:sectPr>
          <w:pgSz w:w="11910" w:h="16840"/>
          <w:pgMar w:header="916" w:footer="1261" w:top="112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5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货款及服务款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844,954,400.03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1,050,093,691.53</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844,954,400.03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1,050,093,691.53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4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K</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36,113,457.33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项目未结转</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18,358,030.11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项目未结转</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Q</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7,299,526.90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项目未结转</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R</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7,232,580.29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项目未结转</w:t>
            </w:r>
          </w:p>
        </w:tc>
      </w:tr>
      <w:tr>
        <w:trPr>
          <w:trHeight w:val="463" w:hRule="exact"/>
        </w:trPr>
        <w:tc>
          <w:tcPr>
            <w:tcW w:w="3188"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3,430,000.00</w:t>
            </w:r>
          </w:p>
        </w:tc>
        <w:tc>
          <w:tcPr>
            <w:tcW w:w="3191"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项目未结转</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72,433,594.63</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679"/>
        <w:gridCol w:w="1724"/>
        <w:gridCol w:w="1721"/>
        <w:gridCol w:w="1724"/>
        <w:gridCol w:w="1724"/>
      </w:tblGrid>
      <w:tr>
        <w:trPr>
          <w:trHeight w:val="466"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63"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334,964,547.77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1,594,104,792.12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1,526,231,232.96</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402,838,106.93</w:t>
            </w:r>
          </w:p>
        </w:tc>
      </w:tr>
      <w:tr>
        <w:trPr>
          <w:trHeight w:val="463"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4,604,133.21</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140,572,469.11</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140,884,037.93</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4,292,564.39</w:t>
            </w:r>
          </w:p>
        </w:tc>
      </w:tr>
      <w:tr>
        <w:trPr>
          <w:trHeight w:val="466"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2,514,147.54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9,680,695.44</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10,937,960.98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1,256,882.00</w:t>
            </w:r>
          </w:p>
        </w:tc>
      </w:tr>
      <w:tr>
        <w:trPr>
          <w:trHeight w:val="464"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342,082,828.52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7"/>
              <w:jc w:val="right"/>
              <w:rPr>
                <w:rFonts w:ascii="Times New Roman" w:hAnsi="Times New Roman" w:cs="Times New Roman" w:eastAsia="Times New Roman" w:hint="default"/>
                <w:sz w:val="18"/>
                <w:szCs w:val="18"/>
              </w:rPr>
            </w:pPr>
            <w:r>
              <w:rPr>
                <w:rFonts w:ascii="Times New Roman"/>
                <w:spacing w:val="-1"/>
                <w:sz w:val="18"/>
              </w:rPr>
              <w:t>1,744,357,956.67</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7"/>
              <w:jc w:val="right"/>
              <w:rPr>
                <w:rFonts w:ascii="Times New Roman" w:hAnsi="Times New Roman" w:cs="Times New Roman" w:eastAsia="Times New Roman" w:hint="default"/>
                <w:sz w:val="18"/>
                <w:szCs w:val="18"/>
              </w:rPr>
            </w:pPr>
            <w:r>
              <w:rPr>
                <w:rFonts w:ascii="Times New Roman"/>
                <w:spacing w:val="-1"/>
                <w:sz w:val="18"/>
              </w:rPr>
              <w:t>1,678,053,231.87</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408,387,553.32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679"/>
        <w:gridCol w:w="1724"/>
        <w:gridCol w:w="1721"/>
        <w:gridCol w:w="1724"/>
        <w:gridCol w:w="1724"/>
      </w:tblGrid>
      <w:tr>
        <w:trPr>
          <w:trHeight w:val="463"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9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9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63"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66" w:right="0"/>
              <w:jc w:val="left"/>
              <w:rPr>
                <w:rFonts w:ascii="Times New Roman" w:hAnsi="Times New Roman" w:cs="Times New Roman" w:eastAsia="Times New Roman" w:hint="default"/>
                <w:sz w:val="18"/>
                <w:szCs w:val="18"/>
              </w:rPr>
            </w:pPr>
            <w:r>
              <w:rPr>
                <w:rFonts w:ascii="Times New Roman"/>
                <w:sz w:val="18"/>
              </w:rPr>
              <w:t>314,319,835.57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1,357,853,786.40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1,289,631,605.22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566" w:right="0"/>
              <w:jc w:val="left"/>
              <w:rPr>
                <w:rFonts w:ascii="Times New Roman" w:hAnsi="Times New Roman" w:cs="Times New Roman" w:eastAsia="Times New Roman" w:hint="default"/>
                <w:sz w:val="18"/>
                <w:szCs w:val="18"/>
              </w:rPr>
            </w:pPr>
            <w:r>
              <w:rPr>
                <w:rFonts w:ascii="Times New Roman"/>
                <w:sz w:val="18"/>
              </w:rPr>
              <w:t>382,542,016.75</w:t>
            </w:r>
          </w:p>
        </w:tc>
      </w:tr>
      <w:tr>
        <w:trPr>
          <w:trHeight w:val="466"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24" w:type="dxa"/>
            <w:tcBorders>
              <w:top w:val="single" w:sz="4" w:space="0" w:color="000000"/>
              <w:left w:val="single" w:sz="4" w:space="0" w:color="000000"/>
              <w:bottom w:val="single" w:sz="4" w:space="0" w:color="000000"/>
              <w:right w:val="single" w:sz="4" w:space="0" w:color="000000"/>
            </w:tcBorders>
          </w:tcPr>
          <w:p>
            <w:pP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57,947,819.41</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57,947,819.41</w:t>
            </w:r>
          </w:p>
        </w:tc>
        <w:tc>
          <w:tcPr>
            <w:tcW w:w="172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80"/>
          <w:pgSz w:w="11910" w:h="16840"/>
          <w:pgMar w:footer="1261" w:header="916"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2679"/>
        <w:gridCol w:w="1724"/>
        <w:gridCol w:w="1721"/>
        <w:gridCol w:w="1724"/>
        <w:gridCol w:w="1724"/>
      </w:tblGrid>
      <w:tr>
        <w:trPr>
          <w:trHeight w:val="464"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2,588,392.58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80,095,901.77</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79,795,954.37</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2,888,339.98</w:t>
            </w:r>
          </w:p>
        </w:tc>
      </w:tr>
      <w:tr>
        <w:trPr>
          <w:trHeight w:val="466"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2,344,425.47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71,516,196.76</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71,237,289.19</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2,623,333.04</w:t>
            </w:r>
          </w:p>
        </w:tc>
      </w:tr>
      <w:tr>
        <w:trPr>
          <w:trHeight w:val="463"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工伤保险费</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56,980.78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1,955,901.05</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1,957,441.40</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55,440.43</w:t>
            </w:r>
          </w:p>
        </w:tc>
      </w:tr>
      <w:tr>
        <w:trPr>
          <w:trHeight w:val="463"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生育保险费</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186,986.33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6,623,803.96</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6,601,223.78</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209,566.51</w:t>
            </w:r>
          </w:p>
        </w:tc>
      </w:tr>
      <w:tr>
        <w:trPr>
          <w:trHeight w:val="466"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34,839.00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83,890,138.57</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83,896,961.57</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28,016.00</w:t>
            </w:r>
          </w:p>
        </w:tc>
      </w:tr>
      <w:tr>
        <w:trPr>
          <w:trHeight w:val="463"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18,021,480.62</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14,317,145.97</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14,958,892.39</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17,379,734.20</w:t>
            </w:r>
          </w:p>
        </w:tc>
      </w:tr>
      <w:tr>
        <w:trPr>
          <w:trHeight w:val="463"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334,964,547.77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1,594,104,792.12</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1,526,231,232.96</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402,838,106.93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6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66"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4,420,469.55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135,236,920.01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135,566,818.68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4,090,570.88</w:t>
            </w:r>
          </w:p>
        </w:tc>
      </w:tr>
      <w:tr>
        <w:trPr>
          <w:trHeight w:val="46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183,663.66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5,276,210.53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5,257,880.68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201,993.51</w:t>
            </w:r>
          </w:p>
        </w:tc>
      </w:tr>
      <w:tr>
        <w:trPr>
          <w:trHeight w:val="46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59,338.57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59,338.57</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4,604,133.21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140,572,469.11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140,884,037.93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4,292,564.39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4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82,483,408.85</w:t>
            </w:r>
          </w:p>
        </w:tc>
        <w:tc>
          <w:tcPr>
            <w:tcW w:w="319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65,452,068.12</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41,635,317.62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33,937,601.68</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6,026,382.46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5,297,948.57</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5,798,373.42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4,245,764.25</w:t>
            </w:r>
          </w:p>
        </w:tc>
      </w:tr>
      <w:tr>
        <w:trPr>
          <w:trHeight w:val="466" w:hRule="exact"/>
        </w:trPr>
        <w:tc>
          <w:tcPr>
            <w:tcW w:w="318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2,506,617.19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1,816,532.17</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1,671,078.18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1,210,102.59</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542,198.40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553,374.50</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404,441.17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397,432.45</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141,067,817.29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112,910,824.33</w:t>
            </w:r>
          </w:p>
        </w:tc>
      </w:tr>
    </w:tbl>
    <w:p>
      <w:pPr>
        <w:spacing w:after="0" w:line="240" w:lineRule="auto"/>
        <w:jc w:val="right"/>
        <w:rPr>
          <w:rFonts w:ascii="Times New Roman" w:hAnsi="Times New Roman" w:cs="Times New Roman" w:eastAsia="Times New Roman" w:hint="default"/>
          <w:sz w:val="18"/>
          <w:szCs w:val="18"/>
        </w:rPr>
        <w:sectPr>
          <w:footerReference w:type="default" r:id="rId81"/>
          <w:pgSz w:w="11910" w:h="16840"/>
          <w:pgMar w:footer="1261" w:header="916" w:top="1120" w:bottom="1460" w:left="980" w:right="0"/>
          <w:pgNumType w:start="201"/>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24</w:t>
      </w:r>
      <w:r>
        <w:rPr/>
        <w:t>、其他应付款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3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228,863,269.22</w:t>
            </w:r>
          </w:p>
        </w:tc>
        <w:tc>
          <w:tcPr>
            <w:tcW w:w="319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123,165,753.74</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228,863,269.22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123,165,753.74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）其他应付款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待支付款项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169,911,800.08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2"/>
                <w:sz w:val="18"/>
              </w:rPr>
              <w:t>111,103,827.52</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5,499,275.49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6,419,905.62</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9,354,443.65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5,642,020.60</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44,097,750.00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228,863,269.22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123,165,753.74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25</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4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45,059,375.00</w:t>
            </w:r>
          </w:p>
        </w:tc>
        <w:tc>
          <w:tcPr>
            <w:tcW w:w="319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20,026,388.89</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45,059,375.00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20,026,388.89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26</w:t>
      </w:r>
      <w:r>
        <w:rPr/>
        <w:t>、长期借款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3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12" w:space="0" w:color="D2D2D2"/>
              <w:left w:val="single" w:sz="4" w:space="0" w:color="000000"/>
              <w:bottom w:val="single" w:sz="4" w:space="0" w:color="000000"/>
              <w:right w:val="single" w:sz="4" w:space="0" w:color="000000"/>
            </w:tcBorders>
          </w:tcPr>
          <w:p>
            <w:pPr/>
          </w:p>
        </w:tc>
        <w:tc>
          <w:tcPr>
            <w:tcW w:w="319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45,059,375.00</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45,059,375.00</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27</w:t>
      </w:r>
      <w:r>
        <w:rPr/>
        <w:t>、长期应付款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3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6,195,238.00</w:t>
            </w:r>
          </w:p>
        </w:tc>
        <w:tc>
          <w:tcPr>
            <w:tcW w:w="319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4,454,762.00</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6,195,238.00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4,454,762.00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6"/>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4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可转债借款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6,195,238.00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4,454,762.00</w:t>
            </w:r>
          </w:p>
        </w:tc>
      </w:tr>
    </w:tbl>
    <w:p>
      <w:pPr>
        <w:pStyle w:val="BodyText"/>
        <w:spacing w:line="463" w:lineRule="auto" w:before="87"/>
        <w:ind w:right="1133" w:firstLine="360"/>
        <w:jc w:val="both"/>
      </w:pPr>
      <w:r>
        <w:rPr/>
        <w:t>注：根据《神州灵云（北京）科技有限公司出资及股东协议》，在满足相关业绩承诺条件后，新增资入股的投资人按 照其出资比例向神州灵云（北京）科技有限公司（以下简称</w:t>
      </w:r>
      <w:r>
        <w:rPr>
          <w:rFonts w:ascii="Times New Roman" w:hAnsi="Times New Roman" w:cs="Times New Roman" w:eastAsia="Times New Roman" w:hint="default"/>
        </w:rPr>
        <w:t>“</w:t>
      </w:r>
      <w:r>
        <w:rPr/>
        <w:t>神州灵云</w:t>
      </w:r>
      <w:r>
        <w:rPr>
          <w:rFonts w:ascii="Times New Roman" w:hAnsi="Times New Roman" w:cs="Times New Roman" w:eastAsia="Times New Roman" w:hint="default"/>
        </w:rPr>
        <w:t>”</w:t>
      </w:r>
      <w:r>
        <w:rPr/>
        <w:t>）提供共计</w:t>
      </w:r>
      <w:r>
        <w:rPr>
          <w:spacing w:val="-46"/>
        </w:rPr>
        <w:t> </w:t>
      </w:r>
      <w:r>
        <w:rPr>
          <w:rFonts w:ascii="Times New Roman" w:hAnsi="Times New Roman" w:cs="Times New Roman" w:eastAsia="Times New Roman" w:hint="default"/>
        </w:rPr>
        <w:t>3,300.00</w:t>
      </w:r>
      <w:r>
        <w:rPr>
          <w:rFonts w:ascii="Times New Roman" w:hAnsi="Times New Roman" w:cs="Times New Roman" w:eastAsia="Times New Roman" w:hint="default"/>
          <w:spacing w:val="-1"/>
        </w:rPr>
        <w:t> </w:t>
      </w:r>
      <w:r>
        <w:rPr/>
        <w:t>万元可转债借款。</w:t>
      </w:r>
      <w:r>
        <w:rPr>
          <w:rFonts w:ascii="Times New Roman" w:hAnsi="Times New Roman" w:cs="Times New Roman" w:eastAsia="Times New Roman" w:hint="default"/>
        </w:rPr>
        <w:t>2017 </w:t>
      </w:r>
      <w:r>
        <w:rPr/>
        <w:t>年投资 人提供第一笔可转债借款</w:t>
      </w:r>
      <w:r>
        <w:rPr>
          <w:spacing w:val="-47"/>
        </w:rPr>
        <w:t> </w:t>
      </w:r>
      <w:r>
        <w:rPr>
          <w:rFonts w:ascii="Times New Roman" w:hAnsi="Times New Roman" w:cs="Times New Roman" w:eastAsia="Times New Roman" w:hint="default"/>
        </w:rPr>
        <w:t>1,600.00</w:t>
      </w:r>
      <w:r>
        <w:rPr>
          <w:rFonts w:ascii="Times New Roman" w:hAnsi="Times New Roman" w:cs="Times New Roman" w:eastAsia="Times New Roman" w:hint="default"/>
          <w:spacing w:val="1"/>
        </w:rPr>
        <w:t> </w:t>
      </w:r>
      <w:r>
        <w:rPr/>
        <w:t>万元，其中本公司提供</w:t>
      </w:r>
      <w:r>
        <w:rPr>
          <w:spacing w:val="-47"/>
        </w:rPr>
        <w:t> </w:t>
      </w:r>
      <w:r>
        <w:rPr>
          <w:rFonts w:ascii="Times New Roman" w:hAnsi="Times New Roman" w:cs="Times New Roman" w:eastAsia="Times New Roman" w:hint="default"/>
        </w:rPr>
        <w:t>1,280.00 </w:t>
      </w:r>
      <w:r>
        <w:rPr/>
        <w:t>万元，其余投资人提供</w:t>
      </w:r>
      <w:r>
        <w:rPr>
          <w:spacing w:val="-49"/>
        </w:rPr>
        <w:t> </w:t>
      </w:r>
      <w:r>
        <w:rPr>
          <w:rFonts w:ascii="Times New Roman" w:hAnsi="Times New Roman" w:cs="Times New Roman" w:eastAsia="Times New Roman" w:hint="default"/>
        </w:rPr>
        <w:t>320.00 </w:t>
      </w:r>
      <w:r>
        <w:rPr/>
        <w:t>万元，</w:t>
      </w:r>
      <w:r>
        <w:rPr>
          <w:rFonts w:ascii="Times New Roman" w:hAnsi="Times New Roman" w:cs="Times New Roman" w:eastAsia="Times New Roman" w:hint="default"/>
        </w:rPr>
        <w:t>2018 </w:t>
      </w:r>
      <w:r>
        <w:rPr/>
        <w:t>年投资人提供</w:t>
      </w:r>
    </w:p>
    <w:p>
      <w:pPr>
        <w:pStyle w:val="BodyText"/>
        <w:spacing w:line="240" w:lineRule="auto" w:before="33"/>
        <w:ind w:right="0"/>
        <w:jc w:val="left"/>
      </w:pPr>
      <w:r>
        <w:rPr/>
        <w:t>第二笔可转债借款</w:t>
      </w:r>
      <w:r>
        <w:rPr>
          <w:spacing w:val="-48"/>
        </w:rPr>
        <w:t> </w:t>
      </w:r>
      <w:r>
        <w:rPr>
          <w:rFonts w:ascii="Times New Roman" w:hAnsi="Times New Roman" w:cs="Times New Roman" w:eastAsia="Times New Roman" w:hint="default"/>
        </w:rPr>
        <w:t>1,485.48 </w:t>
      </w:r>
      <w:r>
        <w:rPr/>
        <w:t>万元，其中本公司提供</w:t>
      </w:r>
      <w:r>
        <w:rPr>
          <w:spacing w:val="-48"/>
        </w:rPr>
        <w:t> </w:t>
      </w:r>
      <w:r>
        <w:rPr>
          <w:rFonts w:ascii="Times New Roman" w:hAnsi="Times New Roman" w:cs="Times New Roman" w:eastAsia="Times New Roman" w:hint="default"/>
        </w:rPr>
        <w:t>1,360.00</w:t>
      </w:r>
      <w:r>
        <w:rPr>
          <w:rFonts w:ascii="Times New Roman" w:hAnsi="Times New Roman" w:cs="Times New Roman" w:eastAsia="Times New Roman" w:hint="default"/>
          <w:spacing w:val="-3"/>
        </w:rPr>
        <w:t> </w:t>
      </w:r>
      <w:r>
        <w:rPr/>
        <w:t>万元，其余投资人提供</w:t>
      </w:r>
      <w:r>
        <w:rPr>
          <w:spacing w:val="-48"/>
        </w:rPr>
        <w:t> </w:t>
      </w:r>
      <w:r>
        <w:rPr>
          <w:rFonts w:ascii="Times New Roman" w:hAnsi="Times New Roman" w:cs="Times New Roman" w:eastAsia="Times New Roman" w:hint="default"/>
        </w:rPr>
        <w:t>125.48</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年其余投资人提供第</w:t>
      </w:r>
    </w:p>
    <w:p>
      <w:pPr>
        <w:spacing w:line="240" w:lineRule="auto" w:before="9"/>
        <w:rPr>
          <w:rFonts w:ascii="宋体" w:hAnsi="宋体" w:cs="宋体" w:eastAsia="宋体" w:hint="default"/>
          <w:sz w:val="16"/>
          <w:szCs w:val="16"/>
        </w:rPr>
      </w:pPr>
    </w:p>
    <w:p>
      <w:pPr>
        <w:pStyle w:val="BodyText"/>
        <w:spacing w:line="463" w:lineRule="auto"/>
        <w:ind w:right="1161"/>
        <w:jc w:val="left"/>
      </w:pPr>
      <w:r>
        <w:rPr/>
        <w:t>三笔可转债借款</w:t>
      </w:r>
      <w:r>
        <w:rPr>
          <w:spacing w:val="-48"/>
        </w:rPr>
        <w:t> </w:t>
      </w:r>
      <w:r>
        <w:rPr>
          <w:rFonts w:ascii="Times New Roman" w:hAnsi="Times New Roman" w:cs="Times New Roman" w:eastAsia="Times New Roman" w:hint="default"/>
        </w:rPr>
        <w:t>174.05</w:t>
      </w:r>
      <w:r>
        <w:rPr>
          <w:rFonts w:ascii="Times New Roman" w:hAnsi="Times New Roman" w:cs="Times New Roman" w:eastAsia="Times New Roman" w:hint="default"/>
          <w:spacing w:val="-1"/>
        </w:rPr>
        <w:t> </w:t>
      </w:r>
      <w:r>
        <w:rPr/>
        <w:t>万元。在神州灵云</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年业绩承诺全部得到满足的前提下，投资人同意将可转债借款全部 转换为对神州灵云的投资，转换后的投资均计入神州灵云的资本公积。如业绩承诺未得到满足，由神州灵云在收到投资人 的通知后</w:t>
      </w:r>
      <w:r>
        <w:rPr>
          <w:spacing w:val="-46"/>
        </w:rPr>
        <w:t> </w:t>
      </w:r>
      <w:r>
        <w:rPr>
          <w:rFonts w:ascii="Times New Roman" w:hAnsi="Times New Roman" w:cs="Times New Roman" w:eastAsia="Times New Roman" w:hint="default"/>
        </w:rPr>
        <w:t>30 </w:t>
      </w:r>
      <w:r>
        <w:rPr/>
        <w:t>内予以偿还上述可转债借款。</w:t>
      </w:r>
    </w:p>
    <w:p>
      <w:pPr>
        <w:spacing w:line="240" w:lineRule="auto" w:before="11"/>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28</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16" w:footer="1261" w:top="1120" w:bottom="14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460" w:left="980" w:right="0"/>
          <w:cols w:num="2" w:equalWidth="0">
            <w:col w:w="1954" w:space="6875"/>
            <w:col w:w="2101"/>
          </w:cols>
        </w:sectPr>
      </w:pP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89"/>
        <w:gridCol w:w="2396"/>
        <w:gridCol w:w="2393"/>
        <w:gridCol w:w="2391"/>
      </w:tblGrid>
      <w:tr>
        <w:trPr>
          <w:trHeight w:val="46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66"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25,775,271.29</w:t>
            </w:r>
          </w:p>
        </w:tc>
        <w:tc>
          <w:tcPr>
            <w:tcW w:w="239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pacing w:val="-1"/>
                <w:sz w:val="18"/>
              </w:rPr>
              <w:t>4,535,900.00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25,775,271.29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4,535,900.00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87"/>
        <w:ind w:left="513" w:right="0"/>
        <w:jc w:val="left"/>
      </w:pPr>
      <w:r>
        <w:rPr/>
        <w:t>注</w:t>
      </w:r>
      <w:r>
        <w:rPr>
          <w:spacing w:val="-47"/>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29 </w:t>
      </w:r>
      <w:r>
        <w:rPr/>
        <w:t>日，北京市第二中级人民法院出具了（</w:t>
      </w:r>
      <w:r>
        <w:rPr>
          <w:rFonts w:ascii="Times New Roman" w:hAnsi="Times New Roman" w:cs="Times New Roman" w:eastAsia="Times New Roman" w:hint="default"/>
        </w:rPr>
        <w:t>2018</w:t>
      </w:r>
      <w:r>
        <w:rPr/>
        <w:t>）京</w:t>
      </w:r>
      <w:r>
        <w:rPr>
          <w:spacing w:val="-49"/>
        </w:rPr>
        <w:t> </w:t>
      </w:r>
      <w:r>
        <w:rPr>
          <w:rFonts w:ascii="Times New Roman" w:hAnsi="Times New Roman" w:cs="Times New Roman" w:eastAsia="Times New Roman" w:hint="default"/>
        </w:rPr>
        <w:t>02</w:t>
      </w:r>
      <w:r>
        <w:rPr>
          <w:rFonts w:ascii="Times New Roman" w:hAnsi="Times New Roman" w:cs="Times New Roman" w:eastAsia="Times New Roman" w:hint="default"/>
          <w:spacing w:val="-1"/>
        </w:rPr>
        <w:t> </w:t>
      </w:r>
      <w:r>
        <w:rPr/>
        <w:t>民初</w:t>
      </w:r>
      <w:r>
        <w:rPr>
          <w:spacing w:val="-46"/>
        </w:rPr>
        <w:t> </w:t>
      </w:r>
      <w:r>
        <w:rPr>
          <w:rFonts w:ascii="Times New Roman" w:hAnsi="Times New Roman" w:cs="Times New Roman" w:eastAsia="Times New Roman" w:hint="default"/>
        </w:rPr>
        <w:t>344</w:t>
      </w:r>
      <w:r>
        <w:rPr>
          <w:rFonts w:ascii="Times New Roman" w:hAnsi="Times New Roman" w:cs="Times New Roman" w:eastAsia="Times New Roman" w:hint="default"/>
          <w:spacing w:val="-1"/>
        </w:rPr>
        <w:t> </w:t>
      </w:r>
      <w:r>
        <w:rPr/>
        <w:t>号的民事判决书：本公司在代垫资</w:t>
      </w:r>
    </w:p>
    <w:p>
      <w:pPr>
        <w:spacing w:line="240" w:lineRule="auto" w:before="9"/>
        <w:rPr>
          <w:rFonts w:ascii="宋体" w:hAnsi="宋体" w:cs="宋体" w:eastAsia="宋体" w:hint="default"/>
          <w:sz w:val="16"/>
          <w:szCs w:val="16"/>
        </w:rPr>
      </w:pPr>
    </w:p>
    <w:p>
      <w:pPr>
        <w:pStyle w:val="BodyText"/>
        <w:spacing w:line="240" w:lineRule="auto"/>
        <w:ind w:right="0"/>
        <w:jc w:val="left"/>
        <w:rPr>
          <w:rFonts w:ascii="Times New Roman" w:hAnsi="Times New Roman" w:cs="Times New Roman" w:eastAsia="Times New Roman" w:hint="default"/>
        </w:rPr>
      </w:pPr>
      <w:r>
        <w:rPr/>
        <w:t>金本息共计</w:t>
      </w:r>
      <w:r>
        <w:rPr>
          <w:spacing w:val="-46"/>
        </w:rPr>
        <w:t> </w:t>
      </w:r>
      <w:r>
        <w:rPr>
          <w:rFonts w:ascii="Times New Roman" w:hAnsi="Times New Roman" w:cs="Times New Roman" w:eastAsia="Times New Roman" w:hint="default"/>
        </w:rPr>
        <w:t>3512</w:t>
      </w:r>
      <w:r>
        <w:rPr>
          <w:rFonts w:ascii="Times New Roman" w:hAnsi="Times New Roman" w:cs="Times New Roman" w:eastAsia="Times New Roman" w:hint="default"/>
          <w:spacing w:val="1"/>
        </w:rPr>
        <w:t> </w:t>
      </w:r>
      <w:r>
        <w:rPr/>
        <w:t>万元范围内，对于深圳市生物港投资有限公司在广东省深圳市中级人民法院（</w:t>
      </w:r>
      <w:r>
        <w:rPr>
          <w:rFonts w:ascii="Times New Roman" w:hAnsi="Times New Roman" w:cs="Times New Roman" w:eastAsia="Times New Roman" w:hint="default"/>
        </w:rPr>
        <w:t>2007</w:t>
      </w:r>
      <w:r>
        <w:rPr/>
        <w:t>）深中法委执字第</w:t>
      </w:r>
      <w:r>
        <w:rPr>
          <w:spacing w:val="-48"/>
        </w:rPr>
        <w:t> </w:t>
      </w:r>
      <w:r>
        <w:rPr>
          <w:rFonts w:ascii="Times New Roman" w:hAnsi="Times New Roman" w:cs="Times New Roman" w:eastAsia="Times New Roman" w:hint="default"/>
        </w:rPr>
        <w:t>539</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left"/>
      </w:pPr>
      <w:r>
        <w:rPr/>
        <w:t>号执行案项下对中国普天信息产业集团有限公司的债务经强制执行不能清偿的部分（以数额不超过</w:t>
      </w:r>
      <w:r>
        <w:rPr>
          <w:spacing w:val="-46"/>
        </w:rPr>
        <w:t> </w:t>
      </w:r>
      <w:r>
        <w:rPr>
          <w:rFonts w:ascii="Times New Roman" w:hAnsi="Times New Roman" w:cs="Times New Roman" w:eastAsia="Times New Roman" w:hint="default"/>
        </w:rPr>
        <w:t>6812.52</w:t>
      </w:r>
      <w:r>
        <w:rPr>
          <w:rFonts w:ascii="Times New Roman" w:hAnsi="Times New Roman" w:cs="Times New Roman" w:eastAsia="Times New Roman" w:hint="default"/>
          <w:spacing w:val="-1"/>
        </w:rPr>
        <w:t> </w:t>
      </w:r>
      <w:r>
        <w:rPr/>
        <w:t>万元为限）承</w:t>
      </w:r>
    </w:p>
    <w:p>
      <w:pPr>
        <w:spacing w:line="240" w:lineRule="auto" w:before="9"/>
        <w:rPr>
          <w:rFonts w:ascii="宋体" w:hAnsi="宋体" w:cs="宋体" w:eastAsia="宋体" w:hint="default"/>
          <w:sz w:val="16"/>
          <w:szCs w:val="16"/>
        </w:rPr>
      </w:pPr>
    </w:p>
    <w:p>
      <w:pPr>
        <w:pStyle w:val="BodyText"/>
        <w:spacing w:line="240" w:lineRule="auto"/>
        <w:ind w:right="0"/>
        <w:jc w:val="left"/>
      </w:pPr>
      <w:r>
        <w:rPr/>
        <w:t>担补充赔偿责任，其他第三方被告北京新富投资有限公司在抽逃出资</w:t>
      </w:r>
      <w:r>
        <w:rPr>
          <w:spacing w:val="-46"/>
        </w:rPr>
        <w:t> </w:t>
      </w:r>
      <w:r>
        <w:rPr>
          <w:rFonts w:ascii="Times New Roman" w:hAnsi="Times New Roman" w:cs="Times New Roman" w:eastAsia="Times New Roman" w:hint="default"/>
        </w:rPr>
        <w:t>5838 </w:t>
      </w:r>
      <w:r>
        <w:rPr/>
        <w:t>万元范围内承担补充赔偿责任，昆山市申昌科技</w:t>
      </w:r>
    </w:p>
    <w:p>
      <w:pPr>
        <w:spacing w:line="240" w:lineRule="auto" w:before="9"/>
        <w:rPr>
          <w:rFonts w:ascii="宋体" w:hAnsi="宋体" w:cs="宋体" w:eastAsia="宋体" w:hint="default"/>
          <w:sz w:val="16"/>
          <w:szCs w:val="16"/>
        </w:rPr>
      </w:pPr>
    </w:p>
    <w:p>
      <w:pPr>
        <w:pStyle w:val="BodyText"/>
        <w:spacing w:line="240" w:lineRule="auto"/>
        <w:ind w:right="0"/>
        <w:jc w:val="left"/>
        <w:rPr>
          <w:rFonts w:ascii="Times New Roman" w:hAnsi="Times New Roman" w:cs="Times New Roman" w:eastAsia="Times New Roman" w:hint="default"/>
        </w:rPr>
      </w:pPr>
      <w:r>
        <w:rPr/>
        <w:t>有限公司在代垫资金本息共计</w:t>
      </w:r>
      <w:r>
        <w:rPr>
          <w:spacing w:val="-47"/>
        </w:rPr>
        <w:t> </w:t>
      </w:r>
      <w:r>
        <w:rPr>
          <w:rFonts w:ascii="Times New Roman" w:hAnsi="Times New Roman" w:cs="Times New Roman" w:eastAsia="Times New Roman" w:hint="default"/>
        </w:rPr>
        <w:t>6025</w:t>
      </w:r>
      <w:r>
        <w:rPr>
          <w:rFonts w:ascii="Times New Roman" w:hAnsi="Times New Roman" w:cs="Times New Roman" w:eastAsia="Times New Roman" w:hint="default"/>
          <w:spacing w:val="-1"/>
        </w:rPr>
        <w:t> </w:t>
      </w:r>
      <w:r>
        <w:rPr/>
        <w:t>万元范围内承担补充赔偿责任。神州信息管理层依据此判决计提预计负债</w:t>
      </w:r>
      <w:r>
        <w:rPr>
          <w:spacing w:val="-48"/>
        </w:rPr>
        <w:t> </w:t>
      </w:r>
      <w:r>
        <w:rPr>
          <w:rFonts w:ascii="Times New Roman" w:hAnsi="Times New Roman" w:cs="Times New Roman" w:eastAsia="Times New Roman" w:hint="default"/>
        </w:rPr>
        <w:t>21,381,871.13</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left"/>
      </w:pPr>
      <w:r>
        <w:rPr/>
        <w:t>元。详见附注十四、</w:t>
      </w:r>
      <w:r>
        <w:rPr>
          <w:rFonts w:ascii="Times New Roman" w:hAnsi="Times New Roman" w:cs="Times New Roman" w:eastAsia="Times New Roman" w:hint="default"/>
        </w:rPr>
        <w:t>2</w:t>
      </w:r>
      <w:r>
        <w:rPr/>
        <w:t>。</w:t>
      </w:r>
    </w:p>
    <w:p>
      <w:pPr>
        <w:spacing w:after="0" w:line="240" w:lineRule="auto"/>
        <w:jc w:val="left"/>
        <w:sectPr>
          <w:type w:val="continuous"/>
          <w:pgSz w:w="11910" w:h="16840"/>
          <w:pgMar w:top="1100" w:bottom="1460" w:left="980" w:right="0"/>
        </w:sectPr>
      </w:pPr>
    </w:p>
    <w:p>
      <w:pPr>
        <w:spacing w:line="240" w:lineRule="auto" w:before="10"/>
        <w:rPr>
          <w:rFonts w:ascii="宋体" w:hAnsi="宋体" w:cs="宋体" w:eastAsia="宋体" w:hint="default"/>
          <w:sz w:val="26"/>
          <w:szCs w:val="26"/>
        </w:rPr>
      </w:pPr>
    </w:p>
    <w:p>
      <w:pPr>
        <w:pStyle w:val="BodyText"/>
        <w:spacing w:line="451" w:lineRule="auto" w:before="44"/>
        <w:ind w:right="1191" w:firstLine="360"/>
        <w:jc w:val="both"/>
      </w:pPr>
      <w:r>
        <w:rPr/>
        <w:t>注</w:t>
      </w:r>
      <w:r>
        <w:rPr>
          <w:spacing w:val="-47"/>
        </w:rPr>
        <w:t> </w:t>
      </w:r>
      <w:r>
        <w:rPr>
          <w:rFonts w:ascii="Times New Roman" w:hAnsi="Times New Roman" w:cs="Times New Roman" w:eastAsia="Times New Roman" w:hint="default"/>
        </w:rPr>
        <w:t>2</w:t>
      </w:r>
      <w:r>
        <w:rPr/>
        <w:t>：大唐软件技术股份有限公司（以下简称</w:t>
      </w:r>
      <w:r>
        <w:rPr>
          <w:rFonts w:ascii="Times New Roman" w:hAnsi="Times New Roman" w:cs="Times New Roman" w:eastAsia="Times New Roman" w:hint="default"/>
        </w:rPr>
        <w:t>“</w:t>
      </w:r>
      <w:r>
        <w:rPr/>
        <w:t>大唐软件</w:t>
      </w:r>
      <w:r>
        <w:rPr>
          <w:rFonts w:ascii="Times New Roman" w:hAnsi="Times New Roman" w:cs="Times New Roman" w:eastAsia="Times New Roman" w:hint="default"/>
        </w:rPr>
        <w:t>”</w:t>
      </w:r>
      <w:r>
        <w:rPr/>
        <w:t>）诉本公司之子公司神州数码系统集成服务有限公司</w:t>
      </w:r>
      <w:r>
        <w:rPr>
          <w:rFonts w:ascii="Times New Roman" w:hAnsi="Times New Roman" w:cs="Times New Roman" w:eastAsia="Times New Roman" w:hint="default"/>
        </w:rPr>
        <w:t>“</w:t>
      </w:r>
      <w:r>
        <w:rPr/>
        <w:t>买卖合 同纠纷</w:t>
      </w:r>
      <w:r>
        <w:rPr>
          <w:rFonts w:ascii="Times New Roman" w:hAnsi="Times New Roman" w:cs="Times New Roman" w:eastAsia="Times New Roman" w:hint="default"/>
        </w:rPr>
        <w:t>”</w:t>
      </w:r>
      <w:r>
        <w:rPr/>
        <w:t>案件，神州数码系统集成服务有限公司管理层根据诉讼情况，相应计提预计负债</w:t>
      </w:r>
      <w:r>
        <w:rPr>
          <w:spacing w:val="-45"/>
        </w:rPr>
        <w:t> </w:t>
      </w:r>
      <w:r>
        <w:rPr>
          <w:rFonts w:ascii="Times New Roman" w:hAnsi="Times New Roman" w:cs="Times New Roman" w:eastAsia="Times New Roman" w:hint="default"/>
        </w:rPr>
        <w:t>3,628,255.03</w:t>
      </w:r>
      <w:r>
        <w:rPr>
          <w:rFonts w:ascii="Times New Roman" w:hAnsi="Times New Roman" w:cs="Times New Roman" w:eastAsia="Times New Roman" w:hint="default"/>
          <w:spacing w:val="1"/>
        </w:rPr>
        <w:t> </w:t>
      </w:r>
      <w:r>
        <w:rPr/>
        <w:t>元。详见附注十四、 </w:t>
      </w:r>
      <w:r>
        <w:rPr>
          <w:rFonts w:ascii="Times New Roman" w:hAnsi="Times New Roman" w:cs="Times New Roman" w:eastAsia="Times New Roman" w:hint="default"/>
        </w:rPr>
        <w:t>2</w:t>
      </w:r>
      <w:r>
        <w:rPr/>
        <w:t>。</w:t>
      </w:r>
    </w:p>
    <w:p>
      <w:pPr>
        <w:pStyle w:val="BodyText"/>
        <w:spacing w:line="240" w:lineRule="auto" w:before="43"/>
        <w:ind w:left="513" w:right="0"/>
        <w:jc w:val="left"/>
      </w:pPr>
      <w:r>
        <w:rPr/>
        <w:t>注</w:t>
      </w:r>
      <w:r>
        <w:rPr>
          <w:spacing w:val="-47"/>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30 </w:t>
      </w:r>
      <w:r>
        <w:rPr/>
        <w:t>日，河北省肃宁县人民法院出具了（</w:t>
      </w:r>
      <w:r>
        <w:rPr>
          <w:rFonts w:ascii="Times New Roman" w:hAnsi="Times New Roman" w:cs="Times New Roman" w:eastAsia="Times New Roman" w:hint="default"/>
        </w:rPr>
        <w:t>2019</w:t>
      </w:r>
      <w:r>
        <w:rPr/>
        <w:t>）冀</w:t>
      </w:r>
      <w:r>
        <w:rPr>
          <w:spacing w:val="-47"/>
        </w:rPr>
        <w:t> </w:t>
      </w:r>
      <w:r>
        <w:rPr>
          <w:rFonts w:ascii="Times New Roman" w:hAnsi="Times New Roman" w:cs="Times New Roman" w:eastAsia="Times New Roman" w:hint="default"/>
        </w:rPr>
        <w:t>0926 </w:t>
      </w:r>
      <w:r>
        <w:rPr/>
        <w:t>民初</w:t>
      </w:r>
      <w:r>
        <w:rPr>
          <w:spacing w:val="-49"/>
        </w:rPr>
        <w:t> </w:t>
      </w:r>
      <w:r>
        <w:rPr>
          <w:rFonts w:ascii="Times New Roman" w:hAnsi="Times New Roman" w:cs="Times New Roman" w:eastAsia="Times New Roman" w:hint="default"/>
        </w:rPr>
        <w:t>1052 </w:t>
      </w:r>
      <w:r>
        <w:rPr/>
        <w:t>号民事判决书：中农信达应支付</w:t>
      </w:r>
    </w:p>
    <w:p>
      <w:pPr>
        <w:spacing w:line="240" w:lineRule="auto" w:before="9"/>
        <w:rPr>
          <w:rFonts w:ascii="宋体" w:hAnsi="宋体" w:cs="宋体" w:eastAsia="宋体" w:hint="default"/>
          <w:sz w:val="16"/>
          <w:szCs w:val="16"/>
        </w:rPr>
      </w:pPr>
    </w:p>
    <w:p>
      <w:pPr>
        <w:pStyle w:val="BodyText"/>
        <w:spacing w:line="240" w:lineRule="auto"/>
        <w:ind w:right="0"/>
        <w:jc w:val="left"/>
      </w:pPr>
      <w:r>
        <w:rPr/>
        <w:t>肃宁县农业农村局违约金</w:t>
      </w:r>
      <w:r>
        <w:rPr>
          <w:spacing w:val="-47"/>
        </w:rPr>
        <w:t> </w:t>
      </w:r>
      <w:r>
        <w:rPr>
          <w:rFonts w:ascii="Times New Roman" w:hAnsi="Times New Roman" w:cs="Times New Roman" w:eastAsia="Times New Roman" w:hint="default"/>
        </w:rPr>
        <w:t>394,516.10 </w:t>
      </w:r>
      <w:r>
        <w:rPr/>
        <w:t>元、擅自中途停止履行合同赔偿金</w:t>
      </w:r>
      <w:r>
        <w:rPr>
          <w:spacing w:val="-47"/>
        </w:rPr>
        <w:t> </w:t>
      </w:r>
      <w:r>
        <w:rPr>
          <w:rFonts w:ascii="Times New Roman" w:hAnsi="Times New Roman" w:cs="Times New Roman" w:eastAsia="Times New Roman" w:hint="default"/>
        </w:rPr>
        <w:t>98,629.03</w:t>
      </w:r>
      <w:r>
        <w:rPr>
          <w:rFonts w:ascii="Times New Roman" w:hAnsi="Times New Roman" w:cs="Times New Roman" w:eastAsia="Times New Roman" w:hint="default"/>
          <w:spacing w:val="-1"/>
        </w:rPr>
        <w:t> </w:t>
      </w:r>
      <w:r>
        <w:rPr/>
        <w:t>元。管理层根据此判决计提预计负债</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493,145.13</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16"/>
          <w:szCs w:val="16"/>
        </w:rPr>
      </w:pPr>
    </w:p>
    <w:p>
      <w:pPr>
        <w:pStyle w:val="BodyText"/>
        <w:spacing w:line="463" w:lineRule="auto"/>
        <w:ind w:right="1130" w:firstLine="360"/>
        <w:jc w:val="left"/>
      </w:pPr>
      <w:r>
        <w:rPr/>
        <w:t>注</w:t>
      </w:r>
      <w:r>
        <w:rPr>
          <w:spacing w:val="-46"/>
        </w:rPr>
        <w:t> </w:t>
      </w:r>
      <w:r>
        <w:rPr>
          <w:rFonts w:ascii="Times New Roman" w:hAnsi="Times New Roman" w:cs="Times New Roman" w:eastAsia="Times New Roman" w:hint="default"/>
        </w:rPr>
        <w:t>4</w:t>
      </w:r>
      <w:r>
        <w:rPr/>
        <w:t>：</w:t>
      </w:r>
      <w:r>
        <w:rPr>
          <w:rFonts w:ascii="Times New Roman" w:hAnsi="Times New Roman" w:cs="Times New Roman" w:eastAsia="Times New Roman" w:hint="default"/>
        </w:rPr>
        <w:t>2020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17 </w:t>
      </w:r>
      <w:r>
        <w:rPr/>
        <w:t>日，本公司之子公司神州数码系统集成服务有限公司与北京华瑞网研科技有限公司以及北京华瑞 无线科技有限公司签订《和解协议》，神州数码系统集成服务有限公司需向北京华瑞网研科技有限公司支付赔偿款 </w:t>
      </w:r>
      <w:r>
        <w:rPr>
          <w:rFonts w:ascii="Times New Roman" w:hAnsi="Times New Roman" w:cs="Times New Roman" w:eastAsia="Times New Roman" w:hint="default"/>
        </w:rPr>
        <w:t>272,000.00</w:t>
      </w:r>
      <w:r>
        <w:rPr>
          <w:rFonts w:ascii="Times New Roman" w:hAnsi="Times New Roman" w:cs="Times New Roman" w:eastAsia="Times New Roman" w:hint="default"/>
          <w:spacing w:val="-1"/>
        </w:rPr>
        <w:t> </w:t>
      </w:r>
      <w:r>
        <w:rPr/>
        <w:t>元。管理层根据此和解协议计提预计负债</w:t>
      </w:r>
      <w:r>
        <w:rPr>
          <w:spacing w:val="-47"/>
        </w:rPr>
        <w:t> </w:t>
      </w:r>
      <w:r>
        <w:rPr>
          <w:rFonts w:ascii="Times New Roman" w:hAnsi="Times New Roman" w:cs="Times New Roman" w:eastAsia="Times New Roman" w:hint="default"/>
        </w:rPr>
        <w:t>272,000.00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17"/>
          <w:szCs w:val="17"/>
        </w:rPr>
      </w:pPr>
    </w:p>
    <w:p>
      <w:pPr>
        <w:pStyle w:val="Heading4"/>
        <w:spacing w:line="240" w:lineRule="auto"/>
        <w:ind w:right="0"/>
        <w:jc w:val="left"/>
        <w:rPr>
          <w:b w:val="0"/>
          <w:bCs w:val="0"/>
        </w:rPr>
      </w:pPr>
      <w:r>
        <w:rPr>
          <w:rFonts w:ascii="Times New Roman" w:hAnsi="Times New Roman" w:cs="Times New Roman" w:eastAsia="Times New Roman" w:hint="default"/>
        </w:rPr>
        <w:t>29</w:t>
      </w:r>
      <w:r>
        <w:rPr/>
        <w:t>、递延收益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94"/>
        <w:gridCol w:w="1597"/>
        <w:gridCol w:w="1594"/>
        <w:gridCol w:w="1594"/>
        <w:gridCol w:w="1594"/>
        <w:gridCol w:w="1596"/>
      </w:tblGrid>
      <w:tr>
        <w:trPr>
          <w:trHeight w:val="46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34"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25,358,580.41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13,666,852.83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11,618,327.34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27,407,105.90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6" w:right="0"/>
              <w:jc w:val="left"/>
              <w:rPr>
                <w:rFonts w:ascii="宋体" w:hAnsi="宋体" w:cs="宋体" w:eastAsia="宋体" w:hint="default"/>
                <w:sz w:val="18"/>
                <w:szCs w:val="18"/>
              </w:rPr>
            </w:pPr>
            <w:r>
              <w:rPr>
                <w:rFonts w:ascii="宋体" w:hAnsi="宋体" w:cs="宋体" w:eastAsia="宋体" w:hint="default"/>
                <w:sz w:val="18"/>
                <w:szCs w:val="18"/>
              </w:rPr>
              <w:t>未到期</w:t>
            </w:r>
          </w:p>
        </w:tc>
      </w:tr>
      <w:tr>
        <w:trPr>
          <w:trHeight w:val="46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25,358,580.41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13,666,852.83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11,618,327.34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27,407,105.90</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7"/>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867"/>
        <w:gridCol w:w="1201"/>
        <w:gridCol w:w="1260"/>
        <w:gridCol w:w="691"/>
        <w:gridCol w:w="1169"/>
        <w:gridCol w:w="617"/>
        <w:gridCol w:w="566"/>
        <w:gridCol w:w="1188"/>
        <w:gridCol w:w="1011"/>
      </w:tblGrid>
      <w:tr>
        <w:trPr>
          <w:trHeight w:val="1338" w:hRule="exact"/>
        </w:trPr>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46" w:right="82"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71"/>
              <w:jc w:val="both"/>
              <w:rPr>
                <w:rFonts w:ascii="宋体" w:hAnsi="宋体" w:cs="宋体" w:eastAsia="宋体" w:hint="default"/>
                <w:sz w:val="18"/>
                <w:szCs w:val="18"/>
              </w:rPr>
            </w:pPr>
            <w:r>
              <w:rPr>
                <w:rFonts w:ascii="宋体" w:hAnsi="宋体" w:cs="宋体" w:eastAsia="宋体" w:hint="default"/>
                <w:sz w:val="18"/>
                <w:szCs w:val="18"/>
              </w:rPr>
              <w:t>本期计 入营业 外收入 金额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20" w:right="36"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2"/>
              <w:jc w:val="center"/>
              <w:rPr>
                <w:rFonts w:ascii="宋体" w:hAnsi="宋体" w:cs="宋体" w:eastAsia="宋体" w:hint="default"/>
                <w:sz w:val="18"/>
                <w:szCs w:val="18"/>
              </w:rPr>
            </w:pPr>
            <w:r>
              <w:rPr>
                <w:rFonts w:ascii="宋体" w:hAnsi="宋体" w:cs="宋体" w:eastAsia="宋体" w:hint="default"/>
                <w:sz w:val="18"/>
                <w:szCs w:val="18"/>
              </w:rPr>
              <w:t>本期冲 减成本 费用金 额</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8" w:right="96"/>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97" w:lineRule="auto" w:before="126"/>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5"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both"/>
              <w:rPr>
                <w:rFonts w:ascii="宋体" w:hAnsi="宋体" w:cs="宋体" w:eastAsia="宋体" w:hint="default"/>
                <w:sz w:val="18"/>
                <w:szCs w:val="18"/>
              </w:rPr>
            </w:pPr>
            <w:r>
              <w:rPr>
                <w:rFonts w:ascii="宋体" w:hAnsi="宋体" w:cs="宋体" w:eastAsia="宋体" w:hint="default"/>
                <w:sz w:val="18"/>
                <w:szCs w:val="18"/>
              </w:rPr>
              <w:t>面向智慧城市的云计算 中心业务支撑平台研发 及产业化</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9,053,055.78</w:t>
            </w:r>
          </w:p>
        </w:tc>
        <w:tc>
          <w:tcPr>
            <w:tcW w:w="126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9,053,055.78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Deeplan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通信大数据平 台研发与产业化</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5,752,419.07</w:t>
            </w:r>
          </w:p>
        </w:tc>
        <w:tc>
          <w:tcPr>
            <w:tcW w:w="126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1,279,110.22</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4,473,308.85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FY19 </w:t>
            </w:r>
            <w:r>
              <w:rPr>
                <w:rFonts w:ascii="宋体" w:hAnsi="宋体" w:cs="宋体" w:eastAsia="宋体" w:hint="default"/>
                <w:sz w:val="18"/>
                <w:szCs w:val="18"/>
              </w:rPr>
              <w:t>工业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标识管 理服务系统项目</w:t>
            </w:r>
          </w:p>
        </w:tc>
        <w:tc>
          <w:tcPr>
            <w:tcW w:w="12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4,000,000.00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both"/>
              <w:rPr>
                <w:rFonts w:ascii="宋体" w:hAnsi="宋体" w:cs="宋体" w:eastAsia="宋体" w:hint="default"/>
                <w:sz w:val="18"/>
                <w:szCs w:val="18"/>
              </w:rPr>
            </w:pPr>
            <w:r>
              <w:rPr>
                <w:rFonts w:ascii="宋体" w:hAnsi="宋体" w:cs="宋体" w:eastAsia="宋体" w:hint="default"/>
                <w:sz w:val="18"/>
                <w:szCs w:val="18"/>
              </w:rPr>
              <w:t>医疗机构大数据网络技 术，存储、传输安全性 和共享机制研究</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2,440,000.00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3,040,000.00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FY19 </w:t>
            </w:r>
            <w:r>
              <w:rPr>
                <w:rFonts w:ascii="宋体" w:hAnsi="宋体" w:cs="宋体" w:eastAsia="宋体" w:hint="default"/>
                <w:sz w:val="18"/>
                <w:szCs w:val="18"/>
              </w:rPr>
              <w:t>工业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标识管 理服务系统项目</w:t>
            </w:r>
          </w:p>
        </w:tc>
        <w:tc>
          <w:tcPr>
            <w:tcW w:w="12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2,600,000.00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82" w:type="dxa"/>
        <w:tblLayout w:type="fixed"/>
        <w:tblCellMar>
          <w:top w:w="0" w:type="dxa"/>
          <w:left w:w="0" w:type="dxa"/>
          <w:bottom w:w="0" w:type="dxa"/>
          <w:right w:w="0" w:type="dxa"/>
        </w:tblCellMar>
        <w:tblLook w:val="01E0"/>
      </w:tblPr>
      <w:tblGrid>
        <w:gridCol w:w="1867"/>
        <w:gridCol w:w="1201"/>
        <w:gridCol w:w="1260"/>
        <w:gridCol w:w="691"/>
        <w:gridCol w:w="1169"/>
        <w:gridCol w:w="617"/>
        <w:gridCol w:w="566"/>
        <w:gridCol w:w="1188"/>
        <w:gridCol w:w="1011"/>
      </w:tblGrid>
      <w:tr>
        <w:trPr>
          <w:trHeight w:val="1025"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国家级苹果产业大数据 中心一期（</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项目</w:t>
            </w:r>
          </w:p>
        </w:tc>
        <w:tc>
          <w:tcPr>
            <w:tcW w:w="12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107,250.00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1,192,750.00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1"/>
              <w:jc w:val="left"/>
              <w:rPr>
                <w:rFonts w:ascii="宋体" w:hAnsi="宋体" w:cs="宋体" w:eastAsia="宋体" w:hint="default"/>
                <w:sz w:val="18"/>
                <w:szCs w:val="18"/>
              </w:rPr>
            </w:pPr>
            <w:r>
              <w:rPr>
                <w:rFonts w:ascii="宋体" w:hAnsi="宋体" w:cs="宋体" w:eastAsia="宋体" w:hint="default"/>
                <w:sz w:val="18"/>
                <w:szCs w:val="18"/>
              </w:rPr>
              <w:t>面向新型智慧城市的软 件互操作与集成平台</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1,655,728.65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1,144,601.37</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711,127.28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1"/>
              <w:jc w:val="both"/>
              <w:rPr>
                <w:rFonts w:ascii="宋体" w:hAnsi="宋体" w:cs="宋体" w:eastAsia="宋体" w:hint="default"/>
                <w:sz w:val="18"/>
                <w:szCs w:val="18"/>
              </w:rPr>
            </w:pPr>
            <w:r>
              <w:rPr>
                <w:rFonts w:ascii="宋体" w:hAnsi="宋体" w:cs="宋体" w:eastAsia="宋体" w:hint="default"/>
                <w:sz w:val="18"/>
                <w:szCs w:val="18"/>
              </w:rPr>
              <w:t>基于安全可靠软硬件的 集成开发工具（</w:t>
            </w:r>
            <w:r>
              <w:rPr>
                <w:rFonts w:ascii="Times New Roman" w:hAnsi="Times New Roman" w:cs="Times New Roman" w:eastAsia="Times New Roman" w:hint="default"/>
                <w:sz w:val="18"/>
                <w:szCs w:val="18"/>
              </w:rPr>
              <w:t>IDE</w:t>
            </w:r>
            <w:r>
              <w:rPr>
                <w:rFonts w:ascii="宋体" w:hAnsi="宋体" w:cs="宋体" w:eastAsia="宋体" w:hint="default"/>
                <w:sz w:val="18"/>
                <w:szCs w:val="18"/>
              </w:rPr>
              <w:t>） 研发</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453,030.94</w:t>
            </w:r>
          </w:p>
        </w:tc>
        <w:tc>
          <w:tcPr>
            <w:tcW w:w="126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453,030.94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1"/>
              <w:jc w:val="left"/>
              <w:rPr>
                <w:rFonts w:ascii="宋体" w:hAnsi="宋体" w:cs="宋体" w:eastAsia="宋体" w:hint="default"/>
                <w:sz w:val="18"/>
                <w:szCs w:val="18"/>
              </w:rPr>
            </w:pPr>
            <w:r>
              <w:rPr>
                <w:rFonts w:ascii="宋体" w:hAnsi="宋体" w:cs="宋体" w:eastAsia="宋体" w:hint="default"/>
                <w:sz w:val="18"/>
                <w:szCs w:val="18"/>
              </w:rPr>
              <w:t>恶性肿瘤大数据处理分 析与应用研究</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409,839.65</w:t>
            </w:r>
          </w:p>
        </w:tc>
        <w:tc>
          <w:tcPr>
            <w:tcW w:w="126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409,839.65</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地级市市民公共服务平 台示范应用</w:t>
            </w:r>
          </w:p>
        </w:tc>
        <w:tc>
          <w:tcPr>
            <w:tcW w:w="12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1,396,852.83</w:t>
            </w: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1,010,000.00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386,852.83</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1"/>
              <w:jc w:val="both"/>
              <w:rPr>
                <w:rFonts w:ascii="宋体" w:hAnsi="宋体" w:cs="宋体" w:eastAsia="宋体" w:hint="default"/>
                <w:sz w:val="18"/>
                <w:szCs w:val="18"/>
              </w:rPr>
            </w:pPr>
            <w:r>
              <w:rPr>
                <w:rFonts w:ascii="宋体" w:hAnsi="宋体" w:cs="宋体" w:eastAsia="宋体" w:hint="default"/>
                <w:sz w:val="18"/>
                <w:szCs w:val="18"/>
              </w:rPr>
              <w:t>高效节能温室和智能化 精细调控技术与装备研 发</w:t>
            </w:r>
          </w:p>
        </w:tc>
        <w:tc>
          <w:tcPr>
            <w:tcW w:w="12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基于大数据应用的电子 证照库综合服务平台</w:t>
            </w:r>
          </w:p>
        </w:tc>
        <w:tc>
          <w:tcPr>
            <w:tcW w:w="12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422,912.71</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257,087.29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1"/>
              <w:jc w:val="both"/>
              <w:rPr>
                <w:rFonts w:ascii="宋体" w:hAnsi="宋体" w:cs="宋体" w:eastAsia="宋体" w:hint="default"/>
                <w:sz w:val="18"/>
                <w:szCs w:val="18"/>
              </w:rPr>
            </w:pPr>
            <w:r>
              <w:rPr>
                <w:rFonts w:ascii="宋体" w:hAnsi="宋体" w:cs="宋体" w:eastAsia="宋体" w:hint="default"/>
                <w:sz w:val="18"/>
                <w:szCs w:val="18"/>
              </w:rPr>
              <w:t>构件化应用服务器技术 在市民卡运营平台中应 用实践和产业化推广</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1"/>
              <w:jc w:val="both"/>
              <w:rPr>
                <w:rFonts w:ascii="宋体" w:hAnsi="宋体" w:cs="宋体" w:eastAsia="宋体" w:hint="default"/>
                <w:sz w:val="18"/>
                <w:szCs w:val="18"/>
              </w:rPr>
            </w:pPr>
            <w:r>
              <w:rPr>
                <w:rFonts w:ascii="宋体" w:hAnsi="宋体" w:cs="宋体" w:eastAsia="宋体" w:hint="default"/>
                <w:sz w:val="18"/>
                <w:szCs w:val="18"/>
              </w:rPr>
              <w:t>基于电子病历和信息集 成平台的医疗大数据标 准化采集和分析处理研 究</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1"/>
              <w:jc w:val="left"/>
              <w:rPr>
                <w:rFonts w:ascii="宋体" w:hAnsi="宋体" w:cs="宋体" w:eastAsia="宋体" w:hint="default"/>
                <w:sz w:val="18"/>
                <w:szCs w:val="18"/>
              </w:rPr>
            </w:pPr>
            <w:r>
              <w:rPr>
                <w:rFonts w:ascii="宋体" w:hAnsi="宋体" w:cs="宋体" w:eastAsia="宋体" w:hint="default"/>
                <w:sz w:val="18"/>
                <w:szCs w:val="18"/>
              </w:rPr>
              <w:t>电子信息产业发展基金 资助项目</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110,053.28</w:t>
            </w:r>
          </w:p>
        </w:tc>
        <w:tc>
          <w:tcPr>
            <w:tcW w:w="126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110,053.28</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综合性科技服务协同平 台及构件库研发</w:t>
            </w:r>
          </w:p>
        </w:tc>
        <w:tc>
          <w:tcPr>
            <w:tcW w:w="12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1"/>
              <w:jc w:val="left"/>
              <w:rPr>
                <w:rFonts w:ascii="宋体" w:hAnsi="宋体" w:cs="宋体" w:eastAsia="宋体" w:hint="default"/>
                <w:sz w:val="18"/>
                <w:szCs w:val="18"/>
              </w:rPr>
            </w:pPr>
            <w:r>
              <w:rPr>
                <w:rFonts w:ascii="宋体" w:hAnsi="宋体" w:cs="宋体" w:eastAsia="宋体" w:hint="default"/>
                <w:sz w:val="18"/>
                <w:szCs w:val="18"/>
              </w:rPr>
              <w:t>微服务架构支撑平台集 成系统项目</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243,761.92</w:t>
            </w:r>
          </w:p>
        </w:tc>
        <w:tc>
          <w:tcPr>
            <w:tcW w:w="126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243,761.92</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网构化软件生产、构造 和复用技术与工具</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110,904.77</w:t>
            </w:r>
          </w:p>
        </w:tc>
        <w:tc>
          <w:tcPr>
            <w:tcW w:w="126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110,904.77</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1"/>
              <w:jc w:val="left"/>
              <w:rPr>
                <w:rFonts w:ascii="宋体" w:hAnsi="宋体" w:cs="宋体" w:eastAsia="宋体" w:hint="default"/>
                <w:sz w:val="18"/>
                <w:szCs w:val="18"/>
              </w:rPr>
            </w:pPr>
            <w:r>
              <w:rPr>
                <w:rFonts w:ascii="宋体" w:hAnsi="宋体" w:cs="宋体" w:eastAsia="宋体" w:hint="default"/>
                <w:sz w:val="18"/>
                <w:szCs w:val="18"/>
              </w:rPr>
              <w:t>行业应用支撑平台的云 计算环境适应性改造</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226,000.00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both"/>
              <w:rPr>
                <w:rFonts w:ascii="宋体" w:hAnsi="宋体" w:cs="宋体" w:eastAsia="宋体" w:hint="default"/>
                <w:sz w:val="18"/>
                <w:szCs w:val="18"/>
              </w:rPr>
            </w:pPr>
            <w:r>
              <w:rPr>
                <w:rFonts w:ascii="宋体" w:hAnsi="宋体" w:cs="宋体" w:eastAsia="宋体" w:hint="default"/>
                <w:sz w:val="18"/>
                <w:szCs w:val="18"/>
              </w:rPr>
              <w:t>以人为中心的信息惠民 公共服务平台建设及产 业化项目</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3,332,992.41</w:t>
            </w:r>
          </w:p>
        </w:tc>
        <w:tc>
          <w:tcPr>
            <w:tcW w:w="126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3,332,992.41</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82" w:type="dxa"/>
        <w:tblLayout w:type="fixed"/>
        <w:tblCellMar>
          <w:top w:w="0" w:type="dxa"/>
          <w:left w:w="0" w:type="dxa"/>
          <w:bottom w:w="0" w:type="dxa"/>
          <w:right w:w="0" w:type="dxa"/>
        </w:tblCellMar>
        <w:tblLook w:val="01E0"/>
      </w:tblPr>
      <w:tblGrid>
        <w:gridCol w:w="1867"/>
        <w:gridCol w:w="1201"/>
        <w:gridCol w:w="1260"/>
        <w:gridCol w:w="691"/>
        <w:gridCol w:w="1169"/>
        <w:gridCol w:w="617"/>
        <w:gridCol w:w="566"/>
        <w:gridCol w:w="1188"/>
        <w:gridCol w:w="1011"/>
      </w:tblGrid>
      <w:tr>
        <w:trPr>
          <w:trHeight w:val="1025"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both"/>
              <w:rPr>
                <w:rFonts w:ascii="宋体" w:hAnsi="宋体" w:cs="宋体" w:eastAsia="宋体" w:hint="default"/>
                <w:sz w:val="18"/>
                <w:szCs w:val="18"/>
              </w:rPr>
            </w:pPr>
            <w:r>
              <w:rPr>
                <w:rFonts w:ascii="宋体" w:hAnsi="宋体" w:cs="宋体" w:eastAsia="宋体" w:hint="default"/>
                <w:sz w:val="18"/>
                <w:szCs w:val="18"/>
              </w:rPr>
              <w:t>基于多源知识融合的软 件构造智能化方法与支 撑环境</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436,987.75</w:t>
            </w:r>
          </w:p>
        </w:tc>
        <w:tc>
          <w:tcPr>
            <w:tcW w:w="126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436,987.75</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1"/>
              <w:jc w:val="left"/>
              <w:rPr>
                <w:rFonts w:ascii="宋体" w:hAnsi="宋体" w:cs="宋体" w:eastAsia="宋体" w:hint="default"/>
                <w:sz w:val="18"/>
                <w:szCs w:val="18"/>
              </w:rPr>
            </w:pPr>
            <w:r>
              <w:rPr>
                <w:rFonts w:ascii="宋体" w:hAnsi="宋体" w:cs="宋体" w:eastAsia="宋体" w:hint="default"/>
                <w:sz w:val="18"/>
                <w:szCs w:val="18"/>
              </w:rPr>
              <w:t>苏州工业园区加贸申报 单一窗口平台</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120,681.53</w:t>
            </w:r>
          </w:p>
        </w:tc>
        <w:tc>
          <w:tcPr>
            <w:tcW w:w="126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120,681.53</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1"/>
              <w:jc w:val="both"/>
              <w:rPr>
                <w:rFonts w:ascii="宋体" w:hAnsi="宋体" w:cs="宋体" w:eastAsia="宋体" w:hint="default"/>
                <w:sz w:val="18"/>
                <w:szCs w:val="18"/>
              </w:rPr>
            </w:pPr>
            <w:r>
              <w:rPr>
                <w:rFonts w:ascii="宋体" w:hAnsi="宋体" w:cs="宋体" w:eastAsia="宋体" w:hint="default"/>
                <w:sz w:val="18"/>
                <w:szCs w:val="18"/>
              </w:rPr>
              <w:t>生产要素共享和果蔬质 量安全追溯监管平台建 设项目</w:t>
            </w:r>
          </w:p>
        </w:tc>
        <w:tc>
          <w:tcPr>
            <w:tcW w:w="12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1"/>
              <w:jc w:val="left"/>
              <w:rPr>
                <w:rFonts w:ascii="宋体" w:hAnsi="宋体" w:cs="宋体" w:eastAsia="宋体" w:hint="default"/>
                <w:sz w:val="18"/>
                <w:szCs w:val="18"/>
              </w:rPr>
            </w:pPr>
            <w:r>
              <w:rPr>
                <w:rFonts w:ascii="宋体" w:hAnsi="宋体" w:cs="宋体" w:eastAsia="宋体" w:hint="default"/>
                <w:sz w:val="18"/>
                <w:szCs w:val="18"/>
              </w:rPr>
              <w:t>果业大数据集成与应用 项目</w:t>
            </w:r>
          </w:p>
        </w:tc>
        <w:tc>
          <w:tcPr>
            <w:tcW w:w="12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5"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国家级苹果产业大数据 中心一期（</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项目</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1,140,000.00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1"/>
              <w:jc w:val="left"/>
              <w:rPr>
                <w:rFonts w:ascii="宋体" w:hAnsi="宋体" w:cs="宋体" w:eastAsia="宋体" w:hint="default"/>
                <w:sz w:val="18"/>
                <w:szCs w:val="18"/>
              </w:rPr>
            </w:pPr>
            <w:r>
              <w:rPr>
                <w:rFonts w:ascii="宋体" w:hAnsi="宋体" w:cs="宋体" w:eastAsia="宋体" w:hint="default"/>
                <w:sz w:val="18"/>
                <w:szCs w:val="18"/>
              </w:rPr>
              <w:t>基于云架构的农村三资 管理服务平台</w:t>
            </w:r>
          </w:p>
        </w:tc>
        <w:tc>
          <w:tcPr>
            <w:tcW w:w="120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Deeplan</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通信大数据平 台研发与产业化</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83,124.66</w:t>
            </w:r>
          </w:p>
        </w:tc>
        <w:tc>
          <w:tcPr>
            <w:tcW w:w="1260"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83,124.66</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66"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25,358,580.41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13,666,852.83</w:t>
            </w:r>
          </w:p>
        </w:tc>
        <w:tc>
          <w:tcPr>
            <w:tcW w:w="691"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11,618,327.34</w:t>
            </w:r>
          </w:p>
        </w:tc>
        <w:tc>
          <w:tcPr>
            <w:tcW w:w="61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22" w:right="0"/>
              <w:jc w:val="left"/>
              <w:rPr>
                <w:rFonts w:ascii="Times New Roman" w:hAnsi="Times New Roman" w:cs="Times New Roman" w:eastAsia="Times New Roman" w:hint="default"/>
                <w:sz w:val="18"/>
                <w:szCs w:val="18"/>
              </w:rPr>
            </w:pPr>
            <w:r>
              <w:rPr>
                <w:rFonts w:ascii="Times New Roman"/>
                <w:sz w:val="18"/>
              </w:rPr>
              <w:t>27,407,105.90</w:t>
            </w:r>
          </w:p>
        </w:tc>
        <w:tc>
          <w:tcPr>
            <w:tcW w:w="10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30</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单位：元</w:t>
      </w:r>
    </w:p>
    <w:p>
      <w:pPr>
        <w:spacing w:line="240" w:lineRule="auto" w:before="5"/>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195"/>
        <w:gridCol w:w="1196"/>
        <w:gridCol w:w="1198"/>
        <w:gridCol w:w="1196"/>
        <w:gridCol w:w="1195"/>
        <w:gridCol w:w="1198"/>
        <w:gridCol w:w="1196"/>
        <w:gridCol w:w="1194"/>
      </w:tblGrid>
      <w:tr>
        <w:trPr>
          <w:trHeight w:val="434"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9"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4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4" w:type="dxa"/>
            <w:vMerge/>
            <w:tcBorders>
              <w:left w:val="single" w:sz="4" w:space="0" w:color="000000"/>
              <w:bottom w:val="single" w:sz="4" w:space="0" w:color="000000"/>
              <w:right w:val="single" w:sz="4" w:space="0" w:color="000000"/>
            </w:tcBorders>
            <w:shd w:val="clear" w:color="auto" w:fill="D2D2D2"/>
          </w:tcPr>
          <w:p>
            <w:pPr/>
          </w:p>
        </w:tc>
      </w:tr>
      <w:tr>
        <w:trPr>
          <w:trHeight w:val="463"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8" w:right="0"/>
              <w:jc w:val="left"/>
              <w:rPr>
                <w:rFonts w:ascii="Times New Roman" w:hAnsi="Times New Roman" w:cs="Times New Roman" w:eastAsia="Times New Roman" w:hint="default"/>
                <w:sz w:val="18"/>
                <w:szCs w:val="18"/>
              </w:rPr>
            </w:pPr>
            <w:r>
              <w:rPr>
                <w:rFonts w:ascii="Times New Roman"/>
                <w:sz w:val="18"/>
              </w:rPr>
              <w:t>963,431,273.00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20" w:right="0"/>
              <w:jc w:val="left"/>
              <w:rPr>
                <w:rFonts w:ascii="Times New Roman" w:hAnsi="Times New Roman" w:cs="Times New Roman" w:eastAsia="Times New Roman" w:hint="default"/>
                <w:sz w:val="18"/>
                <w:szCs w:val="18"/>
              </w:rPr>
            </w:pPr>
            <w:r>
              <w:rPr>
                <w:rFonts w:ascii="Times New Roman"/>
                <w:sz w:val="18"/>
              </w:rPr>
              <w:t>6,950,000.00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18" w:right="0"/>
              <w:jc w:val="left"/>
              <w:rPr>
                <w:rFonts w:ascii="Times New Roman" w:hAnsi="Times New Roman" w:cs="Times New Roman" w:eastAsia="Times New Roman" w:hint="default"/>
                <w:sz w:val="18"/>
                <w:szCs w:val="18"/>
              </w:rPr>
            </w:pPr>
            <w:r>
              <w:rPr>
                <w:rFonts w:ascii="Times New Roman"/>
                <w:sz w:val="18"/>
              </w:rPr>
              <w:t>6,950,000.00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7" w:right="0"/>
              <w:jc w:val="left"/>
              <w:rPr>
                <w:rFonts w:ascii="Times New Roman" w:hAnsi="Times New Roman" w:cs="Times New Roman" w:eastAsia="Times New Roman" w:hint="default"/>
                <w:sz w:val="18"/>
                <w:szCs w:val="18"/>
              </w:rPr>
            </w:pPr>
            <w:r>
              <w:rPr>
                <w:rFonts w:ascii="Times New Roman"/>
                <w:sz w:val="18"/>
              </w:rPr>
              <w:t>970,381,273.00</w:t>
            </w:r>
          </w:p>
        </w:tc>
      </w:tr>
    </w:tbl>
    <w:p>
      <w:pPr>
        <w:pStyle w:val="BodyText"/>
        <w:spacing w:line="240" w:lineRule="auto" w:before="87"/>
        <w:ind w:left="0" w:right="1119"/>
        <w:jc w:val="center"/>
      </w:pPr>
      <w:r>
        <w:rPr/>
        <w:t>注：本公司向激励对象定向发行公司</w:t>
      </w:r>
      <w:r>
        <w:rPr>
          <w:spacing w:val="-1"/>
        </w:rPr>
        <w:t> </w:t>
      </w:r>
      <w:r>
        <w:rPr>
          <w:rFonts w:ascii="Times New Roman" w:hAnsi="Times New Roman" w:cs="Times New Roman" w:eastAsia="Times New Roman" w:hint="default"/>
        </w:rPr>
        <w:t>A</w:t>
      </w:r>
      <w:r>
        <w:rPr>
          <w:rFonts w:ascii="Times New Roman" w:hAnsi="Times New Roman" w:cs="Times New Roman" w:eastAsia="Times New Roman" w:hint="default"/>
          <w:spacing w:val="41"/>
        </w:rPr>
        <w:t> </w:t>
      </w:r>
      <w:r>
        <w:rPr/>
        <w:t>股普通股，授予日为</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17 </w:t>
      </w:r>
      <w:r>
        <w:rPr/>
        <w:t>日，授予价格为</w:t>
      </w:r>
      <w:r>
        <w:rPr>
          <w:spacing w:val="-45"/>
        </w:rPr>
        <w:t> </w:t>
      </w:r>
      <w:r>
        <w:rPr>
          <w:rFonts w:ascii="Times New Roman" w:hAnsi="Times New Roman" w:cs="Times New Roman" w:eastAsia="Times New Roman" w:hint="default"/>
        </w:rPr>
        <w:t>6.345</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股，授予</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6,950,000.00</w:t>
      </w:r>
      <w:r>
        <w:rPr>
          <w:rFonts w:ascii="Times New Roman" w:hAnsi="Times New Roman" w:cs="Times New Roman" w:eastAsia="Times New Roman" w:hint="default"/>
          <w:spacing w:val="-2"/>
        </w:rPr>
        <w:t> </w:t>
      </w:r>
      <w:r>
        <w:rPr/>
        <w:t>股限制性股票。公司本次限制性股票授予完成后，公司的总股本增加至</w:t>
      </w:r>
      <w:r>
        <w:rPr>
          <w:spacing w:val="-47"/>
        </w:rPr>
        <w:t> </w:t>
      </w:r>
      <w:r>
        <w:rPr>
          <w:rFonts w:ascii="Times New Roman" w:hAnsi="Times New Roman" w:cs="Times New Roman" w:eastAsia="Times New Roman" w:hint="default"/>
        </w:rPr>
        <w:t>970,381,273.00</w:t>
      </w:r>
      <w:r>
        <w:rPr>
          <w:rFonts w:ascii="Times New Roman" w:hAnsi="Times New Roman" w:cs="Times New Roman" w:eastAsia="Times New Roman" w:hint="default"/>
          <w:spacing w:val="-1"/>
        </w:rPr>
        <w:t> </w:t>
      </w:r>
      <w:r>
        <w:rPr/>
        <w:t>元。北京兴华会计师事</w:t>
      </w:r>
    </w:p>
    <w:p>
      <w:pPr>
        <w:spacing w:line="240" w:lineRule="auto" w:before="9"/>
        <w:rPr>
          <w:rFonts w:ascii="宋体" w:hAnsi="宋体" w:cs="宋体" w:eastAsia="宋体" w:hint="default"/>
          <w:sz w:val="16"/>
          <w:szCs w:val="16"/>
        </w:rPr>
      </w:pPr>
    </w:p>
    <w:p>
      <w:pPr>
        <w:pStyle w:val="BodyText"/>
        <w:spacing w:line="240" w:lineRule="auto"/>
        <w:ind w:right="0"/>
        <w:jc w:val="left"/>
        <w:rPr>
          <w:rFonts w:ascii="Times New Roman" w:hAnsi="Times New Roman" w:cs="Times New Roman" w:eastAsia="Times New Roman" w:hint="default"/>
        </w:rPr>
      </w:pPr>
      <w:r>
        <w:rPr/>
        <w:t>务所（特殊普通合伙）于</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日出具（</w:t>
      </w:r>
      <w:r>
        <w:rPr>
          <w:rFonts w:ascii="Times New Roman" w:hAnsi="Times New Roman" w:cs="Times New Roman" w:eastAsia="Times New Roman" w:hint="default"/>
        </w:rPr>
        <w:t>2019</w:t>
      </w:r>
      <w:r>
        <w:rPr/>
        <w:t>）京会兴验字第</w:t>
      </w:r>
      <w:r>
        <w:rPr>
          <w:spacing w:val="-47"/>
        </w:rPr>
        <w:t> </w:t>
      </w:r>
      <w:r>
        <w:rPr>
          <w:rFonts w:ascii="Times New Roman" w:hAnsi="Times New Roman" w:cs="Times New Roman" w:eastAsia="Times New Roman" w:hint="default"/>
        </w:rPr>
        <w:t>64000003 </w:t>
      </w:r>
      <w:r>
        <w:rPr/>
        <w:t>号验资报告，对本公司截止</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10</w:t>
      </w:r>
    </w:p>
    <w:p>
      <w:pPr>
        <w:spacing w:line="240" w:lineRule="auto" w:before="0"/>
        <w:rPr>
          <w:rFonts w:ascii="Times New Roman" w:hAnsi="Times New Roman" w:cs="Times New Roman" w:eastAsia="Times New Roman" w:hint="default"/>
          <w:sz w:val="19"/>
          <w:szCs w:val="19"/>
        </w:rPr>
      </w:pPr>
    </w:p>
    <w:p>
      <w:pPr>
        <w:pStyle w:val="BodyText"/>
        <w:spacing w:line="451" w:lineRule="auto"/>
        <w:ind w:right="1170"/>
        <w:jc w:val="left"/>
      </w:pPr>
      <w:r>
        <w:rPr/>
        <w:t>月</w:t>
      </w:r>
      <w:r>
        <w:rPr>
          <w:spacing w:val="-46"/>
        </w:rPr>
        <w:t> </w:t>
      </w:r>
      <w:r>
        <w:rPr>
          <w:rFonts w:ascii="Times New Roman" w:hAnsi="Times New Roman" w:cs="Times New Roman" w:eastAsia="Times New Roman" w:hint="default"/>
        </w:rPr>
        <w:t>15 </w:t>
      </w:r>
      <w:r>
        <w:rPr/>
        <w:t>日的出资情况进行审验，本公司的募集资金账户共收到</w:t>
      </w:r>
      <w:r>
        <w:rPr>
          <w:spacing w:val="-45"/>
        </w:rPr>
        <w:t> </w:t>
      </w:r>
      <w:r>
        <w:rPr>
          <w:rFonts w:ascii="Times New Roman" w:hAnsi="Times New Roman" w:cs="Times New Roman" w:eastAsia="Times New Roman" w:hint="default"/>
        </w:rPr>
        <w:t>16 </w:t>
      </w:r>
      <w:r>
        <w:rPr/>
        <w:t>名激励对象入资款</w:t>
      </w:r>
      <w:r>
        <w:rPr>
          <w:spacing w:val="-48"/>
        </w:rPr>
        <w:t> </w:t>
      </w:r>
      <w:r>
        <w:rPr>
          <w:rFonts w:ascii="Times New Roman" w:hAnsi="Times New Roman" w:cs="Times New Roman" w:eastAsia="Times New Roman" w:hint="default"/>
        </w:rPr>
        <w:t>44,097,750.00</w:t>
      </w:r>
      <w:r>
        <w:rPr>
          <w:rFonts w:ascii="Times New Roman" w:hAnsi="Times New Roman" w:cs="Times New Roman" w:eastAsia="Times New Roman" w:hint="default"/>
          <w:spacing w:val="2"/>
        </w:rPr>
        <w:t> </w:t>
      </w:r>
      <w:r>
        <w:rPr/>
        <w:t>元。其中按照激励计划购 买公司限制性股票增加</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”6,950,000.00</w:t>
      </w:r>
      <w:r>
        <w:rPr>
          <w:rFonts w:ascii="Times New Roman" w:hAnsi="Times New Roman" w:cs="Times New Roman" w:eastAsia="Times New Roman" w:hint="default"/>
          <w:spacing w:val="-1"/>
        </w:rPr>
        <w:t> </w:t>
      </w:r>
      <w:r>
        <w:rPr/>
        <w:t>元，出资款超过限制性股票成本</w:t>
      </w:r>
      <w:r>
        <w:rPr>
          <w:spacing w:val="-49"/>
        </w:rPr>
        <w:t> </w:t>
      </w:r>
      <w:r>
        <w:rPr>
          <w:rFonts w:ascii="Times New Roman" w:hAnsi="Times New Roman" w:cs="Times New Roman" w:eastAsia="Times New Roman" w:hint="default"/>
        </w:rPr>
        <w:t>37,147,750.00</w:t>
      </w:r>
      <w:r>
        <w:rPr>
          <w:rFonts w:ascii="Times New Roman" w:hAnsi="Times New Roman" w:cs="Times New Roman" w:eastAsia="Times New Roman" w:hint="default"/>
          <w:spacing w:val="-1"/>
        </w:rPr>
        <w:t> </w:t>
      </w:r>
      <w:r>
        <w:rPr/>
        <w:t>元增加</w:t>
      </w:r>
      <w:r>
        <w:rPr>
          <w:rFonts w:ascii="Times New Roman" w:hAnsi="Times New Roman" w:cs="Times New Roman" w:eastAsia="Times New Roman" w:hint="default"/>
        </w:rPr>
        <w:t>“</w:t>
      </w:r>
      <w:r>
        <w:rPr/>
        <w:t>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。本 公司于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10 </w:t>
      </w:r>
      <w:r>
        <w:rPr/>
        <w:t>月</w:t>
      </w:r>
      <w:r>
        <w:rPr>
          <w:spacing w:val="-48"/>
        </w:rPr>
        <w:t> </w:t>
      </w:r>
      <w:r>
        <w:rPr>
          <w:rFonts w:ascii="Times New Roman" w:hAnsi="Times New Roman" w:cs="Times New Roman" w:eastAsia="Times New Roman" w:hint="default"/>
        </w:rPr>
        <w:t>30 </w:t>
      </w:r>
      <w:r>
        <w:rPr/>
        <w:t>日完成了首次授予登记工作。</w:t>
      </w:r>
    </w:p>
    <w:p>
      <w:pPr>
        <w:spacing w:line="240" w:lineRule="auto" w:before="8"/>
        <w:rPr>
          <w:rFonts w:ascii="宋体" w:hAnsi="宋体" w:cs="宋体" w:eastAsia="宋体" w:hint="default"/>
          <w:sz w:val="18"/>
          <w:szCs w:val="18"/>
        </w:rPr>
      </w:pPr>
    </w:p>
    <w:p>
      <w:pPr>
        <w:pStyle w:val="Heading4"/>
        <w:spacing w:line="240" w:lineRule="auto"/>
        <w:ind w:right="0"/>
        <w:jc w:val="left"/>
        <w:rPr>
          <w:b w:val="0"/>
          <w:bCs w:val="0"/>
        </w:rPr>
      </w:pPr>
      <w:r>
        <w:rPr>
          <w:rFonts w:ascii="Times New Roman" w:hAnsi="Times New Roman" w:cs="Times New Roman" w:eastAsia="Times New Roman" w:hint="default"/>
        </w:rPr>
        <w:t>31</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6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71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2,224,934,959.71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37,147,750.00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71,677.20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2,262,011,032.51</w:t>
            </w:r>
          </w:p>
        </w:tc>
      </w:tr>
      <w:tr>
        <w:trPr>
          <w:trHeight w:val="466"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其他资本公积（注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49,243,427.73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8,417,940.18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3,694,822.29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53,966,545.62</w:t>
            </w:r>
          </w:p>
        </w:tc>
      </w:tr>
      <w:tr>
        <w:trPr>
          <w:trHeight w:val="46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2,274,178,387.44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45,565,690.18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3,766,499.49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2,315,977,578.13</w:t>
            </w:r>
          </w:p>
        </w:tc>
      </w:tr>
    </w:tbl>
    <w:p>
      <w:pPr>
        <w:pStyle w:val="BodyText"/>
        <w:spacing w:line="240" w:lineRule="auto" w:before="87"/>
        <w:ind w:left="513" w:right="0"/>
        <w:jc w:val="left"/>
      </w:pPr>
      <w:r>
        <w:rPr/>
        <w:t>注</w:t>
      </w:r>
      <w:r>
        <w:rPr>
          <w:spacing w:val="-46"/>
        </w:rPr>
        <w:t> </w:t>
      </w:r>
      <w:r>
        <w:rPr>
          <w:rFonts w:ascii="Times New Roman" w:hAnsi="Times New Roman" w:cs="Times New Roman" w:eastAsia="Times New Roman" w:hint="default"/>
        </w:rPr>
        <w:t>1</w:t>
      </w:r>
      <w:r>
        <w:rPr/>
        <w:t>：股本溢价增加本年增加详见附注七、</w:t>
      </w:r>
      <w:r>
        <w:rPr>
          <w:rFonts w:ascii="Times New Roman" w:hAnsi="Times New Roman" w:cs="Times New Roman" w:eastAsia="Times New Roman" w:hint="default"/>
        </w:rPr>
        <w:t>30 </w:t>
      </w:r>
      <w:r>
        <w:rPr/>
        <w:t>注。</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股本溢价本年减少系</w:t>
      </w:r>
      <w:r>
        <w:rPr>
          <w:spacing w:val="-45"/>
        </w:rPr>
        <w:t> </w:t>
      </w: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月本公司之子公司神州数码系统集成服务有限公司收购中能国电（北京）新能源投资有</w:t>
      </w:r>
    </w:p>
    <w:p>
      <w:pPr>
        <w:spacing w:line="240" w:lineRule="auto" w:before="9"/>
        <w:rPr>
          <w:rFonts w:ascii="宋体" w:hAnsi="宋体" w:cs="宋体" w:eastAsia="宋体" w:hint="default"/>
          <w:sz w:val="16"/>
          <w:szCs w:val="16"/>
        </w:rPr>
      </w:pPr>
    </w:p>
    <w:p>
      <w:pPr>
        <w:pStyle w:val="BodyText"/>
        <w:spacing w:line="240" w:lineRule="auto"/>
        <w:ind w:right="0"/>
        <w:jc w:val="left"/>
      </w:pPr>
      <w:r>
        <w:rPr/>
        <w:t>限公司少数股东股权导致股本溢价减少</w:t>
      </w:r>
      <w:r>
        <w:rPr>
          <w:spacing w:val="-45"/>
        </w:rPr>
        <w:t> </w:t>
      </w:r>
      <w:r>
        <w:rPr>
          <w:rFonts w:ascii="Times New Roman" w:hAnsi="Times New Roman" w:cs="Times New Roman" w:eastAsia="Times New Roman" w:hint="default"/>
        </w:rPr>
        <w:t>71,677.20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16"/>
          <w:szCs w:val="16"/>
        </w:rPr>
      </w:pPr>
    </w:p>
    <w:p>
      <w:pPr>
        <w:pStyle w:val="BodyText"/>
        <w:spacing w:line="451" w:lineRule="auto"/>
        <w:ind w:right="1127" w:firstLine="360"/>
        <w:jc w:val="left"/>
      </w:pPr>
      <w:r>
        <w:rPr/>
        <w:t>注</w:t>
      </w:r>
      <w:r>
        <w:rPr>
          <w:spacing w:val="-48"/>
        </w:rPr>
        <w:t> </w:t>
      </w:r>
      <w:r>
        <w:rPr>
          <w:rFonts w:ascii="Times New Roman" w:hAnsi="Times New Roman" w:cs="Times New Roman" w:eastAsia="Times New Roman" w:hint="default"/>
        </w:rPr>
        <w:t>2</w:t>
      </w:r>
      <w:r>
        <w:rPr/>
        <w:t>：其他资本公积本年增加系因本集团向激励对象授予股票期权与限制性股票确认的股份支付费用</w:t>
      </w:r>
      <w:r>
        <w:rPr>
          <w:spacing w:val="-46"/>
        </w:rPr>
        <w:t> </w:t>
      </w:r>
      <w:r>
        <w:rPr>
          <w:rFonts w:ascii="Times New Roman" w:hAnsi="Times New Roman" w:cs="Times New Roman" w:eastAsia="Times New Roman" w:hint="default"/>
        </w:rPr>
        <w:t>8,966,826.00 </w:t>
      </w:r>
      <w:r>
        <w:rPr/>
        <w:t>元， 其中增加其他资本公积</w:t>
      </w:r>
      <w:r>
        <w:rPr>
          <w:spacing w:val="-48"/>
        </w:rPr>
        <w:t> </w:t>
      </w:r>
      <w:r>
        <w:rPr>
          <w:rFonts w:ascii="Times New Roman" w:hAnsi="Times New Roman" w:cs="Times New Roman" w:eastAsia="Times New Roman" w:hint="default"/>
        </w:rPr>
        <w:t>8,417,940.18 </w:t>
      </w:r>
      <w:r>
        <w:rPr/>
        <w:t>元，增加少数股东权益</w:t>
      </w:r>
      <w:r>
        <w:rPr>
          <w:spacing w:val="-48"/>
        </w:rPr>
        <w:t> </w:t>
      </w:r>
      <w:r>
        <w:rPr>
          <w:rFonts w:ascii="Times New Roman" w:hAnsi="Times New Roman" w:cs="Times New Roman" w:eastAsia="Times New Roman" w:hint="default"/>
        </w:rPr>
        <w:t>548,885.82</w:t>
      </w:r>
      <w:r>
        <w:rPr>
          <w:rFonts w:ascii="Times New Roman" w:hAnsi="Times New Roman" w:cs="Times New Roman" w:eastAsia="Times New Roman" w:hint="default"/>
          <w:spacing w:val="-1"/>
        </w:rPr>
        <w:t> </w:t>
      </w:r>
      <w:r>
        <w:rPr/>
        <w:t>元。</w:t>
      </w:r>
    </w:p>
    <w:p>
      <w:pPr>
        <w:pStyle w:val="BodyText"/>
        <w:spacing w:line="240" w:lineRule="auto" w:before="43"/>
        <w:ind w:left="513" w:right="0"/>
        <w:jc w:val="left"/>
      </w:pPr>
      <w:r>
        <w:rPr/>
        <w:t>其他资本公积本年减少包括联营企业鼎捷软件股份有限公司因股权激励行权减少资本公积导致本集团资本公积减少</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2,763,912.41</w:t>
      </w:r>
      <w:r>
        <w:rPr>
          <w:rFonts w:ascii="Times New Roman" w:hAnsi="Times New Roman" w:cs="Times New Roman" w:eastAsia="Times New Roman" w:hint="default"/>
          <w:spacing w:val="-2"/>
        </w:rPr>
        <w:t> </w:t>
      </w:r>
      <w:r>
        <w:rPr/>
        <w:t>元，及处置鼎捷软件股份有限公司股权导致资本公积减少</w:t>
      </w:r>
      <w:r>
        <w:rPr>
          <w:spacing w:val="-48"/>
        </w:rPr>
        <w:t> </w:t>
      </w:r>
      <w:r>
        <w:rPr>
          <w:rFonts w:ascii="Times New Roman" w:hAnsi="Times New Roman" w:cs="Times New Roman" w:eastAsia="Times New Roman" w:hint="default"/>
        </w:rPr>
        <w:t>930,909.88</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32</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6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6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44,097,750.00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44,097,750.00</w:t>
            </w:r>
          </w:p>
        </w:tc>
      </w:tr>
      <w:tr>
        <w:trPr>
          <w:trHeight w:val="466"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44,097,750.00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44,097,750.00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33</w:t>
      </w:r>
      <w:r>
        <w:rPr/>
        <w:t>、其他综合收益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702"/>
        <w:gridCol w:w="1133"/>
        <w:gridCol w:w="1135"/>
        <w:gridCol w:w="996"/>
        <w:gridCol w:w="991"/>
        <w:gridCol w:w="1136"/>
        <w:gridCol w:w="1135"/>
        <w:gridCol w:w="620"/>
        <w:gridCol w:w="1082"/>
      </w:tblGrid>
      <w:tr>
        <w:trPr>
          <w:trHeight w:val="43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01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55"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1"/>
              <w:ind w:left="206" w:right="108" w:hanging="92"/>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4"/>
              <w:ind w:left="43" w:right="41"/>
              <w:jc w:val="center"/>
              <w:rPr>
                <w:rFonts w:ascii="宋体" w:hAnsi="宋体" w:cs="宋体" w:eastAsia="宋体" w:hint="default"/>
                <w:sz w:val="18"/>
                <w:szCs w:val="18"/>
              </w:rPr>
            </w:pPr>
            <w:r>
              <w:rPr>
                <w:rFonts w:ascii="宋体" w:hAnsi="宋体" w:cs="宋体" w:eastAsia="宋体" w:hint="default"/>
                <w:sz w:val="18"/>
                <w:szCs w:val="18"/>
              </w:rPr>
              <w:t>减：前期计 入其他综合 收益当期转 入损益</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4"/>
              <w:ind w:left="40" w:right="38"/>
              <w:jc w:val="both"/>
              <w:rPr>
                <w:rFonts w:ascii="宋体" w:hAnsi="宋体" w:cs="宋体" w:eastAsia="宋体" w:hint="default"/>
                <w:sz w:val="18"/>
                <w:szCs w:val="18"/>
              </w:rPr>
            </w:pPr>
            <w:r>
              <w:rPr>
                <w:rFonts w:ascii="宋体" w:hAnsi="宋体" w:cs="宋体" w:eastAsia="宋体" w:hint="default"/>
                <w:sz w:val="18"/>
                <w:szCs w:val="18"/>
              </w:rPr>
              <w:t>减：前期计 入其他综合 收益当期转 入留存收益</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1"/>
              <w:ind w:left="383" w:right="111" w:hanging="272"/>
              <w:jc w:val="left"/>
              <w:rPr>
                <w:rFonts w:ascii="宋体" w:hAnsi="宋体" w:cs="宋体" w:eastAsia="宋体" w:hint="default"/>
                <w:sz w:val="18"/>
                <w:szCs w:val="18"/>
              </w:rPr>
            </w:pPr>
            <w:r>
              <w:rPr>
                <w:rFonts w:ascii="宋体" w:hAnsi="宋体" w:cs="宋体" w:eastAsia="宋体" w:hint="default"/>
                <w:sz w:val="18"/>
                <w:szCs w:val="18"/>
              </w:rPr>
              <w:t>减：所得税 费用</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1"/>
              <w:ind w:left="292" w:right="110"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6"/>
                <w:szCs w:val="16"/>
              </w:rPr>
            </w:pPr>
          </w:p>
          <w:p>
            <w:pPr>
              <w:pStyle w:val="TableParagraph"/>
              <w:spacing w:line="316" w:lineRule="auto"/>
              <w:ind w:left="36" w:right="33"/>
              <w:jc w:val="both"/>
              <w:rPr>
                <w:rFonts w:ascii="宋体" w:hAnsi="宋体" w:cs="宋体" w:eastAsia="宋体" w:hint="default"/>
                <w:sz w:val="18"/>
                <w:szCs w:val="18"/>
              </w:rPr>
            </w:pPr>
            <w:r>
              <w:rPr>
                <w:rFonts w:ascii="宋体" w:hAnsi="宋体" w:cs="宋体" w:eastAsia="宋体" w:hint="default"/>
                <w:sz w:val="18"/>
                <w:szCs w:val="18"/>
              </w:rPr>
              <w:t>税后归 属于少 数股东</w:t>
            </w:r>
          </w:p>
        </w:tc>
        <w:tc>
          <w:tcPr>
            <w:tcW w:w="108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一、不能重分类进损 益的其他综合收益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-8,173,684.02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-3,097,252.16</w:t>
            </w:r>
          </w:p>
        </w:tc>
        <w:tc>
          <w:tcPr>
            <w:tcW w:w="99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-495,005.69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-4,079,515.25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1,477,268.78</w:t>
            </w:r>
          </w:p>
        </w:tc>
        <w:tc>
          <w:tcPr>
            <w:tcW w:w="620"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-6,696,415.24</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权益法下不能转 损益的其他综合收益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-4,089,201.86</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-495,005.69</w:t>
            </w: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495,005.69</w:t>
            </w:r>
          </w:p>
        </w:tc>
        <w:tc>
          <w:tcPr>
            <w:tcW w:w="620"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-3,594,196.17</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 资公允价值变动</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-4,084,482.16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-3,097,252.16</w:t>
            </w:r>
          </w:p>
        </w:tc>
        <w:tc>
          <w:tcPr>
            <w:tcW w:w="99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-4,079,515.25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982,263.09</w:t>
            </w:r>
          </w:p>
        </w:tc>
        <w:tc>
          <w:tcPr>
            <w:tcW w:w="620"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-3,102,219.07</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二、将重分类进损益 的其他综合收益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70,578,519.66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-366,846.28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247,464.89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-614,311.17</w:t>
            </w:r>
          </w:p>
        </w:tc>
        <w:tc>
          <w:tcPr>
            <w:tcW w:w="620"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69,964,208.4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1702"/>
        <w:gridCol w:w="1133"/>
        <w:gridCol w:w="1135"/>
        <w:gridCol w:w="996"/>
        <w:gridCol w:w="991"/>
        <w:gridCol w:w="1136"/>
        <w:gridCol w:w="1135"/>
        <w:gridCol w:w="620"/>
        <w:gridCol w:w="1082"/>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5"/>
              <w:jc w:val="left"/>
              <w:rPr>
                <w:rFonts w:ascii="宋体" w:hAnsi="宋体" w:cs="宋体" w:eastAsia="宋体" w:hint="default"/>
                <w:sz w:val="18"/>
                <w:szCs w:val="18"/>
              </w:rPr>
            </w:pPr>
            <w:r>
              <w:rPr>
                <w:rFonts w:ascii="宋体" w:hAnsi="宋体" w:cs="宋体" w:eastAsia="宋体" w:hint="default"/>
                <w:sz w:val="18"/>
                <w:szCs w:val="18"/>
              </w:rPr>
              <w:t>其中：权益法下可转 损益的其他综合收益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3,715,517.92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1,537,667.02</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-247,464.89</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1,290,202.13</w:t>
            </w:r>
          </w:p>
        </w:tc>
        <w:tc>
          <w:tcPr>
            <w:tcW w:w="620"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5,005,720.05</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4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 算差额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66,863,001.74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-1,904,513.30</w:t>
            </w:r>
          </w:p>
        </w:tc>
        <w:tc>
          <w:tcPr>
            <w:tcW w:w="996"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-1,904,513.30</w:t>
            </w:r>
          </w:p>
        </w:tc>
        <w:tc>
          <w:tcPr>
            <w:tcW w:w="620"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64,958,488.4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62,404,835.64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-3,464,098.44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247,464.89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-495,005.69</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-4,079,515.25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862,957.61</w:t>
            </w:r>
          </w:p>
        </w:tc>
        <w:tc>
          <w:tcPr>
            <w:tcW w:w="620"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63,267,793.2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34</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64"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66"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27,209,080.61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768,431.82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27,977,512.43</w:t>
            </w:r>
          </w:p>
        </w:tc>
      </w:tr>
      <w:tr>
        <w:trPr>
          <w:trHeight w:val="46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27,209,080.61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768,431.82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27,977,512.43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35</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725"/>
        <w:gridCol w:w="2924"/>
        <w:gridCol w:w="2919"/>
      </w:tblGrid>
      <w:tr>
        <w:trPr>
          <w:trHeight w:val="43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79"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1,614,776,633.66</w:t>
            </w:r>
          </w:p>
        </w:tc>
        <w:tc>
          <w:tcPr>
            <w:tcW w:w="2919"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1,603,510,186.54</w:t>
            </w:r>
          </w:p>
        </w:tc>
      </w:tr>
      <w:tr>
        <w:trPr>
          <w:trHeight w:val="464"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-69,555,473.23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1,545,221,160.43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1,603,510,186.54</w:t>
            </w:r>
          </w:p>
        </w:tc>
      </w:tr>
      <w:tr>
        <w:trPr>
          <w:trHeight w:val="46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375,607,752.77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42,096,244.42</w:t>
            </w:r>
          </w:p>
        </w:tc>
      </w:tr>
      <w:tr>
        <w:trPr>
          <w:trHeight w:val="46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768,431.82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33,720,093.34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30,829,797.30</w:t>
            </w:r>
          </w:p>
        </w:tc>
      </w:tr>
      <w:tr>
        <w:trPr>
          <w:trHeight w:val="463" w:hRule="exact"/>
        </w:trPr>
        <w:tc>
          <w:tcPr>
            <w:tcW w:w="3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前期计入其他综合收益本期转入留存收益</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-495,005.69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1,885,845,382.35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1,614,776,633.66</w:t>
            </w:r>
          </w:p>
        </w:tc>
      </w:tr>
    </w:tbl>
    <w:p>
      <w:pPr>
        <w:pStyle w:val="BodyText"/>
        <w:spacing w:line="240" w:lineRule="auto" w:before="87"/>
        <w:ind w:right="0"/>
        <w:jc w:val="left"/>
      </w:pPr>
      <w:r>
        <w:rPr/>
        <w:t>调整期初未分配利润明细：</w:t>
      </w:r>
    </w:p>
    <w:p>
      <w:pPr>
        <w:spacing w:line="240" w:lineRule="auto" w:before="11"/>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-69,555,473.23</w:t>
      </w:r>
      <w:r>
        <w:rPr>
          <w:rFonts w:ascii="Times New Roman" w:hAnsi="Times New Roman" w:cs="Times New Roman" w:eastAsia="Times New Roman" w:hint="default"/>
          <w:spacing w:val="-4"/>
        </w:rPr>
        <w:t> </w:t>
      </w:r>
      <w:r>
        <w:rPr/>
        <w:t>元。</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916" w:footer="1261" w:top="112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36</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910"/>
        <w:gridCol w:w="1918"/>
        <w:gridCol w:w="1913"/>
        <w:gridCol w:w="1916"/>
        <w:gridCol w:w="1913"/>
      </w:tblGrid>
      <w:tr>
        <w:trPr>
          <w:trHeight w:val="455" w:hRule="exact"/>
        </w:trPr>
        <w:tc>
          <w:tcPr>
            <w:tcW w:w="19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58" w:hRule="exact"/>
        </w:trPr>
        <w:tc>
          <w:tcPr>
            <w:tcW w:w="1910" w:type="dxa"/>
            <w:vMerge/>
            <w:tcBorders>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3"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5"/>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6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10,139,884,706.88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8,261,358,887.15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9,071,576,152.94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7,386,159,898.69</w:t>
            </w:r>
          </w:p>
        </w:tc>
      </w:tr>
      <w:tr>
        <w:trPr>
          <w:trHeight w:val="466"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6,123,464.03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371,450.70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5,768,755.74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278,588.02</w:t>
            </w:r>
          </w:p>
        </w:tc>
      </w:tr>
      <w:tr>
        <w:trPr>
          <w:trHeight w:val="463" w:hRule="exact"/>
        </w:trPr>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10,146,008,170.91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8,261,730,337.85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9,077,344,908.68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7,386,438,486.71</w:t>
            </w:r>
          </w:p>
        </w:tc>
      </w:tr>
    </w:tbl>
    <w:p>
      <w:pPr>
        <w:pStyle w:val="BodyText"/>
        <w:spacing w:line="240" w:lineRule="auto" w:before="49"/>
        <w:ind w:right="0"/>
        <w:jc w:val="left"/>
      </w:pPr>
      <w:r>
        <w:rPr/>
        <w:t>是否已执行新收入准则</w:t>
      </w:r>
    </w:p>
    <w:p>
      <w:pPr>
        <w:pStyle w:val="BodyText"/>
        <w:spacing w:line="240" w:lineRule="auto" w:before="115"/>
        <w:ind w:right="0"/>
        <w:jc w:val="left"/>
      </w:pPr>
      <w:r>
        <w:rPr/>
        <w:t>□ 是 √</w:t>
      </w:r>
      <w:r>
        <w:rPr>
          <w:spacing w:val="3"/>
        </w:rPr>
        <w:t> </w:t>
      </w:r>
      <w:r>
        <w:rPr/>
        <w:t>否</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注：其他业务收入主要系餐厅和办公楼的房租收入，餐厅相关折旧成本部分在</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中核算。</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4"/>
          <w:szCs w:val="14"/>
        </w:rPr>
      </w:pPr>
    </w:p>
    <w:p>
      <w:pPr>
        <w:pStyle w:val="Heading4"/>
        <w:spacing w:line="240" w:lineRule="auto"/>
        <w:ind w:right="0"/>
        <w:jc w:val="left"/>
        <w:rPr>
          <w:b w:val="0"/>
          <w:bCs w:val="0"/>
        </w:rPr>
      </w:pPr>
      <w:r>
        <w:rPr>
          <w:rFonts w:ascii="Times New Roman" w:hAnsi="Times New Roman" w:cs="Times New Roman" w:eastAsia="Times New Roman" w:hint="default"/>
        </w:rPr>
        <w:t>37</w:t>
      </w:r>
      <w:r>
        <w:rPr/>
        <w:t>、税金及附加</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6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17,505,146.08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18,514,350.41</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7,507,583.08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7,818,322.20</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3,018,594.78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3,162,638.07</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109,188.59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109,555.49</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4,919,260.77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5,034,780.06</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4,995,836.85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5,207,397.18</w:t>
            </w:r>
          </w:p>
        </w:tc>
      </w:tr>
      <w:tr>
        <w:trPr>
          <w:trHeight w:val="463" w:hRule="exact"/>
        </w:trPr>
        <w:tc>
          <w:tcPr>
            <w:tcW w:w="3188"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47,285.19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64,476.95</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38,102,895.34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39,911,520.36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38</w:t>
      </w:r>
      <w:r>
        <w:rPr/>
        <w:t>、销售费用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6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242,126,247.70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272,696,443.31</w:t>
            </w: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77,228,147.75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29,620,443.64</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66,737,439.54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86,316,987.33</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38,292,878.64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41,030,760.32</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投标保函费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20,609,831.84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21,367,539.81</w:t>
            </w: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13,810,775.73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20,342,166.32</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运输及仓储费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2"/>
                <w:sz w:val="18"/>
              </w:rPr>
              <w:t>11,915,411.05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14,341,019.14</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市场服务费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10,984,014.00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11,982,779.66</w:t>
            </w: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6,407,871.19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8,339,388.50</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办公及通讯费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5,829,887.00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19,503,553.67</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3,460,662.33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3,534,191.21</w:t>
            </w: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6,521,700.49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22,675,005.78</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503,924,867.26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551,750,278.69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39</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6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279,271,112.19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307,060,663.70</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24,702,084.88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23,236,802.66</w:t>
            </w: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23,635,218.03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24,240,357.12</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18,779,969.68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43,731,984.31</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办公及通讯费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18,611,296.04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28,372,341.98</w:t>
            </w: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8,866,109.64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22,838,420.95</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7,489,285.64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11,448,757.46</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3,754,024.23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12,532,722.21</w:t>
            </w: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2,931,610.30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2,699,708.58</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14,417,081.35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1,190,441.55</w:t>
            </w: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402,457,791.98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477,352,200.52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40</w:t>
      </w:r>
      <w:r>
        <w:rPr/>
        <w:t>、研发费用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6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186,792,424.14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132,129,190.51</w:t>
            </w: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82,267,106.94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60,203,344.78</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35,886,168.75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30,593,889.37</w:t>
            </w: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30,431,295.30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6,637,678.79</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办公及通讯费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10,763,497.56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5,429,401.58</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9,542,340.20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9,023,299.07</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3,160,970.54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804,120.63</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2,033,076.87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422,393.47</w:t>
            </w: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5,046,411.13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282,745.73</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374,946,590.50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236,502,764.86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41</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4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80,376,342.55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77,061,993.92</w:t>
            </w: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6,360,293.56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9,626,867.57</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加：汇兑损失（收益以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2,208,724.94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-12,230,792.24</w:t>
            </w:r>
          </w:p>
        </w:tc>
      </w:tr>
      <w:tr>
        <w:trPr>
          <w:trHeight w:val="46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加：手续费支出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6,495,549.03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7,007,297.46</w:t>
            </w:r>
          </w:p>
        </w:tc>
      </w:tr>
      <w:tr>
        <w:trPr>
          <w:trHeight w:val="466" w:hRule="exact"/>
        </w:trPr>
        <w:tc>
          <w:tcPr>
            <w:tcW w:w="3190" w:type="dxa"/>
            <w:tcBorders>
              <w:top w:val="single" w:sz="4" w:space="0" w:color="000000"/>
              <w:left w:val="single" w:sz="4" w:space="0" w:color="000000"/>
              <w:bottom w:val="single" w:sz="12" w:space="0" w:color="D2D2D2"/>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加：其他支出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-1,234,164.47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599,674.75</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81,486,158.49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62,811,306.32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42</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4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319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52,924,517.61</w:t>
            </w:r>
          </w:p>
        </w:tc>
        <w:tc>
          <w:tcPr>
            <w:tcW w:w="319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68,161,242.49</w:t>
            </w: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增值税加计抵减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2,529,727.70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55,454,245.31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68,161,242.49</w:t>
            </w:r>
          </w:p>
        </w:tc>
      </w:tr>
    </w:tbl>
    <w:p>
      <w:pPr>
        <w:pStyle w:val="BodyText"/>
        <w:spacing w:line="240" w:lineRule="auto" w:before="8"/>
        <w:ind w:right="0"/>
        <w:jc w:val="left"/>
      </w:pPr>
      <w:r>
        <w:rPr/>
        <w:t>政府补助明细</w:t>
      </w:r>
    </w:p>
    <w:p>
      <w:pPr>
        <w:spacing w:line="240" w:lineRule="auto" w:before="4"/>
        <w:rPr>
          <w:rFonts w:ascii="宋体" w:hAnsi="宋体" w:cs="宋体" w:eastAsia="宋体" w:hint="default"/>
          <w:sz w:val="5"/>
          <w:szCs w:val="5"/>
        </w:rPr>
      </w:pPr>
    </w:p>
    <w:tbl>
      <w:tblPr>
        <w:tblW w:w="0" w:type="auto"/>
        <w:jc w:val="left"/>
        <w:tblInd w:w="369" w:type="dxa"/>
        <w:tblLayout w:type="fixed"/>
        <w:tblCellMar>
          <w:top w:w="0" w:type="dxa"/>
          <w:left w:w="0" w:type="dxa"/>
          <w:bottom w:w="0" w:type="dxa"/>
          <w:right w:w="0" w:type="dxa"/>
        </w:tblCellMar>
        <w:tblLook w:val="01E0"/>
      </w:tblPr>
      <w:tblGrid>
        <w:gridCol w:w="5569"/>
        <w:gridCol w:w="1906"/>
        <w:gridCol w:w="1707"/>
      </w:tblGrid>
      <w:tr>
        <w:trPr>
          <w:trHeight w:val="642" w:hRule="exact"/>
        </w:trPr>
        <w:tc>
          <w:tcPr>
            <w:tcW w:w="5569" w:type="dxa"/>
            <w:tcBorders>
              <w:top w:val="single" w:sz="12" w:space="0" w:color="000000"/>
              <w:left w:val="nil" w:sz="6" w:space="0" w:color="auto"/>
              <w:bottom w:val="single" w:sz="2" w:space="0" w:color="000000"/>
              <w:right w:val="single" w:sz="2"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06" w:type="dxa"/>
            <w:tcBorders>
              <w:top w:val="single" w:sz="1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年度发生额</w:t>
            </w:r>
            <w:r>
              <w:rPr>
                <w:rFonts w:ascii="宋体" w:hAnsi="宋体" w:cs="宋体" w:eastAsia="宋体" w:hint="default"/>
                <w:sz w:val="18"/>
                <w:szCs w:val="18"/>
              </w:rPr>
              <w:t> </w:t>
            </w:r>
          </w:p>
        </w:tc>
        <w:tc>
          <w:tcPr>
            <w:tcW w:w="1707" w:type="dxa"/>
            <w:tcBorders>
              <w:top w:val="single" w:sz="12" w:space="0" w:color="000000"/>
              <w:left w:val="single" w:sz="2" w:space="0" w:color="000000"/>
              <w:bottom w:val="single" w:sz="2" w:space="0" w:color="000000"/>
              <w:right w:val="nil" w:sz="6" w:space="0" w:color="auto"/>
            </w:tcBorders>
            <w:shd w:val="clear" w:color="auto" w:fill="D9D9D9"/>
          </w:tcPr>
          <w:p>
            <w:pPr>
              <w:pStyle w:val="TableParagraph"/>
              <w:spacing w:line="316" w:lineRule="auto" w:before="9"/>
              <w:ind w:left="580" w:right="175" w:hanging="4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 益相关</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增值税返还</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10,588,038.31</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发展资金补助</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8,176,388.00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1910" w:h="16840"/>
          <w:pgMar w:header="916" w:footer="1261" w:top="1120" w:bottom="1460" w:left="980" w:right="0"/>
        </w:sectPr>
      </w:pPr>
    </w:p>
    <w:p>
      <w:pPr>
        <w:spacing w:line="240" w:lineRule="auto" w:before="9"/>
        <w:rPr>
          <w:rFonts w:ascii="Times New Roman" w:hAnsi="Times New Roman" w:cs="Times New Roman" w:eastAsia="Times New Roman" w:hint="default"/>
          <w:sz w:val="26"/>
          <w:szCs w:val="26"/>
        </w:rPr>
      </w:pPr>
    </w:p>
    <w:tbl>
      <w:tblPr>
        <w:tblW w:w="0" w:type="auto"/>
        <w:jc w:val="left"/>
        <w:tblInd w:w="369" w:type="dxa"/>
        <w:tblLayout w:type="fixed"/>
        <w:tblCellMar>
          <w:top w:w="0" w:type="dxa"/>
          <w:left w:w="0" w:type="dxa"/>
          <w:bottom w:w="0" w:type="dxa"/>
          <w:right w:w="0" w:type="dxa"/>
        </w:tblCellMar>
        <w:tblLook w:val="01E0"/>
      </w:tblPr>
      <w:tblGrid>
        <w:gridCol w:w="5569"/>
        <w:gridCol w:w="1906"/>
        <w:gridCol w:w="1707"/>
      </w:tblGrid>
      <w:tr>
        <w:trPr>
          <w:trHeight w:val="640" w:hRule="exact"/>
        </w:trPr>
        <w:tc>
          <w:tcPr>
            <w:tcW w:w="5569" w:type="dxa"/>
            <w:tcBorders>
              <w:top w:val="single" w:sz="12" w:space="0" w:color="000000"/>
              <w:left w:val="nil" w:sz="6" w:space="0" w:color="auto"/>
              <w:bottom w:val="single" w:sz="2" w:space="0" w:color="000000"/>
              <w:right w:val="single" w:sz="2" w:space="0" w:color="000000"/>
            </w:tcBorders>
            <w:shd w:val="clear" w:color="auto" w:fill="D9D9D9"/>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06" w:type="dxa"/>
            <w:tcBorders>
              <w:top w:val="single" w:sz="1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年度发生额</w:t>
            </w:r>
            <w:r>
              <w:rPr>
                <w:rFonts w:ascii="宋体" w:hAnsi="宋体" w:cs="宋体" w:eastAsia="宋体" w:hint="default"/>
                <w:sz w:val="18"/>
                <w:szCs w:val="18"/>
              </w:rPr>
              <w:t> </w:t>
            </w:r>
          </w:p>
        </w:tc>
        <w:tc>
          <w:tcPr>
            <w:tcW w:w="1707" w:type="dxa"/>
            <w:tcBorders>
              <w:top w:val="single" w:sz="12" w:space="0" w:color="000000"/>
              <w:left w:val="single" w:sz="2" w:space="0" w:color="000000"/>
              <w:bottom w:val="single" w:sz="2" w:space="0" w:color="000000"/>
              <w:right w:val="nil" w:sz="6" w:space="0" w:color="auto"/>
            </w:tcBorders>
            <w:shd w:val="clear" w:color="auto" w:fill="D9D9D9"/>
          </w:tcPr>
          <w:p>
            <w:pPr>
              <w:pStyle w:val="TableParagraph"/>
              <w:spacing w:line="314" w:lineRule="auto" w:before="10"/>
              <w:ind w:left="580" w:right="175" w:hanging="4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 益相关</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1"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金融科技专项支持资金</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5,000,000.00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重点培育企业资金奖励</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4,000,000.00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以人为中心的信息惠民公共服务平台建设及产业化项目</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3,332,992.41</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个税手续费返还</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3,293,747.73</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61"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年智能制造绿色发展专项资金</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1,950,000.00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年海淀区企业研发费用补贴</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1,800,000.00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9"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Deeplan</w:t>
            </w:r>
            <w:r>
              <w:rPr>
                <w:rFonts w:ascii="宋体" w:hAnsi="宋体" w:cs="宋体" w:eastAsia="宋体" w:hint="default"/>
                <w:spacing w:val="-49"/>
                <w:sz w:val="18"/>
                <w:szCs w:val="18"/>
              </w:rPr>
              <w:t> </w:t>
            </w:r>
            <w:r>
              <w:rPr>
                <w:rFonts w:ascii="宋体" w:hAnsi="宋体" w:cs="宋体" w:eastAsia="宋体" w:hint="default"/>
                <w:sz w:val="18"/>
                <w:szCs w:val="18"/>
              </w:rPr>
              <w:t>通信大数据平台研发与产业化</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1,279,110.22</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面向新型智慧城市的软件互操作与集成平台</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1,144,601.37</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61"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国家级苹果产业大数据中心一期（</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年）项目</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1,140,000.00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生产要素共享和果蔬质量安全追溯监管平台建设项目</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1,020,000.00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地级市市民公共服务平台示范应用</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1,010,000.00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经济发展考核奖励</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1,003,900.00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61"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年南京市工业和信息化发展专项资金</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800,000.00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稳定岗位补贴</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685,296.79</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9"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年服务贸易（服务外包）专项资金</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623,100.00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上海市临空经济园区企业扶持资金</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604,000.00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61"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年度企业研发费用省级财政奖励款</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600,000.00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年信息服务和服务贸易资助专项奖励</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597,900.00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果业大数据集成与应用项目</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500,000.00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基于多源知识融合的软件构造智能化方法与支撑环境</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436,987.75</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61"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基于大数据应用的电子证照库综合服务平台</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422,912.71</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8"/>
                <w:sz w:val="18"/>
                <w:szCs w:val="18"/>
              </w:rPr>
              <w:t> </w:t>
            </w:r>
            <w:r>
              <w:rPr>
                <w:rFonts w:ascii="宋体" w:hAnsi="宋体" w:cs="宋体" w:eastAsia="宋体" w:hint="default"/>
                <w:sz w:val="18"/>
                <w:szCs w:val="18"/>
              </w:rPr>
              <w:t>年双创人才资助资金</w:t>
            </w:r>
            <w:r>
              <w:rPr>
                <w:rFonts w:ascii="宋体" w:hAnsi="宋体" w:cs="宋体" w:eastAsia="宋体" w:hint="default"/>
                <w:sz w:val="18"/>
                <w:szCs w:val="18"/>
              </w:rPr>
              <w:t>(</w:t>
            </w:r>
            <w:r>
              <w:rPr>
                <w:rFonts w:ascii="宋体" w:hAnsi="宋体" w:cs="宋体" w:eastAsia="宋体" w:hint="default"/>
                <w:sz w:val="18"/>
                <w:szCs w:val="18"/>
              </w:rPr>
              <w:t>第二、第三批）</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300,000.00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9"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年稳增长资助项目专项资金</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3"/>
              <w:ind w:right="103"/>
              <w:jc w:val="right"/>
              <w:rPr>
                <w:rFonts w:ascii="Times New Roman" w:hAnsi="Times New Roman" w:cs="Times New Roman" w:eastAsia="Times New Roman" w:hint="default"/>
                <w:sz w:val="18"/>
                <w:szCs w:val="18"/>
              </w:rPr>
            </w:pPr>
            <w:r>
              <w:rPr>
                <w:rFonts w:ascii="Times New Roman"/>
                <w:spacing w:val="-1"/>
                <w:sz w:val="18"/>
              </w:rPr>
              <w:t>260,000.00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构件化应用服务器技术在市民卡运营平台中应用实践和产业化推广</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250,000.00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61"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微服务架构支撑平台集成系统项目</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243,761.92</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行业应用支撑平台的云计算环境适应性改造</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226,000.00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年苏州工业园区科技项目企业研发后补助</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61"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年高新技术企业补贴款</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200,000.00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right="311"/>
              <w:jc w:val="right"/>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bl>
    <w:p>
      <w:pPr>
        <w:spacing w:after="0" w:line="240" w:lineRule="auto"/>
        <w:jc w:val="right"/>
        <w:rPr>
          <w:rFonts w:ascii="宋体" w:hAnsi="宋体" w:cs="宋体" w:eastAsia="宋体" w:hint="default"/>
          <w:sz w:val="18"/>
          <w:szCs w:val="18"/>
        </w:rPr>
        <w:sectPr>
          <w:pgSz w:w="11910" w:h="16840"/>
          <w:pgMar w:header="916" w:footer="1261" w:top="1120" w:bottom="1460" w:left="980" w:right="0"/>
        </w:sectPr>
      </w:pPr>
    </w:p>
    <w:p>
      <w:pPr>
        <w:spacing w:line="240" w:lineRule="auto" w:before="9"/>
        <w:rPr>
          <w:rFonts w:ascii="Times New Roman" w:hAnsi="Times New Roman" w:cs="Times New Roman" w:eastAsia="Times New Roman" w:hint="default"/>
          <w:sz w:val="26"/>
          <w:szCs w:val="26"/>
        </w:rPr>
      </w:pPr>
    </w:p>
    <w:tbl>
      <w:tblPr>
        <w:tblW w:w="0" w:type="auto"/>
        <w:jc w:val="left"/>
        <w:tblInd w:w="369" w:type="dxa"/>
        <w:tblLayout w:type="fixed"/>
        <w:tblCellMar>
          <w:top w:w="0" w:type="dxa"/>
          <w:left w:w="0" w:type="dxa"/>
          <w:bottom w:w="0" w:type="dxa"/>
          <w:right w:w="0" w:type="dxa"/>
        </w:tblCellMar>
        <w:tblLook w:val="01E0"/>
      </w:tblPr>
      <w:tblGrid>
        <w:gridCol w:w="5569"/>
        <w:gridCol w:w="1906"/>
        <w:gridCol w:w="1707"/>
      </w:tblGrid>
      <w:tr>
        <w:trPr>
          <w:trHeight w:val="640" w:hRule="exact"/>
        </w:trPr>
        <w:tc>
          <w:tcPr>
            <w:tcW w:w="5569" w:type="dxa"/>
            <w:tcBorders>
              <w:top w:val="single" w:sz="12" w:space="0" w:color="000000"/>
              <w:left w:val="nil" w:sz="6" w:space="0" w:color="auto"/>
              <w:bottom w:val="single" w:sz="2" w:space="0" w:color="000000"/>
              <w:right w:val="single" w:sz="2" w:space="0" w:color="000000"/>
            </w:tcBorders>
            <w:shd w:val="clear" w:color="auto" w:fill="D9D9D9"/>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92"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906" w:type="dxa"/>
            <w:tcBorders>
              <w:top w:val="single" w:sz="1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9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年度发生额</w:t>
            </w:r>
            <w:r>
              <w:rPr>
                <w:rFonts w:ascii="宋体" w:hAnsi="宋体" w:cs="宋体" w:eastAsia="宋体" w:hint="default"/>
                <w:sz w:val="18"/>
                <w:szCs w:val="18"/>
              </w:rPr>
              <w:t> </w:t>
            </w:r>
          </w:p>
        </w:tc>
        <w:tc>
          <w:tcPr>
            <w:tcW w:w="1707" w:type="dxa"/>
            <w:tcBorders>
              <w:top w:val="single" w:sz="12" w:space="0" w:color="000000"/>
              <w:left w:val="single" w:sz="2" w:space="0" w:color="000000"/>
              <w:bottom w:val="single" w:sz="2" w:space="0" w:color="000000"/>
              <w:right w:val="nil" w:sz="6" w:space="0" w:color="auto"/>
            </w:tcBorders>
            <w:shd w:val="clear" w:color="auto" w:fill="D9D9D9"/>
          </w:tcPr>
          <w:p>
            <w:pPr>
              <w:pStyle w:val="TableParagraph"/>
              <w:spacing w:line="314" w:lineRule="auto" w:before="10"/>
              <w:ind w:left="580" w:right="175" w:hanging="4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w:t>
            </w:r>
            <w:r>
              <w:rPr>
                <w:rFonts w:ascii="宋体" w:hAnsi="宋体" w:cs="宋体" w:eastAsia="宋体" w:hint="default"/>
                <w:sz w:val="18"/>
                <w:szCs w:val="18"/>
              </w:rPr>
              <w:t>与收 益相关</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61"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年首次认定高新技术企业奖励</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180,000.00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苏州工业园区加贸申报单一窗口平台</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120,681.53</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87"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网构化软件生产、构造和复用技术与工具</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110,904.77</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国家级苹果产业大数据中心一期（</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年）项目</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107,250.00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与资产相关</w:t>
            </w:r>
            <w:r>
              <w:rPr>
                <w:rFonts w:ascii="宋体" w:hAnsi="宋体" w:cs="宋体" w:eastAsia="宋体" w:hint="default"/>
                <w:sz w:val="18"/>
                <w:szCs w:val="18"/>
              </w:rPr>
              <w:t> </w:t>
            </w:r>
          </w:p>
        </w:tc>
      </w:tr>
      <w:tr>
        <w:trPr>
          <w:trHeight w:val="461"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年度省级服务外包切块资金扶持奖金</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综合性科技服务协同平台及构件库研发</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87"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9"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年度省科学技术奖励经费</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100,000.00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基于云架构的农村三资管理服务平台</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90,000.00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61"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Deeplan</w:t>
            </w:r>
            <w:r>
              <w:rPr>
                <w:rFonts w:ascii="宋体" w:hAnsi="宋体" w:cs="宋体" w:eastAsia="宋体" w:hint="default"/>
                <w:spacing w:val="-49"/>
                <w:sz w:val="18"/>
                <w:szCs w:val="18"/>
              </w:rPr>
              <w:t> </w:t>
            </w:r>
            <w:r>
              <w:rPr>
                <w:rFonts w:ascii="宋体" w:hAnsi="宋体" w:cs="宋体" w:eastAsia="宋体" w:hint="default"/>
                <w:sz w:val="18"/>
                <w:szCs w:val="18"/>
              </w:rPr>
              <w:t>通信大数据平台研发与产业化</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83,124.66</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年高新企业培育补助资金</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03"/>
              <w:jc w:val="right"/>
              <w:rPr>
                <w:rFonts w:ascii="Times New Roman" w:hAnsi="Times New Roman" w:cs="Times New Roman" w:eastAsia="Times New Roman" w:hint="default"/>
                <w:sz w:val="18"/>
                <w:szCs w:val="18"/>
              </w:rPr>
            </w:pPr>
            <w:r>
              <w:rPr>
                <w:rFonts w:ascii="Times New Roman"/>
                <w:spacing w:val="-1"/>
                <w:sz w:val="18"/>
              </w:rPr>
              <w:t>50,000.00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87"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年专家服务基地和专家服务基层重点项目补助</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50,000.00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栖霞区龙潭街道税收财力补贴</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w w:val="95"/>
                <w:sz w:val="18"/>
              </w:rPr>
              <w:t>2,800.00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61"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小微企业免征增值税</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w w:val="95"/>
                <w:sz w:val="18"/>
              </w:rPr>
              <w:t>1,018.33</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8"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7"/>
              <w:ind w:left="108"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年企业岗前培训补贴</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0"/>
              <w:ind w:right="104"/>
              <w:jc w:val="right"/>
              <w:rPr>
                <w:rFonts w:ascii="Times New Roman" w:hAnsi="Times New Roman" w:cs="Times New Roman" w:eastAsia="Times New Roman" w:hint="default"/>
                <w:sz w:val="18"/>
                <w:szCs w:val="18"/>
              </w:rPr>
            </w:pPr>
            <w:r>
              <w:rPr>
                <w:rFonts w:ascii="Times New Roman"/>
                <w:spacing w:val="-1"/>
                <w:sz w:val="18"/>
              </w:rPr>
              <w:t>800.00</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77"/>
              <w:ind w:left="87"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59" w:hRule="exact"/>
        </w:trPr>
        <w:tc>
          <w:tcPr>
            <w:tcW w:w="5569"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90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03"/>
              <w:jc w:val="right"/>
              <w:rPr>
                <w:rFonts w:ascii="Times New Roman" w:hAnsi="Times New Roman" w:cs="Times New Roman" w:eastAsia="Times New Roman" w:hint="default"/>
                <w:sz w:val="18"/>
                <w:szCs w:val="18"/>
              </w:rPr>
            </w:pPr>
            <w:r>
              <w:rPr>
                <w:rFonts w:ascii="Times New Roman"/>
                <w:spacing w:val="-1"/>
                <w:sz w:val="18"/>
              </w:rPr>
              <w:t>139,201.11</w:t>
            </w:r>
          </w:p>
        </w:tc>
        <w:tc>
          <w:tcPr>
            <w:tcW w:w="1707"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80"/>
              <w:ind w:left="87" w:right="0"/>
              <w:jc w:val="center"/>
              <w:rPr>
                <w:rFonts w:ascii="宋体" w:hAnsi="宋体" w:cs="宋体" w:eastAsia="宋体" w:hint="default"/>
                <w:sz w:val="18"/>
                <w:szCs w:val="18"/>
              </w:rPr>
            </w:pPr>
            <w:r>
              <w:rPr>
                <w:rFonts w:ascii="宋体" w:hAnsi="宋体" w:cs="宋体" w:eastAsia="宋体" w:hint="default"/>
                <w:sz w:val="18"/>
                <w:szCs w:val="18"/>
              </w:rPr>
              <w:t>与收益相关</w:t>
            </w:r>
            <w:r>
              <w:rPr>
                <w:rFonts w:ascii="宋体" w:hAnsi="宋体" w:cs="宋体" w:eastAsia="宋体" w:hint="default"/>
                <w:sz w:val="18"/>
                <w:szCs w:val="18"/>
              </w:rPr>
              <w:t> </w:t>
            </w:r>
          </w:p>
        </w:tc>
      </w:tr>
      <w:tr>
        <w:trPr>
          <w:trHeight w:val="473" w:hRule="exact"/>
        </w:trPr>
        <w:tc>
          <w:tcPr>
            <w:tcW w:w="5569"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80"/>
              <w:ind w:left="108"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906"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b/>
                <w:spacing w:val="-1"/>
                <w:sz w:val="18"/>
              </w:rPr>
              <w:t>52,924,517.61</w:t>
            </w:r>
            <w:r>
              <w:rPr>
                <w:rFonts w:ascii="Times New Roman"/>
                <w:spacing w:val="-1"/>
                <w:sz w:val="18"/>
              </w:rPr>
            </w:r>
          </w:p>
        </w:tc>
        <w:tc>
          <w:tcPr>
            <w:tcW w:w="1707" w:type="dxa"/>
            <w:tcBorders>
              <w:top w:val="single" w:sz="2" w:space="0" w:color="000000"/>
              <w:left w:val="single" w:sz="2" w:space="0" w:color="000000"/>
              <w:bottom w:val="single" w:sz="12" w:space="0" w:color="000000"/>
              <w:right w:val="nil" w:sz="6" w:space="0" w:color="auto"/>
            </w:tcBorders>
          </w:tcPr>
          <w:p>
            <w:pPr>
              <w:pStyle w:val="TableParagraph"/>
              <w:spacing w:line="240" w:lineRule="auto" w:before="80"/>
              <w:ind w:left="84" w:right="0"/>
              <w:jc w:val="center"/>
              <w:rPr>
                <w:rFonts w:ascii="宋体" w:hAnsi="宋体" w:cs="宋体" w:eastAsia="宋体" w:hint="default"/>
                <w:sz w:val="18"/>
                <w:szCs w:val="18"/>
              </w:rPr>
            </w:pPr>
            <w:r>
              <w:rPr>
                <w:rFonts w:ascii="宋体"/>
                <w:b/>
                <w:w w:val="99"/>
                <w:sz w:val="18"/>
              </w:rPr>
              <w:t> </w:t>
            </w:r>
            <w:r>
              <w:rPr>
                <w:rFonts w:ascii="宋体"/>
                <w:sz w:val="18"/>
              </w:rPr>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43</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65" w:type="dxa"/>
        <w:tblLayout w:type="fixed"/>
        <w:tblCellMar>
          <w:top w:w="0" w:type="dxa"/>
          <w:left w:w="0" w:type="dxa"/>
          <w:bottom w:w="0" w:type="dxa"/>
          <w:right w:w="0" w:type="dxa"/>
        </w:tblCellMar>
        <w:tblLook w:val="01E0"/>
      </w:tblPr>
      <w:tblGrid>
        <w:gridCol w:w="3461"/>
        <w:gridCol w:w="3191"/>
        <w:gridCol w:w="2919"/>
      </w:tblGrid>
      <w:tr>
        <w:trPr>
          <w:trHeight w:val="449"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19,610,861.21</w:t>
            </w:r>
          </w:p>
        </w:tc>
        <w:tc>
          <w:tcPr>
            <w:tcW w:w="291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-2,844,700.43</w:t>
            </w:r>
          </w:p>
        </w:tc>
      </w:tr>
      <w:tr>
        <w:trPr>
          <w:trHeight w:val="464"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42,370,357.37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70,103,567.21</w:t>
            </w:r>
          </w:p>
        </w:tc>
      </w:tr>
      <w:tr>
        <w:trPr>
          <w:trHeight w:val="466"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407,734.80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32,164,766.68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93,208,421.76</w:t>
            </w:r>
          </w:p>
        </w:tc>
      </w:tr>
      <w:tr>
        <w:trPr>
          <w:trHeight w:val="46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理财产品及金融衍生品收益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23,489,062.33</w:t>
            </w:r>
          </w:p>
        </w:tc>
      </w:tr>
      <w:tr>
        <w:trPr>
          <w:trHeight w:val="715"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5,563.95</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65" w:type="dxa"/>
        <w:tblLayout w:type="fixed"/>
        <w:tblCellMar>
          <w:top w:w="0" w:type="dxa"/>
          <w:left w:w="0" w:type="dxa"/>
          <w:bottom w:w="0" w:type="dxa"/>
          <w:right w:w="0" w:type="dxa"/>
        </w:tblCellMar>
        <w:tblLook w:val="01E0"/>
      </w:tblPr>
      <w:tblGrid>
        <w:gridCol w:w="3461"/>
        <w:gridCol w:w="3191"/>
        <w:gridCol w:w="2919"/>
      </w:tblGrid>
      <w:tr>
        <w:trPr>
          <w:trHeight w:val="464" w:hRule="exact"/>
        </w:trPr>
        <w:tc>
          <w:tcPr>
            <w:tcW w:w="3461"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以摊余成本计量的金融资产终止确认损失</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-44,952.72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-112,650.14</w:t>
            </w:r>
          </w:p>
        </w:tc>
      </w:tr>
      <w:tr>
        <w:trPr>
          <w:trHeight w:val="466" w:hRule="exact"/>
        </w:trPr>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94,508,767.34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183,849,264.68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44</w:t>
      </w:r>
      <w:r>
        <w:rPr/>
        <w:t>、公允价值变动收益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4554"/>
        <w:gridCol w:w="2509"/>
        <w:gridCol w:w="2508"/>
      </w:tblGrid>
      <w:tr>
        <w:trPr>
          <w:trHeight w:val="432" w:hRule="exact"/>
        </w:trPr>
        <w:tc>
          <w:tcPr>
            <w:tcW w:w="4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101"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5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79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7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1" w:hRule="exact"/>
        </w:trPr>
        <w:tc>
          <w:tcPr>
            <w:tcW w:w="4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509"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-1,959,628.15</w:t>
            </w:r>
          </w:p>
        </w:tc>
        <w:tc>
          <w:tcPr>
            <w:tcW w:w="2508" w:type="dxa"/>
            <w:tcBorders>
              <w:top w:val="single" w:sz="16" w:space="0" w:color="D2D2D2"/>
              <w:left w:val="single" w:sz="4" w:space="0" w:color="000000"/>
              <w:bottom w:val="single" w:sz="4" w:space="0" w:color="000000"/>
              <w:right w:val="single" w:sz="4" w:space="0" w:color="000000"/>
            </w:tcBorders>
          </w:tcPr>
          <w:p>
            <w:pPr/>
          </w:p>
        </w:tc>
      </w:tr>
      <w:tr>
        <w:trPr>
          <w:trHeight w:val="463" w:hRule="exact"/>
        </w:trPr>
        <w:tc>
          <w:tcPr>
            <w:tcW w:w="4554" w:type="dxa"/>
            <w:tcBorders>
              <w:top w:val="single" w:sz="12" w:space="0" w:color="D2D2D2"/>
              <w:left w:val="single" w:sz="4" w:space="0" w:color="000000"/>
              <w:bottom w:val="single" w:sz="16" w:space="0" w:color="D2D2D2"/>
              <w:right w:val="single" w:sz="4" w:space="0" w:color="000000"/>
            </w:tcBorders>
          </w:tcPr>
          <w:p>
            <w:pPr>
              <w:pStyle w:val="TableParagraph"/>
              <w:spacing w:line="240" w:lineRule="auto" w:before="69"/>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以公允价值计量的且其变动计入当期损益的金融资产</w:t>
            </w:r>
          </w:p>
        </w:tc>
        <w:tc>
          <w:tcPr>
            <w:tcW w:w="2509" w:type="dxa"/>
            <w:tcBorders>
              <w:top w:val="single" w:sz="4" w:space="0" w:color="000000"/>
              <w:left w:val="single" w:sz="4" w:space="0" w:color="000000"/>
              <w:bottom w:val="single" w:sz="4" w:space="0" w:color="000000"/>
              <w:right w:val="single" w:sz="4" w:space="0" w:color="000000"/>
            </w:tcBorders>
          </w:tcPr>
          <w:p>
            <w:pP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-2,261,245.50</w:t>
            </w:r>
          </w:p>
        </w:tc>
      </w:tr>
      <w:tr>
        <w:trPr>
          <w:trHeight w:val="466" w:hRule="exact"/>
        </w:trPr>
        <w:tc>
          <w:tcPr>
            <w:tcW w:w="4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-1,959,628.15</w:t>
            </w:r>
          </w:p>
        </w:tc>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-2,261,245.50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45</w:t>
      </w:r>
      <w:r>
        <w:rPr/>
        <w:t>、信用减值损失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4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应收票据坏账损失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-116,583.89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-81,642,459.68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-3,707,868.28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-85,466,911.85</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46</w:t>
      </w:r>
      <w:r>
        <w:rPr/>
        <w:t>、资产减值损失</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16" w:footer="1261" w:top="1120" w:bottom="14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100" w:bottom="1460" w:left="980" w:right="0"/>
          <w:cols w:num="2" w:equalWidth="0">
            <w:col w:w="1954" w:space="6875"/>
            <w:col w:w="2101"/>
          </w:cols>
        </w:sectPr>
      </w:pP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3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0"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12" w:space="0" w:color="D2D2D2"/>
              <w:left w:val="single" w:sz="4" w:space="0" w:color="000000"/>
              <w:bottom w:val="single" w:sz="4" w:space="0" w:color="000000"/>
              <w:right w:val="single" w:sz="4" w:space="0" w:color="000000"/>
            </w:tcBorders>
          </w:tcPr>
          <w:p>
            <w:pPr/>
          </w:p>
        </w:tc>
        <w:tc>
          <w:tcPr>
            <w:tcW w:w="319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-167,515,063.20</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-76,328,539.72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-102,085,010.51</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-2,040,755.57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-8,575,986.32</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-11,824,894.26</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-496,823.24</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-193,671,128.85</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-78,369,295.29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-484,168,906.38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47</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4179"/>
        <w:gridCol w:w="2201"/>
        <w:gridCol w:w="3191"/>
      </w:tblGrid>
      <w:tr>
        <w:trPr>
          <w:trHeight w:val="432" w:hRule="exact"/>
        </w:trPr>
        <w:tc>
          <w:tcPr>
            <w:tcW w:w="4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274"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64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4179"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220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-147,593.01</w:t>
            </w:r>
          </w:p>
        </w:tc>
      </w:tr>
      <w:tr>
        <w:trPr>
          <w:trHeight w:val="466" w:hRule="exact"/>
        </w:trPr>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其中：未划分为持有待售的非流动资产处置收益</w:t>
            </w:r>
          </w:p>
        </w:tc>
        <w:tc>
          <w:tcPr>
            <w:tcW w:w="220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-147,593.01</w:t>
            </w:r>
          </w:p>
        </w:tc>
      </w:tr>
      <w:tr>
        <w:trPr>
          <w:trHeight w:val="463" w:hRule="exact"/>
        </w:trPr>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220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-147,593.01</w:t>
            </w:r>
          </w:p>
        </w:tc>
      </w:tr>
      <w:tr>
        <w:trPr>
          <w:trHeight w:val="463" w:hRule="exact"/>
        </w:trPr>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0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-147,593.01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48</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89"/>
        <w:gridCol w:w="2396"/>
        <w:gridCol w:w="2393"/>
        <w:gridCol w:w="2391"/>
      </w:tblGrid>
      <w:tr>
        <w:trPr>
          <w:trHeight w:val="71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1" w:right="108"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66"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1,442,148.32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12,437.03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1,442,148.32</w:t>
            </w:r>
          </w:p>
        </w:tc>
      </w:tr>
      <w:tr>
        <w:trPr>
          <w:trHeight w:val="46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4,622,998.03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4,497,761.45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4,622,998.03</w:t>
            </w:r>
          </w:p>
        </w:tc>
      </w:tr>
      <w:tr>
        <w:trPr>
          <w:trHeight w:val="46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6,065,146.35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4,510,198.48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6,065,146.35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49</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89"/>
        <w:gridCol w:w="2396"/>
        <w:gridCol w:w="2163"/>
        <w:gridCol w:w="2621"/>
      </w:tblGrid>
      <w:tr>
        <w:trPr>
          <w:trHeight w:val="46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3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63"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2163"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715"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2"/>
              <w:jc w:val="left"/>
              <w:rPr>
                <w:rFonts w:ascii="宋体" w:hAnsi="宋体" w:cs="宋体" w:eastAsia="宋体" w:hint="default"/>
                <w:sz w:val="18"/>
                <w:szCs w:val="18"/>
              </w:rPr>
            </w:pPr>
            <w:r>
              <w:rPr>
                <w:rFonts w:ascii="宋体" w:hAnsi="宋体" w:cs="宋体" w:eastAsia="宋体" w:hint="default"/>
                <w:sz w:val="18"/>
                <w:szCs w:val="18"/>
              </w:rPr>
              <w:t>预计诉讼赔偿及实际诉讼赔 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25,318,470.75</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4,535,900.00</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25,318,470.75</w:t>
            </w:r>
          </w:p>
        </w:tc>
      </w:tr>
      <w:tr>
        <w:trPr>
          <w:trHeight w:val="46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4,942,764.47</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7,340,747.48</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4,942,764.47</w:t>
            </w:r>
          </w:p>
        </w:tc>
      </w:tr>
      <w:tr>
        <w:trPr>
          <w:trHeight w:val="463"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1,413,768.84</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2,028,096.06</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1,413,768.84</w:t>
            </w:r>
          </w:p>
        </w:tc>
      </w:tr>
      <w:tr>
        <w:trPr>
          <w:trHeight w:val="466"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33,675,004.06</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13,904,743.54</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33,675,004.06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50</w:t>
      </w:r>
      <w:r>
        <w:rPr/>
        <w:t>、所得税费用</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3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57,223,631.36</w:t>
            </w:r>
          </w:p>
        </w:tc>
        <w:tc>
          <w:tcPr>
            <w:tcW w:w="319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66,325,110.64</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6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1,140,309.39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-34,978,440.86</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58,363,940.75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31,346,669.78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6"/>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5754"/>
        <w:gridCol w:w="3815"/>
      </w:tblGrid>
      <w:tr>
        <w:trPr>
          <w:trHeight w:val="449" w:hRule="exact"/>
        </w:trPr>
        <w:tc>
          <w:tcPr>
            <w:tcW w:w="5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63" w:hRule="exact"/>
        </w:trPr>
        <w:tc>
          <w:tcPr>
            <w:tcW w:w="5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815"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pacing w:val="-1"/>
                <w:sz w:val="18"/>
              </w:rPr>
              <w:t>439,916,849.14</w:t>
            </w:r>
          </w:p>
        </w:tc>
      </w:tr>
      <w:tr>
        <w:trPr>
          <w:trHeight w:val="480" w:hRule="exact"/>
        </w:trPr>
        <w:tc>
          <w:tcPr>
            <w:tcW w:w="5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109,979,212.29</w:t>
            </w:r>
          </w:p>
        </w:tc>
      </w:tr>
      <w:tr>
        <w:trPr>
          <w:trHeight w:val="449" w:hRule="exact"/>
        </w:trPr>
        <w:tc>
          <w:tcPr>
            <w:tcW w:w="5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19"/>
              <w:jc w:val="right"/>
              <w:rPr>
                <w:rFonts w:ascii="Times New Roman" w:hAnsi="Times New Roman" w:cs="Times New Roman" w:eastAsia="Times New Roman" w:hint="default"/>
                <w:sz w:val="18"/>
                <w:szCs w:val="18"/>
              </w:rPr>
            </w:pPr>
            <w:r>
              <w:rPr>
                <w:rFonts w:ascii="Times New Roman"/>
                <w:spacing w:val="-1"/>
                <w:sz w:val="18"/>
              </w:rPr>
              <w:t>-35,403,272.74</w:t>
            </w:r>
          </w:p>
        </w:tc>
      </w:tr>
      <w:tr>
        <w:trPr>
          <w:trHeight w:val="463" w:hRule="exact"/>
        </w:trPr>
        <w:tc>
          <w:tcPr>
            <w:tcW w:w="5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59,227.62</w:t>
            </w:r>
          </w:p>
        </w:tc>
      </w:tr>
      <w:tr>
        <w:trPr>
          <w:trHeight w:val="450" w:hRule="exact"/>
        </w:trPr>
        <w:tc>
          <w:tcPr>
            <w:tcW w:w="5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-4,514,741.97</w:t>
            </w:r>
          </w:p>
        </w:tc>
      </w:tr>
      <w:tr>
        <w:trPr>
          <w:trHeight w:val="479" w:hRule="exact"/>
        </w:trPr>
        <w:tc>
          <w:tcPr>
            <w:tcW w:w="5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0"/>
              <w:jc w:val="right"/>
              <w:rPr>
                <w:rFonts w:ascii="Times New Roman" w:hAnsi="Times New Roman" w:cs="Times New Roman" w:eastAsia="Times New Roman" w:hint="default"/>
                <w:sz w:val="18"/>
                <w:szCs w:val="18"/>
              </w:rPr>
            </w:pPr>
            <w:r>
              <w:rPr>
                <w:rFonts w:ascii="Times New Roman"/>
                <w:spacing w:val="-1"/>
                <w:sz w:val="18"/>
              </w:rPr>
              <w:t>20,608,653.33</w:t>
            </w:r>
          </w:p>
        </w:tc>
      </w:tr>
      <w:tr>
        <w:trPr>
          <w:trHeight w:val="463" w:hRule="exact"/>
        </w:trPr>
        <w:tc>
          <w:tcPr>
            <w:tcW w:w="5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-3,498,597.10</w:t>
            </w:r>
          </w:p>
        </w:tc>
      </w:tr>
      <w:tr>
        <w:trPr>
          <w:trHeight w:val="463" w:hRule="exact"/>
        </w:trPr>
        <w:tc>
          <w:tcPr>
            <w:tcW w:w="5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本期未确认递延所得税资产的可抵扣暂时性差异或可抵扣亏损的影响</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26,356,652.54</w:t>
            </w:r>
          </w:p>
        </w:tc>
      </w:tr>
      <w:tr>
        <w:trPr>
          <w:trHeight w:val="481" w:hRule="exact"/>
        </w:trPr>
        <w:tc>
          <w:tcPr>
            <w:tcW w:w="5754"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研发费用加计扣除的影响</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-55,223,193.22</w:t>
            </w:r>
          </w:p>
        </w:tc>
      </w:tr>
      <w:tr>
        <w:trPr>
          <w:trHeight w:val="448" w:hRule="exact"/>
        </w:trPr>
        <w:tc>
          <w:tcPr>
            <w:tcW w:w="5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pacing w:val="-1"/>
                <w:sz w:val="18"/>
              </w:rPr>
              <w:t>58,363,940.75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51</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0"/>
        <w:jc w:val="left"/>
      </w:pPr>
      <w:r>
        <w:rPr/>
        <w:t>详见附注“七、</w:t>
      </w:r>
      <w:r>
        <w:rPr>
          <w:rFonts w:ascii="Times New Roman" w:hAnsi="Times New Roman" w:cs="Times New Roman" w:eastAsia="Times New Roman" w:hint="default"/>
        </w:rPr>
        <w:t>33</w:t>
      </w:r>
      <w:r>
        <w:rPr>
          <w:rFonts w:ascii="Times New Roman" w:hAnsi="Times New Roman" w:cs="Times New Roman" w:eastAsia="Times New Roman" w:hint="default"/>
          <w:spacing w:val="-2"/>
        </w:rPr>
        <w:t> </w:t>
      </w:r>
      <w:r>
        <w:rPr/>
        <w:t>其他综合收益”相关内容。。</w:t>
      </w: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52</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44,383,986.46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41,164,123.94</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收到受限资金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10,305,565.14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1,990,007.35</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6,360,293.56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9,626,867.57</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32,903,225.31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9,840,488.20</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93,953,070.47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62,621,487.06</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技术协作费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199,925,660.92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122,079,590.62</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128,223,637.50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151,933,604.13</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会议招待费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63,429,314.04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64,689,956.44</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租金及租赁维修费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39,855,953.59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41,313,506.06</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37,039,024.71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58,051,952.19</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交通费及运输仓储费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27,643,446.30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35,213,129.85</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投标保函费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20,457,415.25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23,598,551.57</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中介费用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11,953,857.72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2"/>
                <w:sz w:val="18"/>
              </w:rPr>
              <w:t>11,525,411.90</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市场服务费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10,975,373.27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12,976,259.86</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2,701,283.12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7,007,297.46</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保证金、房租押金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475,725.77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17,046,736.45</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支付受限资金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74,243,173.69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5,309,435.91</w:t>
            </w:r>
          </w:p>
        </w:tc>
      </w:tr>
      <w:tr>
        <w:trPr>
          <w:trHeight w:val="46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22,317,119.35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49,824,008.04</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639,240,985.23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600,569,440.48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4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81" w:hRule="exact"/>
        </w:trPr>
        <w:tc>
          <w:tcPr>
            <w:tcW w:w="318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收到的理财产品款项</w:t>
            </w:r>
          </w:p>
        </w:tc>
        <w:tc>
          <w:tcPr>
            <w:tcW w:w="3192"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12,705,680,000.00</w:t>
            </w:r>
          </w:p>
        </w:tc>
        <w:tc>
          <w:tcPr>
            <w:tcW w:w="3191"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10,720,003,019.00</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w w:val="95"/>
                <w:sz w:val="18"/>
              </w:rPr>
              <w:t>1,096.37</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12,705,680,000.00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10,720,004,115.37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支付的理财产品以及衍生品款项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810" w:right="0"/>
              <w:jc w:val="left"/>
              <w:rPr>
                <w:rFonts w:ascii="Times New Roman" w:hAnsi="Times New Roman" w:cs="Times New Roman" w:eastAsia="Times New Roman" w:hint="default"/>
                <w:sz w:val="18"/>
                <w:szCs w:val="18"/>
              </w:rPr>
            </w:pPr>
            <w:r>
              <w:rPr>
                <w:rFonts w:ascii="Times New Roman"/>
                <w:sz w:val="18"/>
              </w:rPr>
              <w:t>12,406,480,000.00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11,325,003,019.00</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12,109,845.45</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处置神州易泰信息服务（北京）有限公 司支付的现金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1,698,999.00</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810" w:right="0"/>
              <w:jc w:val="left"/>
              <w:rPr>
                <w:rFonts w:ascii="Times New Roman" w:hAnsi="Times New Roman" w:cs="Times New Roman" w:eastAsia="Times New Roman" w:hint="default"/>
                <w:sz w:val="18"/>
                <w:szCs w:val="18"/>
              </w:rPr>
            </w:pPr>
            <w:r>
              <w:rPr>
                <w:rFonts w:ascii="Times New Roman"/>
                <w:sz w:val="18"/>
              </w:rPr>
              <w:t>12,406,480,000.00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11,338,811,863.45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2"/>
        <w:gridCol w:w="3191"/>
      </w:tblGrid>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神州灵云收到的可转债借款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1,740,476.00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1,254,762.00</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收神州数码医疗科技股份有限公司借款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1,740,476.00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9,254,762.00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1"/>
        <w:rPr>
          <w:rFonts w:ascii="宋体" w:hAnsi="宋体" w:cs="宋体" w:eastAsia="宋体" w:hint="default"/>
          <w:sz w:val="11"/>
          <w:szCs w:val="11"/>
        </w:rPr>
      </w:pPr>
    </w:p>
    <w:tbl>
      <w:tblPr>
        <w:tblW w:w="0" w:type="auto"/>
        <w:jc w:val="left"/>
        <w:tblInd w:w="182" w:type="dxa"/>
        <w:tblLayout w:type="fixed"/>
        <w:tblCellMar>
          <w:top w:w="0" w:type="dxa"/>
          <w:left w:w="0" w:type="dxa"/>
          <w:bottom w:w="0" w:type="dxa"/>
          <w:right w:w="0" w:type="dxa"/>
        </w:tblCellMar>
        <w:tblLook w:val="01E0"/>
      </w:tblPr>
      <w:tblGrid>
        <w:gridCol w:w="4614"/>
        <w:gridCol w:w="2477"/>
        <w:gridCol w:w="2480"/>
      </w:tblGrid>
      <w:tr>
        <w:trPr>
          <w:trHeight w:val="427" w:hRule="exact"/>
        </w:trPr>
        <w:tc>
          <w:tcPr>
            <w:tcW w:w="4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78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78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手续费及担保费</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2,058,972.79</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2,789,884.66</w:t>
            </w:r>
          </w:p>
        </w:tc>
      </w:tr>
      <w:tr>
        <w:trPr>
          <w:trHeight w:val="466" w:hRule="exact"/>
        </w:trPr>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因未决诉讼被冻结的资金</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410,754.32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26,791,647.08</w:t>
            </w:r>
          </w:p>
        </w:tc>
      </w:tr>
      <w:tr>
        <w:trPr>
          <w:trHeight w:val="464" w:hRule="exact"/>
        </w:trPr>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购买中能国电（北京）新能源投资有限公司少数股东股权</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71,677.20</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偿还神州数码医疗科技股份有限公司借款</w:t>
            </w:r>
          </w:p>
        </w:tc>
        <w:tc>
          <w:tcPr>
            <w:tcW w:w="24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66" w:hRule="exact"/>
        </w:trPr>
        <w:tc>
          <w:tcPr>
            <w:tcW w:w="4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购买贵州中农信达信息技术有限公司少数股东股权</w:t>
            </w:r>
          </w:p>
        </w:tc>
        <w:tc>
          <w:tcPr>
            <w:tcW w:w="2477" w:type="dxa"/>
            <w:tcBorders>
              <w:top w:val="single" w:sz="4" w:space="0" w:color="000000"/>
              <w:left w:val="single" w:sz="4" w:space="0" w:color="000000"/>
              <w:bottom w:val="single" w:sz="4" w:space="0" w:color="000000"/>
              <w:right w:val="single" w:sz="4" w:space="0" w:color="000000"/>
            </w:tcBorders>
          </w:tcPr>
          <w:p>
            <w:pP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63" w:hRule="exact"/>
        </w:trPr>
        <w:tc>
          <w:tcPr>
            <w:tcW w:w="4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2,541,404.31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38,081,531.74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53</w:t>
      </w:r>
      <w:r>
        <w:rPr/>
        <w:t>、现金流量表补充资料</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059"/>
        <w:gridCol w:w="2756"/>
        <w:gridCol w:w="2753"/>
      </w:tblGrid>
      <w:tr>
        <w:trPr>
          <w:trHeight w:val="479"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32"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81"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756"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381,552,908.39</w:t>
            </w:r>
          </w:p>
        </w:tc>
        <w:tc>
          <w:tcPr>
            <w:tcW w:w="2753"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47,269,898.66</w:t>
            </w:r>
          </w:p>
        </w:tc>
      </w:tr>
      <w:tr>
        <w:trPr>
          <w:trHeight w:val="463"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163,836,207.14</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484,168,906.38</w:t>
            </w:r>
          </w:p>
        </w:tc>
      </w:tr>
      <w:tr>
        <w:trPr>
          <w:trHeight w:val="713"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 旧</w:t>
            </w:r>
          </w:p>
        </w:tc>
        <w:tc>
          <w:tcPr>
            <w:tcW w:w="275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50,268,520.03</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63,372,884.20</w:t>
            </w:r>
          </w:p>
        </w:tc>
      </w:tr>
      <w:tr>
        <w:trPr>
          <w:trHeight w:val="466"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42,166,174.94</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43,048,969.79</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4059"/>
        <w:gridCol w:w="2756"/>
        <w:gridCol w:w="2753"/>
      </w:tblGrid>
      <w:tr>
        <w:trPr>
          <w:trHeight w:val="464"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9,559,233.46</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9,816,636.87</w:t>
            </w:r>
          </w:p>
        </w:tc>
      </w:tr>
      <w:tr>
        <w:trPr>
          <w:trHeight w:val="715"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（收益以“－”号填列）</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3,500,616.15</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7,475,903.46</w:t>
            </w:r>
          </w:p>
        </w:tc>
      </w:tr>
      <w:tr>
        <w:trPr>
          <w:trHeight w:val="463"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1,959,628.15</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2,261,245.50</w:t>
            </w:r>
          </w:p>
        </w:tc>
      </w:tr>
      <w:tr>
        <w:trPr>
          <w:trHeight w:val="463"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80,376,342.55</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77,061,993.92</w:t>
            </w:r>
          </w:p>
        </w:tc>
      </w:tr>
      <w:tr>
        <w:trPr>
          <w:trHeight w:val="466"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-94,508,767.34</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-183,849,264.68</w:t>
            </w:r>
          </w:p>
        </w:tc>
      </w:tr>
      <w:tr>
        <w:trPr>
          <w:trHeight w:val="463"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2,677,927.07</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-44,238,027.17</w:t>
            </w:r>
          </w:p>
        </w:tc>
      </w:tr>
      <w:tr>
        <w:trPr>
          <w:trHeight w:val="463"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-1,537,617.68</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9,259,586.31</w:t>
            </w:r>
          </w:p>
        </w:tc>
      </w:tr>
      <w:tr>
        <w:trPr>
          <w:trHeight w:val="466"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-158,544,120.88</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7"/>
              <w:jc w:val="right"/>
              <w:rPr>
                <w:rFonts w:ascii="Times New Roman" w:hAnsi="Times New Roman" w:cs="Times New Roman" w:eastAsia="Times New Roman" w:hint="default"/>
                <w:sz w:val="18"/>
                <w:szCs w:val="18"/>
              </w:rPr>
            </w:pPr>
            <w:r>
              <w:rPr>
                <w:rFonts w:ascii="Times New Roman"/>
                <w:spacing w:val="-1"/>
                <w:sz w:val="18"/>
              </w:rPr>
              <w:t>-1,003,084.91</w:t>
            </w:r>
          </w:p>
        </w:tc>
      </w:tr>
      <w:tr>
        <w:trPr>
          <w:trHeight w:val="463"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774,818,394.73</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37,232,837.62</w:t>
            </w:r>
          </w:p>
        </w:tc>
      </w:tr>
      <w:tr>
        <w:trPr>
          <w:trHeight w:val="463"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-966,157,894.51</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-314,630,320.74</w:t>
            </w:r>
          </w:p>
        </w:tc>
      </w:tr>
      <w:tr>
        <w:trPr>
          <w:trHeight w:val="466"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289,967,552.20</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237,248,165.21</w:t>
            </w:r>
          </w:p>
        </w:tc>
      </w:tr>
      <w:tr>
        <w:trPr>
          <w:trHeight w:val="448"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1313" w:right="0"/>
              <w:jc w:val="left"/>
              <w:rPr>
                <w:rFonts w:ascii="Times New Roman" w:hAnsi="Times New Roman" w:cs="Times New Roman" w:eastAsia="Times New Roman" w:hint="default"/>
                <w:sz w:val="18"/>
                <w:szCs w:val="18"/>
              </w:rPr>
            </w:pPr>
            <w:r>
              <w:rPr>
                <w:rFonts w:ascii="Times New Roman"/>
                <w:sz w:val="18"/>
              </w:rPr>
              <w:t>--</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1312" w:right="0"/>
              <w:jc w:val="left"/>
              <w:rPr>
                <w:rFonts w:ascii="Times New Roman" w:hAnsi="Times New Roman" w:cs="Times New Roman" w:eastAsia="Times New Roman" w:hint="default"/>
                <w:sz w:val="18"/>
                <w:szCs w:val="18"/>
              </w:rPr>
            </w:pPr>
            <w:r>
              <w:rPr>
                <w:rFonts w:ascii="Times New Roman"/>
                <w:sz w:val="18"/>
              </w:rPr>
              <w:t>--</w:t>
            </w:r>
          </w:p>
        </w:tc>
      </w:tr>
      <w:tr>
        <w:trPr>
          <w:trHeight w:val="479"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left="1313" w:right="0"/>
              <w:jc w:val="left"/>
              <w:rPr>
                <w:rFonts w:ascii="Times New Roman" w:hAnsi="Times New Roman" w:cs="Times New Roman" w:eastAsia="Times New Roman" w:hint="default"/>
                <w:sz w:val="18"/>
                <w:szCs w:val="18"/>
              </w:rPr>
            </w:pPr>
            <w:r>
              <w:rPr>
                <w:rFonts w:ascii="Times New Roman"/>
                <w:sz w:val="18"/>
              </w:rPr>
              <w:t>--</w:t>
            </w:r>
          </w:p>
        </w:tc>
        <w:tc>
          <w:tcPr>
            <w:tcW w:w="2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8"/>
              <w:ind w:left="1312" w:right="0"/>
              <w:jc w:val="left"/>
              <w:rPr>
                <w:rFonts w:ascii="Times New Roman" w:hAnsi="Times New Roman" w:cs="Times New Roman" w:eastAsia="Times New Roman" w:hint="default"/>
                <w:sz w:val="18"/>
                <w:szCs w:val="18"/>
              </w:rPr>
            </w:pPr>
            <w:r>
              <w:rPr>
                <w:rFonts w:ascii="Times New Roman"/>
                <w:sz w:val="18"/>
              </w:rPr>
              <w:t>--</w:t>
            </w:r>
          </w:p>
        </w:tc>
      </w:tr>
      <w:tr>
        <w:trPr>
          <w:trHeight w:val="466"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1,350,168,474.15</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1,483,675,206.37</w:t>
            </w:r>
          </w:p>
        </w:tc>
      </w:tr>
      <w:tr>
        <w:trPr>
          <w:trHeight w:val="463"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1,483,675,206.37</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1,776,372,815.14</w:t>
            </w:r>
          </w:p>
        </w:tc>
      </w:tr>
      <w:tr>
        <w:trPr>
          <w:trHeight w:val="466" w:hRule="exact"/>
        </w:trPr>
        <w:tc>
          <w:tcPr>
            <w:tcW w:w="4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-133,506,732.22</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-292,697,608.77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988"/>
        <w:gridCol w:w="4580"/>
      </w:tblGrid>
      <w:tr>
        <w:trPr>
          <w:trHeight w:val="44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8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12" w:space="0" w:color="D2D2D2"/>
              <w:left w:val="single" w:sz="4" w:space="0" w:color="000000"/>
              <w:bottom w:val="single" w:sz="12" w:space="0" w:color="D2D2D2"/>
              <w:right w:val="single" w:sz="4" w:space="0" w:color="000000"/>
            </w:tcBorders>
          </w:tcPr>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pacing w:val="-1"/>
                <w:sz w:val="18"/>
              </w:rPr>
              <w:t>47,575,174.45</w:t>
            </w:r>
          </w:p>
        </w:tc>
      </w:tr>
      <w:tr>
        <w:trPr>
          <w:trHeight w:val="46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r>
      <w:tr>
        <w:trPr>
          <w:trHeight w:val="463" w:hRule="exact"/>
        </w:trPr>
        <w:tc>
          <w:tcPr>
            <w:tcW w:w="498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69"/>
              <w:ind w:left="24" w:right="0"/>
              <w:jc w:val="left"/>
              <w:rPr>
                <w:rFonts w:ascii="宋体" w:hAnsi="宋体" w:cs="宋体" w:eastAsia="宋体" w:hint="default"/>
                <w:sz w:val="18"/>
                <w:szCs w:val="18"/>
              </w:rPr>
            </w:pPr>
            <w:r>
              <w:rPr>
                <w:rFonts w:ascii="宋体" w:hAnsi="宋体" w:cs="宋体" w:eastAsia="宋体" w:hint="default"/>
                <w:sz w:val="18"/>
                <w:szCs w:val="18"/>
              </w:rPr>
              <w:t>神州土地（北京）信息技术有限公司</w:t>
            </w:r>
          </w:p>
        </w:tc>
        <w:tc>
          <w:tcPr>
            <w:tcW w:w="458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pacing w:val="-1"/>
                <w:sz w:val="18"/>
              </w:rPr>
              <w:t>47,459,244.43</w:t>
            </w:r>
          </w:p>
        </w:tc>
      </w:tr>
      <w:tr>
        <w:trPr>
          <w:trHeight w:val="466" w:hRule="exact"/>
        </w:trPr>
        <w:tc>
          <w:tcPr>
            <w:tcW w:w="4988"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枣强县农村产权交易服务有限公司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115,930.02</w:t>
            </w:r>
          </w:p>
        </w:tc>
      </w:tr>
      <w:tr>
        <w:trPr>
          <w:trHeight w:val="46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9,434,728.58</w:t>
            </w:r>
          </w:p>
        </w:tc>
      </w:tr>
      <w:tr>
        <w:trPr>
          <w:trHeight w:val="46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r>
      <w:tr>
        <w:trPr>
          <w:trHeight w:val="466" w:hRule="exact"/>
        </w:trPr>
        <w:tc>
          <w:tcPr>
            <w:tcW w:w="498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神州土地（北京）信息技术有限公司</w:t>
            </w:r>
          </w:p>
        </w:tc>
        <w:tc>
          <w:tcPr>
            <w:tcW w:w="458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pacing w:val="-1"/>
                <w:sz w:val="18"/>
              </w:rPr>
              <w:t>9,433,534.72</w:t>
            </w:r>
          </w:p>
        </w:tc>
      </w:tr>
      <w:tr>
        <w:trPr>
          <w:trHeight w:val="46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枣强县农村产权交易服务有限公司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1,193.86</w:t>
            </w:r>
          </w:p>
        </w:tc>
      </w:tr>
      <w:tr>
        <w:trPr>
          <w:trHeight w:val="46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4988"/>
        <w:gridCol w:w="4580"/>
      </w:tblGrid>
      <w:tr>
        <w:trPr>
          <w:trHeight w:val="464"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38,140,445.87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3327"/>
        <w:gridCol w:w="3058"/>
        <w:gridCol w:w="3183"/>
      </w:tblGrid>
      <w:tr>
        <w:trPr>
          <w:trHeight w:val="43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1,350,168,474.15</w:t>
            </w:r>
          </w:p>
        </w:tc>
        <w:tc>
          <w:tcPr>
            <w:tcW w:w="3183"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1,483,675,206.37</w:t>
            </w:r>
          </w:p>
        </w:tc>
      </w:tr>
      <w:tr>
        <w:trPr>
          <w:trHeight w:val="46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8,721.89</w:t>
            </w:r>
          </w:p>
        </w:tc>
      </w:tr>
      <w:tr>
        <w:trPr>
          <w:trHeight w:val="46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1,350,168,474.15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1,483,666,484.48</w:t>
            </w:r>
          </w:p>
        </w:tc>
      </w:tr>
      <w:tr>
        <w:trPr>
          <w:trHeight w:val="46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3"/>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
              <w:jc w:val="right"/>
              <w:rPr>
                <w:rFonts w:ascii="Times New Roman" w:hAnsi="Times New Roman" w:cs="Times New Roman" w:eastAsia="Times New Roman" w:hint="default"/>
                <w:sz w:val="18"/>
                <w:szCs w:val="18"/>
              </w:rPr>
            </w:pPr>
            <w:r>
              <w:rPr>
                <w:rFonts w:ascii="Times New Roman"/>
                <w:spacing w:val="-1"/>
                <w:sz w:val="18"/>
              </w:rPr>
              <w:t>1,350,168,474.15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0"/>
              <w:jc w:val="right"/>
              <w:rPr>
                <w:rFonts w:ascii="Times New Roman" w:hAnsi="Times New Roman" w:cs="Times New Roman" w:eastAsia="Times New Roman" w:hint="default"/>
                <w:sz w:val="18"/>
                <w:szCs w:val="18"/>
              </w:rPr>
            </w:pPr>
            <w:r>
              <w:rPr>
                <w:rFonts w:ascii="Times New Roman"/>
                <w:spacing w:val="-1"/>
                <w:sz w:val="18"/>
              </w:rPr>
              <w:t>1,483,675,206.37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54</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078"/>
        <w:gridCol w:w="2310"/>
        <w:gridCol w:w="5180"/>
      </w:tblGrid>
      <w:tr>
        <w:trPr>
          <w:trHeight w:val="463" w:hRule="exact"/>
        </w:trPr>
        <w:tc>
          <w:tcPr>
            <w:tcW w:w="2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610"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5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713" w:hRule="exact"/>
        </w:trPr>
        <w:tc>
          <w:tcPr>
            <w:tcW w:w="2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98,723,714.95</w:t>
            </w:r>
          </w:p>
        </w:tc>
        <w:tc>
          <w:tcPr>
            <w:tcW w:w="5180" w:type="dxa"/>
            <w:tcBorders>
              <w:top w:val="single" w:sz="12" w:space="0" w:color="D2D2D2"/>
              <w:left w:val="single" w:sz="4" w:space="0" w:color="000000"/>
              <w:bottom w:val="single" w:sz="17" w:space="0" w:color="D2D2D2"/>
              <w:right w:val="single" w:sz="4" w:space="0" w:color="000000"/>
            </w:tcBorders>
          </w:tcPr>
          <w:p>
            <w:pPr>
              <w:pStyle w:val="TableParagraph"/>
              <w:spacing w:line="316" w:lineRule="auto" w:before="38"/>
              <w:ind w:left="23" w:right="104"/>
              <w:jc w:val="left"/>
              <w:rPr>
                <w:rFonts w:ascii="宋体" w:hAnsi="宋体" w:cs="宋体" w:eastAsia="宋体" w:hint="default"/>
                <w:sz w:val="18"/>
                <w:szCs w:val="18"/>
              </w:rPr>
            </w:pPr>
            <w:r>
              <w:rPr>
                <w:rFonts w:ascii="宋体" w:hAnsi="宋体" w:cs="宋体" w:eastAsia="宋体" w:hint="default"/>
                <w:sz w:val="18"/>
                <w:szCs w:val="18"/>
              </w:rPr>
              <w:t>保函保证金、国内信用证付款保证金、因尚未完成服务冻结的共 管户资金、诉讼冻结款、为提起诉讼进行资产担保抵押冻结款</w:t>
            </w:r>
          </w:p>
        </w:tc>
      </w:tr>
      <w:tr>
        <w:trPr>
          <w:trHeight w:val="466" w:hRule="exact"/>
        </w:trPr>
        <w:tc>
          <w:tcPr>
            <w:tcW w:w="2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98,723,714.95</w:t>
            </w:r>
          </w:p>
        </w:tc>
        <w:tc>
          <w:tcPr>
            <w:tcW w:w="5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55</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494"/>
        <w:gridCol w:w="2295"/>
        <w:gridCol w:w="2391"/>
        <w:gridCol w:w="2388"/>
      </w:tblGrid>
      <w:tr>
        <w:trPr>
          <w:trHeight w:val="46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60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6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1"/>
                <w:sz w:val="18"/>
              </w:rPr>
              <w:t>11,551,052.96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7.00000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80,857,370.69</w:t>
            </w:r>
          </w:p>
        </w:tc>
      </w:tr>
      <w:tr>
        <w:trPr>
          <w:trHeight w:val="46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w w:val="95"/>
                <w:sz w:val="18"/>
              </w:rPr>
              <w:t>1,705.68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7.90000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13,474.84</w:t>
            </w:r>
          </w:p>
        </w:tc>
      </w:tr>
      <w:tr>
        <w:trPr>
          <w:trHeight w:val="46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5"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661,081.54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Times New Roman" w:hAnsi="Times New Roman" w:cs="Times New Roman" w:eastAsia="Times New Roman" w:hint="default"/>
                <w:sz w:val="18"/>
                <w:szCs w:val="18"/>
              </w:rPr>
            </w:pPr>
            <w:r>
              <w:rPr>
                <w:rFonts w:ascii="Times New Roman"/>
                <w:sz w:val="18"/>
              </w:rPr>
              <w:t>0.89286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590,253.26</w:t>
            </w:r>
          </w:p>
        </w:tc>
      </w:tr>
      <w:tr>
        <w:trPr>
          <w:trHeight w:val="466"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pacing w:val="-1"/>
                <w:sz w:val="18"/>
              </w:rPr>
              <w:t>2,353,876.78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7.00000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16,477,137.43</w:t>
            </w:r>
          </w:p>
        </w:tc>
      </w:tr>
      <w:tr>
        <w:trPr>
          <w:trHeight w:val="463" w:hRule="exact"/>
        </w:trPr>
        <w:tc>
          <w:tcPr>
            <w:tcW w:w="2494" w:type="dxa"/>
            <w:tcBorders>
              <w:top w:val="single" w:sz="4" w:space="0" w:color="000000"/>
              <w:left w:val="single" w:sz="4" w:space="0" w:color="000000"/>
              <w:bottom w:val="single" w:sz="16" w:space="0" w:color="D9D9D9"/>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835,585.06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0.89286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746,060.48</w:t>
            </w:r>
          </w:p>
        </w:tc>
      </w:tr>
      <w:tr>
        <w:trPr>
          <w:trHeight w:val="466" w:hRule="exact"/>
        </w:trPr>
        <w:tc>
          <w:tcPr>
            <w:tcW w:w="2494" w:type="dxa"/>
            <w:tcBorders>
              <w:top w:val="single" w:sz="16" w:space="0" w:color="D2D2D2"/>
              <w:left w:val="single" w:sz="4" w:space="0" w:color="000000"/>
              <w:bottom w:val="single" w:sz="4" w:space="0" w:color="000000"/>
              <w:right w:val="single" w:sz="4" w:space="0" w:color="000000"/>
            </w:tcBorders>
            <w:shd w:val="clear" w:color="auto" w:fill="D9D9D9"/>
          </w:tcPr>
          <w:p>
            <w:pPr>
              <w:pStyle w:val="TableParagraph"/>
              <w:spacing w:line="240" w:lineRule="auto" w:before="64"/>
              <w:ind w:left="566"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2295" w:type="dxa"/>
            <w:tcBorders>
              <w:top w:val="single" w:sz="4" w:space="0" w:color="000000"/>
              <w:left w:val="single" w:sz="4" w:space="0" w:color="000000"/>
              <w:bottom w:val="single" w:sz="12" w:space="0" w:color="D9D9D9"/>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2,201,001.42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0.87496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1,925,788.20</w:t>
            </w:r>
          </w:p>
        </w:tc>
      </w:tr>
      <w:tr>
        <w:trPr>
          <w:trHeight w:val="46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2494"/>
        <w:gridCol w:w="2295"/>
        <w:gridCol w:w="2391"/>
        <w:gridCol w:w="2388"/>
      </w:tblGrid>
      <w:tr>
        <w:trPr>
          <w:trHeight w:val="464"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16" w:space="0" w:color="D9D9D9"/>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349,125.54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7.00000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2,443,878.78</w:t>
            </w:r>
          </w:p>
        </w:tc>
      </w:tr>
      <w:tr>
        <w:trPr>
          <w:trHeight w:val="466"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2"/>
              <w:ind w:left="1082"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2"/>
              <w:ind w:right="1130"/>
              <w:jc w:val="right"/>
              <w:rPr>
                <w:rFonts w:ascii="Times New Roman" w:hAnsi="Times New Roman" w:cs="Times New Roman" w:eastAsia="Times New Roman" w:hint="default"/>
                <w:sz w:val="18"/>
                <w:szCs w:val="18"/>
              </w:rPr>
            </w:pPr>
            <w:r>
              <w:rPr>
                <w:rFonts w:ascii="Times New Roman"/>
                <w:sz w:val="18"/>
              </w:rPr>
              <w:t>--</w:t>
            </w:r>
          </w:p>
        </w:tc>
        <w:tc>
          <w:tcPr>
            <w:tcW w:w="2388"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5" w:type="dxa"/>
            <w:tcBorders>
              <w:top w:val="single" w:sz="16" w:space="0" w:color="D9D9D9"/>
              <w:left w:val="single" w:sz="4" w:space="0" w:color="000000"/>
              <w:bottom w:val="single" w:sz="16" w:space="0" w:color="D9D9D9"/>
              <w:right w:val="single" w:sz="4" w:space="0" w:color="000000"/>
            </w:tcBorders>
          </w:tcPr>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1"/>
                <w:sz w:val="18"/>
              </w:rPr>
              <w:t>10,064.00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0.89286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8,985.74</w:t>
            </w:r>
          </w:p>
        </w:tc>
      </w:tr>
      <w:tr>
        <w:trPr>
          <w:trHeight w:val="46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2"/>
              <w:ind w:left="1082"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2"/>
              <w:ind w:right="1130"/>
              <w:jc w:val="right"/>
              <w:rPr>
                <w:rFonts w:ascii="Times New Roman" w:hAnsi="Times New Roman" w:cs="Times New Roman" w:eastAsia="Times New Roman" w:hint="default"/>
                <w:sz w:val="18"/>
                <w:szCs w:val="18"/>
              </w:rPr>
            </w:pPr>
            <w:r>
              <w:rPr>
                <w:rFonts w:ascii="Times New Roman"/>
                <w:sz w:val="18"/>
              </w:rPr>
              <w:t>--</w:t>
            </w:r>
          </w:p>
        </w:tc>
        <w:tc>
          <w:tcPr>
            <w:tcW w:w="2388"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pacing w:val="-1"/>
                <w:sz w:val="18"/>
              </w:rPr>
              <w:t>1,503,273.00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7.00000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10,522,911.00</w:t>
            </w:r>
          </w:p>
        </w:tc>
      </w:tr>
      <w:tr>
        <w:trPr>
          <w:trHeight w:val="46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right="1556"/>
              <w:jc w:val="right"/>
              <w:rPr>
                <w:rFonts w:ascii="宋体" w:hAnsi="宋体" w:cs="宋体" w:eastAsia="宋体" w:hint="default"/>
                <w:sz w:val="18"/>
                <w:szCs w:val="18"/>
              </w:rPr>
            </w:pPr>
            <w:r>
              <w:rPr>
                <w:rFonts w:ascii="宋体" w:hAnsi="宋体" w:cs="宋体" w:eastAsia="宋体" w:hint="default"/>
                <w:sz w:val="18"/>
                <w:szCs w:val="18"/>
              </w:rPr>
              <w:t>港币</w:t>
            </w:r>
          </w:p>
        </w:tc>
        <w:tc>
          <w:tcPr>
            <w:tcW w:w="2295" w:type="dxa"/>
            <w:tcBorders>
              <w:top w:val="single" w:sz="4" w:space="0" w:color="000000"/>
              <w:left w:val="single" w:sz="4" w:space="0" w:color="000000"/>
              <w:bottom w:val="single" w:sz="16" w:space="0" w:color="D9D9D9"/>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6,353,091.36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0.89286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5,672,421.15</w:t>
            </w:r>
          </w:p>
        </w:tc>
      </w:tr>
      <w:tr>
        <w:trPr>
          <w:trHeight w:val="46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2"/>
              <w:ind w:left="1082"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2"/>
              <w:ind w:right="1130"/>
              <w:jc w:val="right"/>
              <w:rPr>
                <w:rFonts w:ascii="Times New Roman" w:hAnsi="Times New Roman" w:cs="Times New Roman" w:eastAsia="Times New Roman" w:hint="default"/>
                <w:sz w:val="18"/>
                <w:szCs w:val="18"/>
              </w:rPr>
            </w:pPr>
            <w:r>
              <w:rPr>
                <w:rFonts w:ascii="Times New Roman"/>
                <w:sz w:val="18"/>
              </w:rPr>
              <w:t>--</w:t>
            </w:r>
          </w:p>
        </w:tc>
        <w:tc>
          <w:tcPr>
            <w:tcW w:w="2388"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16" w:space="0" w:color="D9D9D9"/>
              <w:left w:val="single" w:sz="4" w:space="0" w:color="000000"/>
              <w:bottom w:val="single" w:sz="4" w:space="0" w:color="000000"/>
              <w:right w:val="single" w:sz="4" w:space="0" w:color="000000"/>
            </w:tcBorders>
          </w:tcPr>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1"/>
                <w:sz w:val="18"/>
              </w:rPr>
              <w:t>21,922.79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7.00000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153,459.53</w:t>
            </w:r>
          </w:p>
        </w:tc>
      </w:tr>
      <w:tr>
        <w:trPr>
          <w:trHeight w:val="464"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right="1556"/>
              <w:jc w:val="right"/>
              <w:rPr>
                <w:rFonts w:ascii="宋体" w:hAnsi="宋体" w:cs="宋体" w:eastAsia="宋体" w:hint="default"/>
                <w:sz w:val="18"/>
                <w:szCs w:val="18"/>
              </w:rPr>
            </w:pPr>
            <w:r>
              <w:rPr>
                <w:rFonts w:ascii="宋体" w:hAnsi="宋体" w:cs="宋体" w:eastAsia="宋体" w:hint="default"/>
                <w:sz w:val="18"/>
                <w:szCs w:val="18"/>
              </w:rPr>
              <w:t>港币</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2"/>
              <w:jc w:val="right"/>
              <w:rPr>
                <w:rFonts w:ascii="Times New Roman" w:hAnsi="Times New Roman" w:cs="Times New Roman" w:eastAsia="Times New Roman" w:hint="default"/>
                <w:sz w:val="18"/>
                <w:szCs w:val="18"/>
              </w:rPr>
            </w:pPr>
            <w:r>
              <w:rPr>
                <w:rFonts w:ascii="Times New Roman"/>
                <w:spacing w:val="-1"/>
                <w:sz w:val="18"/>
              </w:rPr>
              <w:t>172,849.58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 w:right="0"/>
              <w:jc w:val="left"/>
              <w:rPr>
                <w:rFonts w:ascii="Times New Roman" w:hAnsi="Times New Roman" w:cs="Times New Roman" w:eastAsia="Times New Roman" w:hint="default"/>
                <w:sz w:val="18"/>
                <w:szCs w:val="18"/>
              </w:rPr>
            </w:pPr>
            <w:r>
              <w:rPr>
                <w:rFonts w:ascii="Times New Roman"/>
                <w:sz w:val="18"/>
              </w:rPr>
              <w:t>0.89286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154,330.48</w:t>
            </w:r>
          </w:p>
        </w:tc>
      </w:tr>
      <w:tr>
        <w:trPr>
          <w:trHeight w:val="46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2"/>
              <w:ind w:left="1082"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2"/>
              <w:ind w:right="1130"/>
              <w:jc w:val="right"/>
              <w:rPr>
                <w:rFonts w:ascii="Times New Roman" w:hAnsi="Times New Roman" w:cs="Times New Roman" w:eastAsia="Times New Roman" w:hint="default"/>
                <w:sz w:val="18"/>
                <w:szCs w:val="18"/>
              </w:rPr>
            </w:pPr>
            <w:r>
              <w:rPr>
                <w:rFonts w:ascii="Times New Roman"/>
                <w:sz w:val="18"/>
              </w:rPr>
              <w:t>--</w:t>
            </w:r>
          </w:p>
        </w:tc>
        <w:tc>
          <w:tcPr>
            <w:tcW w:w="2388"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5" w:type="dxa"/>
            <w:tcBorders>
              <w:top w:val="single" w:sz="4" w:space="0" w:color="000000"/>
              <w:left w:val="single" w:sz="4" w:space="0" w:color="000000"/>
              <w:bottom w:val="single" w:sz="16" w:space="0" w:color="D9D9D9"/>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133,987.47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0.89286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119,632.05</w:t>
            </w:r>
          </w:p>
        </w:tc>
      </w:tr>
      <w:tr>
        <w:trPr>
          <w:trHeight w:val="46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2"/>
              <w:ind w:left="1082"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2"/>
              <w:ind w:right="1130"/>
              <w:jc w:val="right"/>
              <w:rPr>
                <w:rFonts w:ascii="Times New Roman" w:hAnsi="Times New Roman" w:cs="Times New Roman" w:eastAsia="Times New Roman" w:hint="default"/>
                <w:sz w:val="18"/>
                <w:szCs w:val="18"/>
              </w:rPr>
            </w:pPr>
            <w:r>
              <w:rPr>
                <w:rFonts w:ascii="Times New Roman"/>
                <w:sz w:val="18"/>
              </w:rPr>
              <w:t>--</w:t>
            </w:r>
          </w:p>
        </w:tc>
        <w:tc>
          <w:tcPr>
            <w:tcW w:w="2388"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5"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11"/>
              <w:ind w:right="22"/>
              <w:jc w:val="right"/>
              <w:rPr>
                <w:rFonts w:ascii="Times New Roman" w:hAnsi="Times New Roman" w:cs="Times New Roman" w:eastAsia="Times New Roman" w:hint="default"/>
                <w:sz w:val="18"/>
                <w:szCs w:val="18"/>
              </w:rPr>
            </w:pPr>
            <w:r>
              <w:rPr>
                <w:rFonts w:ascii="Times New Roman"/>
                <w:spacing w:val="-1"/>
                <w:sz w:val="18"/>
              </w:rPr>
              <w:t>150,172,161.29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0.89286</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134,082,715.93</w:t>
            </w:r>
          </w:p>
        </w:tc>
      </w:tr>
      <w:tr>
        <w:trPr>
          <w:trHeight w:val="466" w:hRule="exact"/>
        </w:trPr>
        <w:tc>
          <w:tcPr>
            <w:tcW w:w="24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0"/>
              <w:ind w:right="1556"/>
              <w:jc w:val="right"/>
              <w:rPr>
                <w:rFonts w:ascii="宋体" w:hAnsi="宋体" w:cs="宋体" w:eastAsia="宋体" w:hint="default"/>
                <w:sz w:val="18"/>
                <w:szCs w:val="18"/>
              </w:rPr>
            </w:pPr>
            <w:r>
              <w:rPr>
                <w:rFonts w:ascii="宋体" w:hAnsi="宋体" w:cs="宋体" w:eastAsia="宋体" w:hint="default"/>
                <w:sz w:val="18"/>
                <w:szCs w:val="18"/>
              </w:rPr>
              <w:t>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w w:val="95"/>
                <w:sz w:val="18"/>
              </w:rPr>
              <w:t>11,410.08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sz w:val="18"/>
              </w:rPr>
              <w:t>7.00000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79,870.56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56</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6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6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与资产相关政府补助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9,666,058.85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1,386,360.22</w:t>
            </w:r>
          </w:p>
        </w:tc>
      </w:tr>
      <w:tr>
        <w:trPr>
          <w:trHeight w:val="46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与收益相关政府补助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17,741,047.05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10,231,967.12</w:t>
            </w:r>
          </w:p>
        </w:tc>
      </w:tr>
      <w:tr>
        <w:trPr>
          <w:trHeight w:val="46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与收益相关政府补助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41,306,190.27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41,306,190.27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after="0" w:line="240" w:lineRule="auto"/>
        <w:jc w:val="right"/>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1702"/>
        <w:gridCol w:w="850"/>
        <w:gridCol w:w="1135"/>
        <w:gridCol w:w="850"/>
        <w:gridCol w:w="850"/>
        <w:gridCol w:w="852"/>
        <w:gridCol w:w="1133"/>
        <w:gridCol w:w="1135"/>
        <w:gridCol w:w="1064"/>
      </w:tblGrid>
      <w:tr>
        <w:trPr>
          <w:trHeight w:val="102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04"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58"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2" w:right="110"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58"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9" w:right="59"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51"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93" w:right="110" w:hanging="181"/>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center"/>
              <w:rPr>
                <w:rFonts w:ascii="宋体" w:hAnsi="宋体" w:cs="宋体" w:eastAsia="宋体" w:hint="default"/>
                <w:sz w:val="18"/>
                <w:szCs w:val="18"/>
              </w:rPr>
            </w:pPr>
            <w:r>
              <w:rPr>
                <w:rFonts w:ascii="宋体" w:hAnsi="宋体" w:cs="宋体" w:eastAsia="宋体" w:hint="default"/>
                <w:sz w:val="18"/>
                <w:szCs w:val="18"/>
              </w:rPr>
              <w:t>购买日至期末 被购买方的收 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5"/>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45"/>
              <w:jc w:val="left"/>
              <w:rPr>
                <w:rFonts w:ascii="宋体" w:hAnsi="宋体" w:cs="宋体" w:eastAsia="宋体" w:hint="default"/>
                <w:sz w:val="18"/>
                <w:szCs w:val="18"/>
              </w:rPr>
            </w:pPr>
            <w:r>
              <w:rPr>
                <w:rFonts w:ascii="宋体" w:hAnsi="宋体" w:cs="宋体" w:eastAsia="宋体" w:hint="default"/>
                <w:sz w:val="18"/>
                <w:szCs w:val="18"/>
              </w:rPr>
              <w:t>神州土地（北京）信 息技术有限公司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47,459,244.43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0"/>
              <w:jc w:val="center"/>
              <w:rPr>
                <w:rFonts w:ascii="宋体" w:hAnsi="宋体" w:cs="宋体" w:eastAsia="宋体" w:hint="default"/>
                <w:sz w:val="18"/>
                <w:szCs w:val="18"/>
              </w:rPr>
            </w:pPr>
            <w:r>
              <w:rPr>
                <w:rFonts w:ascii="宋体" w:hAnsi="宋体" w:cs="宋体" w:eastAsia="宋体" w:hint="default"/>
                <w:sz w:val="18"/>
                <w:szCs w:val="18"/>
              </w:rPr>
              <w:t>现金购买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10,747,816.76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6,316,256.08</w:t>
            </w:r>
          </w:p>
        </w:tc>
      </w:tr>
      <w:tr>
        <w:trPr>
          <w:trHeight w:val="102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5"/>
              <w:jc w:val="left"/>
              <w:rPr>
                <w:rFonts w:ascii="宋体" w:hAnsi="宋体" w:cs="宋体" w:eastAsia="宋体" w:hint="default"/>
                <w:sz w:val="18"/>
                <w:szCs w:val="18"/>
              </w:rPr>
            </w:pPr>
            <w:r>
              <w:rPr>
                <w:rFonts w:ascii="宋体" w:hAnsi="宋体" w:cs="宋体" w:eastAsia="宋体" w:hint="default"/>
                <w:sz w:val="18"/>
                <w:szCs w:val="18"/>
              </w:rPr>
              <w:t>枣强县农村产权交易 服务有限公司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115,930.02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0"/>
              <w:jc w:val="center"/>
              <w:rPr>
                <w:rFonts w:ascii="宋体" w:hAnsi="宋体" w:cs="宋体" w:eastAsia="宋体" w:hint="default"/>
                <w:sz w:val="18"/>
                <w:szCs w:val="18"/>
              </w:rPr>
            </w:pPr>
            <w:r>
              <w:rPr>
                <w:rFonts w:ascii="宋体" w:hAnsi="宋体" w:cs="宋体" w:eastAsia="宋体" w:hint="default"/>
                <w:sz w:val="18"/>
                <w:szCs w:val="18"/>
              </w:rPr>
              <w:t>现金购买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13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-12,704.98</w:t>
            </w:r>
          </w:p>
        </w:tc>
      </w:tr>
    </w:tbl>
    <w:p>
      <w:pPr>
        <w:pStyle w:val="BodyText"/>
        <w:spacing w:line="458" w:lineRule="auto" w:before="87"/>
        <w:ind w:right="1159" w:firstLine="360"/>
        <w:jc w:val="left"/>
      </w:pPr>
      <w:r>
        <w:rPr/>
        <w:t>注：</w:t>
      </w:r>
      <w:r>
        <w:rPr>
          <w:rFonts w:ascii="Times New Roman" w:hAnsi="Times New Roman" w:cs="Times New Roman" w:eastAsia="Times New Roman" w:hint="default"/>
        </w:rPr>
        <w:t>2019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月，中农信达与神州数码河北信息服务有限公司签署《股权转让协议》，中农信达以</w:t>
      </w:r>
      <w:r>
        <w:rPr>
          <w:spacing w:val="-45"/>
        </w:rPr>
        <w:t> </w:t>
      </w:r>
      <w:r>
        <w:rPr>
          <w:rFonts w:ascii="Times New Roman" w:hAnsi="Times New Roman" w:cs="Times New Roman" w:eastAsia="Times New Roman" w:hint="default"/>
        </w:rPr>
        <w:t>4,950.00</w:t>
      </w:r>
      <w:r>
        <w:rPr>
          <w:rFonts w:ascii="Times New Roman" w:hAnsi="Times New Roman" w:cs="Times New Roman" w:eastAsia="Times New Roman" w:hint="default"/>
          <w:spacing w:val="1"/>
        </w:rPr>
        <w:t> </w:t>
      </w:r>
      <w:r>
        <w:rPr/>
        <w:t>万元的支 付对价购买神州数码河北信息服务有限公司持有的神州土地（北京）信息技术有限公司</w:t>
      </w:r>
      <w:r>
        <w:rPr>
          <w:spacing w:val="-46"/>
        </w:rPr>
        <w:t> </w:t>
      </w:r>
      <w:r>
        <w:rPr>
          <w:rFonts w:ascii="Times New Roman" w:hAnsi="Times New Roman" w:cs="Times New Roman" w:eastAsia="Times New Roman" w:hint="default"/>
        </w:rPr>
        <w:t>100.00%</w:t>
      </w:r>
      <w:r>
        <w:rPr/>
        <w:t>股权及</w:t>
      </w:r>
      <w:r>
        <w:rPr>
          <w:spacing w:val="-48"/>
        </w:rPr>
        <w:t> </w:t>
      </w:r>
      <w:r>
        <w:rPr>
          <w:rFonts w:ascii="Times New Roman" w:hAnsi="Times New Roman" w:cs="Times New Roman" w:eastAsia="Times New Roman" w:hint="default"/>
        </w:rPr>
        <w:t>11</w:t>
      </w:r>
      <w:r>
        <w:rPr>
          <w:rFonts w:ascii="Times New Roman" w:hAnsi="Times New Roman" w:cs="Times New Roman" w:eastAsia="Times New Roman" w:hint="default"/>
          <w:spacing w:val="-2"/>
        </w:rPr>
        <w:t> </w:t>
      </w:r>
      <w:r>
        <w:rPr/>
        <w:t>家产权交易所股 权（其中枣强县农村产权交易服务有限公司</w:t>
      </w:r>
      <w:r>
        <w:rPr>
          <w:spacing w:val="-45"/>
        </w:rPr>
        <w:t> </w:t>
      </w:r>
      <w:r>
        <w:rPr>
          <w:rFonts w:ascii="Times New Roman" w:hAnsi="Times New Roman" w:cs="Times New Roman" w:eastAsia="Times New Roman" w:hint="default"/>
        </w:rPr>
        <w:t>100.00%</w:t>
      </w:r>
      <w:r>
        <w:rPr/>
        <w:t>持股，其余</w:t>
      </w:r>
      <w:r>
        <w:rPr>
          <w:spacing w:val="-45"/>
        </w:rPr>
        <w:t> </w:t>
      </w:r>
      <w:r>
        <w:rPr>
          <w:rFonts w:ascii="Times New Roman" w:hAnsi="Times New Roman" w:cs="Times New Roman" w:eastAsia="Times New Roman" w:hint="default"/>
        </w:rPr>
        <w:t>10 </w:t>
      </w:r>
      <w:r>
        <w:rPr/>
        <w:t>家交易所持股</w:t>
      </w:r>
      <w:r>
        <w:rPr>
          <w:spacing w:val="-46"/>
        </w:rPr>
        <w:t> </w:t>
      </w:r>
      <w:r>
        <w:rPr>
          <w:rFonts w:ascii="Times New Roman" w:hAnsi="Times New Roman" w:cs="Times New Roman" w:eastAsia="Times New Roman" w:hint="default"/>
        </w:rPr>
        <w:t>25.00%</w:t>
      </w:r>
      <w:r>
        <w:rPr/>
        <w:t>）股权。</w:t>
      </w:r>
      <w:r>
        <w:rPr>
          <w:rFonts w:ascii="Times New Roman" w:hAnsi="Times New Roman" w:cs="Times New Roman" w:eastAsia="Times New Roman" w:hint="default"/>
        </w:rPr>
        <w:t>2019</w:t>
      </w:r>
      <w:r>
        <w:rPr>
          <w:rFonts w:ascii="Times New Roman" w:hAnsi="Times New Roman" w:cs="Times New Roman" w:eastAsia="Times New Roman" w:hint="default"/>
          <w:spacing w:val="43"/>
        </w:rPr>
        <w:t> </w:t>
      </w:r>
      <w:r>
        <w:rPr/>
        <w:t>年</w:t>
      </w:r>
      <w:r>
        <w:rPr>
          <w:spacing w:val="-46"/>
        </w:rPr>
        <w:t> </w:t>
      </w:r>
      <w:r>
        <w:rPr>
          <w:rFonts w:ascii="Times New Roman" w:hAnsi="Times New Roman" w:cs="Times New Roman" w:eastAsia="Times New Roman" w:hint="default"/>
        </w:rPr>
        <w:t>10 </w:t>
      </w:r>
      <w:r>
        <w:rPr/>
        <w:t>月</w:t>
      </w:r>
      <w:r>
        <w:rPr>
          <w:spacing w:val="-48"/>
        </w:rPr>
        <w:t> </w:t>
      </w:r>
      <w:r>
        <w:rPr>
          <w:rFonts w:ascii="Times New Roman" w:hAnsi="Times New Roman" w:cs="Times New Roman" w:eastAsia="Times New Roman" w:hint="default"/>
        </w:rPr>
        <w:t>31 </w:t>
      </w:r>
      <w:r>
        <w:rPr/>
        <w:t>日，中 农信达与神州数码河北信息服务有限公司签订资产交割确认书。交割完成后，神州土地（北京）信息技术有限公司成为中 农信达的全资子公司，枣强县农村产权交易服务有限公司成为神州土地（北京）信息技术有限公司的全资子公司。</w:t>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4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51" w:right="0"/>
              <w:jc w:val="left"/>
              <w:rPr>
                <w:rFonts w:ascii="宋体" w:hAnsi="宋体" w:cs="宋体" w:eastAsia="宋体" w:hint="default"/>
                <w:sz w:val="18"/>
                <w:szCs w:val="18"/>
              </w:rPr>
            </w:pPr>
            <w:r>
              <w:rPr>
                <w:rFonts w:ascii="宋体" w:hAnsi="宋体" w:cs="宋体" w:eastAsia="宋体" w:hint="default"/>
                <w:sz w:val="18"/>
                <w:szCs w:val="18"/>
              </w:rPr>
              <w:t>神州土地（北京）信息技术有限公司</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0" w:right="0"/>
              <w:jc w:val="left"/>
              <w:rPr>
                <w:rFonts w:ascii="宋体" w:hAnsi="宋体" w:cs="宋体" w:eastAsia="宋体" w:hint="default"/>
                <w:sz w:val="18"/>
                <w:szCs w:val="18"/>
              </w:rPr>
            </w:pPr>
            <w:r>
              <w:rPr>
                <w:rFonts w:ascii="宋体" w:hAnsi="宋体" w:cs="宋体" w:eastAsia="宋体" w:hint="default"/>
                <w:sz w:val="18"/>
                <w:szCs w:val="18"/>
              </w:rPr>
              <w:t>枣强县农村产权交易服务有限公司</w:t>
            </w:r>
          </w:p>
        </w:tc>
      </w:tr>
      <w:tr>
        <w:trPr>
          <w:trHeight w:val="48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47,459,244.43</w:t>
            </w:r>
          </w:p>
        </w:tc>
        <w:tc>
          <w:tcPr>
            <w:tcW w:w="3191" w:type="dxa"/>
            <w:tcBorders>
              <w:top w:val="single" w:sz="12" w:space="0" w:color="D2D2D2"/>
              <w:left w:val="single" w:sz="4" w:space="0" w:color="000000"/>
              <w:bottom w:val="single" w:sz="4" w:space="0" w:color="000000"/>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115,930.02</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47,459,244.43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115,930.02</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-12,213,756.27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115,930.02</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44"/>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59,673,000.70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45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470" w:right="0"/>
              <w:jc w:val="left"/>
              <w:rPr>
                <w:rFonts w:ascii="宋体" w:hAnsi="宋体" w:cs="宋体" w:eastAsia="宋体" w:hint="default"/>
                <w:sz w:val="18"/>
                <w:szCs w:val="18"/>
              </w:rPr>
            </w:pPr>
            <w:r>
              <w:rPr>
                <w:rFonts w:ascii="宋体" w:hAnsi="宋体" w:cs="宋体" w:eastAsia="宋体" w:hint="default"/>
                <w:sz w:val="18"/>
                <w:szCs w:val="18"/>
              </w:rPr>
              <w:t>神州土地（北京）信息技术有限公司</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559" w:right="0"/>
              <w:jc w:val="left"/>
              <w:rPr>
                <w:rFonts w:ascii="宋体" w:hAnsi="宋体" w:cs="宋体" w:eastAsia="宋体" w:hint="default"/>
                <w:sz w:val="18"/>
                <w:szCs w:val="18"/>
              </w:rPr>
            </w:pPr>
            <w:r>
              <w:rPr>
                <w:rFonts w:ascii="宋体" w:hAnsi="宋体" w:cs="宋体" w:eastAsia="宋体" w:hint="default"/>
                <w:sz w:val="18"/>
                <w:szCs w:val="18"/>
              </w:rPr>
              <w:t>枣强县农村产权交易服务有限公司</w:t>
            </w:r>
          </w:p>
        </w:tc>
      </w:tr>
      <w:tr>
        <w:trPr>
          <w:trHeight w:val="458"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2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6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9,433,534.72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9,433,534.72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w w:val="95"/>
                <w:sz w:val="18"/>
              </w:rPr>
              <w:t>1,193.86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1,193.86</w:t>
            </w:r>
          </w:p>
        </w:tc>
      </w:tr>
      <w:tr>
        <w:trPr>
          <w:trHeight w:val="46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22,808.92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22,808.92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2,464,583.10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2,464,583.10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45,571.99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24,313.67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47,136.16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38,820.30</w:t>
            </w:r>
          </w:p>
        </w:tc>
      </w:tr>
      <w:tr>
        <w:trPr>
          <w:trHeight w:val="46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23,786.97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23,786.97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46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23,317.47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23,317.47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67,600.00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67,600.00</w:t>
            </w:r>
          </w:p>
        </w:tc>
      </w:tr>
      <w:tr>
        <w:trPr>
          <w:trHeight w:val="46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w w:val="95"/>
                <w:sz w:val="18"/>
              </w:rPr>
              <w:t>2,459.63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2,459.63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115,930.02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115,930.02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1,235,000.00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1,235,000.00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14,749,064.04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14,749,064.04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w w:val="95"/>
                <w:sz w:val="18"/>
              </w:rPr>
              <w:t>2,433.14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2,433.14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107,438.06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107,438.06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8,251,813.85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8,251,813.85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-12,213,756.27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-12,235,014.59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115,930.02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107,614.16</w:t>
            </w:r>
          </w:p>
        </w:tc>
      </w:tr>
      <w:tr>
        <w:trPr>
          <w:trHeight w:val="46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-12,213,756.27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-12,235,014.59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115,930.02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107,614.16</w:t>
            </w:r>
          </w:p>
        </w:tc>
      </w:tr>
    </w:tbl>
    <w:p>
      <w:pPr>
        <w:pStyle w:val="BodyText"/>
        <w:spacing w:line="477" w:lineRule="auto" w:before="87"/>
        <w:ind w:right="1213" w:firstLine="360"/>
        <w:jc w:val="left"/>
      </w:pPr>
      <w:r>
        <w:rPr/>
        <w:t>注：上述神州土地（北京）信息技术有限公司购买日公允价值的确定系根据中瑞世联资产评估（北京）有限公司出具 的中瑞评报字</w:t>
      </w:r>
      <w:r>
        <w:rPr>
          <w:rFonts w:ascii="Times New Roman" w:hAnsi="Times New Roman" w:cs="Times New Roman" w:eastAsia="Times New Roman" w:hint="default"/>
        </w:rPr>
        <w:t>[2020]</w:t>
      </w:r>
      <w:r>
        <w:rPr/>
        <w:t>第</w:t>
      </w:r>
      <w:r>
        <w:rPr>
          <w:spacing w:val="-49"/>
        </w:rPr>
        <w:t> </w:t>
      </w:r>
      <w:r>
        <w:rPr>
          <w:rFonts w:ascii="Times New Roman" w:hAnsi="Times New Roman" w:cs="Times New Roman" w:eastAsia="Times New Roman" w:hint="default"/>
        </w:rPr>
        <w:t>000069</w:t>
      </w:r>
      <w:r>
        <w:rPr>
          <w:rFonts w:ascii="Times New Roman" w:hAnsi="Times New Roman" w:cs="Times New Roman" w:eastAsia="Times New Roman" w:hint="default"/>
          <w:spacing w:val="-2"/>
        </w:rPr>
        <w:t> </w:t>
      </w:r>
      <w:r>
        <w:rPr/>
        <w:t>号可辨认净资产公允价值分摊报告确定的。</w:t>
      </w:r>
    </w:p>
    <w:p>
      <w:pPr>
        <w:spacing w:line="240" w:lineRule="auto" w:before="12"/>
        <w:rPr>
          <w:rFonts w:ascii="宋体" w:hAnsi="宋体" w:cs="宋体" w:eastAsia="宋体" w:hint="default"/>
          <w:sz w:val="16"/>
          <w:szCs w:val="16"/>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5"/>
        <w:rPr>
          <w:rFonts w:ascii="宋体" w:hAnsi="宋体" w:cs="宋体" w:eastAsia="宋体" w:hint="default"/>
          <w:b/>
          <w:bCs/>
          <w:sz w:val="32"/>
          <w:szCs w:val="32"/>
        </w:rPr>
      </w:pPr>
    </w:p>
    <w:p>
      <w:pPr>
        <w:pStyle w:val="BodyText"/>
        <w:spacing w:line="451" w:lineRule="auto"/>
        <w:ind w:right="1215" w:firstLine="360"/>
        <w:jc w:val="both"/>
      </w:pPr>
      <w:r>
        <w:rPr>
          <w:rFonts w:ascii="Times New Roman" w:hAnsi="Times New Roman" w:cs="Times New Roman" w:eastAsia="Times New Roman" w:hint="default"/>
        </w:rPr>
        <w:t>1)2019 </w:t>
      </w:r>
      <w:r>
        <w:rPr/>
        <w:t>年</w:t>
      </w:r>
      <w:r>
        <w:rPr>
          <w:spacing w:val="-48"/>
        </w:rPr>
        <w:t> </w:t>
      </w:r>
      <w:r>
        <w:rPr>
          <w:rFonts w:ascii="Times New Roman" w:hAnsi="Times New Roman" w:cs="Times New Roman" w:eastAsia="Times New Roman" w:hint="default"/>
        </w:rPr>
        <w:t>3 </w:t>
      </w:r>
      <w:r>
        <w:rPr/>
        <w:t>月</w:t>
      </w:r>
      <w:r>
        <w:rPr>
          <w:spacing w:val="-48"/>
        </w:rPr>
        <w:t> </w:t>
      </w:r>
      <w:r>
        <w:rPr>
          <w:rFonts w:ascii="Times New Roman" w:hAnsi="Times New Roman" w:cs="Times New Roman" w:eastAsia="Times New Roman" w:hint="default"/>
        </w:rPr>
        <w:t>6 </w:t>
      </w:r>
      <w:r>
        <w:rPr/>
        <w:t>日，神州数码系统集成服务有限公司与中节能环保装备股份有限公司及中科宇图科技股份有限公司共 同出资设立智慧神州天融（北京）监测技术有限公司</w:t>
      </w:r>
      <w:r>
        <w:rPr>
          <w:rFonts w:ascii="Times New Roman" w:hAnsi="Times New Roman" w:cs="Times New Roman" w:eastAsia="Times New Roman" w:hint="default"/>
        </w:rPr>
        <w:t>, </w:t>
      </w:r>
      <w:r>
        <w:rPr/>
        <w:t>神州数码系统集成服务有限公司持有该公司</w:t>
      </w:r>
      <w:r>
        <w:rPr>
          <w:spacing w:val="-48"/>
        </w:rPr>
        <w:t> </w:t>
      </w:r>
      <w:r>
        <w:rPr>
          <w:rFonts w:ascii="Times New Roman" w:hAnsi="Times New Roman" w:cs="Times New Roman" w:eastAsia="Times New Roman" w:hint="default"/>
        </w:rPr>
        <w:t>65.00%</w:t>
      </w:r>
      <w:r>
        <w:rPr/>
        <w:t>的股权。该公司 经营范围为技术咨询、技术服务；工程管理服务；专业承包、劳务分包；工程设计等。</w:t>
      </w:r>
    </w:p>
    <w:p>
      <w:pPr>
        <w:pStyle w:val="BodyText"/>
        <w:spacing w:line="451" w:lineRule="auto" w:before="74"/>
        <w:ind w:right="1125" w:firstLine="360"/>
        <w:jc w:val="left"/>
      </w:pPr>
      <w:r>
        <w:rPr>
          <w:rFonts w:ascii="Times New Roman" w:hAnsi="Times New Roman" w:cs="Times New Roman" w:eastAsia="Times New Roman" w:hint="default"/>
        </w:rPr>
        <w:t>2)2019 </w:t>
      </w:r>
      <w:r>
        <w:rPr/>
        <w:t>年</w:t>
      </w:r>
      <w:r>
        <w:rPr>
          <w:spacing w:val="-48"/>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25 </w:t>
      </w:r>
      <w:r>
        <w:rPr/>
        <w:t>日，神州数码系统集成服务有限公司与新疆三宝实业集团有限公司出资设立新疆神州三宝信息技术</w:t>
      </w:r>
      <w:r>
        <w:rPr>
          <w:w w:val="99"/>
        </w:rPr>
        <w:t> </w:t>
      </w:r>
      <w:r>
        <w:rPr/>
        <w:t>有限公司</w:t>
      </w:r>
      <w:r>
        <w:rPr>
          <w:rFonts w:ascii="Times New Roman" w:hAnsi="Times New Roman" w:cs="Times New Roman" w:eastAsia="Times New Roman" w:hint="default"/>
        </w:rPr>
        <w:t>, </w:t>
      </w:r>
      <w:r>
        <w:rPr/>
        <w:t>神州数码系统集成服务有限公司持有该公司</w:t>
      </w:r>
      <w:r>
        <w:rPr>
          <w:spacing w:val="-46"/>
        </w:rPr>
        <w:t> </w:t>
      </w:r>
      <w:r>
        <w:rPr>
          <w:rFonts w:ascii="Times New Roman" w:hAnsi="Times New Roman" w:cs="Times New Roman" w:eastAsia="Times New Roman" w:hint="default"/>
        </w:rPr>
        <w:t>60.00%</w:t>
      </w:r>
      <w:r>
        <w:rPr/>
        <w:t>的股权。该公司经营范围为计算机系统集成；数据处理；计</w:t>
      </w:r>
      <w:r>
        <w:rPr>
          <w:w w:val="99"/>
        </w:rPr>
        <w:t> </w:t>
      </w:r>
      <w:r>
        <w:rPr/>
        <w:t>算机软件技术开发、技术推广、技术咨询、技术转让及技术服务等。</w:t>
      </w:r>
    </w:p>
    <w:p>
      <w:pPr>
        <w:pStyle w:val="BodyText"/>
        <w:spacing w:line="463" w:lineRule="auto" w:before="74"/>
        <w:ind w:right="1213"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 </w:t>
      </w:r>
      <w:r>
        <w:rPr/>
        <w:t>年</w:t>
      </w:r>
      <w:r>
        <w:rPr>
          <w:spacing w:val="-48"/>
        </w:rPr>
        <w:t> </w:t>
      </w:r>
      <w:r>
        <w:rPr>
          <w:rFonts w:ascii="Times New Roman" w:hAnsi="Times New Roman" w:cs="Times New Roman" w:eastAsia="Times New Roman" w:hint="default"/>
        </w:rPr>
        <w:t>8 </w:t>
      </w:r>
      <w:r>
        <w:rPr/>
        <w:t>月</w:t>
      </w:r>
      <w:r>
        <w:rPr>
          <w:spacing w:val="-48"/>
        </w:rPr>
        <w:t> </w:t>
      </w:r>
      <w:r>
        <w:rPr>
          <w:rFonts w:ascii="Times New Roman" w:hAnsi="Times New Roman" w:cs="Times New Roman" w:eastAsia="Times New Roman" w:hint="default"/>
        </w:rPr>
        <w:t>1 </w:t>
      </w:r>
      <w:r>
        <w:rPr/>
        <w:t>日，神州数码系统集成服务有限公司出资设立北京神州通慧科技有限公司，持股比例为</w:t>
      </w:r>
      <w:r>
        <w:rPr>
          <w:spacing w:val="-44"/>
        </w:rPr>
        <w:t> </w:t>
      </w:r>
      <w:r>
        <w:rPr>
          <w:rFonts w:ascii="Times New Roman" w:hAnsi="Times New Roman" w:cs="Times New Roman" w:eastAsia="Times New Roman" w:hint="default"/>
        </w:rPr>
        <w:t>100.00%</w:t>
      </w:r>
      <w:r>
        <w:rPr/>
        <w:t>。 该公司经营范围为技术开发、技术咨询、技术转让、技术服务、技术推广；计算机系统集成；基础软件服务；应用软件服 务；数据处理；销售汽车、机械设备、电子产品、计算机、软件及辅助设备等。</w:t>
      </w:r>
    </w:p>
    <w:p>
      <w:pPr>
        <w:pStyle w:val="BodyText"/>
        <w:spacing w:line="240" w:lineRule="auto" w:before="65"/>
        <w:ind w:left="513"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日，神州数码信息系统有限公司出资设立神州龙安</w:t>
      </w:r>
      <w:r>
        <w:rPr>
          <w:rFonts w:ascii="Times New Roman" w:hAnsi="Times New Roman" w:cs="Times New Roman" w:eastAsia="Times New Roman" w:hint="default"/>
        </w:rPr>
        <w:t>(</w:t>
      </w:r>
      <w:r>
        <w:rPr/>
        <w:t>金华</w:t>
      </w:r>
      <w:r>
        <w:rPr>
          <w:rFonts w:ascii="Times New Roman" w:hAnsi="Times New Roman" w:cs="Times New Roman" w:eastAsia="Times New Roman" w:hint="default"/>
        </w:rPr>
        <w:t>)</w:t>
      </w:r>
      <w:r>
        <w:rPr/>
        <w:t>信息技术服务有限公司，持股比例为</w:t>
      </w:r>
    </w:p>
    <w:p>
      <w:pPr>
        <w:spacing w:line="240" w:lineRule="auto" w:before="9"/>
        <w:rPr>
          <w:rFonts w:ascii="宋体" w:hAnsi="宋体" w:cs="宋体" w:eastAsia="宋体" w:hint="default"/>
          <w:sz w:val="16"/>
          <w:szCs w:val="16"/>
        </w:rPr>
      </w:pPr>
    </w:p>
    <w:p>
      <w:pPr>
        <w:pStyle w:val="BodyText"/>
        <w:spacing w:line="451" w:lineRule="auto"/>
        <w:ind w:right="1288"/>
        <w:jc w:val="left"/>
      </w:pPr>
      <w:r>
        <w:rPr>
          <w:rFonts w:ascii="Times New Roman" w:hAnsi="Times New Roman" w:cs="Times New Roman" w:eastAsia="Times New Roman" w:hint="default"/>
        </w:rPr>
        <w:t>100.00%</w:t>
      </w:r>
      <w:r>
        <w:rPr/>
        <w:t>。该公司经营范围为信息技术开发、技术咨询、技术转让、技术服务、技术推广；计算机系统集成；软件服务； 数据处理等。</w:t>
      </w:r>
    </w:p>
    <w:p>
      <w:pPr>
        <w:pStyle w:val="BodyText"/>
        <w:spacing w:line="451" w:lineRule="auto" w:before="74"/>
        <w:ind w:right="1125" w:firstLine="36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Digital</w:t>
      </w:r>
      <w:r>
        <w:rPr>
          <w:rFonts w:ascii="Times New Roman" w:hAnsi="Times New Roman" w:cs="Times New Roman" w:eastAsia="Times New Roman" w:hint="default"/>
          <w:spacing w:val="-4"/>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3"/>
        </w:rPr>
        <w:t> </w:t>
      </w:r>
      <w:r>
        <w:rPr>
          <w:rFonts w:ascii="Times New Roman" w:hAnsi="Times New Roman" w:cs="Times New Roman" w:eastAsia="Times New Roman" w:hint="default"/>
        </w:rPr>
        <w:t>Advanced</w:t>
      </w:r>
      <w:r>
        <w:rPr>
          <w:rFonts w:ascii="Times New Roman" w:hAnsi="Times New Roman" w:cs="Times New Roman" w:eastAsia="Times New Roman" w:hint="default"/>
          <w:spacing w:val="-1"/>
        </w:rPr>
        <w:t> </w:t>
      </w:r>
      <w:r>
        <w:rPr>
          <w:rFonts w:ascii="Times New Roman" w:hAnsi="Times New Roman" w:cs="Times New Roman" w:eastAsia="Times New Roman" w:hint="default"/>
        </w:rPr>
        <w:t>Systems</w:t>
      </w:r>
      <w:r>
        <w:rPr>
          <w:rFonts w:ascii="Times New Roman" w:hAnsi="Times New Roman" w:cs="Times New Roman" w:eastAsia="Times New Roman" w:hint="default"/>
          <w:spacing w:val="-2"/>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1"/>
        </w:rPr>
        <w:t> </w:t>
      </w:r>
      <w:r>
        <w:rPr/>
        <w:t>与</w:t>
      </w:r>
      <w:r>
        <w:rPr>
          <w:spacing w:val="-47"/>
        </w:rPr>
        <w:t> </w:t>
      </w:r>
      <w:r>
        <w:rPr>
          <w:rFonts w:ascii="Times New Roman" w:hAnsi="Times New Roman" w:cs="Times New Roman" w:eastAsia="Times New Roman" w:hint="default"/>
        </w:rPr>
        <w:t>HAN</w:t>
      </w:r>
      <w:r>
        <w:rPr>
          <w:rFonts w:ascii="Times New Roman" w:hAnsi="Times New Roman" w:cs="Times New Roman" w:eastAsia="Times New Roman" w:hint="default"/>
          <w:spacing w:val="-2"/>
        </w:rPr>
        <w:t> </w:t>
      </w:r>
      <w:r>
        <w:rPr>
          <w:rFonts w:ascii="Times New Roman" w:hAnsi="Times New Roman" w:cs="Times New Roman" w:eastAsia="Times New Roman" w:hint="default"/>
        </w:rPr>
        <w:t>JINWEI</w:t>
      </w:r>
      <w:r>
        <w:rPr>
          <w:rFonts w:ascii="Times New Roman" w:hAnsi="Times New Roman" w:cs="Times New Roman" w:eastAsia="Times New Roman" w:hint="default"/>
          <w:spacing w:val="-1"/>
        </w:rPr>
        <w:t> </w:t>
      </w:r>
      <w:r>
        <w:rPr/>
        <w:t>共同出资设立</w:t>
      </w:r>
      <w:r>
        <w:rPr>
          <w:spacing w:val="-47"/>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2"/>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3"/>
        </w:rPr>
        <w:t> </w:t>
      </w:r>
      <w:r>
        <w:rPr>
          <w:rFonts w:ascii="Times New Roman" w:hAnsi="Times New Roman" w:cs="Times New Roman" w:eastAsia="Times New Roman" w:hint="default"/>
        </w:rPr>
        <w:t>Information</w:t>
      </w:r>
      <w:r>
        <w:rPr>
          <w:rFonts w:ascii="Times New Roman" w:hAnsi="Times New Roman" w:cs="Times New Roman" w:eastAsia="Times New Roman" w:hint="default"/>
        </w:rPr>
        <w:t> Technology Indonesia,PT</w:t>
      </w:r>
      <w:r>
        <w:rPr/>
        <w:t>，</w:t>
      </w:r>
      <w:r>
        <w:rPr>
          <w:rFonts w:ascii="Times New Roman" w:hAnsi="Times New Roman" w:cs="Times New Roman" w:eastAsia="Times New Roman" w:hint="default"/>
        </w:rPr>
        <w:t>Digital China Advanced Systems Limited </w:t>
      </w:r>
      <w:r>
        <w:rPr/>
        <w:t>持股比例为</w:t>
      </w:r>
      <w:r>
        <w:rPr>
          <w:spacing w:val="-65"/>
        </w:rPr>
        <w:t> </w:t>
      </w:r>
      <w:r>
        <w:rPr>
          <w:rFonts w:ascii="Times New Roman" w:hAnsi="Times New Roman" w:cs="Times New Roman" w:eastAsia="Times New Roman" w:hint="default"/>
        </w:rPr>
        <w:t>90.00%</w:t>
      </w:r>
      <w:r>
        <w:rPr/>
        <w:t>。该公司经营范围为技术开发等。</w:t>
      </w:r>
    </w:p>
    <w:p>
      <w:pPr>
        <w:pStyle w:val="BodyText"/>
        <w:spacing w:line="240" w:lineRule="auto" w:before="43"/>
        <w:ind w:left="513"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日，中农信达注销子公司昆明中农信息技术有限公司。</w:t>
      </w:r>
    </w:p>
    <w:p>
      <w:pPr>
        <w:spacing w:after="0" w:line="240" w:lineRule="auto"/>
        <w:jc w:val="left"/>
        <w:sectPr>
          <w:pgSz w:w="11910" w:h="16840"/>
          <w:pgMar w:header="916" w:footer="1261" w:top="1120" w:bottom="1460" w:left="980" w:right="0"/>
        </w:sectPr>
      </w:pPr>
    </w:p>
    <w:p>
      <w:pPr>
        <w:spacing w:line="240" w:lineRule="auto" w:before="8"/>
        <w:rPr>
          <w:rFonts w:ascii="宋体" w:hAnsi="宋体" w:cs="宋体" w:eastAsia="宋体" w:hint="default"/>
          <w:sz w:val="18"/>
          <w:szCs w:val="18"/>
        </w:rPr>
      </w:pPr>
    </w:p>
    <w:p>
      <w:pPr>
        <w:pStyle w:val="Heading2"/>
        <w:spacing w:line="240" w:lineRule="auto" w:before="26"/>
        <w:ind w:right="0"/>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985"/>
        <w:gridCol w:w="1133"/>
        <w:gridCol w:w="1135"/>
        <w:gridCol w:w="1702"/>
        <w:gridCol w:w="850"/>
        <w:gridCol w:w="850"/>
        <w:gridCol w:w="1918"/>
      </w:tblGrid>
      <w:tr>
        <w:trPr>
          <w:trHeight w:val="463" w:hRule="exact"/>
        </w:trPr>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8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6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3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1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神州数码系统集成服务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6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中农信达</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测绘服务软件销售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8"/>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上海神州数码信息技术 服务有限公司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江苏神州数码国信信息 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神州数码金信科技股份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金融专用设备销售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89.56%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南京神州金信电子科技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金融专用设备销售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广州神州金信电子科技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金融专用设备销售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神州数码信息系统有限 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神州数码信息系统（扬 州）有限公司（注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扬州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281"/>
              <w:jc w:val="left"/>
              <w:rPr>
                <w:rFonts w:ascii="Times New Roman" w:hAnsi="Times New Roman" w:cs="Times New Roman" w:eastAsia="Times New Roman" w:hint="default"/>
                <w:sz w:val="18"/>
                <w:szCs w:val="18"/>
              </w:rPr>
            </w:pPr>
            <w:r>
              <w:rPr>
                <w:rFonts w:ascii="Times New Roman"/>
                <w:sz w:val="18"/>
              </w:rPr>
              <w:t>Digital China</w:t>
            </w:r>
            <w:r>
              <w:rPr>
                <w:rFonts w:ascii="Times New Roman"/>
                <w:spacing w:val="-8"/>
                <w:sz w:val="18"/>
              </w:rPr>
              <w:t> </w:t>
            </w:r>
            <w:r>
              <w:rPr>
                <w:rFonts w:ascii="Times New Roman"/>
                <w:sz w:val="18"/>
              </w:rPr>
              <w:t>Software</w:t>
            </w:r>
            <w:r>
              <w:rPr>
                <w:rFonts w:ascii="Times New Roman"/>
                <w:sz w:val="18"/>
              </w:rPr>
              <w:t> (BVI)</w:t>
            </w:r>
            <w:r>
              <w:rPr>
                <w:rFonts w:ascii="Times New Roman"/>
                <w:spacing w:val="-6"/>
                <w:sz w:val="18"/>
              </w:rPr>
              <w:t> </w:t>
            </w:r>
            <w:r>
              <w:rPr>
                <w:rFonts w:ascii="Times New Roman"/>
                <w:sz w:val="18"/>
              </w:rPr>
              <w:t>Limited</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BVI</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BVI</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深圳神州数码信息技术 服务有限公司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211"/>
              <w:jc w:val="left"/>
              <w:rPr>
                <w:rFonts w:ascii="Times New Roman" w:hAnsi="Times New Roman" w:cs="Times New Roman" w:eastAsia="Times New Roman" w:hint="default"/>
                <w:sz w:val="18"/>
                <w:szCs w:val="18"/>
              </w:rPr>
            </w:pPr>
            <w:r>
              <w:rPr>
                <w:rFonts w:ascii="Times New Roman"/>
                <w:sz w:val="18"/>
              </w:rPr>
              <w:t>Digital China</w:t>
            </w:r>
            <w:r>
              <w:rPr>
                <w:rFonts w:ascii="Times New Roman"/>
                <w:spacing w:val="-17"/>
                <w:sz w:val="18"/>
              </w:rPr>
              <w:t> </w:t>
            </w:r>
            <w:r>
              <w:rPr>
                <w:rFonts w:ascii="Times New Roman"/>
                <w:sz w:val="18"/>
              </w:rPr>
              <w:t>Advanced</w:t>
            </w:r>
            <w:r>
              <w:rPr>
                <w:rFonts w:ascii="Times New Roman"/>
                <w:sz w:val="18"/>
              </w:rPr>
              <w:t> Systems</w:t>
            </w:r>
            <w:r>
              <w:rPr>
                <w:rFonts w:ascii="Times New Roman"/>
                <w:spacing w:val="-9"/>
                <w:sz w:val="18"/>
              </w:rPr>
              <w:t> </w:t>
            </w:r>
            <w:r>
              <w:rPr>
                <w:rFonts w:ascii="Times New Roman"/>
                <w:sz w:val="18"/>
              </w:rPr>
              <w:t>Limited</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6"/>
              <w:jc w:val="left"/>
              <w:rPr>
                <w:rFonts w:ascii="Times New Roman" w:hAnsi="Times New Roman" w:cs="Times New Roman" w:eastAsia="Times New Roman" w:hint="default"/>
                <w:sz w:val="18"/>
                <w:szCs w:val="18"/>
              </w:rPr>
            </w:pPr>
            <w:r>
              <w:rPr>
                <w:rFonts w:ascii="Times New Roman"/>
                <w:sz w:val="18"/>
              </w:rPr>
              <w:t>Digital China</w:t>
            </w:r>
            <w:r>
              <w:rPr>
                <w:rFonts w:ascii="Times New Roman"/>
                <w:spacing w:val="-3"/>
                <w:sz w:val="18"/>
              </w:rPr>
              <w:t> </w:t>
            </w:r>
            <w:r>
              <w:rPr>
                <w:rFonts w:ascii="Times New Roman"/>
                <w:sz w:val="18"/>
              </w:rPr>
              <w:t>Financial</w:t>
            </w:r>
            <w:r>
              <w:rPr>
                <w:rFonts w:ascii="Times New Roman"/>
                <w:sz w:val="18"/>
              </w:rPr>
              <w:t> Service Holding  </w:t>
            </w:r>
            <w:r>
              <w:rPr>
                <w:rFonts w:ascii="Times New Roman"/>
                <w:spacing w:val="36"/>
                <w:sz w:val="18"/>
              </w:rPr>
              <w:t> </w:t>
            </w:r>
            <w:r>
              <w:rPr>
                <w:rFonts w:ascii="Times New Roman"/>
                <w:sz w:val="18"/>
              </w:rPr>
              <w:t>Limited</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投资控股、技术服务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神州数码融信软件有限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北京旗硕基业科技股份 有限公司（注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技术服务、设备销售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40.81%</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8"/>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46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华苏科技</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网络优化服务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99.90%</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8"/>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after="0" w:line="240" w:lineRule="auto"/>
        <w:jc w:val="center"/>
        <w:rPr>
          <w:rFonts w:ascii="宋体" w:hAnsi="宋体" w:cs="宋体" w:eastAsia="宋体" w:hint="default"/>
          <w:sz w:val="18"/>
          <w:szCs w:val="18"/>
        </w:rPr>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82" w:type="dxa"/>
        <w:tblLayout w:type="fixed"/>
        <w:tblCellMar>
          <w:top w:w="0" w:type="dxa"/>
          <w:left w:w="0" w:type="dxa"/>
          <w:bottom w:w="0" w:type="dxa"/>
          <w:right w:w="0" w:type="dxa"/>
        </w:tblCellMar>
        <w:tblLook w:val="01E0"/>
      </w:tblPr>
      <w:tblGrid>
        <w:gridCol w:w="1985"/>
        <w:gridCol w:w="1133"/>
        <w:gridCol w:w="1135"/>
        <w:gridCol w:w="1702"/>
        <w:gridCol w:w="850"/>
        <w:gridCol w:w="850"/>
        <w:gridCol w:w="1918"/>
      </w:tblGrid>
      <w:tr>
        <w:trPr>
          <w:trHeight w:val="46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南京华苏软件有限公司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99.90%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西安远景信息技术有限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44.44%</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中能国电（北京）新能 源投资有限公司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神州土地（北京）信息 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枣强县农村产权交易服 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衡水</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衡水</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北京神州数码锐行快捷 信息技术服务有限公司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信息技术服务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湖南中农信达信息科技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测绘服务、软件销售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贵州中农信达信息技术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测绘服务、软件销售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杨凌农业云服务有限公 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软硬件开发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66.67%</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北京神州数码信息技术 服务有限公司（注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信息系统</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神州灵云（北京）科技 有限公司（注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神州国信（北京）量子 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69.10%</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神州远景</w:t>
            </w:r>
            <w:r>
              <w:rPr>
                <w:rFonts w:ascii="Times New Roman" w:hAnsi="Times New Roman" w:cs="Times New Roman" w:eastAsia="Times New Roman" w:hint="default"/>
                <w:sz w:val="18"/>
                <w:szCs w:val="18"/>
              </w:rPr>
              <w:t>(</w:t>
            </w:r>
            <w:r>
              <w:rPr>
                <w:rFonts w:ascii="宋体" w:hAnsi="宋体" w:cs="宋体" w:eastAsia="宋体" w:hint="default"/>
                <w:sz w:val="18"/>
                <w:szCs w:val="18"/>
              </w:rPr>
              <w:t>西安</w:t>
            </w:r>
            <w:r>
              <w:rPr>
                <w:rFonts w:ascii="Times New Roman" w:hAnsi="Times New Roman" w:cs="Times New Roman" w:eastAsia="Times New Roman" w:hint="default"/>
                <w:sz w:val="18"/>
                <w:szCs w:val="18"/>
              </w:rPr>
              <w:t>)</w:t>
            </w:r>
            <w:r>
              <w:rPr>
                <w:rFonts w:ascii="宋体" w:hAnsi="宋体" w:cs="宋体" w:eastAsia="宋体" w:hint="default"/>
                <w:sz w:val="18"/>
                <w:szCs w:val="18"/>
              </w:rPr>
              <w:t>科技发展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软件设计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44.44%</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6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神州邦邦（注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z w:val="18"/>
              </w:rPr>
              <w:t>40.00%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香河旗硕智能科技有限 公司（注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40.81%</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6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南京瑞擎科技有限公司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z w:val="18"/>
              </w:rPr>
              <w:t>99.90%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49"/>
              <w:jc w:val="both"/>
              <w:rPr>
                <w:rFonts w:ascii="宋体" w:hAnsi="宋体" w:cs="宋体" w:eastAsia="宋体" w:hint="default"/>
                <w:sz w:val="18"/>
                <w:szCs w:val="18"/>
              </w:rPr>
            </w:pPr>
            <w:r>
              <w:rPr>
                <w:rFonts w:ascii="宋体" w:hAnsi="宋体" w:cs="宋体" w:eastAsia="宋体" w:hint="default"/>
                <w:sz w:val="18"/>
                <w:szCs w:val="18"/>
              </w:rPr>
              <w:t>神州龙安（金华）信息 技术服务有限公司（注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金华</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金华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智慧神州天融（北京） 监测技术有限公司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技术咨询、技术服务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65.00%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北京神州通慧科技有限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技术咨询、技术服务</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新疆神州三宝信息技术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计算机系统集成</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16" w:footer="1261" w:top="1120" w:bottom="154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82" w:type="dxa"/>
        <w:tblLayout w:type="fixed"/>
        <w:tblCellMar>
          <w:top w:w="0" w:type="dxa"/>
          <w:left w:w="0" w:type="dxa"/>
          <w:bottom w:w="0" w:type="dxa"/>
          <w:right w:w="0" w:type="dxa"/>
        </w:tblCellMar>
        <w:tblLook w:val="01E0"/>
      </w:tblPr>
      <w:tblGrid>
        <w:gridCol w:w="1985"/>
        <w:gridCol w:w="1133"/>
        <w:gridCol w:w="1135"/>
        <w:gridCol w:w="1702"/>
        <w:gridCol w:w="850"/>
        <w:gridCol w:w="850"/>
        <w:gridCol w:w="1918"/>
      </w:tblGrid>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0"/>
              <w:jc w:val="left"/>
              <w:rPr>
                <w:rFonts w:ascii="Times New Roman" w:hAnsi="Times New Roman" w:cs="Times New Roman" w:eastAsia="Times New Roman" w:hint="default"/>
                <w:sz w:val="18"/>
                <w:szCs w:val="18"/>
              </w:rPr>
            </w:pPr>
            <w:r>
              <w:rPr>
                <w:rFonts w:ascii="Times New Roman"/>
                <w:sz w:val="18"/>
              </w:rPr>
              <w:t>Digital China</w:t>
            </w:r>
            <w:r>
              <w:rPr>
                <w:rFonts w:ascii="Times New Roman"/>
                <w:spacing w:val="-7"/>
                <w:sz w:val="18"/>
              </w:rPr>
              <w:t> </w:t>
            </w:r>
            <w:r>
              <w:rPr>
                <w:rFonts w:ascii="Times New Roman"/>
                <w:sz w:val="18"/>
              </w:rPr>
              <w:t>Information</w:t>
            </w:r>
            <w:r>
              <w:rPr>
                <w:rFonts w:ascii="Times New Roman"/>
                <w:sz w:val="18"/>
              </w:rPr>
              <w:t> Technology</w:t>
            </w:r>
            <w:r>
              <w:rPr>
                <w:rFonts w:ascii="Times New Roman"/>
                <w:spacing w:val="-17"/>
                <w:sz w:val="18"/>
              </w:rPr>
              <w:t> </w:t>
            </w:r>
            <w:r>
              <w:rPr>
                <w:rFonts w:ascii="Times New Roman"/>
                <w:sz w:val="18"/>
              </w:rPr>
              <w:t>Indonesia,PT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印度尼西亚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印度尼西亚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北京华旗电子科技有限 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6"/>
              <w:jc w:val="left"/>
              <w:rPr>
                <w:rFonts w:ascii="宋体" w:hAnsi="宋体" w:cs="宋体" w:eastAsia="宋体" w:hint="default"/>
                <w:sz w:val="18"/>
                <w:szCs w:val="18"/>
              </w:rPr>
            </w:pPr>
            <w:r>
              <w:rPr>
                <w:rFonts w:ascii="宋体" w:hAnsi="宋体" w:cs="宋体" w:eastAsia="宋体" w:hint="default"/>
                <w:sz w:val="18"/>
                <w:szCs w:val="18"/>
              </w:rPr>
              <w:t>技术开发、计算机软 件销售</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北京中智创展管理咨询 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管理咨询</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9"/>
              <w:jc w:val="left"/>
              <w:rPr>
                <w:rFonts w:ascii="宋体" w:hAnsi="宋体" w:cs="宋体" w:eastAsia="宋体" w:hint="default"/>
                <w:sz w:val="18"/>
                <w:szCs w:val="18"/>
              </w:rPr>
            </w:pPr>
            <w:r>
              <w:rPr>
                <w:rFonts w:ascii="宋体" w:hAnsi="宋体" w:cs="宋体" w:eastAsia="宋体" w:hint="default"/>
                <w:sz w:val="18"/>
                <w:szCs w:val="18"/>
              </w:rPr>
              <w:t>杨凌安全农产品溯源标 识管理有限公司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66.67%</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pStyle w:val="BodyText"/>
        <w:spacing w:line="460" w:lineRule="auto" w:before="87"/>
        <w:ind w:right="1157" w:firstLine="360"/>
        <w:jc w:val="left"/>
      </w:pPr>
      <w:r>
        <w:rPr/>
        <w:t>注</w:t>
      </w:r>
      <w:r>
        <w:rPr>
          <w:spacing w:val="-46"/>
        </w:rPr>
        <w:t> </w:t>
      </w:r>
      <w:r>
        <w:rPr>
          <w:rFonts w:ascii="Times New Roman" w:hAnsi="Times New Roman" w:cs="Times New Roman" w:eastAsia="Times New Roman" w:hint="default"/>
        </w:rPr>
        <w:t>1</w:t>
      </w:r>
      <w:r>
        <w:rPr/>
        <w:t>：本公司之全资子公司中农信达对北京旗硕基业科技股份有限公司（以下简称</w:t>
      </w:r>
      <w:r>
        <w:rPr>
          <w:rFonts w:ascii="Times New Roman" w:hAnsi="Times New Roman" w:cs="Times New Roman" w:eastAsia="Times New Roman" w:hint="default"/>
        </w:rPr>
        <w:t>“</w:t>
      </w:r>
      <w:r>
        <w:rPr/>
        <w:t>旗硕科技</w:t>
      </w:r>
      <w:r>
        <w:rPr>
          <w:rFonts w:ascii="Times New Roman" w:hAnsi="Times New Roman" w:cs="Times New Roman" w:eastAsia="Times New Roman" w:hint="default"/>
        </w:rPr>
        <w:t>”</w:t>
      </w:r>
      <w:r>
        <w:rPr/>
        <w:t>）持股比例</w:t>
      </w:r>
      <w:r>
        <w:rPr>
          <w:spacing w:val="-46"/>
        </w:rPr>
        <w:t> </w:t>
      </w:r>
      <w:r>
        <w:rPr>
          <w:rFonts w:ascii="Times New Roman" w:hAnsi="Times New Roman" w:cs="Times New Roman" w:eastAsia="Times New Roman" w:hint="default"/>
        </w:rPr>
        <w:t>40.81%</w:t>
      </w:r>
      <w:r>
        <w:rPr/>
        <w:t>，张 丹丹、冯健刚、王宇飞分别持有旗硕科技</w:t>
      </w:r>
      <w:r>
        <w:rPr>
          <w:spacing w:val="-47"/>
        </w:rPr>
        <w:t> </w:t>
      </w:r>
      <w:r>
        <w:rPr>
          <w:rFonts w:ascii="Times New Roman" w:hAnsi="Times New Roman" w:cs="Times New Roman" w:eastAsia="Times New Roman" w:hint="default"/>
        </w:rPr>
        <w:t>3.4008%</w:t>
      </w:r>
      <w:r>
        <w:rPr/>
        <w:t>、</w:t>
      </w:r>
      <w:r>
        <w:rPr>
          <w:rFonts w:ascii="Times New Roman" w:hAnsi="Times New Roman" w:cs="Times New Roman" w:eastAsia="Times New Roman" w:hint="default"/>
        </w:rPr>
        <w:t>3.4008%</w:t>
      </w:r>
      <w:r>
        <w:rPr/>
        <w:t>、</w:t>
      </w:r>
      <w:r>
        <w:rPr>
          <w:rFonts w:ascii="Times New Roman" w:hAnsi="Times New Roman" w:cs="Times New Roman" w:eastAsia="Times New Roman" w:hint="default"/>
        </w:rPr>
        <w:t>3.4008%</w:t>
      </w:r>
      <w:r>
        <w:rPr/>
        <w:t>的股权，合计持有旗硕科技股权</w:t>
      </w:r>
      <w:r>
        <w:rPr>
          <w:spacing w:val="-47"/>
        </w:rPr>
        <w:t> </w:t>
      </w:r>
      <w:r>
        <w:rPr>
          <w:rFonts w:ascii="Times New Roman" w:hAnsi="Times New Roman" w:cs="Times New Roman" w:eastAsia="Times New Roman" w:hint="default"/>
        </w:rPr>
        <w:t>51.0124%</w:t>
      </w:r>
      <w:r>
        <w:rPr/>
        <w:t>。根据张 丹丹、冯健刚、王宇飞与中农信达签署的《一致行动人协议》，中农信达能够控制旗硕科技，故本公司将其纳入合并范 围。香河旗硕智能科技有限公司为旗硕科技的子公司。</w:t>
      </w:r>
    </w:p>
    <w:p>
      <w:pPr>
        <w:pStyle w:val="BodyText"/>
        <w:spacing w:line="472" w:lineRule="auto" w:before="67"/>
        <w:ind w:right="1212" w:firstLine="360"/>
        <w:jc w:val="right"/>
      </w:pPr>
      <w:r>
        <w:rPr/>
        <w:t>注</w:t>
      </w:r>
      <w:r>
        <w:rPr>
          <w:spacing w:val="-46"/>
        </w:rPr>
        <w:t> </w:t>
      </w:r>
      <w:r>
        <w:rPr>
          <w:rFonts w:ascii="Times New Roman" w:hAnsi="Times New Roman" w:cs="Times New Roman" w:eastAsia="Times New Roman" w:hint="default"/>
        </w:rPr>
        <w:t>2</w:t>
      </w:r>
      <w:r>
        <w:rPr/>
        <w:t>：本公司之全资子公司神州数码系统集成服务有限公司对北京神州数码信息技术服务有限公司持股比例</w:t>
      </w:r>
      <w:r>
        <w:rPr>
          <w:spacing w:val="-44"/>
        </w:rPr>
        <w:t> </w:t>
      </w:r>
      <w:r>
        <w:rPr>
          <w:rFonts w:ascii="Times New Roman" w:hAnsi="Times New Roman" w:cs="Times New Roman" w:eastAsia="Times New Roman" w:hint="default"/>
        </w:rPr>
        <w:t>46.00%</w:t>
      </w:r>
      <w:r>
        <w:rPr/>
        <w:t>， 但由于神州数码系统集成服务有限公司为北京神州数码信息技术服务有限公司的第一大股东，且北京神州数码信息技术服 务有限公司董事会成员中半数以上系本公司委派，董事会决议由半数以上董事表决通过即可，神州数码系统集成服务有限 </w:t>
      </w:r>
      <w:r>
        <w:rPr>
          <w:w w:val="95"/>
        </w:rPr>
        <w:t>公司能够控制北京神州数码信息技术服务有限公司，故本公司将其纳入合并范围。神州数码信息系统有限公司、神州数码</w:t>
      </w:r>
      <w:r>
        <w:rPr>
          <w:spacing w:val="22"/>
          <w:w w:val="95"/>
        </w:rPr>
        <w:t> </w:t>
      </w:r>
      <w:r>
        <w:rPr>
          <w:spacing w:val="22"/>
          <w:w w:val="95"/>
        </w:rPr>
      </w:r>
      <w:r>
        <w:rPr/>
        <w:t>信息系统（扬州）有限公司、神州龙安（金华）信息技术服务有限公司为北京神州数码信息技术服务有限公司的子公司。 注</w:t>
      </w:r>
      <w:r>
        <w:rPr>
          <w:spacing w:val="-47"/>
        </w:rPr>
        <w:t> </w:t>
      </w:r>
      <w:r>
        <w:rPr>
          <w:rFonts w:ascii="Times New Roman" w:hAnsi="Times New Roman" w:cs="Times New Roman" w:eastAsia="Times New Roman" w:hint="default"/>
        </w:rPr>
        <w:t>3</w:t>
      </w:r>
      <w:r>
        <w:rPr/>
        <w:t>：本公司对神州灵云持股比例</w:t>
      </w:r>
      <w:r>
        <w:rPr>
          <w:spacing w:val="-46"/>
        </w:rPr>
        <w:t> </w:t>
      </w:r>
      <w:r>
        <w:rPr>
          <w:rFonts w:ascii="Times New Roman" w:hAnsi="Times New Roman" w:cs="Times New Roman" w:eastAsia="Times New Roman" w:hint="default"/>
        </w:rPr>
        <w:t>48.00%</w:t>
      </w:r>
      <w:r>
        <w:rPr/>
        <w:t>，但由于本公司为神州灵云的第一大股东，且神州灵云董事会成员中半数以</w:t>
      </w:r>
    </w:p>
    <w:p>
      <w:pPr>
        <w:pStyle w:val="BodyText"/>
        <w:spacing w:line="240" w:lineRule="auto" w:before="25"/>
        <w:ind w:right="0"/>
        <w:jc w:val="left"/>
      </w:pPr>
      <w:r>
        <w:rPr/>
        <w:t>上系本公司委派，董事会决议由半数以上董事表决通过即可，本公司能够控制神州灵云，故本公司将其纳入合并范围。</w:t>
      </w:r>
    </w:p>
    <w:p>
      <w:pPr>
        <w:spacing w:line="240" w:lineRule="auto" w:before="10"/>
        <w:rPr>
          <w:rFonts w:ascii="宋体" w:hAnsi="宋体" w:cs="宋体" w:eastAsia="宋体" w:hint="default"/>
          <w:sz w:val="17"/>
          <w:szCs w:val="17"/>
        </w:rPr>
      </w:pPr>
    </w:p>
    <w:p>
      <w:pPr>
        <w:pStyle w:val="BodyText"/>
        <w:spacing w:line="451" w:lineRule="auto"/>
        <w:ind w:right="1206" w:firstLine="360"/>
        <w:jc w:val="left"/>
      </w:pPr>
      <w:r>
        <w:rPr/>
        <w:t>注</w:t>
      </w:r>
      <w:r>
        <w:rPr>
          <w:spacing w:val="-47"/>
        </w:rPr>
        <w:t> </w:t>
      </w:r>
      <w:r>
        <w:rPr>
          <w:rFonts w:ascii="Times New Roman" w:hAnsi="Times New Roman" w:cs="Times New Roman" w:eastAsia="Times New Roman" w:hint="default"/>
        </w:rPr>
        <w:t>4</w:t>
      </w:r>
      <w:r>
        <w:rPr/>
        <w:t>：本公司对神州邦邦持股比例为</w:t>
      </w:r>
      <w:r>
        <w:rPr>
          <w:spacing w:val="-46"/>
        </w:rPr>
        <w:t> </w:t>
      </w:r>
      <w:r>
        <w:rPr>
          <w:rFonts w:ascii="Times New Roman" w:hAnsi="Times New Roman" w:cs="Times New Roman" w:eastAsia="Times New Roman" w:hint="default"/>
        </w:rPr>
        <w:t>40.00%</w:t>
      </w:r>
      <w:r>
        <w:rPr/>
        <w:t>，但由于神州邦邦的</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席董事会成员中本公司派驻了其中的</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席，董事会 决议由半数以上董事表决通过即可，本公司能够控制神州邦邦，故本公司将其纳入合并范围。</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85"/>
        <w:gridCol w:w="1702"/>
        <w:gridCol w:w="1983"/>
        <w:gridCol w:w="1988"/>
        <w:gridCol w:w="1913"/>
      </w:tblGrid>
      <w:tr>
        <w:trPr>
          <w:trHeight w:val="929"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7"/>
              <w:ind w:left="806" w:right="84"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7"/>
              <w:ind w:left="628" w:right="87"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9"/>
              <w:jc w:val="left"/>
              <w:rPr>
                <w:rFonts w:ascii="宋体" w:hAnsi="宋体" w:cs="宋体" w:eastAsia="宋体" w:hint="default"/>
                <w:sz w:val="18"/>
                <w:szCs w:val="18"/>
              </w:rPr>
            </w:pPr>
            <w:r>
              <w:rPr>
                <w:rFonts w:ascii="宋体" w:hAnsi="宋体" w:cs="宋体" w:eastAsia="宋体" w:hint="default"/>
                <w:sz w:val="18"/>
                <w:szCs w:val="18"/>
              </w:rPr>
              <w:t>北京神州数码信息技术 服务有限公司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4" w:right="0"/>
              <w:jc w:val="left"/>
              <w:rPr>
                <w:rFonts w:ascii="Times New Roman" w:hAnsi="Times New Roman" w:cs="Times New Roman" w:eastAsia="Times New Roman" w:hint="default"/>
                <w:sz w:val="18"/>
                <w:szCs w:val="18"/>
              </w:rPr>
            </w:pPr>
            <w:r>
              <w:rPr>
                <w:rFonts w:ascii="Times New Roman"/>
                <w:sz w:val="18"/>
              </w:rPr>
              <w:t>54.00%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5" w:right="0"/>
              <w:jc w:val="left"/>
              <w:rPr>
                <w:rFonts w:ascii="Times New Roman" w:hAnsi="Times New Roman" w:cs="Times New Roman" w:eastAsia="Times New Roman" w:hint="default"/>
                <w:sz w:val="18"/>
                <w:szCs w:val="18"/>
              </w:rPr>
            </w:pPr>
            <w:r>
              <w:rPr>
                <w:rFonts w:ascii="Times New Roman"/>
                <w:sz w:val="18"/>
              </w:rPr>
              <w:t>1,891,180.76</w:t>
            </w:r>
          </w:p>
        </w:tc>
        <w:tc>
          <w:tcPr>
            <w:tcW w:w="198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39,594,005.08</w:t>
            </w:r>
          </w:p>
        </w:tc>
      </w:tr>
    </w:tbl>
    <w:p>
      <w:pPr>
        <w:pStyle w:val="BodyText"/>
        <w:spacing w:line="463" w:lineRule="auto" w:before="87"/>
        <w:ind w:right="1129" w:firstLine="360"/>
        <w:jc w:val="left"/>
      </w:pPr>
      <w:r>
        <w:rPr/>
        <w:t>注：本公司之子公司神州数码系统集成服务有限公司、珠海市时代新科实业有限公司及珠海市捷通无限科技有限公司 分别持有北京神州数码信息技术服务有限公司</w:t>
      </w:r>
      <w:r>
        <w:rPr>
          <w:spacing w:val="-45"/>
        </w:rPr>
        <w:t> </w:t>
      </w:r>
      <w:r>
        <w:rPr>
          <w:rFonts w:ascii="Times New Roman" w:hAnsi="Times New Roman" w:cs="Times New Roman" w:eastAsia="Times New Roman" w:hint="default"/>
        </w:rPr>
        <w:t>46%</w:t>
      </w:r>
      <w:r>
        <w:rPr/>
        <w:t>、</w:t>
      </w:r>
      <w:r>
        <w:rPr>
          <w:rFonts w:ascii="Times New Roman" w:hAnsi="Times New Roman" w:cs="Times New Roman" w:eastAsia="Times New Roman" w:hint="default"/>
        </w:rPr>
        <w:t>10%</w:t>
      </w:r>
      <w:r>
        <w:rPr/>
        <w:t>及</w:t>
      </w:r>
      <w:r>
        <w:rPr>
          <w:spacing w:val="-46"/>
        </w:rPr>
        <w:t> </w:t>
      </w:r>
      <w:r>
        <w:rPr>
          <w:rFonts w:ascii="Times New Roman" w:hAnsi="Times New Roman" w:cs="Times New Roman" w:eastAsia="Times New Roman" w:hint="default"/>
        </w:rPr>
        <w:t>44%</w:t>
      </w:r>
      <w:r>
        <w:rPr/>
        <w:t>股权，根据北京神州数码信息技术服务有限公司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spacing w:val="-3"/>
        </w:rPr>
        <w:t>年第 </w:t>
      </w:r>
      <w:r>
        <w:rPr/>
        <w:t>四次股东会决议，确定股东红利按协议约定比例执行，其他权利仍按出资比例执行。</w:t>
      </w:r>
    </w:p>
    <w:p>
      <w:pPr>
        <w:spacing w:after="0" w:line="463" w:lineRule="auto"/>
        <w:jc w:val="left"/>
        <w:sectPr>
          <w:pgSz w:w="11910" w:h="16840"/>
          <w:pgMar w:header="916" w:footer="1261" w:top="112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60"/>
        <w:gridCol w:w="1417"/>
        <w:gridCol w:w="1277"/>
        <w:gridCol w:w="1277"/>
        <w:gridCol w:w="1275"/>
        <w:gridCol w:w="1418"/>
        <w:gridCol w:w="1416"/>
      </w:tblGrid>
      <w:tr>
        <w:trPr>
          <w:trHeight w:val="466"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08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6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4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5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43"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北京神州数码信息 技术服务有限公司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494,274,507.97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39,311,143.23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533,585,651.20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428,102,387.99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10,014,183.06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438,116,571.05</w:t>
            </w:r>
          </w:p>
        </w:tc>
      </w:tr>
    </w:tbl>
    <w:p>
      <w:pPr>
        <w:pStyle w:val="BodyText"/>
        <w:spacing w:line="240" w:lineRule="auto" w:before="49"/>
        <w:ind w:right="0"/>
        <w:jc w:val="left"/>
      </w:pPr>
      <w:r>
        <w:rPr/>
        <w:t>（续上表）</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60"/>
        <w:gridCol w:w="1417"/>
        <w:gridCol w:w="1277"/>
        <w:gridCol w:w="1277"/>
        <w:gridCol w:w="1275"/>
        <w:gridCol w:w="1418"/>
        <w:gridCol w:w="1416"/>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08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北京神州数码信息 技术服务有限公司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896,630,013.30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63,589,477.74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960,219,491.04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861,606,928.78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16,478,576.95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878,085,505.73</w:t>
            </w:r>
          </w:p>
        </w:tc>
      </w:tr>
    </w:tbl>
    <w:p>
      <w:pPr>
        <w:pStyle w:val="BodyText"/>
        <w:spacing w:line="240" w:lineRule="auto" w:before="49"/>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60"/>
        <w:gridCol w:w="1841"/>
        <w:gridCol w:w="1844"/>
        <w:gridCol w:w="2127"/>
        <w:gridCol w:w="2268"/>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0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北京神州数码信息 技术服务有限公司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4" w:right="0"/>
              <w:jc w:val="left"/>
              <w:rPr>
                <w:rFonts w:ascii="Times New Roman" w:hAnsi="Times New Roman" w:cs="Times New Roman" w:eastAsia="Times New Roman" w:hint="default"/>
                <w:sz w:val="18"/>
                <w:szCs w:val="18"/>
              </w:rPr>
            </w:pPr>
            <w:r>
              <w:rPr>
                <w:rFonts w:ascii="Times New Roman"/>
                <w:sz w:val="18"/>
              </w:rPr>
              <w:t>535,535,381.48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13,133,199.74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0" w:right="0"/>
              <w:jc w:val="left"/>
              <w:rPr>
                <w:rFonts w:ascii="Times New Roman" w:hAnsi="Times New Roman" w:cs="Times New Roman" w:eastAsia="Times New Roman" w:hint="default"/>
                <w:sz w:val="18"/>
                <w:szCs w:val="18"/>
              </w:rPr>
            </w:pPr>
            <w:r>
              <w:rPr>
                <w:rFonts w:ascii="Times New Roman"/>
                <w:sz w:val="18"/>
              </w:rPr>
              <w:t>13,133,199.74</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8" w:right="0"/>
              <w:jc w:val="left"/>
              <w:rPr>
                <w:rFonts w:ascii="Times New Roman" w:hAnsi="Times New Roman" w:cs="Times New Roman" w:eastAsia="Times New Roman" w:hint="default"/>
                <w:sz w:val="18"/>
                <w:szCs w:val="18"/>
              </w:rPr>
            </w:pPr>
            <w:r>
              <w:rPr>
                <w:rFonts w:ascii="Times New Roman"/>
                <w:sz w:val="18"/>
              </w:rPr>
              <w:t>112,981,980.86</w:t>
            </w:r>
          </w:p>
        </w:tc>
      </w:tr>
    </w:tbl>
    <w:p>
      <w:pPr>
        <w:pStyle w:val="BodyText"/>
        <w:spacing w:line="240" w:lineRule="auto" w:before="49"/>
        <w:ind w:right="0"/>
        <w:jc w:val="left"/>
      </w:pPr>
      <w:r>
        <w:rPr/>
        <w:t>（续上表）</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560"/>
        <w:gridCol w:w="1841"/>
        <w:gridCol w:w="1844"/>
        <w:gridCol w:w="2127"/>
        <w:gridCol w:w="2268"/>
      </w:tblGrid>
      <w:tr>
        <w:trPr>
          <w:trHeight w:val="402"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80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8"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北京神州数码信息 技术服务有限公司</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4" w:right="0"/>
              <w:jc w:val="left"/>
              <w:rPr>
                <w:rFonts w:ascii="Times New Roman" w:hAnsi="Times New Roman" w:cs="Times New Roman" w:eastAsia="Times New Roman" w:hint="default"/>
                <w:sz w:val="18"/>
                <w:szCs w:val="18"/>
              </w:rPr>
            </w:pPr>
            <w:r>
              <w:rPr>
                <w:rFonts w:ascii="Times New Roman"/>
                <w:sz w:val="18"/>
              </w:rPr>
              <w:t>842,890,382.54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7" w:right="0"/>
              <w:jc w:val="left"/>
              <w:rPr>
                <w:rFonts w:ascii="Times New Roman" w:hAnsi="Times New Roman" w:cs="Times New Roman" w:eastAsia="Times New Roman" w:hint="default"/>
                <w:sz w:val="18"/>
                <w:szCs w:val="18"/>
              </w:rPr>
            </w:pPr>
            <w:r>
              <w:rPr>
                <w:rFonts w:ascii="Times New Roman"/>
                <w:sz w:val="18"/>
              </w:rPr>
              <w:t>19,812,002.30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0" w:right="0"/>
              <w:jc w:val="left"/>
              <w:rPr>
                <w:rFonts w:ascii="Times New Roman" w:hAnsi="Times New Roman" w:cs="Times New Roman" w:eastAsia="Times New Roman" w:hint="default"/>
                <w:sz w:val="18"/>
                <w:szCs w:val="18"/>
              </w:rPr>
            </w:pPr>
            <w:r>
              <w:rPr>
                <w:rFonts w:ascii="Times New Roman"/>
                <w:sz w:val="18"/>
              </w:rPr>
              <w:t>19,812,002.30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1" w:right="0"/>
              <w:jc w:val="left"/>
              <w:rPr>
                <w:rFonts w:ascii="Times New Roman" w:hAnsi="Times New Roman" w:cs="Times New Roman" w:eastAsia="Times New Roman" w:hint="default"/>
                <w:sz w:val="18"/>
                <w:szCs w:val="18"/>
              </w:rPr>
            </w:pPr>
            <w:r>
              <w:rPr>
                <w:rFonts w:ascii="Times New Roman"/>
                <w:sz w:val="18"/>
              </w:rPr>
              <w:t>217,059,292.95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1370"/>
        <w:gridCol w:w="1369"/>
        <w:gridCol w:w="1366"/>
        <w:gridCol w:w="1368"/>
        <w:gridCol w:w="1366"/>
        <w:gridCol w:w="1368"/>
        <w:gridCol w:w="1366"/>
      </w:tblGrid>
      <w:tr>
        <w:trPr>
          <w:trHeight w:val="46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1"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2"/>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565"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6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鼎捷软件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软件研发、销售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79" w:right="0"/>
              <w:jc w:val="left"/>
              <w:rPr>
                <w:rFonts w:ascii="Times New Roman" w:hAnsi="Times New Roman" w:cs="Times New Roman" w:eastAsia="Times New Roman" w:hint="default"/>
                <w:sz w:val="18"/>
                <w:szCs w:val="18"/>
              </w:rPr>
            </w:pPr>
            <w:r>
              <w:rPr>
                <w:rFonts w:ascii="Times New Roman"/>
                <w:sz w:val="18"/>
              </w:rPr>
              <w:t>15.44%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25"/>
        <w:gridCol w:w="3058"/>
        <w:gridCol w:w="3188"/>
      </w:tblGrid>
      <w:tr>
        <w:trPr>
          <w:trHeight w:val="466"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6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9"/>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3325"/>
        <w:gridCol w:w="3058"/>
        <w:gridCol w:w="3188"/>
      </w:tblGrid>
      <w:tr>
        <w:trPr>
          <w:trHeight w:val="44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464" w:right="0"/>
              <w:jc w:val="left"/>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529" w:right="0"/>
              <w:jc w:val="left"/>
              <w:rPr>
                <w:rFonts w:ascii="Times New Roman" w:hAnsi="Times New Roman" w:cs="Times New Roman" w:eastAsia="Times New Roman" w:hint="default"/>
                <w:sz w:val="18"/>
                <w:szCs w:val="18"/>
              </w:rPr>
            </w:pPr>
            <w:r>
              <w:rPr>
                <w:rFonts w:ascii="Times New Roman"/>
                <w:sz w:val="18"/>
              </w:rPr>
              <w:t>--</w:t>
            </w:r>
          </w:p>
        </w:tc>
      </w:tr>
      <w:tr>
        <w:trPr>
          <w:trHeight w:val="466"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-2,257,788.46</w:t>
            </w:r>
          </w:p>
        </w:tc>
      </w:tr>
      <w:tr>
        <w:trPr>
          <w:trHeight w:val="46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8" w:type="dxa"/>
            <w:tcBorders>
              <w:top w:val="single" w:sz="4" w:space="0" w:color="000000"/>
              <w:left w:val="single" w:sz="4" w:space="0" w:color="000000"/>
              <w:bottom w:val="single" w:sz="16" w:space="0" w:color="D2D2D2"/>
              <w:right w:val="single" w:sz="4" w:space="0" w:color="000000"/>
            </w:tcBorders>
          </w:tcPr>
          <w:p>
            <w:pPr/>
          </w:p>
        </w:tc>
        <w:tc>
          <w:tcPr>
            <w:tcW w:w="3188"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-2,257,788.46</w:t>
            </w:r>
          </w:p>
        </w:tc>
      </w:tr>
      <w:tr>
        <w:trPr>
          <w:trHeight w:val="44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1464" w:right="0"/>
              <w:jc w:val="left"/>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1529" w:right="0"/>
              <w:jc w:val="left"/>
              <w:rPr>
                <w:rFonts w:ascii="Times New Roman" w:hAnsi="Times New Roman" w:cs="Times New Roman" w:eastAsia="Times New Roman" w:hint="default"/>
                <w:sz w:val="18"/>
                <w:szCs w:val="18"/>
              </w:rPr>
            </w:pPr>
            <w:r>
              <w:rPr>
                <w:rFonts w:ascii="Times New Roman"/>
                <w:sz w:val="18"/>
              </w:rPr>
              <w:t>--</w:t>
            </w:r>
          </w:p>
        </w:tc>
      </w:tr>
      <w:tr>
        <w:trPr>
          <w:trHeight w:val="48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8" w:type="dxa"/>
            <w:tcBorders>
              <w:top w:val="single" w:sz="12" w:space="0" w:color="D2D2D2"/>
              <w:left w:val="single" w:sz="4" w:space="0" w:color="000000"/>
              <w:bottom w:val="single" w:sz="16" w:space="0" w:color="D2D2D2"/>
              <w:right w:val="single" w:sz="4" w:space="0" w:color="000000"/>
            </w:tcBorders>
          </w:tcPr>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pacing w:val="-1"/>
                <w:sz w:val="18"/>
              </w:rPr>
              <w:t>133,403,906.91</w:t>
            </w:r>
          </w:p>
        </w:tc>
        <w:tc>
          <w:tcPr>
            <w:tcW w:w="3188" w:type="dxa"/>
            <w:tcBorders>
              <w:top w:val="single" w:sz="12" w:space="0" w:color="D2D2D2"/>
              <w:left w:val="single" w:sz="4" w:space="0" w:color="000000"/>
              <w:bottom w:val="single" w:sz="16" w:space="0" w:color="D2D2D2"/>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130,250,512.83</w:t>
            </w:r>
          </w:p>
        </w:tc>
      </w:tr>
      <w:tr>
        <w:trPr>
          <w:trHeight w:val="448"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1464" w:right="0"/>
              <w:jc w:val="left"/>
              <w:rPr>
                <w:rFonts w:ascii="Times New Roman" w:hAnsi="Times New Roman" w:cs="Times New Roman" w:eastAsia="Times New Roman" w:hint="default"/>
                <w:sz w:val="18"/>
                <w:szCs w:val="18"/>
              </w:rPr>
            </w:pPr>
            <w:r>
              <w:rPr>
                <w:rFonts w:ascii="Times New Roman"/>
                <w:sz w:val="18"/>
              </w:rPr>
              <w:t>--</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2"/>
              <w:ind w:left="1529" w:right="0"/>
              <w:jc w:val="left"/>
              <w:rPr>
                <w:rFonts w:ascii="Times New Roman" w:hAnsi="Times New Roman" w:cs="Times New Roman" w:eastAsia="Times New Roman" w:hint="default"/>
                <w:sz w:val="18"/>
                <w:szCs w:val="18"/>
              </w:rPr>
            </w:pPr>
            <w:r>
              <w:rPr>
                <w:rFonts w:ascii="Times New Roman"/>
                <w:sz w:val="18"/>
              </w:rPr>
              <w:t>--</w:t>
            </w:r>
          </w:p>
        </w:tc>
      </w:tr>
      <w:tr>
        <w:trPr>
          <w:trHeight w:val="479"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3,153,394.08</w:t>
            </w:r>
          </w:p>
        </w:tc>
        <w:tc>
          <w:tcPr>
            <w:tcW w:w="3188"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-14,574,089.25</w:t>
            </w:r>
          </w:p>
        </w:tc>
      </w:tr>
      <w:tr>
        <w:trPr>
          <w:trHeight w:val="466"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3,153,394.08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-14,574,089.25</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十、与金融工具相关的风险</w:t>
      </w:r>
      <w:r>
        <w:rPr>
          <w:b w:val="0"/>
          <w:bCs w:val="0"/>
        </w:rPr>
      </w:r>
    </w:p>
    <w:p>
      <w:pPr>
        <w:spacing w:line="240" w:lineRule="auto" w:before="4"/>
        <w:rPr>
          <w:rFonts w:ascii="宋体" w:hAnsi="宋体" w:cs="宋体" w:eastAsia="宋体" w:hint="default"/>
          <w:b/>
          <w:bCs/>
          <w:sz w:val="32"/>
          <w:szCs w:val="32"/>
        </w:rPr>
      </w:pPr>
    </w:p>
    <w:p>
      <w:pPr>
        <w:pStyle w:val="BodyText"/>
        <w:spacing w:line="477" w:lineRule="auto"/>
        <w:ind w:right="1231" w:firstLine="360"/>
        <w:jc w:val="both"/>
      </w:pPr>
      <w:r>
        <w:rPr/>
        <w:t>本集团的主要金融工具包括货币资金、交易性金融资产、应收票据、应收账款、其他应收款、其他权益工具投资、短 期借款、应付票据、应付账款、其他应付款、一年内到期的非流动负债、长期借款、长期应付款等，各项金融工具的详细 情况说明见附注七。本集团金融工具所产生的主要风险为汇率风险和利率风险。本集团为降低这些风险所采取的风险管理 政策如下所述。</w:t>
      </w:r>
    </w:p>
    <w:p>
      <w:pPr>
        <w:pStyle w:val="BodyText"/>
        <w:spacing w:line="451" w:lineRule="auto" w:before="54"/>
        <w:ind w:left="513" w:right="1213"/>
        <w:jc w:val="left"/>
      </w:pPr>
      <w:r>
        <w:rPr/>
        <w:t>（</w:t>
      </w:r>
      <w:r>
        <w:rPr>
          <w:rFonts w:ascii="Times New Roman" w:hAnsi="Times New Roman" w:cs="Times New Roman" w:eastAsia="Times New Roman" w:hint="default"/>
        </w:rPr>
        <w:t>1</w:t>
      </w:r>
      <w:r>
        <w:rPr/>
        <w:t>）风险管理目标和政策 本集团从事风险管理的目标是在风险和收益之间取得适当的平衡，将风险对本集团经营业绩的负面影响降低到最低水</w:t>
      </w:r>
    </w:p>
    <w:p>
      <w:pPr>
        <w:pStyle w:val="BodyText"/>
        <w:spacing w:line="477" w:lineRule="auto" w:before="74"/>
        <w:ind w:right="1231"/>
        <w:jc w:val="both"/>
      </w:pPr>
      <w:r>
        <w:rPr/>
        <w:t>平，使股东及其它权益投资者的利益最大化。基于该风险管理目标，本集团风险管理的基本策略是确定和分析本集团所面 临的各种风险，建立适当的风险承受底线并进行风险管理，并及时可靠地对各种风险进行监督，将风险控制在限定的范围 之内。</w:t>
      </w:r>
    </w:p>
    <w:p>
      <w:pPr>
        <w:pStyle w:val="BodyText"/>
        <w:spacing w:line="240" w:lineRule="auto" w:before="54"/>
        <w:ind w:left="513" w:right="0"/>
        <w:jc w:val="left"/>
      </w:pPr>
      <w:r>
        <w:rPr/>
        <w:t>（</w:t>
      </w:r>
      <w:r>
        <w:rPr>
          <w:rFonts w:ascii="Times New Roman" w:hAnsi="Times New Roman" w:cs="Times New Roman" w:eastAsia="Times New Roman" w:hint="default"/>
        </w:rPr>
        <w:t>2</w:t>
      </w:r>
      <w:r>
        <w:rPr/>
        <w:t>）市场风险</w:t>
      </w:r>
    </w:p>
    <w:p>
      <w:pPr>
        <w:spacing w:line="240" w:lineRule="auto" w:before="9"/>
        <w:rPr>
          <w:rFonts w:ascii="宋体" w:hAnsi="宋体" w:cs="宋体" w:eastAsia="宋体" w:hint="default"/>
          <w:sz w:val="16"/>
          <w:szCs w:val="16"/>
        </w:rPr>
      </w:pPr>
    </w:p>
    <w:p>
      <w:pPr>
        <w:pStyle w:val="BodyText"/>
        <w:spacing w:line="451" w:lineRule="auto"/>
        <w:ind w:left="513" w:right="1213"/>
        <w:jc w:val="left"/>
      </w:pPr>
      <w:r>
        <w:rPr>
          <w:rFonts w:ascii="Times New Roman" w:hAnsi="Times New Roman" w:cs="Times New Roman" w:eastAsia="Times New Roman" w:hint="default"/>
        </w:rPr>
        <w:t>1</w:t>
      </w:r>
      <w:r>
        <w:rPr/>
        <w:t>）汇率风险 外汇风险指因汇率变动产生损失的风险。本集团承受外汇风险主要与美元、港币、欧元及澳门元有关，除境外子公司</w:t>
      </w:r>
    </w:p>
    <w:p>
      <w:pPr>
        <w:pStyle w:val="BodyText"/>
        <w:spacing w:line="240" w:lineRule="auto" w:before="74"/>
        <w:ind w:right="0"/>
        <w:jc w:val="both"/>
        <w:rPr>
          <w:rFonts w:ascii="Times New Roman" w:hAnsi="Times New Roman" w:cs="Times New Roman" w:eastAsia="Times New Roman" w:hint="default"/>
        </w:rPr>
      </w:pPr>
      <w:r>
        <w:rPr/>
        <w:t>和本公司的几个下属子公司以美元进行采购和销售外，本集团的其它主要业务活动以人民币计价结算。于</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p>
    <w:p>
      <w:pPr>
        <w:spacing w:line="240" w:lineRule="auto" w:before="1"/>
        <w:rPr>
          <w:rFonts w:ascii="Times New Roman" w:hAnsi="Times New Roman" w:cs="Times New Roman" w:eastAsia="Times New Roman" w:hint="default"/>
          <w:sz w:val="19"/>
          <w:szCs w:val="19"/>
        </w:rPr>
      </w:pPr>
    </w:p>
    <w:p>
      <w:pPr>
        <w:pStyle w:val="BodyText"/>
        <w:spacing w:line="240" w:lineRule="auto"/>
        <w:ind w:right="0"/>
        <w:jc w:val="both"/>
      </w:pPr>
      <w:r>
        <w:rPr/>
        <w:t>日，除下表所述资产及负债的美元、港币、欧元余额外，本集团的资产及负债均为人民币余额。</w:t>
      </w:r>
    </w:p>
    <w:p>
      <w:pPr>
        <w:spacing w:line="240" w:lineRule="auto" w:before="11"/>
        <w:rPr>
          <w:rFonts w:ascii="宋体" w:hAnsi="宋体" w:cs="宋体" w:eastAsia="宋体" w:hint="default"/>
          <w:sz w:val="14"/>
          <w:szCs w:val="14"/>
        </w:rPr>
      </w:pPr>
    </w:p>
    <w:p>
      <w:pPr>
        <w:pStyle w:val="BodyText"/>
        <w:spacing w:line="240" w:lineRule="auto"/>
        <w:ind w:left="0" w:right="158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06" w:type="dxa"/>
        <w:tblLayout w:type="fixed"/>
        <w:tblCellMar>
          <w:top w:w="0" w:type="dxa"/>
          <w:left w:w="0" w:type="dxa"/>
          <w:bottom w:w="0" w:type="dxa"/>
          <w:right w:w="0" w:type="dxa"/>
        </w:tblCellMar>
        <w:tblLook w:val="01E0"/>
      </w:tblPr>
      <w:tblGrid>
        <w:gridCol w:w="972"/>
        <w:gridCol w:w="1868"/>
        <w:gridCol w:w="1865"/>
        <w:gridCol w:w="2012"/>
        <w:gridCol w:w="2009"/>
      </w:tblGrid>
      <w:tr>
        <w:trPr>
          <w:trHeight w:val="482" w:hRule="exact"/>
        </w:trPr>
        <w:tc>
          <w:tcPr>
            <w:tcW w:w="97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373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02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485" w:hRule="exact"/>
        </w:trPr>
        <w:tc>
          <w:tcPr>
            <w:tcW w:w="972" w:type="dxa"/>
            <w:vMerge/>
            <w:tcBorders>
              <w:left w:val="single" w:sz="4" w:space="0" w:color="000000"/>
              <w:bottom w:val="single" w:sz="4" w:space="0" w:color="000000"/>
              <w:right w:val="single" w:sz="4" w:space="0" w:color="000000"/>
            </w:tcBorders>
            <w:shd w:val="clear" w:color="auto" w:fill="D9D9D9"/>
          </w:tcPr>
          <w:p>
            <w:pPr/>
          </w:p>
        </w:tc>
        <w:tc>
          <w:tcPr>
            <w:tcW w:w="18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18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20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20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负债</w:t>
            </w:r>
          </w:p>
        </w:tc>
      </w:tr>
      <w:tr>
        <w:trPr>
          <w:trHeight w:val="485"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99,778,386.90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10,756,241.09</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38,434,333.89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11,561,829.00</w:t>
            </w:r>
          </w:p>
        </w:tc>
      </w:tr>
      <w:tr>
        <w:trPr>
          <w:trHeight w:val="482"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1,345,299.48</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140,029,099.61</w:t>
            </w: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1,578,370.08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3"/>
              <w:jc w:val="right"/>
              <w:rPr>
                <w:rFonts w:ascii="Times New Roman" w:hAnsi="Times New Roman" w:cs="Times New Roman" w:eastAsia="Times New Roman" w:hint="default"/>
                <w:sz w:val="18"/>
                <w:szCs w:val="18"/>
              </w:rPr>
            </w:pPr>
            <w:r>
              <w:rPr>
                <w:rFonts w:ascii="Times New Roman"/>
                <w:spacing w:val="-1"/>
                <w:sz w:val="18"/>
              </w:rPr>
              <w:t>134,171,850.32</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606" w:type="dxa"/>
        <w:tblLayout w:type="fixed"/>
        <w:tblCellMar>
          <w:top w:w="0" w:type="dxa"/>
          <w:left w:w="0" w:type="dxa"/>
          <w:bottom w:w="0" w:type="dxa"/>
          <w:right w:w="0" w:type="dxa"/>
        </w:tblCellMar>
        <w:tblLook w:val="01E0"/>
      </w:tblPr>
      <w:tblGrid>
        <w:gridCol w:w="972"/>
        <w:gridCol w:w="1868"/>
        <w:gridCol w:w="1865"/>
        <w:gridCol w:w="2012"/>
        <w:gridCol w:w="2009"/>
      </w:tblGrid>
      <w:tr>
        <w:trPr>
          <w:trHeight w:val="485"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13,474.84</w:t>
            </w:r>
          </w:p>
        </w:tc>
        <w:tc>
          <w:tcPr>
            <w:tcW w:w="1865"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276" w:right="0"/>
              <w:jc w:val="left"/>
              <w:rPr>
                <w:rFonts w:ascii="Times New Roman" w:hAnsi="Times New Roman" w:cs="Times New Roman" w:eastAsia="Times New Roman" w:hint="default"/>
                <w:sz w:val="18"/>
                <w:szCs w:val="18"/>
              </w:rPr>
            </w:pPr>
            <w:r>
              <w:rPr>
                <w:rFonts w:ascii="Times New Roman"/>
                <w:sz w:val="18"/>
              </w:rPr>
              <w:t>13,560.08</w:t>
            </w: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482" w:hRule="exact"/>
        </w:trPr>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1,925,788.20</w:t>
            </w:r>
          </w:p>
        </w:tc>
        <w:tc>
          <w:tcPr>
            <w:tcW w:w="1865" w:type="dxa"/>
            <w:tcBorders>
              <w:top w:val="single" w:sz="4" w:space="0" w:color="000000"/>
              <w:left w:val="single" w:sz="4" w:space="0" w:color="000000"/>
              <w:bottom w:val="single" w:sz="4" w:space="0" w:color="000000"/>
              <w:right w:val="single" w:sz="4" w:space="0" w:color="000000"/>
            </w:tcBorders>
          </w:tcPr>
          <w:p>
            <w:pPr/>
          </w:p>
        </w:tc>
        <w:tc>
          <w:tcPr>
            <w:tcW w:w="2012"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7"/>
        <w:ind w:left="513" w:right="0"/>
        <w:jc w:val="left"/>
      </w:pPr>
      <w:r>
        <w:rPr/>
        <w:t>本集团目前并无外币对冲政策，但管理层监控外币汇兑风险并将考虑在需要时对冲重大外币风险。</w:t>
      </w:r>
    </w:p>
    <w:p>
      <w:pPr>
        <w:spacing w:line="240" w:lineRule="auto" w:before="10"/>
        <w:rPr>
          <w:rFonts w:ascii="宋体" w:hAnsi="宋体" w:cs="宋体" w:eastAsia="宋体" w:hint="default"/>
          <w:sz w:val="17"/>
          <w:szCs w:val="17"/>
        </w:rPr>
      </w:pPr>
    </w:p>
    <w:p>
      <w:pPr>
        <w:pStyle w:val="BodyText"/>
        <w:spacing w:line="240" w:lineRule="auto"/>
        <w:ind w:left="513" w:right="0"/>
        <w:jc w:val="left"/>
      </w:pPr>
      <w:r>
        <w:rPr>
          <w:rFonts w:ascii="Times New Roman" w:hAnsi="Times New Roman" w:cs="Times New Roman" w:eastAsia="Times New Roman" w:hint="default"/>
        </w:rPr>
        <w:t>2</w:t>
      </w:r>
      <w:r>
        <w:rPr/>
        <w:t>）利率风险</w:t>
      </w:r>
    </w:p>
    <w:p>
      <w:pPr>
        <w:spacing w:line="240" w:lineRule="auto" w:before="9"/>
        <w:rPr>
          <w:rFonts w:ascii="宋体" w:hAnsi="宋体" w:cs="宋体" w:eastAsia="宋体" w:hint="default"/>
          <w:sz w:val="16"/>
          <w:szCs w:val="16"/>
        </w:rPr>
      </w:pPr>
    </w:p>
    <w:p>
      <w:pPr>
        <w:pStyle w:val="BodyText"/>
        <w:spacing w:line="240" w:lineRule="auto"/>
        <w:ind w:left="513" w:right="0"/>
        <w:jc w:val="left"/>
      </w:pPr>
      <w:r>
        <w:rPr/>
        <w:t>本集团的利率风险主要与本集团以浮动利率计息的负债有关。于</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日，本集团的带息债务主要为人民币</w:t>
      </w:r>
    </w:p>
    <w:p>
      <w:pPr>
        <w:spacing w:line="240" w:lineRule="auto" w:before="9"/>
        <w:rPr>
          <w:rFonts w:ascii="宋体" w:hAnsi="宋体" w:cs="宋体" w:eastAsia="宋体" w:hint="default"/>
          <w:sz w:val="16"/>
          <w:szCs w:val="16"/>
        </w:rPr>
      </w:pPr>
    </w:p>
    <w:p>
      <w:pPr>
        <w:pStyle w:val="BodyText"/>
        <w:spacing w:line="451" w:lineRule="auto"/>
        <w:ind w:right="1174"/>
        <w:jc w:val="left"/>
      </w:pPr>
      <w:r>
        <w:rPr/>
        <w:t>和港币计价的浮动利率借款合同，金额合计为</w:t>
      </w:r>
      <w:r>
        <w:rPr>
          <w:spacing w:val="-45"/>
        </w:rPr>
        <w:t> </w:t>
      </w:r>
      <w:r>
        <w:rPr>
          <w:rFonts w:ascii="Times New Roman" w:hAnsi="Times New Roman" w:cs="Times New Roman" w:eastAsia="Times New Roman" w:hint="default"/>
        </w:rPr>
        <w:t>94,121.61</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日金额为</w:t>
      </w:r>
      <w:r>
        <w:rPr>
          <w:spacing w:val="-48"/>
        </w:rPr>
        <w:t> </w:t>
      </w:r>
      <w:r>
        <w:rPr>
          <w:rFonts w:ascii="Times New Roman" w:hAnsi="Times New Roman" w:cs="Times New Roman" w:eastAsia="Times New Roman" w:hint="default"/>
        </w:rPr>
        <w:t>73,139.44</w:t>
      </w:r>
      <w:r>
        <w:rPr>
          <w:rFonts w:ascii="Times New Roman" w:hAnsi="Times New Roman" w:cs="Times New Roman" w:eastAsia="Times New Roman" w:hint="default"/>
          <w:spacing w:val="1"/>
        </w:rPr>
        <w:t> </w:t>
      </w:r>
      <w:r>
        <w:rPr/>
        <w:t>万元）。本集团目前没有 利率对冲政策，然而，管理层对利率风险实施监察，若预期将会出现重大利率风险，将会考虑采取其他必要的行动。</w:t>
      </w:r>
    </w:p>
    <w:p>
      <w:pPr>
        <w:pStyle w:val="BodyText"/>
        <w:spacing w:line="240" w:lineRule="auto" w:before="74"/>
        <w:ind w:left="513" w:right="0"/>
        <w:jc w:val="left"/>
      </w:pPr>
      <w:r>
        <w:rPr/>
        <w:t>（</w:t>
      </w:r>
      <w:r>
        <w:rPr>
          <w:rFonts w:ascii="Times New Roman" w:hAnsi="Times New Roman" w:cs="Times New Roman" w:eastAsia="Times New Roman" w:hint="default"/>
        </w:rPr>
        <w:t>3</w:t>
      </w:r>
      <w:r>
        <w:rPr/>
        <w:t>）信用风险</w:t>
      </w:r>
    </w:p>
    <w:p>
      <w:pPr>
        <w:spacing w:line="240" w:lineRule="auto" w:before="10"/>
        <w:rPr>
          <w:rFonts w:ascii="宋体" w:hAnsi="宋体" w:cs="宋体" w:eastAsia="宋体" w:hint="default"/>
          <w:sz w:val="16"/>
          <w:szCs w:val="16"/>
        </w:rPr>
      </w:pPr>
    </w:p>
    <w:p>
      <w:pPr>
        <w:pStyle w:val="BodyText"/>
        <w:spacing w:line="451" w:lineRule="auto"/>
        <w:ind w:right="1139" w:firstLine="360"/>
        <w:jc w:val="both"/>
      </w:pPr>
      <w:r>
        <w:rPr/>
        <w:t>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日，可能引起本集团财务损失的最大信用风险敞口主要来自于合同另一方未能履行义务而导致本集 团金融资产产生的损失。</w:t>
      </w:r>
    </w:p>
    <w:p>
      <w:pPr>
        <w:pStyle w:val="BodyText"/>
        <w:spacing w:line="477" w:lineRule="auto" w:before="74"/>
        <w:ind w:right="1231" w:firstLine="360"/>
        <w:jc w:val="both"/>
      </w:pPr>
      <w:r>
        <w:rPr/>
        <w:t>本集团仅与经认可的、信誉良好的第三方进行交易。按照本集团政策，需对所有要求采用信用方式进行交易的客户进 行信用审核。另外，本集团对应收账款余额进行持续监控，以确保本集团不致面临重大坏账风险。对于未采用相关经营单 位的记账本位币结算的交易，除非本集团信用控制部门特别批准，否则本集团不提供信用交易条件。</w:t>
      </w:r>
    </w:p>
    <w:p>
      <w:pPr>
        <w:pStyle w:val="BodyText"/>
        <w:spacing w:line="477" w:lineRule="auto" w:before="54"/>
        <w:ind w:right="1231" w:firstLine="360"/>
        <w:jc w:val="both"/>
      </w:pPr>
      <w:r>
        <w:rPr/>
        <w:t>本集团其他金融资产包括货币资金、交易性金融资产、应收票据、其他应收款及其他权益工具投资，这些金融资产的 信用风险源自交易对手违约，最大风险敞口等于这些工具的账面金额。本公司还因给予关联方财务担保而面临信用风险， 详见附注十二、</w:t>
      </w:r>
      <w:r>
        <w:rPr>
          <w:rFonts w:ascii="Times New Roman" w:hAnsi="Times New Roman" w:cs="Times New Roman" w:eastAsia="Times New Roman" w:hint="default"/>
        </w:rPr>
        <w:t>5.</w:t>
      </w:r>
      <w:r>
        <w:rPr/>
        <w:t>（</w:t>
      </w:r>
      <w:r>
        <w:rPr>
          <w:rFonts w:ascii="Times New Roman" w:hAnsi="Times New Roman" w:cs="Times New Roman" w:eastAsia="Times New Roman" w:hint="default"/>
        </w:rPr>
        <w:t>3</w:t>
      </w:r>
      <w:r>
        <w:rPr/>
        <w:t>）关联方担保中披露。</w:t>
      </w:r>
    </w:p>
    <w:p>
      <w:pPr>
        <w:pStyle w:val="BodyText"/>
        <w:spacing w:line="463" w:lineRule="auto" w:before="21"/>
        <w:ind w:right="1179" w:firstLine="360"/>
        <w:jc w:val="both"/>
      </w:pPr>
      <w:r>
        <w:rPr/>
        <w:t>由于本集团仅与经认可的且信誉良好的第三方进行交易，所以无需担保物。信用风险集中按照客户</w:t>
      </w:r>
      <w:r>
        <w:rPr>
          <w:rFonts w:ascii="Times New Roman" w:hAnsi="Times New Roman" w:cs="Times New Roman" w:eastAsia="Times New Roman" w:hint="default"/>
        </w:rPr>
        <w:t>/</w:t>
      </w:r>
      <w:r>
        <w:rPr/>
        <w:t>交易对手、地理区 域和行业进行管理。由于本集团的应收账款客户群广泛地分散于不同的部门和行业中，因此在本集团内部不存在重大信用 风险集中。本集团对应收账款余额未持有其他信用增级。</w:t>
      </w:r>
    </w:p>
    <w:p>
      <w:pPr>
        <w:pStyle w:val="BodyText"/>
        <w:spacing w:line="451" w:lineRule="auto" w:before="65"/>
        <w:ind w:left="513" w:right="1213"/>
        <w:jc w:val="left"/>
      </w:pPr>
      <w:r>
        <w:rPr/>
        <w:t>（</w:t>
      </w:r>
      <w:r>
        <w:rPr>
          <w:rFonts w:ascii="Times New Roman" w:hAnsi="Times New Roman" w:cs="Times New Roman" w:eastAsia="Times New Roman" w:hint="default"/>
        </w:rPr>
        <w:t>4</w:t>
      </w:r>
      <w:r>
        <w:rPr/>
        <w:t>）流动风险 流动风险为本集团在到期日无法履行其财务义务的风险。本集团管理流动性风险的方法是采用循环流动性资金计划工</w:t>
      </w:r>
    </w:p>
    <w:p>
      <w:pPr>
        <w:pStyle w:val="BodyText"/>
        <w:spacing w:line="477" w:lineRule="auto" w:before="74"/>
        <w:ind w:right="1213"/>
        <w:jc w:val="left"/>
      </w:pPr>
      <w:r>
        <w:rPr/>
        <w:t>具监控资金短缺的风险。该工具考虑其涉及金融工具与金融资产（如应收账款及应收票据）的到期日以及来自营运业务的 预期营运现金流量。本集团的目标是透过使用附息银行贷款以及其他可取得的资金来源，维持资金延续性与灵活性的平 衡。此外，本集团还取得银行额度以供应急之用。</w:t>
      </w:r>
    </w:p>
    <w:p>
      <w:pPr>
        <w:pStyle w:val="BodyText"/>
        <w:spacing w:line="240" w:lineRule="auto" w:before="54"/>
        <w:ind w:left="513" w:right="0"/>
        <w:jc w:val="left"/>
      </w:pPr>
      <w:r>
        <w:rPr>
          <w:rFonts w:ascii="Times New Roman" w:hAnsi="Times New Roman" w:cs="Times New Roman" w:eastAsia="Times New Roman" w:hint="default"/>
        </w:rPr>
        <w:t>2019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日本集团持有的金融负债按未折现剩余合同义务的到期期限分析如下：</w:t>
      </w:r>
    </w:p>
    <w:p>
      <w:pPr>
        <w:spacing w:line="240" w:lineRule="auto" w:before="10"/>
        <w:rPr>
          <w:rFonts w:ascii="宋体" w:hAnsi="宋体" w:cs="宋体" w:eastAsia="宋体" w:hint="default"/>
          <w:sz w:val="13"/>
          <w:szCs w:val="13"/>
        </w:rPr>
      </w:pPr>
    </w:p>
    <w:p>
      <w:pPr>
        <w:pStyle w:val="BodyText"/>
        <w:spacing w:line="240" w:lineRule="auto"/>
        <w:ind w:left="0" w:right="1582"/>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604" w:type="dxa"/>
        <w:tblLayout w:type="fixed"/>
        <w:tblCellMar>
          <w:top w:w="0" w:type="dxa"/>
          <w:left w:w="0" w:type="dxa"/>
          <w:bottom w:w="0" w:type="dxa"/>
          <w:right w:w="0" w:type="dxa"/>
        </w:tblCellMar>
        <w:tblLook w:val="01E0"/>
      </w:tblPr>
      <w:tblGrid>
        <w:gridCol w:w="2122"/>
        <w:gridCol w:w="2151"/>
        <w:gridCol w:w="2297"/>
        <w:gridCol w:w="2153"/>
      </w:tblGrid>
      <w:tr>
        <w:trPr>
          <w:trHeight w:val="491" w:hRule="exact"/>
        </w:trPr>
        <w:tc>
          <w:tcPr>
            <w:tcW w:w="2122"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51"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left="70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297"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一至三年</w:t>
            </w:r>
          </w:p>
        </w:tc>
        <w:tc>
          <w:tcPr>
            <w:tcW w:w="2153"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93" w:hRule="exact"/>
        </w:trPr>
        <w:tc>
          <w:tcPr>
            <w:tcW w:w="21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3"/>
              <w:ind w:right="0"/>
              <w:jc w:val="right"/>
              <w:rPr>
                <w:rFonts w:ascii="Times New Roman" w:hAnsi="Times New Roman" w:cs="Times New Roman" w:eastAsia="Times New Roman" w:hint="default"/>
                <w:sz w:val="18"/>
                <w:szCs w:val="18"/>
              </w:rPr>
            </w:pPr>
            <w:r>
              <w:rPr>
                <w:rFonts w:ascii="Times New Roman"/>
                <w:spacing w:val="-1"/>
                <w:sz w:val="18"/>
              </w:rPr>
              <w:t>952,479,511.83</w:t>
            </w:r>
          </w:p>
        </w:tc>
        <w:tc>
          <w:tcPr>
            <w:tcW w:w="2297" w:type="dxa"/>
            <w:tcBorders>
              <w:top w:val="single" w:sz="8" w:space="0" w:color="000000"/>
              <w:left w:val="single" w:sz="6" w:space="0" w:color="000000"/>
              <w:bottom w:val="single" w:sz="8" w:space="0" w:color="000000"/>
              <w:right w:val="single" w:sz="6" w:space="0" w:color="000000"/>
            </w:tcBorders>
          </w:tcPr>
          <w:p>
            <w:pPr/>
          </w:p>
        </w:tc>
        <w:tc>
          <w:tcPr>
            <w:tcW w:w="215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3"/>
              <w:ind w:right="0"/>
              <w:jc w:val="right"/>
              <w:rPr>
                <w:rFonts w:ascii="Times New Roman" w:hAnsi="Times New Roman" w:cs="Times New Roman" w:eastAsia="Times New Roman" w:hint="default"/>
                <w:sz w:val="18"/>
                <w:szCs w:val="18"/>
              </w:rPr>
            </w:pPr>
            <w:r>
              <w:rPr>
                <w:rFonts w:ascii="Times New Roman"/>
                <w:spacing w:val="-1"/>
                <w:sz w:val="18"/>
              </w:rPr>
              <w:t>952,479,511.83</w:t>
            </w:r>
          </w:p>
        </w:tc>
      </w:tr>
      <w:tr>
        <w:trPr>
          <w:trHeight w:val="497" w:hRule="exact"/>
        </w:trPr>
        <w:tc>
          <w:tcPr>
            <w:tcW w:w="21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691,631,714.41</w:t>
            </w:r>
          </w:p>
        </w:tc>
        <w:tc>
          <w:tcPr>
            <w:tcW w:w="2297" w:type="dxa"/>
            <w:tcBorders>
              <w:top w:val="single" w:sz="8" w:space="0" w:color="000000"/>
              <w:left w:val="single" w:sz="6" w:space="0" w:color="000000"/>
              <w:bottom w:val="single" w:sz="8" w:space="0" w:color="000000"/>
              <w:right w:val="single" w:sz="6" w:space="0" w:color="000000"/>
            </w:tcBorders>
          </w:tcPr>
          <w:p>
            <w:pPr/>
          </w:p>
        </w:tc>
        <w:tc>
          <w:tcPr>
            <w:tcW w:w="215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691,631,714.41</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604" w:type="dxa"/>
        <w:tblLayout w:type="fixed"/>
        <w:tblCellMar>
          <w:top w:w="0" w:type="dxa"/>
          <w:left w:w="0" w:type="dxa"/>
          <w:bottom w:w="0" w:type="dxa"/>
          <w:right w:w="0" w:type="dxa"/>
        </w:tblCellMar>
        <w:tblLook w:val="01E0"/>
      </w:tblPr>
      <w:tblGrid>
        <w:gridCol w:w="2122"/>
        <w:gridCol w:w="2151"/>
        <w:gridCol w:w="2297"/>
        <w:gridCol w:w="2153"/>
      </w:tblGrid>
      <w:tr>
        <w:trPr>
          <w:trHeight w:val="495" w:hRule="exact"/>
        </w:trPr>
        <w:tc>
          <w:tcPr>
            <w:tcW w:w="21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2,039,020,530.75</w:t>
            </w:r>
          </w:p>
        </w:tc>
        <w:tc>
          <w:tcPr>
            <w:tcW w:w="2297" w:type="dxa"/>
            <w:tcBorders>
              <w:top w:val="single" w:sz="8" w:space="0" w:color="000000"/>
              <w:left w:val="single" w:sz="6" w:space="0" w:color="000000"/>
              <w:bottom w:val="single" w:sz="8" w:space="0" w:color="000000"/>
              <w:right w:val="single" w:sz="6" w:space="0" w:color="000000"/>
            </w:tcBorders>
          </w:tcPr>
          <w:p>
            <w:pPr/>
          </w:p>
        </w:tc>
        <w:tc>
          <w:tcPr>
            <w:tcW w:w="215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2,039,020,530.75</w:t>
            </w:r>
          </w:p>
        </w:tc>
      </w:tr>
      <w:tr>
        <w:trPr>
          <w:trHeight w:val="494" w:hRule="exact"/>
        </w:trPr>
        <w:tc>
          <w:tcPr>
            <w:tcW w:w="21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228,863,269.22</w:t>
            </w:r>
          </w:p>
        </w:tc>
        <w:tc>
          <w:tcPr>
            <w:tcW w:w="2297" w:type="dxa"/>
            <w:tcBorders>
              <w:top w:val="single" w:sz="8" w:space="0" w:color="000000"/>
              <w:left w:val="single" w:sz="6" w:space="0" w:color="000000"/>
              <w:bottom w:val="single" w:sz="8" w:space="0" w:color="000000"/>
              <w:right w:val="single" w:sz="6" w:space="0" w:color="000000"/>
            </w:tcBorders>
          </w:tcPr>
          <w:p>
            <w:pPr/>
          </w:p>
        </w:tc>
        <w:tc>
          <w:tcPr>
            <w:tcW w:w="215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228,863,269.22</w:t>
            </w:r>
          </w:p>
        </w:tc>
      </w:tr>
      <w:tr>
        <w:trPr>
          <w:trHeight w:val="492" w:hRule="exact"/>
        </w:trPr>
        <w:tc>
          <w:tcPr>
            <w:tcW w:w="21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5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45,059,375.00</w:t>
            </w:r>
          </w:p>
        </w:tc>
        <w:tc>
          <w:tcPr>
            <w:tcW w:w="2297" w:type="dxa"/>
            <w:tcBorders>
              <w:top w:val="single" w:sz="8" w:space="0" w:color="000000"/>
              <w:left w:val="single" w:sz="6" w:space="0" w:color="000000"/>
              <w:bottom w:val="single" w:sz="8" w:space="0" w:color="000000"/>
              <w:right w:val="single" w:sz="6" w:space="0" w:color="000000"/>
            </w:tcBorders>
          </w:tcPr>
          <w:p>
            <w:pPr/>
          </w:p>
        </w:tc>
        <w:tc>
          <w:tcPr>
            <w:tcW w:w="215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45,059,375.00</w:t>
            </w:r>
          </w:p>
        </w:tc>
      </w:tr>
      <w:tr>
        <w:trPr>
          <w:trHeight w:val="509" w:hRule="exact"/>
        </w:trPr>
        <w:tc>
          <w:tcPr>
            <w:tcW w:w="21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51" w:type="dxa"/>
            <w:tcBorders>
              <w:top w:val="single" w:sz="8" w:space="0" w:color="000000"/>
              <w:left w:val="single" w:sz="6" w:space="0" w:color="000000"/>
              <w:bottom w:val="single" w:sz="8" w:space="0" w:color="000000"/>
              <w:right w:val="single" w:sz="6" w:space="0" w:color="000000"/>
            </w:tcBorders>
          </w:tcPr>
          <w:p>
            <w:pPr/>
          </w:p>
        </w:tc>
        <w:tc>
          <w:tcPr>
            <w:tcW w:w="229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9"/>
              <w:ind w:left="1336" w:right="0"/>
              <w:jc w:val="left"/>
              <w:rPr>
                <w:rFonts w:ascii="Times New Roman" w:hAnsi="Times New Roman" w:cs="Times New Roman" w:eastAsia="Times New Roman" w:hint="default"/>
                <w:sz w:val="18"/>
                <w:szCs w:val="18"/>
              </w:rPr>
            </w:pPr>
            <w:r>
              <w:rPr>
                <w:rFonts w:ascii="Times New Roman"/>
                <w:sz w:val="18"/>
              </w:rPr>
              <w:t>6,195,238.00</w:t>
            </w:r>
          </w:p>
        </w:tc>
        <w:tc>
          <w:tcPr>
            <w:tcW w:w="215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39"/>
              <w:ind w:right="0"/>
              <w:jc w:val="right"/>
              <w:rPr>
                <w:rFonts w:ascii="Times New Roman" w:hAnsi="Times New Roman" w:cs="Times New Roman" w:eastAsia="Times New Roman" w:hint="default"/>
                <w:sz w:val="18"/>
                <w:szCs w:val="18"/>
              </w:rPr>
            </w:pPr>
            <w:r>
              <w:rPr>
                <w:rFonts w:ascii="Times New Roman"/>
                <w:spacing w:val="-1"/>
                <w:sz w:val="18"/>
              </w:rPr>
              <w:t>6,195,238.00</w:t>
            </w:r>
          </w:p>
        </w:tc>
      </w:tr>
    </w:tbl>
    <w:p>
      <w:pPr>
        <w:pStyle w:val="BodyText"/>
        <w:spacing w:line="451" w:lineRule="auto" w:before="87"/>
        <w:ind w:left="513" w:right="1213"/>
        <w:jc w:val="left"/>
      </w:pPr>
      <w:r>
        <w:rPr/>
        <w:t>（</w:t>
      </w:r>
      <w:r>
        <w:rPr>
          <w:rFonts w:ascii="Times New Roman" w:hAnsi="Times New Roman" w:cs="Times New Roman" w:eastAsia="Times New Roman" w:hint="default"/>
        </w:rPr>
        <w:t>5</w:t>
      </w:r>
      <w:r>
        <w:rPr/>
        <w:t>）敏感性分析 本集团采用敏感性分析技术分析风险变量的合理、可能变化对当期损益或所有者权益可能产生的影响。由于任何风险</w:t>
      </w:r>
    </w:p>
    <w:p>
      <w:pPr>
        <w:pStyle w:val="BodyText"/>
        <w:spacing w:line="477" w:lineRule="auto" w:before="74"/>
        <w:ind w:right="1213"/>
        <w:jc w:val="left"/>
      </w:pPr>
      <w:r>
        <w:rPr/>
        <w:t>变量很少孤立的发生变化，而变量之间存在的相关性对某一风险变量变化的最终影响金额将产生重大作用，因此下述内容 是在假设每一变量的变化是独立的情况下进行的。</w:t>
      </w:r>
    </w:p>
    <w:p>
      <w:pPr>
        <w:pStyle w:val="BodyText"/>
        <w:spacing w:line="451" w:lineRule="auto" w:before="55"/>
        <w:ind w:left="513" w:right="1213"/>
        <w:jc w:val="left"/>
      </w:pPr>
      <w:r>
        <w:rPr>
          <w:rFonts w:ascii="Times New Roman" w:hAnsi="Times New Roman" w:cs="Times New Roman" w:eastAsia="Times New Roman" w:hint="default"/>
        </w:rPr>
        <w:t>1)</w:t>
      </w:r>
      <w:r>
        <w:rPr/>
        <w:t>外汇风险敏感性分析</w:t>
      </w:r>
      <w:r>
        <w:rPr>
          <w:w w:val="99"/>
        </w:rPr>
        <w:t> </w:t>
      </w:r>
      <w:r>
        <w:rPr/>
        <w:t>下表为汇率风险的敏感性分析，反映了在其它变量不变的假设下，美元、港币以及澳门元汇率发生合理、可能的变动</w:t>
      </w:r>
    </w:p>
    <w:p>
      <w:pPr>
        <w:pStyle w:val="BodyText"/>
        <w:spacing w:line="240" w:lineRule="auto" w:before="74"/>
        <w:ind w:right="0"/>
        <w:jc w:val="left"/>
      </w:pPr>
      <w:r>
        <w:rPr/>
        <w:t>时，将对利润总额的影响如下：</w:t>
      </w:r>
    </w:p>
    <w:p>
      <w:pPr>
        <w:spacing w:line="240" w:lineRule="auto" w:before="10"/>
        <w:rPr>
          <w:rFonts w:ascii="宋体" w:hAnsi="宋体" w:cs="宋体" w:eastAsia="宋体" w:hint="default"/>
          <w:sz w:val="17"/>
          <w:szCs w:val="17"/>
        </w:rPr>
      </w:pPr>
    </w:p>
    <w:p>
      <w:pPr>
        <w:pStyle w:val="BodyText"/>
        <w:spacing w:line="240" w:lineRule="auto"/>
        <w:ind w:left="0" w:right="1582"/>
        <w:jc w:val="right"/>
      </w:pPr>
      <w:r>
        <w:rPr/>
        <w:t>单位：万元</w:t>
      </w:r>
    </w:p>
    <w:p>
      <w:pPr>
        <w:spacing w:line="240" w:lineRule="auto" w:before="2"/>
        <w:rPr>
          <w:rFonts w:ascii="宋体" w:hAnsi="宋体" w:cs="宋体" w:eastAsia="宋体" w:hint="default"/>
          <w:sz w:val="11"/>
          <w:szCs w:val="11"/>
        </w:rPr>
      </w:pPr>
    </w:p>
    <w:tbl>
      <w:tblPr>
        <w:tblW w:w="0" w:type="auto"/>
        <w:jc w:val="left"/>
        <w:tblInd w:w="604" w:type="dxa"/>
        <w:tblLayout w:type="fixed"/>
        <w:tblCellMar>
          <w:top w:w="0" w:type="dxa"/>
          <w:left w:w="0" w:type="dxa"/>
          <w:bottom w:w="0" w:type="dxa"/>
          <w:right w:w="0" w:type="dxa"/>
        </w:tblCellMar>
        <w:tblLook w:val="01E0"/>
      </w:tblPr>
      <w:tblGrid>
        <w:gridCol w:w="934"/>
        <w:gridCol w:w="1885"/>
        <w:gridCol w:w="1618"/>
        <w:gridCol w:w="1337"/>
        <w:gridCol w:w="1616"/>
        <w:gridCol w:w="1335"/>
      </w:tblGrid>
      <w:tr>
        <w:trPr>
          <w:trHeight w:val="494" w:hRule="exact"/>
        </w:trPr>
        <w:tc>
          <w:tcPr>
            <w:tcW w:w="934"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885"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75" w:right="0"/>
              <w:jc w:val="left"/>
              <w:rPr>
                <w:rFonts w:ascii="宋体" w:hAnsi="宋体" w:cs="宋体" w:eastAsia="宋体" w:hint="default"/>
                <w:sz w:val="18"/>
                <w:szCs w:val="18"/>
              </w:rPr>
            </w:pPr>
            <w:r>
              <w:rPr>
                <w:rFonts w:ascii="宋体" w:hAnsi="宋体" w:cs="宋体" w:eastAsia="宋体" w:hint="default"/>
                <w:sz w:val="18"/>
                <w:szCs w:val="18"/>
              </w:rPr>
              <w:t>汇率变动</w:t>
            </w:r>
          </w:p>
        </w:tc>
        <w:tc>
          <w:tcPr>
            <w:tcW w:w="295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295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656" w:hRule="exact"/>
        </w:trPr>
        <w:tc>
          <w:tcPr>
            <w:tcW w:w="934" w:type="dxa"/>
            <w:vMerge/>
            <w:tcBorders>
              <w:left w:val="single" w:sz="6" w:space="0" w:color="000000"/>
              <w:bottom w:val="single" w:sz="8" w:space="0" w:color="000000"/>
              <w:right w:val="single" w:sz="6" w:space="0" w:color="000000"/>
            </w:tcBorders>
            <w:shd w:val="clear" w:color="auto" w:fill="D9D9D9"/>
          </w:tcPr>
          <w:p>
            <w:pPr/>
          </w:p>
        </w:tc>
        <w:tc>
          <w:tcPr>
            <w:tcW w:w="1885" w:type="dxa"/>
            <w:vMerge/>
            <w:tcBorders>
              <w:left w:val="single" w:sz="6" w:space="0" w:color="000000"/>
              <w:bottom w:val="single" w:sz="8" w:space="0" w:color="000000"/>
              <w:right w:val="single" w:sz="6" w:space="0" w:color="000000"/>
            </w:tcBorders>
            <w:shd w:val="clear" w:color="auto" w:fill="D9D9D9"/>
          </w:tcPr>
          <w:p>
            <w:pPr/>
          </w:p>
        </w:tc>
        <w:tc>
          <w:tcPr>
            <w:tcW w:w="16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4"/>
              <w:ind w:left="532" w:right="441" w:hanging="92"/>
              <w:jc w:val="left"/>
              <w:rPr>
                <w:rFonts w:ascii="宋体" w:hAnsi="宋体" w:cs="宋体" w:eastAsia="宋体" w:hint="default"/>
                <w:sz w:val="18"/>
                <w:szCs w:val="18"/>
              </w:rPr>
            </w:pPr>
            <w:r>
              <w:rPr>
                <w:rFonts w:ascii="宋体" w:hAnsi="宋体" w:cs="宋体" w:eastAsia="宋体" w:hint="default"/>
                <w:sz w:val="18"/>
                <w:szCs w:val="18"/>
              </w:rPr>
              <w:t>对净利润 的影响</w:t>
            </w:r>
          </w:p>
        </w:tc>
        <w:tc>
          <w:tcPr>
            <w:tcW w:w="133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4"/>
              <w:ind w:left="480" w:right="31" w:hanging="452"/>
              <w:jc w:val="left"/>
              <w:rPr>
                <w:rFonts w:ascii="宋体" w:hAnsi="宋体" w:cs="宋体" w:eastAsia="宋体" w:hint="default"/>
                <w:sz w:val="18"/>
                <w:szCs w:val="18"/>
              </w:rPr>
            </w:pPr>
            <w:r>
              <w:rPr>
                <w:rFonts w:ascii="宋体" w:hAnsi="宋体" w:cs="宋体" w:eastAsia="宋体" w:hint="default"/>
                <w:sz w:val="18"/>
                <w:szCs w:val="18"/>
              </w:rPr>
              <w:t>对所有者权益的 影响</w:t>
            </w:r>
          </w:p>
        </w:tc>
        <w:tc>
          <w:tcPr>
            <w:tcW w:w="161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4"/>
              <w:ind w:left="530" w:right="439" w:hanging="92"/>
              <w:jc w:val="left"/>
              <w:rPr>
                <w:rFonts w:ascii="宋体" w:hAnsi="宋体" w:cs="宋体" w:eastAsia="宋体" w:hint="default"/>
                <w:sz w:val="18"/>
                <w:szCs w:val="18"/>
              </w:rPr>
            </w:pPr>
            <w:r>
              <w:rPr>
                <w:rFonts w:ascii="宋体" w:hAnsi="宋体" w:cs="宋体" w:eastAsia="宋体" w:hint="default"/>
                <w:sz w:val="18"/>
                <w:szCs w:val="18"/>
              </w:rPr>
              <w:t>对净利润 的影响</w:t>
            </w:r>
          </w:p>
        </w:tc>
        <w:tc>
          <w:tcPr>
            <w:tcW w:w="133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4"/>
              <w:ind w:left="479" w:right="27" w:hanging="449"/>
              <w:jc w:val="left"/>
              <w:rPr>
                <w:rFonts w:ascii="宋体" w:hAnsi="宋体" w:cs="宋体" w:eastAsia="宋体" w:hint="default"/>
                <w:sz w:val="18"/>
                <w:szCs w:val="18"/>
              </w:rPr>
            </w:pPr>
            <w:r>
              <w:rPr>
                <w:rFonts w:ascii="宋体" w:hAnsi="宋体" w:cs="宋体" w:eastAsia="宋体" w:hint="default"/>
                <w:sz w:val="18"/>
                <w:szCs w:val="18"/>
              </w:rPr>
              <w:t>对所有者权益的 影响</w:t>
            </w:r>
          </w:p>
        </w:tc>
      </w:tr>
      <w:tr>
        <w:trPr>
          <w:trHeight w:val="490" w:hRule="exact"/>
        </w:trPr>
        <w:tc>
          <w:tcPr>
            <w:tcW w:w="93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85"/>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885" w:type="dxa"/>
            <w:vMerge w:val="restart"/>
            <w:tcBorders>
              <w:top w:val="single" w:sz="8"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若人民币升值</w:t>
            </w:r>
            <w:r>
              <w:rPr>
                <w:rFonts w:ascii="Times New Roman" w:hAnsi="Times New Roman" w:cs="Times New Roman" w:eastAsia="Times New Roman" w:hint="default"/>
                <w:sz w:val="18"/>
                <w:szCs w:val="18"/>
              </w:rPr>
              <w:t>5%</w:t>
            </w:r>
          </w:p>
        </w:tc>
        <w:tc>
          <w:tcPr>
            <w:tcW w:w="161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649.21</w:t>
            </w:r>
          </w:p>
        </w:tc>
        <w:tc>
          <w:tcPr>
            <w:tcW w:w="133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9"/>
              <w:ind w:right="2"/>
              <w:jc w:val="right"/>
              <w:rPr>
                <w:rFonts w:ascii="Times New Roman" w:hAnsi="Times New Roman" w:cs="Times New Roman" w:eastAsia="Times New Roman" w:hint="default"/>
                <w:sz w:val="18"/>
                <w:szCs w:val="18"/>
              </w:rPr>
            </w:pPr>
            <w:r>
              <w:rPr>
                <w:rFonts w:ascii="Times New Roman"/>
                <w:spacing w:val="-1"/>
                <w:sz w:val="18"/>
              </w:rPr>
              <w:t>649.21</w:t>
            </w:r>
          </w:p>
        </w:tc>
        <w:tc>
          <w:tcPr>
            <w:tcW w:w="16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900.28</w:t>
            </w:r>
          </w:p>
        </w:tc>
        <w:tc>
          <w:tcPr>
            <w:tcW w:w="133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900.28</w:t>
            </w:r>
          </w:p>
        </w:tc>
      </w:tr>
      <w:tr>
        <w:trPr>
          <w:trHeight w:val="485" w:hRule="exact"/>
        </w:trPr>
        <w:tc>
          <w:tcPr>
            <w:tcW w:w="934"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85"/>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85" w:type="dxa"/>
            <w:vMerge/>
            <w:tcBorders>
              <w:left w:val="single" w:sz="6" w:space="0" w:color="000000"/>
              <w:right w:val="single" w:sz="6" w:space="0" w:color="000000"/>
            </w:tcBorders>
          </w:tcPr>
          <w:p>
            <w:pPr/>
          </w:p>
        </w:tc>
        <w:tc>
          <w:tcPr>
            <w:tcW w:w="1618"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-2.71</w:t>
            </w:r>
          </w:p>
        </w:tc>
        <w:tc>
          <w:tcPr>
            <w:tcW w:w="1337"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-98.27</w:t>
            </w:r>
          </w:p>
        </w:tc>
        <w:tc>
          <w:tcPr>
            <w:tcW w:w="1616"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-0.10</w:t>
            </w:r>
          </w:p>
        </w:tc>
        <w:tc>
          <w:tcPr>
            <w:tcW w:w="1335"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269.70</w:t>
            </w:r>
          </w:p>
        </w:tc>
      </w:tr>
      <w:tr>
        <w:trPr>
          <w:trHeight w:val="492"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1885" w:type="dxa"/>
            <w:vMerge/>
            <w:tcBorders>
              <w:left w:val="single" w:sz="6" w:space="0" w:color="000000"/>
              <w:bottom w:val="single" w:sz="8" w:space="0" w:color="000000"/>
              <w:right w:val="single" w:sz="6" w:space="0" w:color="000000"/>
            </w:tcBorders>
          </w:tcPr>
          <w:p>
            <w:pP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-9.63</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-9.63</w:t>
            </w:r>
          </w:p>
        </w:tc>
        <w:tc>
          <w:tcPr>
            <w:tcW w:w="1616"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487"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85" w:type="dxa"/>
            <w:tcBorders>
              <w:top w:val="single" w:sz="8" w:space="0" w:color="000000"/>
              <w:left w:val="single" w:sz="6" w:space="0" w:color="000000"/>
              <w:bottom w:val="single" w:sz="6" w:space="0" w:color="000000"/>
              <w:right w:val="single" w:sz="6" w:space="0" w:color="000000"/>
            </w:tcBorders>
          </w:tcPr>
          <w:p>
            <w:pP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b/>
                <w:spacing w:val="-1"/>
                <w:sz w:val="18"/>
              </w:rPr>
              <w:t>636.87</w:t>
            </w:r>
            <w:r>
              <w:rPr>
                <w:rFonts w:ascii="Times New Roman"/>
                <w:spacing w:val="-1"/>
                <w:sz w:val="18"/>
              </w:rPr>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2"/>
              <w:jc w:val="right"/>
              <w:rPr>
                <w:rFonts w:ascii="Times New Roman" w:hAnsi="Times New Roman" w:cs="Times New Roman" w:eastAsia="Times New Roman" w:hint="default"/>
                <w:sz w:val="18"/>
                <w:szCs w:val="18"/>
              </w:rPr>
            </w:pPr>
            <w:r>
              <w:rPr>
                <w:rFonts w:ascii="Times New Roman"/>
                <w:b/>
                <w:spacing w:val="-1"/>
                <w:sz w:val="18"/>
              </w:rPr>
              <w:t>541.31</w:t>
            </w:r>
            <w:r>
              <w:rPr>
                <w:rFonts w:ascii="Times New Roman"/>
                <w:spacing w:val="-1"/>
                <w:sz w:val="18"/>
              </w:rPr>
            </w:r>
          </w:p>
        </w:tc>
        <w:tc>
          <w:tcPr>
            <w:tcW w:w="1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b/>
                <w:spacing w:val="-1"/>
                <w:sz w:val="18"/>
              </w:rPr>
              <w:t>900.18</w:t>
            </w:r>
            <w:r>
              <w:rPr>
                <w:rFonts w:ascii="Times New Roman"/>
                <w:spacing w:val="-1"/>
                <w:sz w:val="18"/>
              </w:rPr>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b/>
                <w:w w:val="95"/>
                <w:sz w:val="18"/>
              </w:rPr>
              <w:t>1,169.98</w:t>
            </w:r>
            <w:r>
              <w:rPr>
                <w:rFonts w:ascii="Times New Roman"/>
                <w:w w:val="95"/>
                <w:sz w:val="18"/>
              </w:rPr>
            </w:r>
          </w:p>
        </w:tc>
      </w:tr>
      <w:tr>
        <w:trPr>
          <w:trHeight w:val="492" w:hRule="exact"/>
        </w:trPr>
        <w:tc>
          <w:tcPr>
            <w:tcW w:w="93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88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若人民币贬值</w:t>
            </w:r>
            <w:r>
              <w:rPr>
                <w:rFonts w:ascii="Times New Roman" w:hAnsi="Times New Roman" w:cs="Times New Roman" w:eastAsia="Times New Roman" w:hint="default"/>
                <w:sz w:val="18"/>
                <w:szCs w:val="18"/>
              </w:rPr>
              <w:t>5%</w:t>
            </w:r>
          </w:p>
        </w:tc>
        <w:tc>
          <w:tcPr>
            <w:tcW w:w="161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-649.21</w:t>
            </w:r>
          </w:p>
        </w:tc>
        <w:tc>
          <w:tcPr>
            <w:tcW w:w="133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-649.21</w:t>
            </w:r>
          </w:p>
        </w:tc>
        <w:tc>
          <w:tcPr>
            <w:tcW w:w="16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-900.28</w:t>
            </w:r>
          </w:p>
        </w:tc>
        <w:tc>
          <w:tcPr>
            <w:tcW w:w="133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-900.28</w:t>
            </w:r>
          </w:p>
        </w:tc>
      </w:tr>
      <w:tr>
        <w:trPr>
          <w:trHeight w:val="485" w:hRule="exact"/>
        </w:trPr>
        <w:tc>
          <w:tcPr>
            <w:tcW w:w="934"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85"/>
              <w:ind w:left="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885" w:type="dxa"/>
            <w:vMerge/>
            <w:tcBorders>
              <w:left w:val="single" w:sz="6" w:space="0" w:color="000000"/>
              <w:right w:val="single" w:sz="6" w:space="0" w:color="000000"/>
            </w:tcBorders>
          </w:tcPr>
          <w:p>
            <w:pPr/>
          </w:p>
        </w:tc>
        <w:tc>
          <w:tcPr>
            <w:tcW w:w="1618"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2.71</w:t>
            </w:r>
          </w:p>
        </w:tc>
        <w:tc>
          <w:tcPr>
            <w:tcW w:w="1337"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z w:val="18"/>
              </w:rPr>
              <w:t>98.27</w:t>
            </w:r>
          </w:p>
        </w:tc>
        <w:tc>
          <w:tcPr>
            <w:tcW w:w="1616"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127"/>
              <w:ind w:right="1"/>
              <w:jc w:val="right"/>
              <w:rPr>
                <w:rFonts w:ascii="Times New Roman" w:hAnsi="Times New Roman" w:cs="Times New Roman" w:eastAsia="Times New Roman" w:hint="default"/>
                <w:sz w:val="18"/>
                <w:szCs w:val="18"/>
              </w:rPr>
            </w:pPr>
            <w:r>
              <w:rPr>
                <w:rFonts w:ascii="Times New Roman"/>
                <w:spacing w:val="-1"/>
                <w:sz w:val="18"/>
              </w:rPr>
              <w:t>0.10</w:t>
            </w:r>
          </w:p>
        </w:tc>
        <w:tc>
          <w:tcPr>
            <w:tcW w:w="1335"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127"/>
              <w:ind w:right="0"/>
              <w:jc w:val="right"/>
              <w:rPr>
                <w:rFonts w:ascii="Times New Roman" w:hAnsi="Times New Roman" w:cs="Times New Roman" w:eastAsia="Times New Roman" w:hint="default"/>
                <w:sz w:val="18"/>
                <w:szCs w:val="18"/>
              </w:rPr>
            </w:pPr>
            <w:r>
              <w:rPr>
                <w:rFonts w:ascii="Times New Roman"/>
                <w:spacing w:val="-1"/>
                <w:sz w:val="18"/>
              </w:rPr>
              <w:t>-269.70</w:t>
            </w:r>
          </w:p>
        </w:tc>
      </w:tr>
      <w:tr>
        <w:trPr>
          <w:trHeight w:val="492" w:hRule="exact"/>
        </w:trPr>
        <w:tc>
          <w:tcPr>
            <w:tcW w:w="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9"/>
              <w:ind w:left="4"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1885" w:type="dxa"/>
            <w:vMerge/>
            <w:tcBorders>
              <w:left w:val="single" w:sz="6" w:space="0" w:color="000000"/>
              <w:bottom w:val="single" w:sz="8" w:space="0" w:color="000000"/>
              <w:right w:val="single" w:sz="6" w:space="0" w:color="000000"/>
            </w:tcBorders>
          </w:tcPr>
          <w:p>
            <w:pP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9.63</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2"/>
              <w:ind w:right="2"/>
              <w:jc w:val="right"/>
              <w:rPr>
                <w:rFonts w:ascii="Times New Roman" w:hAnsi="Times New Roman" w:cs="Times New Roman" w:eastAsia="Times New Roman" w:hint="default"/>
                <w:sz w:val="18"/>
                <w:szCs w:val="18"/>
              </w:rPr>
            </w:pPr>
            <w:r>
              <w:rPr>
                <w:rFonts w:ascii="Times New Roman"/>
                <w:spacing w:val="-1"/>
                <w:sz w:val="18"/>
              </w:rPr>
              <w:t>9.63</w:t>
            </w:r>
          </w:p>
        </w:tc>
        <w:tc>
          <w:tcPr>
            <w:tcW w:w="1616"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r>
      <w:tr>
        <w:trPr>
          <w:trHeight w:val="490" w:hRule="exact"/>
        </w:trPr>
        <w:tc>
          <w:tcPr>
            <w:tcW w:w="93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87"/>
              <w:ind w:left="4"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885" w:type="dxa"/>
            <w:tcBorders>
              <w:top w:val="single" w:sz="8" w:space="0" w:color="000000"/>
              <w:left w:val="single" w:sz="6" w:space="0" w:color="000000"/>
              <w:bottom w:val="single" w:sz="8" w:space="0" w:color="000000"/>
              <w:right w:val="single" w:sz="6" w:space="0" w:color="000000"/>
            </w:tcBorders>
          </w:tcPr>
          <w:p>
            <w:pPr/>
          </w:p>
        </w:tc>
        <w:tc>
          <w:tcPr>
            <w:tcW w:w="1618"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b/>
                <w:spacing w:val="-1"/>
                <w:sz w:val="18"/>
              </w:rPr>
              <w:t>-636.87</w:t>
            </w:r>
            <w:r>
              <w:rPr>
                <w:rFonts w:ascii="Times New Roman"/>
                <w:spacing w:val="-1"/>
                <w:sz w:val="18"/>
              </w:rPr>
            </w:r>
          </w:p>
        </w:tc>
        <w:tc>
          <w:tcPr>
            <w:tcW w:w="133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4"/>
              <w:ind w:right="2"/>
              <w:jc w:val="right"/>
              <w:rPr>
                <w:rFonts w:ascii="Times New Roman" w:hAnsi="Times New Roman" w:cs="Times New Roman" w:eastAsia="Times New Roman" w:hint="default"/>
                <w:sz w:val="18"/>
                <w:szCs w:val="18"/>
              </w:rPr>
            </w:pPr>
            <w:r>
              <w:rPr>
                <w:rFonts w:ascii="Times New Roman"/>
                <w:b/>
                <w:spacing w:val="-1"/>
                <w:sz w:val="18"/>
              </w:rPr>
              <w:t>-541.31</w:t>
            </w:r>
            <w:r>
              <w:rPr>
                <w:rFonts w:ascii="Times New Roman"/>
                <w:spacing w:val="-1"/>
                <w:sz w:val="18"/>
              </w:rPr>
            </w:r>
          </w:p>
        </w:tc>
        <w:tc>
          <w:tcPr>
            <w:tcW w:w="161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4"/>
              <w:ind w:right="1"/>
              <w:jc w:val="right"/>
              <w:rPr>
                <w:rFonts w:ascii="Times New Roman" w:hAnsi="Times New Roman" w:cs="Times New Roman" w:eastAsia="Times New Roman" w:hint="default"/>
                <w:sz w:val="18"/>
                <w:szCs w:val="18"/>
              </w:rPr>
            </w:pPr>
            <w:r>
              <w:rPr>
                <w:rFonts w:ascii="Times New Roman"/>
                <w:b/>
                <w:spacing w:val="-1"/>
                <w:sz w:val="18"/>
              </w:rPr>
              <w:t>-900.18</w:t>
            </w:r>
            <w:r>
              <w:rPr>
                <w:rFonts w:ascii="Times New Roman"/>
                <w:spacing w:val="-1"/>
                <w:sz w:val="18"/>
              </w:rPr>
            </w:r>
          </w:p>
        </w:tc>
        <w:tc>
          <w:tcPr>
            <w:tcW w:w="133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4"/>
              <w:ind w:right="0"/>
              <w:jc w:val="right"/>
              <w:rPr>
                <w:rFonts w:ascii="Times New Roman" w:hAnsi="Times New Roman" w:cs="Times New Roman" w:eastAsia="Times New Roman" w:hint="default"/>
                <w:sz w:val="18"/>
                <w:szCs w:val="18"/>
              </w:rPr>
            </w:pPr>
            <w:r>
              <w:rPr>
                <w:rFonts w:ascii="Times New Roman"/>
                <w:b/>
                <w:spacing w:val="-1"/>
                <w:sz w:val="18"/>
              </w:rPr>
              <w:t>-1,169.98</w:t>
            </w:r>
            <w:r>
              <w:rPr>
                <w:rFonts w:ascii="Times New Roman"/>
                <w:spacing w:val="-1"/>
                <w:sz w:val="18"/>
              </w:rPr>
            </w:r>
          </w:p>
        </w:tc>
      </w:tr>
    </w:tbl>
    <w:p>
      <w:pPr>
        <w:pStyle w:val="BodyText"/>
        <w:spacing w:line="451" w:lineRule="auto" w:before="88"/>
        <w:ind w:left="513" w:right="1213"/>
        <w:jc w:val="left"/>
      </w:pPr>
      <w:r>
        <w:rPr>
          <w:rFonts w:ascii="Times New Roman" w:hAnsi="Times New Roman" w:cs="Times New Roman" w:eastAsia="Times New Roman" w:hint="default"/>
        </w:rPr>
        <w:t>2)</w:t>
      </w:r>
      <w:r>
        <w:rPr/>
        <w:t>利率风险敏感性分析</w:t>
      </w:r>
      <w:r>
        <w:rPr>
          <w:w w:val="99"/>
        </w:rPr>
        <w:t> </w:t>
      </w:r>
      <w:r>
        <w:rPr/>
        <w:t>下表为利率风险的敏感性分析，反映了在其它变量不变的假设下，利率发生合理、可能的变动时，将对净利润的影响</w:t>
      </w:r>
    </w:p>
    <w:p>
      <w:pPr>
        <w:pStyle w:val="BodyText"/>
        <w:spacing w:line="240" w:lineRule="auto" w:before="74"/>
        <w:ind w:right="0"/>
        <w:jc w:val="left"/>
      </w:pPr>
      <w:r>
        <w:rPr/>
        <w:t>如下：</w:t>
      </w:r>
    </w:p>
    <w:p>
      <w:pPr>
        <w:spacing w:line="240" w:lineRule="auto" w:before="0"/>
        <w:rPr>
          <w:rFonts w:ascii="宋体" w:hAnsi="宋体" w:cs="宋体" w:eastAsia="宋体" w:hint="default"/>
          <w:sz w:val="18"/>
          <w:szCs w:val="18"/>
        </w:rPr>
      </w:pPr>
    </w:p>
    <w:p>
      <w:pPr>
        <w:pStyle w:val="BodyText"/>
        <w:spacing w:line="240" w:lineRule="auto" w:before="157"/>
        <w:ind w:left="0" w:right="1601"/>
        <w:jc w:val="right"/>
      </w:pPr>
      <w:r>
        <w:rPr/>
        <w:t>单位：万元</w:t>
      </w:r>
    </w:p>
    <w:p>
      <w:pPr>
        <w:spacing w:line="240" w:lineRule="auto" w:before="4"/>
        <w:rPr>
          <w:rFonts w:ascii="宋体" w:hAnsi="宋体" w:cs="宋体" w:eastAsia="宋体" w:hint="default"/>
          <w:sz w:val="5"/>
          <w:szCs w:val="5"/>
        </w:rPr>
      </w:pPr>
    </w:p>
    <w:tbl>
      <w:tblPr>
        <w:tblW w:w="0" w:type="auto"/>
        <w:jc w:val="left"/>
        <w:tblInd w:w="605" w:type="dxa"/>
        <w:tblLayout w:type="fixed"/>
        <w:tblCellMar>
          <w:top w:w="0" w:type="dxa"/>
          <w:left w:w="0" w:type="dxa"/>
          <w:bottom w:w="0" w:type="dxa"/>
          <w:right w:w="0" w:type="dxa"/>
        </w:tblCellMar>
        <w:tblLook w:val="01E0"/>
      </w:tblPr>
      <w:tblGrid>
        <w:gridCol w:w="2279"/>
        <w:gridCol w:w="1659"/>
        <w:gridCol w:w="1709"/>
        <w:gridCol w:w="1424"/>
        <w:gridCol w:w="1652"/>
      </w:tblGrid>
      <w:tr>
        <w:trPr>
          <w:trHeight w:val="488" w:hRule="exact"/>
        </w:trPr>
        <w:tc>
          <w:tcPr>
            <w:tcW w:w="227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利率变动</w:t>
            </w:r>
          </w:p>
        </w:tc>
        <w:tc>
          <w:tcPr>
            <w:tcW w:w="3368"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3075"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480" w:hRule="exact"/>
        </w:trPr>
        <w:tc>
          <w:tcPr>
            <w:tcW w:w="2279" w:type="dxa"/>
            <w:vMerge/>
            <w:tcBorders>
              <w:left w:val="single" w:sz="6" w:space="0" w:color="000000"/>
              <w:bottom w:val="single" w:sz="8" w:space="0" w:color="000000"/>
              <w:right w:val="single" w:sz="6" w:space="0" w:color="000000"/>
            </w:tcBorders>
            <w:shd w:val="clear" w:color="auto" w:fill="D9D9D9"/>
          </w:tcPr>
          <w:p>
            <w:pPr/>
          </w:p>
        </w:tc>
        <w:tc>
          <w:tcPr>
            <w:tcW w:w="1659" w:type="dxa"/>
            <w:tcBorders>
              <w:top w:val="single" w:sz="6" w:space="0" w:color="000000"/>
              <w:left w:val="single" w:sz="6" w:space="0" w:color="000000"/>
              <w:bottom w:val="nil" w:sz="6" w:space="0" w:color="auto"/>
              <w:right w:val="single" w:sz="6" w:space="0" w:color="000000"/>
            </w:tcBorders>
            <w:shd w:val="clear" w:color="auto" w:fill="D9D9D9"/>
          </w:tcPr>
          <w:p>
            <w:pPr>
              <w:pStyle w:val="TableParagraph"/>
              <w:spacing w:line="240" w:lineRule="auto" w:before="89"/>
              <w:ind w:left="463" w:right="0"/>
              <w:jc w:val="left"/>
              <w:rPr>
                <w:rFonts w:ascii="宋体" w:hAnsi="宋体" w:cs="宋体" w:eastAsia="宋体" w:hint="default"/>
                <w:sz w:val="18"/>
                <w:szCs w:val="18"/>
              </w:rPr>
            </w:pPr>
            <w:r>
              <w:rPr>
                <w:rFonts w:ascii="宋体" w:hAnsi="宋体" w:cs="宋体" w:eastAsia="宋体" w:hint="default"/>
                <w:sz w:val="18"/>
                <w:szCs w:val="18"/>
              </w:rPr>
              <w:t>对净利润</w:t>
            </w:r>
          </w:p>
        </w:tc>
        <w:tc>
          <w:tcPr>
            <w:tcW w:w="1709" w:type="dxa"/>
            <w:tcBorders>
              <w:top w:val="single" w:sz="6" w:space="0" w:color="000000"/>
              <w:left w:val="single" w:sz="6" w:space="0" w:color="000000"/>
              <w:bottom w:val="nil" w:sz="6" w:space="0" w:color="auto"/>
              <w:right w:val="single" w:sz="6" w:space="0" w:color="000000"/>
            </w:tcBorders>
            <w:shd w:val="clear" w:color="auto" w:fill="D9D9D9"/>
          </w:tcPr>
          <w:p>
            <w:pPr>
              <w:pStyle w:val="TableParagraph"/>
              <w:spacing w:line="240" w:lineRule="auto" w:before="89"/>
              <w:ind w:left="307" w:right="0"/>
              <w:jc w:val="left"/>
              <w:rPr>
                <w:rFonts w:ascii="宋体" w:hAnsi="宋体" w:cs="宋体" w:eastAsia="宋体" w:hint="default"/>
                <w:sz w:val="18"/>
                <w:szCs w:val="18"/>
              </w:rPr>
            </w:pPr>
            <w:r>
              <w:rPr>
                <w:rFonts w:ascii="宋体" w:hAnsi="宋体" w:cs="宋体" w:eastAsia="宋体" w:hint="default"/>
                <w:sz w:val="18"/>
                <w:szCs w:val="18"/>
              </w:rPr>
              <w:t>对所有者权益</w:t>
            </w:r>
          </w:p>
        </w:tc>
        <w:tc>
          <w:tcPr>
            <w:tcW w:w="1424" w:type="dxa"/>
            <w:tcBorders>
              <w:top w:val="single" w:sz="6" w:space="0" w:color="000000"/>
              <w:left w:val="single" w:sz="6" w:space="0" w:color="000000"/>
              <w:bottom w:val="nil" w:sz="6" w:space="0" w:color="auto"/>
              <w:right w:val="single" w:sz="6" w:space="0" w:color="000000"/>
            </w:tcBorders>
            <w:shd w:val="clear" w:color="auto" w:fill="D9D9D9"/>
          </w:tcPr>
          <w:p>
            <w:pPr>
              <w:pStyle w:val="TableParagraph"/>
              <w:spacing w:line="240" w:lineRule="auto" w:before="89"/>
              <w:ind w:left="343" w:right="0"/>
              <w:jc w:val="left"/>
              <w:rPr>
                <w:rFonts w:ascii="宋体" w:hAnsi="宋体" w:cs="宋体" w:eastAsia="宋体" w:hint="default"/>
                <w:sz w:val="18"/>
                <w:szCs w:val="18"/>
              </w:rPr>
            </w:pPr>
            <w:r>
              <w:rPr>
                <w:rFonts w:ascii="宋体" w:hAnsi="宋体" w:cs="宋体" w:eastAsia="宋体" w:hint="default"/>
                <w:sz w:val="18"/>
                <w:szCs w:val="18"/>
              </w:rPr>
              <w:t>对净利润</w:t>
            </w:r>
          </w:p>
        </w:tc>
        <w:tc>
          <w:tcPr>
            <w:tcW w:w="1652" w:type="dxa"/>
            <w:tcBorders>
              <w:top w:val="single" w:sz="6" w:space="0" w:color="000000"/>
              <w:left w:val="single" w:sz="6" w:space="0" w:color="000000"/>
              <w:bottom w:val="nil" w:sz="6" w:space="0" w:color="auto"/>
              <w:right w:val="single" w:sz="6" w:space="0" w:color="000000"/>
            </w:tcBorders>
            <w:shd w:val="clear" w:color="auto" w:fill="D9D9D9"/>
          </w:tcPr>
          <w:p>
            <w:pPr>
              <w:pStyle w:val="TableParagraph"/>
              <w:spacing w:line="240" w:lineRule="auto" w:before="89"/>
              <w:ind w:left="278" w:right="0"/>
              <w:jc w:val="left"/>
              <w:rPr>
                <w:rFonts w:ascii="宋体" w:hAnsi="宋体" w:cs="宋体" w:eastAsia="宋体" w:hint="default"/>
                <w:sz w:val="18"/>
                <w:szCs w:val="18"/>
              </w:rPr>
            </w:pPr>
            <w:r>
              <w:rPr>
                <w:rFonts w:ascii="宋体" w:hAnsi="宋体" w:cs="宋体" w:eastAsia="宋体" w:hint="default"/>
                <w:sz w:val="18"/>
                <w:szCs w:val="18"/>
              </w:rPr>
              <w:t>对所有者权益</w:t>
            </w:r>
          </w:p>
        </w:tc>
      </w:tr>
    </w:tbl>
    <w:p>
      <w:pPr>
        <w:spacing w:after="0" w:line="240" w:lineRule="auto"/>
        <w:jc w:val="left"/>
        <w:rPr>
          <w:rFonts w:ascii="宋体" w:hAnsi="宋体" w:cs="宋体" w:eastAsia="宋体"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604" w:type="dxa"/>
        <w:tblLayout w:type="fixed"/>
        <w:tblCellMar>
          <w:top w:w="0" w:type="dxa"/>
          <w:left w:w="0" w:type="dxa"/>
          <w:bottom w:w="0" w:type="dxa"/>
          <w:right w:w="0" w:type="dxa"/>
        </w:tblCellMar>
        <w:tblLook w:val="01E0"/>
      </w:tblPr>
      <w:tblGrid>
        <w:gridCol w:w="2281"/>
        <w:gridCol w:w="1659"/>
        <w:gridCol w:w="1709"/>
        <w:gridCol w:w="1424"/>
        <w:gridCol w:w="1652"/>
      </w:tblGrid>
      <w:tr>
        <w:trPr>
          <w:trHeight w:val="492" w:hRule="exact"/>
        </w:trPr>
        <w:tc>
          <w:tcPr>
            <w:tcW w:w="2281" w:type="dxa"/>
            <w:tcBorders>
              <w:top w:val="single" w:sz="6" w:space="0" w:color="000000"/>
              <w:left w:val="single" w:sz="6" w:space="0" w:color="000000"/>
              <w:bottom w:val="single" w:sz="8" w:space="0" w:color="000000"/>
              <w:right w:val="single" w:sz="6" w:space="0" w:color="000000"/>
            </w:tcBorders>
            <w:shd w:val="clear" w:color="auto" w:fill="D9D9D9"/>
          </w:tcPr>
          <w:p>
            <w:pPr/>
          </w:p>
        </w:tc>
        <w:tc>
          <w:tcPr>
            <w:tcW w:w="16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的影响</w:t>
            </w:r>
          </w:p>
        </w:tc>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的影响</w:t>
            </w:r>
          </w:p>
        </w:tc>
        <w:tc>
          <w:tcPr>
            <w:tcW w:w="142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left="435" w:right="0"/>
              <w:jc w:val="left"/>
              <w:rPr>
                <w:rFonts w:ascii="宋体" w:hAnsi="宋体" w:cs="宋体" w:eastAsia="宋体" w:hint="default"/>
                <w:sz w:val="18"/>
                <w:szCs w:val="18"/>
              </w:rPr>
            </w:pPr>
            <w:r>
              <w:rPr>
                <w:rFonts w:ascii="宋体" w:hAnsi="宋体" w:cs="宋体" w:eastAsia="宋体" w:hint="default"/>
                <w:sz w:val="18"/>
                <w:szCs w:val="18"/>
              </w:rPr>
              <w:t>的影响</w:t>
            </w:r>
          </w:p>
        </w:tc>
        <w:tc>
          <w:tcPr>
            <w:tcW w:w="16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的影响</w:t>
            </w:r>
          </w:p>
        </w:tc>
      </w:tr>
      <w:tr>
        <w:trPr>
          <w:trHeight w:val="485" w:hRule="exact"/>
        </w:trPr>
        <w:tc>
          <w:tcPr>
            <w:tcW w:w="2281"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85"/>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若利率增加</w:t>
            </w:r>
            <w:r>
              <w:rPr>
                <w:rFonts w:ascii="Times New Roman" w:hAnsi="Times New Roman" w:cs="Times New Roman" w:eastAsia="Times New Roman" w:hint="default"/>
                <w:sz w:val="18"/>
                <w:szCs w:val="18"/>
              </w:rPr>
              <w:t>1%</w:t>
            </w:r>
          </w:p>
        </w:tc>
        <w:tc>
          <w:tcPr>
            <w:tcW w:w="16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-603.38</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-603.38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1"/>
              <w:jc w:val="right"/>
              <w:rPr>
                <w:rFonts w:ascii="Times New Roman" w:hAnsi="Times New Roman" w:cs="Times New Roman" w:eastAsia="Times New Roman" w:hint="default"/>
                <w:sz w:val="18"/>
                <w:szCs w:val="18"/>
              </w:rPr>
            </w:pPr>
            <w:r>
              <w:rPr>
                <w:rFonts w:ascii="Times New Roman"/>
                <w:spacing w:val="-1"/>
                <w:sz w:val="18"/>
              </w:rPr>
              <w:t>-731.39</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9"/>
              <w:ind w:right="0"/>
              <w:jc w:val="right"/>
              <w:rPr>
                <w:rFonts w:ascii="Times New Roman" w:hAnsi="Times New Roman" w:cs="Times New Roman" w:eastAsia="Times New Roman" w:hint="default"/>
                <w:sz w:val="18"/>
                <w:szCs w:val="18"/>
              </w:rPr>
            </w:pPr>
            <w:r>
              <w:rPr>
                <w:rFonts w:ascii="Times New Roman"/>
                <w:spacing w:val="-1"/>
                <w:sz w:val="18"/>
              </w:rPr>
              <w:t>-731.39</w:t>
            </w:r>
          </w:p>
        </w:tc>
      </w:tr>
      <w:tr>
        <w:trPr>
          <w:trHeight w:val="494" w:hRule="exact"/>
        </w:trPr>
        <w:tc>
          <w:tcPr>
            <w:tcW w:w="228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8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若利率减少</w:t>
            </w:r>
            <w:r>
              <w:rPr>
                <w:rFonts w:ascii="Times New Roman" w:hAnsi="Times New Roman" w:cs="Times New Roman" w:eastAsia="Times New Roman" w:hint="default"/>
                <w:sz w:val="18"/>
                <w:szCs w:val="18"/>
              </w:rPr>
              <w:t>1%</w:t>
            </w:r>
          </w:p>
        </w:tc>
        <w:tc>
          <w:tcPr>
            <w:tcW w:w="165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603.38</w:t>
            </w:r>
          </w:p>
        </w:tc>
        <w:tc>
          <w:tcPr>
            <w:tcW w:w="170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603.38</w:t>
            </w:r>
          </w:p>
        </w:tc>
        <w:tc>
          <w:tcPr>
            <w:tcW w:w="142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2"/>
              <w:ind w:right="1"/>
              <w:jc w:val="right"/>
              <w:rPr>
                <w:rFonts w:ascii="Times New Roman" w:hAnsi="Times New Roman" w:cs="Times New Roman" w:eastAsia="Times New Roman" w:hint="default"/>
                <w:sz w:val="18"/>
                <w:szCs w:val="18"/>
              </w:rPr>
            </w:pPr>
            <w:r>
              <w:rPr>
                <w:rFonts w:ascii="Times New Roman"/>
                <w:spacing w:val="-1"/>
                <w:sz w:val="18"/>
              </w:rPr>
              <w:t>731.39</w:t>
            </w:r>
          </w:p>
        </w:tc>
        <w:tc>
          <w:tcPr>
            <w:tcW w:w="165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32"/>
              <w:ind w:right="0"/>
              <w:jc w:val="right"/>
              <w:rPr>
                <w:rFonts w:ascii="Times New Roman" w:hAnsi="Times New Roman" w:cs="Times New Roman" w:eastAsia="Times New Roman" w:hint="default"/>
                <w:sz w:val="18"/>
                <w:szCs w:val="18"/>
              </w:rPr>
            </w:pPr>
            <w:r>
              <w:rPr>
                <w:rFonts w:ascii="Times New Roman"/>
                <w:spacing w:val="-1"/>
                <w:sz w:val="18"/>
              </w:rPr>
              <w:t>731.39</w:t>
            </w:r>
          </w:p>
        </w:tc>
      </w:tr>
    </w:tbl>
    <w:p>
      <w:pPr>
        <w:spacing w:line="240" w:lineRule="auto" w:before="11"/>
        <w:rPr>
          <w:rFonts w:ascii="宋体" w:hAnsi="宋体" w:cs="宋体" w:eastAsia="宋体" w:hint="default"/>
          <w:sz w:val="17"/>
          <w:szCs w:val="17"/>
        </w:rPr>
      </w:pPr>
    </w:p>
    <w:p>
      <w:pPr>
        <w:pStyle w:val="Heading2"/>
        <w:spacing w:line="240" w:lineRule="auto" w:before="26"/>
        <w:ind w:right="0"/>
        <w:jc w:val="left"/>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994"/>
        <w:gridCol w:w="1976"/>
        <w:gridCol w:w="1985"/>
        <w:gridCol w:w="1983"/>
        <w:gridCol w:w="1632"/>
      </w:tblGrid>
      <w:tr>
        <w:trPr>
          <w:trHeight w:val="433"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80"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1" w:right="0"/>
              <w:jc w:val="center"/>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88"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86"/>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158"/>
              <w:jc w:val="left"/>
              <w:rPr>
                <w:rFonts w:ascii="宋体" w:hAnsi="宋体" w:cs="宋体" w:eastAsia="宋体" w:hint="default"/>
                <w:sz w:val="18"/>
                <w:szCs w:val="18"/>
              </w:rPr>
            </w:pPr>
            <w:r>
              <w:rPr>
                <w:rFonts w:ascii="宋体" w:hAnsi="宋体" w:cs="宋体" w:eastAsia="宋体" w:hint="default"/>
                <w:sz w:val="18"/>
                <w:szCs w:val="18"/>
              </w:rPr>
              <w:t>一、持续的公允价值计 量</w:t>
            </w:r>
          </w:p>
        </w:tc>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6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97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552,190,473.67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244,388,652.68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796,579,126.35</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（三）其他权益工具投 资</w:t>
            </w:r>
          </w:p>
        </w:tc>
        <w:tc>
          <w:tcPr>
            <w:tcW w:w="197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113,274,212.00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113,274,212.00</w:t>
            </w:r>
          </w:p>
        </w:tc>
      </w:tr>
      <w:tr>
        <w:trPr>
          <w:trHeight w:val="71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976" w:type="dxa"/>
            <w:tcBorders>
              <w:top w:val="single" w:sz="4" w:space="0" w:color="000000"/>
              <w:left w:val="single" w:sz="4" w:space="0" w:color="000000"/>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552,190,473.67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357,662,864.68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909,853,338.35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、持续和非持续第二层次公允价值计量项目，采用的估值技术和重要参数的定性及定量信息</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216" w:firstLine="357"/>
        <w:jc w:val="left"/>
      </w:pPr>
      <w:r>
        <w:rPr/>
        <w:t>每个资产负债表日，财务部门从金融机构或第三方机构取得金融工具的公允价值，按照金融机构或第三方机构出具的 公允值确认。</w:t>
      </w:r>
    </w:p>
    <w:p>
      <w:pPr>
        <w:pStyle w:val="BodyText"/>
        <w:spacing w:line="477" w:lineRule="auto" w:before="54"/>
        <w:ind w:right="1396" w:firstLine="357"/>
        <w:jc w:val="left"/>
      </w:pPr>
      <w:r>
        <w:rPr/>
        <w:t>金融资产和金融负债的公允价值，以在公平交易中，熟悉情况的交易双方自愿进行资产交换或者债务清偿的金额确 定，而不是被迫出售或清算情况下的金额。</w:t>
      </w:r>
    </w:p>
    <w:p>
      <w:pPr>
        <w:spacing w:line="240" w:lineRule="auto" w:before="6"/>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rPr>
        <w:t>3</w:t>
      </w:r>
      <w:r>
        <w:rPr/>
        <w:t>、持续和非持续第三层次公允价值计量项目，采用的估值技术和重要参数的定性及定量信息</w:t>
      </w:r>
      <w:r>
        <w:rPr>
          <w:b w:val="0"/>
          <w:bCs w:val="0"/>
        </w:rPr>
      </w:r>
    </w:p>
    <w:p>
      <w:pPr>
        <w:spacing w:line="240" w:lineRule="auto" w:before="5"/>
        <w:rPr>
          <w:rFonts w:ascii="宋体" w:hAnsi="宋体" w:cs="宋体" w:eastAsia="宋体" w:hint="default"/>
          <w:b/>
          <w:bCs/>
          <w:sz w:val="32"/>
          <w:szCs w:val="32"/>
        </w:rPr>
      </w:pPr>
    </w:p>
    <w:p>
      <w:pPr>
        <w:pStyle w:val="BodyText"/>
        <w:spacing w:line="477" w:lineRule="auto"/>
        <w:ind w:right="0" w:firstLine="360"/>
        <w:jc w:val="left"/>
      </w:pPr>
      <w:r>
        <w:rPr>
          <w:spacing w:val="-2"/>
        </w:rPr>
        <w:t>对于非上市股权投资、基金投资等，本集团从交易对手处询价或者采用估值技术来确定其公允价值，估值技术包括收益</w:t>
      </w:r>
      <w:r>
        <w:rPr/>
        <w:t> 法和市场法等。</w:t>
      </w:r>
    </w:p>
    <w:p>
      <w:pPr>
        <w:pStyle w:val="BodyText"/>
        <w:spacing w:line="240" w:lineRule="auto" w:before="95"/>
        <w:ind w:left="513" w:right="0"/>
        <w:jc w:val="left"/>
      </w:pPr>
      <w:r>
        <w:rPr/>
        <w:t>本集团以第三层次公允价值计量的项目系认购的</w:t>
      </w:r>
      <w:r>
        <w:rPr>
          <w:spacing w:val="-1"/>
        </w:rPr>
        <w:t> </w:t>
      </w:r>
      <w:r>
        <w:rPr/>
        <w:t>“弘坤稳健</w:t>
      </w:r>
      <w:r>
        <w:rPr>
          <w:spacing w:val="-45"/>
        </w:rPr>
        <w:t> </w:t>
      </w:r>
      <w:r>
        <w:rPr>
          <w:rFonts w:ascii="Times New Roman" w:hAnsi="Times New Roman" w:cs="Times New Roman" w:eastAsia="Times New Roman" w:hint="default"/>
        </w:rPr>
        <w:t>7 </w:t>
      </w:r>
      <w:r>
        <w:rPr/>
        <w:t>号私募投资基金”及其他权益工具投资。</w:t>
      </w:r>
    </w:p>
    <w:p>
      <w:pPr>
        <w:spacing w:after="0" w:line="240" w:lineRule="auto"/>
        <w:jc w:val="left"/>
        <w:sectPr>
          <w:pgSz w:w="11910" w:h="16840"/>
          <w:pgMar w:header="916" w:footer="1261" w:top="1120" w:bottom="1460" w:left="980" w:right="0"/>
        </w:sectPr>
      </w:pPr>
    </w:p>
    <w:p>
      <w:pPr>
        <w:spacing w:line="240" w:lineRule="auto" w:before="8"/>
        <w:rPr>
          <w:rFonts w:ascii="宋体" w:hAnsi="宋体" w:cs="宋体" w:eastAsia="宋体" w:hint="default"/>
          <w:sz w:val="18"/>
          <w:szCs w:val="18"/>
        </w:rPr>
      </w:pPr>
    </w:p>
    <w:p>
      <w:pPr>
        <w:pStyle w:val="Heading2"/>
        <w:spacing w:line="240" w:lineRule="auto" w:before="26"/>
        <w:ind w:right="0"/>
        <w:jc w:val="left"/>
        <w:rPr>
          <w:b w:val="0"/>
          <w:bCs w:val="0"/>
        </w:rPr>
      </w:pP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2108"/>
        <w:gridCol w:w="1082"/>
        <w:gridCol w:w="1594"/>
        <w:gridCol w:w="1594"/>
        <w:gridCol w:w="1594"/>
        <w:gridCol w:w="1596"/>
      </w:tblGrid>
      <w:tr>
        <w:trPr>
          <w:trHeight w:val="715" w:hRule="exact"/>
        </w:trPr>
        <w:tc>
          <w:tcPr>
            <w:tcW w:w="2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0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0"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63" w:hRule="exact"/>
        </w:trPr>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475"/>
              <w:jc w:val="righ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08" w:right="0"/>
              <w:jc w:val="left"/>
              <w:rPr>
                <w:rFonts w:ascii="Times New Roman" w:hAnsi="Times New Roman" w:cs="Times New Roman" w:eastAsia="Times New Roman" w:hint="default"/>
                <w:sz w:val="18"/>
                <w:szCs w:val="18"/>
              </w:rPr>
            </w:pPr>
            <w:r>
              <w:rPr>
                <w:rFonts w:ascii="Times New Roman"/>
                <w:sz w:val="18"/>
              </w:rPr>
              <w:t>40.43%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08" w:right="0"/>
              <w:jc w:val="left"/>
              <w:rPr>
                <w:rFonts w:ascii="Times New Roman" w:hAnsi="Times New Roman" w:cs="Times New Roman" w:eastAsia="Times New Roman" w:hint="default"/>
                <w:sz w:val="18"/>
                <w:szCs w:val="18"/>
              </w:rPr>
            </w:pPr>
            <w:r>
              <w:rPr>
                <w:rFonts w:ascii="Times New Roman"/>
                <w:sz w:val="18"/>
              </w:rPr>
              <w:t>40.43%</w:t>
            </w:r>
          </w:p>
        </w:tc>
      </w:tr>
    </w:tbl>
    <w:p>
      <w:pPr>
        <w:pStyle w:val="BodyText"/>
        <w:spacing w:line="547" w:lineRule="auto" w:before="49"/>
        <w:ind w:right="4948"/>
        <w:jc w:val="left"/>
      </w:pPr>
      <w:r>
        <w:rPr/>
        <w:t>本企业最终控制方是</w:t>
      </w:r>
      <w:r>
        <w:rPr>
          <w:spacing w:val="-46"/>
        </w:rPr>
        <w:t> </w:t>
      </w:r>
      <w:r>
        <w:rPr>
          <w:rFonts w:ascii="Times New Roman" w:hAnsi="Times New Roman" w:cs="Times New Roman" w:eastAsia="Times New Roman" w:hint="default"/>
        </w:rPr>
        <w:t>Digital</w:t>
      </w:r>
      <w:r>
        <w:rPr>
          <w:rFonts w:ascii="Times New Roman" w:hAnsi="Times New Roman" w:cs="Times New Roman" w:eastAsia="Times New Roman" w:hint="default"/>
          <w:spacing w:val="-1"/>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2"/>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1"/>
        </w:rPr>
        <w:t> </w:t>
      </w:r>
      <w:r>
        <w:rPr>
          <w:rFonts w:ascii="Times New Roman" w:hAnsi="Times New Roman" w:cs="Times New Roman" w:eastAsia="Times New Roman" w:hint="default"/>
        </w:rPr>
        <w:t>Limited</w:t>
      </w:r>
      <w:r>
        <w:rPr/>
        <w:t>。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t>本企业子公司的情况详见附注“九、</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）企业集团的构成”相关内容。</w:t>
      </w:r>
    </w:p>
    <w:p>
      <w:pPr>
        <w:pStyle w:val="Heading4"/>
        <w:spacing w:line="240" w:lineRule="auto" w:before="87"/>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2293"/>
        <w:jc w:val="left"/>
      </w:pPr>
      <w:r>
        <w:rPr/>
        <w:t>本企业重要的合营或联营企业详见附注“九、</w:t>
      </w:r>
      <w:r>
        <w:rPr>
          <w:rFonts w:ascii="Times New Roman" w:hAnsi="Times New Roman" w:cs="Times New Roman" w:eastAsia="Times New Roman" w:hint="default"/>
        </w:rPr>
        <w:t>2.</w:t>
      </w:r>
      <w:r>
        <w:rPr/>
        <w:t>（</w:t>
      </w:r>
      <w:r>
        <w:rPr>
          <w:rFonts w:ascii="Times New Roman" w:hAnsi="Times New Roman" w:cs="Times New Roman" w:eastAsia="Times New Roman" w:hint="default"/>
        </w:rPr>
        <w:t>1</w:t>
      </w:r>
      <w:r>
        <w:rPr/>
        <w:t>）重要的联营企业”相关内容。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782"/>
        <w:gridCol w:w="4787"/>
      </w:tblGrid>
      <w:tr>
        <w:trPr>
          <w:trHeight w:val="46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6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天津国科量子科技有限公司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782"/>
        <w:gridCol w:w="4787"/>
      </w:tblGrid>
      <w:tr>
        <w:trPr>
          <w:trHeight w:val="466"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辽宁智慧山水城科技发展有限公司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福建智慧海西信息技术有限公司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智慧徐州建设投资发展有限公司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北京因特睿软件有限公司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bl>
    <w:p>
      <w:pPr>
        <w:spacing w:after="0" w:line="240" w:lineRule="auto"/>
        <w:jc w:val="left"/>
        <w:rPr>
          <w:rFonts w:ascii="宋体" w:hAnsi="宋体" w:cs="宋体" w:eastAsia="宋体" w:hint="default"/>
          <w:sz w:val="18"/>
          <w:szCs w:val="18"/>
        </w:rPr>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82" w:type="dxa"/>
        <w:tblLayout w:type="fixed"/>
        <w:tblCellMar>
          <w:top w:w="0" w:type="dxa"/>
          <w:left w:w="0" w:type="dxa"/>
          <w:bottom w:w="0" w:type="dxa"/>
          <w:right w:w="0" w:type="dxa"/>
        </w:tblCellMar>
        <w:tblLook w:val="01E0"/>
      </w:tblPr>
      <w:tblGrid>
        <w:gridCol w:w="4782"/>
        <w:gridCol w:w="4787"/>
      </w:tblGrid>
      <w:tr>
        <w:trPr>
          <w:trHeight w:val="46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Instant Technology Supply Chain Hong Kong</w:t>
            </w:r>
            <w:r>
              <w:rPr>
                <w:rFonts w:ascii="Times New Roman"/>
                <w:spacing w:val="-32"/>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pacing w:val="-3"/>
                <w:sz w:val="18"/>
              </w:rPr>
              <w:t>DIGITAL </w:t>
            </w:r>
            <w:r>
              <w:rPr>
                <w:rFonts w:ascii="Times New Roman"/>
                <w:sz w:val="18"/>
              </w:rPr>
              <w:t>CHINA HOLDINGS </w:t>
            </w:r>
            <w:r>
              <w:rPr>
                <w:rFonts w:ascii="Times New Roman"/>
                <w:spacing w:val="-7"/>
                <w:sz w:val="18"/>
              </w:rPr>
              <w:t>LTD</w:t>
            </w:r>
            <w:r>
              <w:rPr>
                <w:rFonts w:ascii="Times New Roman"/>
                <w:spacing w:val="-15"/>
                <w:sz w:val="18"/>
              </w:rPr>
              <w:t> </w:t>
            </w:r>
            <w:r>
              <w:rPr>
                <w:rFonts w:ascii="Times New Roman"/>
                <w:sz w:val="18"/>
              </w:rPr>
              <w:t>BERMUDA</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神州数码（重庆）信息科技有限公司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昆山神州数码实业有限公司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北京科捷智云技术服务有限公司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广州智慧神州科技有限公司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北京神州数码科捷技术服务有限公司深圳分公司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神州企橙（北京）科技有限公司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智慧神州南通信息科技有限公司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智慧神州（成都）运营服务有限公司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受同一控股股东及最终控制方控制的其他企业</w:t>
            </w:r>
          </w:p>
        </w:tc>
      </w:tr>
      <w:tr>
        <w:trPr>
          <w:trHeight w:val="46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Digital China (HK)</w:t>
            </w:r>
            <w:r>
              <w:rPr>
                <w:rFonts w:ascii="Times New Roman"/>
                <w:spacing w:val="-11"/>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广州城投智慧城市科技发展有限公司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神州数码医疗科技股份有限公司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北京神州数码云角信息技术有限公司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神州数码（中国）有限公司杭州分公司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神州数码（中国）有限公司西安分公司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神州数码（中国）有限公司西安分公司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杭州神州数码有限公司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北京鼎捷软件有限公司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82" w:type="dxa"/>
        <w:tblLayout w:type="fixed"/>
        <w:tblCellMar>
          <w:top w:w="0" w:type="dxa"/>
          <w:left w:w="0" w:type="dxa"/>
          <w:bottom w:w="0" w:type="dxa"/>
          <w:right w:w="0" w:type="dxa"/>
        </w:tblCellMar>
        <w:tblLook w:val="01E0"/>
      </w:tblPr>
      <w:tblGrid>
        <w:gridCol w:w="4782"/>
        <w:gridCol w:w="4787"/>
      </w:tblGrid>
      <w:tr>
        <w:trPr>
          <w:trHeight w:val="46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南京红松信息技术有限公司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江苏中江信息技术培训学校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北京首钢基金有限公司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深圳神州数码电商服务有限公司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6"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新疆金风科技股份有限公司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神州数码医疗科技股份有限公司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6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202"/>
        <w:gridCol w:w="1217"/>
        <w:gridCol w:w="1334"/>
        <w:gridCol w:w="1606"/>
        <w:gridCol w:w="864"/>
        <w:gridCol w:w="1347"/>
      </w:tblGrid>
      <w:tr>
        <w:trPr>
          <w:trHeight w:val="714" w:hRule="exact"/>
        </w:trPr>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7" w:right="65"/>
              <w:jc w:val="left"/>
              <w:rPr>
                <w:rFonts w:ascii="宋体" w:hAnsi="宋体" w:cs="宋体" w:eastAsia="宋体" w:hint="default"/>
                <w:sz w:val="18"/>
                <w:szCs w:val="18"/>
              </w:rPr>
            </w:pPr>
            <w:r>
              <w:rPr>
                <w:rFonts w:ascii="宋体" w:hAnsi="宋体" w:cs="宋体" w:eastAsia="宋体" w:hint="default"/>
                <w:sz w:val="18"/>
                <w:szCs w:val="18"/>
              </w:rPr>
              <w:t>是否超过 交易额度</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134,025,423.02</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sz w:val="18"/>
              </w:rPr>
              <w:t>347,840,000.00 </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68,647,797.04</w:t>
            </w:r>
          </w:p>
        </w:tc>
      </w:tr>
      <w:tr>
        <w:trPr>
          <w:trHeight w:val="466"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44,885,634.73</w:t>
            </w:r>
          </w:p>
        </w:tc>
        <w:tc>
          <w:tcPr>
            <w:tcW w:w="1606"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14,216,913.58</w:t>
            </w:r>
          </w:p>
        </w:tc>
      </w:tr>
      <w:tr>
        <w:trPr>
          <w:trHeight w:val="464"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1,715,865.50</w:t>
            </w:r>
          </w:p>
        </w:tc>
        <w:tc>
          <w:tcPr>
            <w:tcW w:w="1606"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1,674,799.25</w:t>
            </w:r>
          </w:p>
        </w:tc>
      </w:tr>
      <w:tr>
        <w:trPr>
          <w:trHeight w:val="46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神州数码医疗科技股份有限公司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506,375.59</w:t>
            </w:r>
          </w:p>
        </w:tc>
        <w:tc>
          <w:tcPr>
            <w:tcW w:w="1606"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14,295,298.11</w:t>
            </w:r>
          </w:p>
        </w:tc>
      </w:tr>
      <w:tr>
        <w:trPr>
          <w:trHeight w:val="466"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493,576.46</w:t>
            </w:r>
          </w:p>
        </w:tc>
        <w:tc>
          <w:tcPr>
            <w:tcW w:w="1606"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3,224,343.93</w:t>
            </w:r>
          </w:p>
        </w:tc>
      </w:tr>
      <w:tr>
        <w:trPr>
          <w:trHeight w:val="46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北京神州数码云角信息技术有限公司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2"/>
                <w:sz w:val="18"/>
              </w:rPr>
              <w:t>411,698.11</w:t>
            </w:r>
          </w:p>
        </w:tc>
        <w:tc>
          <w:tcPr>
            <w:tcW w:w="1606"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384,245.29</w:t>
            </w:r>
          </w:p>
        </w:tc>
      </w:tr>
      <w:tr>
        <w:trPr>
          <w:trHeight w:val="46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327,320.69</w:t>
            </w:r>
          </w:p>
        </w:tc>
        <w:tc>
          <w:tcPr>
            <w:tcW w:w="1606"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2,905,563.28</w:t>
            </w:r>
          </w:p>
        </w:tc>
      </w:tr>
      <w:tr>
        <w:trPr>
          <w:trHeight w:val="466"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169,811.32</w:t>
            </w:r>
          </w:p>
        </w:tc>
        <w:tc>
          <w:tcPr>
            <w:tcW w:w="1606"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226,415.09</w:t>
            </w:r>
          </w:p>
        </w:tc>
      </w:tr>
      <w:tr>
        <w:trPr>
          <w:trHeight w:val="46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神州数码（中国）有限公司杭州分公司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24,778.76</w:t>
            </w:r>
          </w:p>
        </w:tc>
        <w:tc>
          <w:tcPr>
            <w:tcW w:w="1606"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-256,741.03</w:t>
            </w:r>
          </w:p>
        </w:tc>
        <w:tc>
          <w:tcPr>
            <w:tcW w:w="1606"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3,965.52</w:t>
            </w:r>
          </w:p>
        </w:tc>
      </w:tr>
      <w:tr>
        <w:trPr>
          <w:trHeight w:val="466"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神州数码（深圳）有限公司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784,545.31</w:t>
            </w:r>
          </w:p>
        </w:tc>
      </w:tr>
      <w:tr>
        <w:trPr>
          <w:trHeight w:val="46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杭州神州数码有限公司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
        </w:tc>
        <w:tc>
          <w:tcPr>
            <w:tcW w:w="1606"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229,487.18</w:t>
            </w:r>
          </w:p>
        </w:tc>
      </w:tr>
      <w:tr>
        <w:trPr>
          <w:trHeight w:val="46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42,770,606.30</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67" w:right="0"/>
              <w:jc w:val="left"/>
              <w:rPr>
                <w:rFonts w:ascii="宋体" w:hAnsi="宋体" w:cs="宋体" w:eastAsia="宋体" w:hint="default"/>
                <w:sz w:val="18"/>
                <w:szCs w:val="18"/>
              </w:rPr>
            </w:pPr>
            <w:r>
              <w:rPr>
                <w:rFonts w:ascii="宋体"/>
                <w:sz w:val="18"/>
              </w:rPr>
              <w:t>180,085,500.00 </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1,821,759.73</w:t>
            </w:r>
          </w:p>
        </w:tc>
      </w:tr>
      <w:tr>
        <w:trPr>
          <w:trHeight w:val="466"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广州智慧神州科技有限公司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14,700,000.00</w:t>
            </w:r>
          </w:p>
        </w:tc>
        <w:tc>
          <w:tcPr>
            <w:tcW w:w="1606"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福建智慧海西信息技术有限公司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5,104,900.00</w:t>
            </w:r>
          </w:p>
        </w:tc>
        <w:tc>
          <w:tcPr>
            <w:tcW w:w="1606"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1,020,376.78</w:t>
            </w:r>
          </w:p>
        </w:tc>
        <w:tc>
          <w:tcPr>
            <w:tcW w:w="1606"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1,439,011.74</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3202"/>
        <w:gridCol w:w="1217"/>
        <w:gridCol w:w="1334"/>
        <w:gridCol w:w="1606"/>
        <w:gridCol w:w="864"/>
        <w:gridCol w:w="1347"/>
      </w:tblGrid>
      <w:tr>
        <w:trPr>
          <w:trHeight w:val="71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北京神州数码科捷技术服务有限公司深 圳分公司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58,593.20</w:t>
            </w:r>
          </w:p>
        </w:tc>
        <w:tc>
          <w:tcPr>
            <w:tcW w:w="1606"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51,000.00</w:t>
            </w:r>
          </w:p>
        </w:tc>
        <w:tc>
          <w:tcPr>
            <w:tcW w:w="1606"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神州企橙（北京）科技有限公司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95,067.88</w:t>
            </w:r>
          </w:p>
        </w:tc>
      </w:tr>
      <w:tr>
        <w:trPr>
          <w:trHeight w:val="46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
        </w:tc>
        <w:tc>
          <w:tcPr>
            <w:tcW w:w="1606"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33,012.03</w:t>
            </w:r>
          </w:p>
        </w:tc>
      </w:tr>
      <w:tr>
        <w:trPr>
          <w:trHeight w:val="466"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北京因特睿软件有限公司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4,104,433.96</w:t>
            </w:r>
          </w:p>
        </w:tc>
        <w:tc>
          <w:tcPr>
            <w:tcW w:w="1606"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952,075.47</w:t>
            </w:r>
          </w:p>
        </w:tc>
      </w:tr>
      <w:tr>
        <w:trPr>
          <w:trHeight w:val="46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不超</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万且不超</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过净资产</w:t>
            </w:r>
            <w:r>
              <w:rPr>
                <w:rFonts w:ascii="宋体" w:hAnsi="宋体" w:cs="宋体" w:eastAsia="宋体" w:hint="default"/>
                <w:spacing w:val="-44"/>
                <w:sz w:val="18"/>
                <w:szCs w:val="18"/>
              </w:rPr>
              <w:t> </w:t>
            </w:r>
            <w:r>
              <w:rPr>
                <w:rFonts w:ascii="宋体" w:hAnsi="宋体" w:cs="宋体" w:eastAsia="宋体" w:hint="default"/>
                <w:sz w:val="18"/>
                <w:szCs w:val="18"/>
              </w:rPr>
              <w:t>0.5%</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828,018.88</w:t>
            </w:r>
          </w:p>
        </w:tc>
      </w:tr>
      <w:tr>
        <w:trPr>
          <w:trHeight w:val="46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北京鼎捷软件有限公司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软件服务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28,562.26</w:t>
            </w:r>
          </w:p>
        </w:tc>
        <w:tc>
          <w:tcPr>
            <w:tcW w:w="1606"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55,582.64</w:t>
            </w:r>
          </w:p>
        </w:tc>
      </w:tr>
      <w:tr>
        <w:trPr>
          <w:trHeight w:val="466"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4" w:right="0"/>
              <w:jc w:val="left"/>
              <w:rPr>
                <w:rFonts w:ascii="宋体" w:hAnsi="宋体" w:cs="宋体" w:eastAsia="宋体" w:hint="default"/>
                <w:sz w:val="18"/>
                <w:szCs w:val="18"/>
              </w:rPr>
            </w:pPr>
            <w:r>
              <w:rPr>
                <w:rFonts w:ascii="宋体" w:hAnsi="宋体" w:cs="宋体" w:eastAsia="宋体" w:hint="default"/>
                <w:sz w:val="18"/>
                <w:szCs w:val="18"/>
              </w:rPr>
              <w:t>南京红松信息技术有限公司</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23" w:right="0"/>
              <w:jc w:val="left"/>
              <w:rPr>
                <w:rFonts w:ascii="宋体" w:hAnsi="宋体" w:cs="宋体" w:eastAsia="宋体" w:hint="default"/>
                <w:sz w:val="18"/>
                <w:szCs w:val="18"/>
              </w:rPr>
            </w:pPr>
            <w:r>
              <w:rPr>
                <w:rFonts w:ascii="宋体" w:hAnsi="宋体" w:cs="宋体" w:eastAsia="宋体" w:hint="default"/>
                <w:sz w:val="18"/>
                <w:szCs w:val="18"/>
              </w:rPr>
              <w:t>采购培训服务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4,116,506.19</w:t>
            </w:r>
          </w:p>
        </w:tc>
        <w:tc>
          <w:tcPr>
            <w:tcW w:w="1606" w:type="dxa"/>
            <w:vMerge w:val="restart"/>
            <w:tcBorders>
              <w:top w:val="single" w:sz="4" w:space="0" w:color="000000"/>
              <w:left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不超</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万且不超</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过净资产</w:t>
            </w:r>
            <w:r>
              <w:rPr>
                <w:rFonts w:ascii="宋体" w:hAnsi="宋体" w:cs="宋体" w:eastAsia="宋体" w:hint="default"/>
                <w:spacing w:val="-44"/>
                <w:sz w:val="18"/>
                <w:szCs w:val="18"/>
              </w:rPr>
              <w:t> </w:t>
            </w:r>
            <w:r>
              <w:rPr>
                <w:rFonts w:ascii="宋体" w:hAnsi="宋体" w:cs="宋体" w:eastAsia="宋体" w:hint="default"/>
                <w:sz w:val="18"/>
                <w:szCs w:val="18"/>
              </w:rPr>
              <w:t>0.5%</w:t>
            </w: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pacing w:val="-1"/>
                <w:sz w:val="18"/>
              </w:rPr>
              <w:t>4,652,795.48</w:t>
            </w:r>
          </w:p>
        </w:tc>
      </w:tr>
      <w:tr>
        <w:trPr>
          <w:trHeight w:val="46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江苏中江信息技术培训学校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采购培训服务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2,062,794.82</w:t>
            </w:r>
          </w:p>
        </w:tc>
        <w:tc>
          <w:tcPr>
            <w:tcW w:w="1606"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2,145,243.56</w:t>
            </w:r>
          </w:p>
        </w:tc>
      </w:tr>
      <w:tr>
        <w:trPr>
          <w:trHeight w:val="715"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神州土地（北京）信息技术有限公司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334"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1,878,737.86</w:t>
            </w:r>
          </w:p>
        </w:tc>
      </w:tr>
      <w:tr>
        <w:trPr>
          <w:trHeight w:val="463" w:hRule="exact"/>
        </w:trPr>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256,321,516.66</w:t>
            </w:r>
          </w:p>
        </w:tc>
        <w:tc>
          <w:tcPr>
            <w:tcW w:w="160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120,494,678.85</w:t>
            </w:r>
          </w:p>
        </w:tc>
      </w:tr>
    </w:tbl>
    <w:p>
      <w:pPr>
        <w:pStyle w:val="BodyText"/>
        <w:spacing w:line="451" w:lineRule="auto" w:before="87"/>
        <w:ind w:left="513" w:right="3874"/>
        <w:jc w:val="left"/>
      </w:pPr>
      <w:r>
        <w:rPr/>
        <w:t>注</w:t>
      </w:r>
      <w:r>
        <w:rPr>
          <w:spacing w:val="-46"/>
        </w:rPr>
        <w:t> </w:t>
      </w:r>
      <w:r>
        <w:rPr>
          <w:rFonts w:ascii="Times New Roman" w:hAnsi="Times New Roman" w:cs="Times New Roman" w:eastAsia="Times New Roman" w:hint="default"/>
        </w:rPr>
        <w:t>1</w:t>
      </w:r>
      <w:r>
        <w:rPr/>
        <w:t>：神州土地（北京）信息技术有限公司自</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 </w:t>
      </w:r>
      <w:r>
        <w:rPr/>
        <w:t>月</w:t>
      </w:r>
      <w:r>
        <w:rPr>
          <w:spacing w:val="-48"/>
        </w:rPr>
        <w:t> </w:t>
      </w:r>
      <w:r>
        <w:rPr>
          <w:rFonts w:ascii="Times New Roman" w:hAnsi="Times New Roman" w:cs="Times New Roman" w:eastAsia="Times New Roman" w:hint="default"/>
        </w:rPr>
        <w:t>31 </w:t>
      </w:r>
      <w:r>
        <w:rPr/>
        <w:t>日起纳入合并范围。 注</w:t>
      </w:r>
      <w:r>
        <w:rPr>
          <w:spacing w:val="-47"/>
        </w:rPr>
        <w:t> </w:t>
      </w:r>
      <w:r>
        <w:rPr>
          <w:rFonts w:ascii="Times New Roman" w:hAnsi="Times New Roman" w:cs="Times New Roman" w:eastAsia="Times New Roman" w:hint="default"/>
        </w:rPr>
        <w:t>2</w:t>
      </w:r>
      <w:r>
        <w:rPr/>
        <w:t>：向关联方采购商品的价格和接受关联方技术服务支出以市场价格确认。</w:t>
      </w:r>
    </w:p>
    <w:p>
      <w:pPr>
        <w:pStyle w:val="BodyText"/>
        <w:spacing w:line="240" w:lineRule="auto" w:before="5"/>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042"/>
        <w:gridCol w:w="2838"/>
        <w:gridCol w:w="1469"/>
        <w:gridCol w:w="1220"/>
      </w:tblGrid>
      <w:tr>
        <w:trPr>
          <w:trHeight w:val="464" w:hRule="exact"/>
        </w:trPr>
        <w:tc>
          <w:tcPr>
            <w:tcW w:w="4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87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8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66" w:hRule="exact"/>
        </w:trPr>
        <w:tc>
          <w:tcPr>
            <w:tcW w:w="4042" w:type="dxa"/>
            <w:tcBorders>
              <w:top w:val="single" w:sz="15" w:space="0" w:color="D2D2D2"/>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系统集成</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应用软件开发</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18,904,836.76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15,685,714.26</w:t>
            </w:r>
          </w:p>
        </w:tc>
      </w:tr>
      <w:tr>
        <w:trPr>
          <w:trHeight w:val="46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辽宁智慧山水城科技发展有限公司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1,347,169.81</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7,115,283.02</w:t>
            </w:r>
          </w:p>
        </w:tc>
      </w:tr>
      <w:tr>
        <w:trPr>
          <w:trHeight w:val="46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江苏中江信息技术培训学校</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890,711.15</w:t>
            </w: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南京红松信息技术有限公司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797,849.06</w:t>
            </w: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系统集成</w:t>
            </w:r>
            <w:r>
              <w:rPr>
                <w:rFonts w:ascii="Times New Roman" w:hAnsi="Times New Roman" w:cs="Times New Roman" w:eastAsia="Times New Roman" w:hint="default"/>
                <w:sz w:val="18"/>
                <w:szCs w:val="18"/>
              </w:rPr>
              <w:t>/</w:t>
            </w:r>
            <w:r>
              <w:rPr>
                <w:rFonts w:ascii="宋体" w:hAnsi="宋体" w:cs="宋体" w:eastAsia="宋体" w:hint="default"/>
                <w:sz w:val="18"/>
                <w:szCs w:val="18"/>
              </w:rPr>
              <w:t>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应用软件开发</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599,202.70</w:t>
            </w: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广州城投智慧城市科技发展有限公司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254,716.99</w:t>
            </w: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182,726.36</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6,455,334.44</w:t>
            </w:r>
          </w:p>
        </w:tc>
      </w:tr>
      <w:tr>
        <w:trPr>
          <w:trHeight w:val="46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170,383.02</w:t>
            </w: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智慧徐州建设投资发展有限公司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61,320.75</w:t>
            </w: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智慧神州（成都）运营服务有限公司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39,622.64</w:t>
            </w: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15,486.73</w:t>
            </w:r>
          </w:p>
        </w:tc>
        <w:tc>
          <w:tcPr>
            <w:tcW w:w="1220"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神州数码医疗科技股份有限公司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技术服务</w:t>
            </w:r>
            <w:r>
              <w:rPr>
                <w:rFonts w:ascii="Times New Roman" w:hAnsi="Times New Roman" w:cs="Times New Roman" w:eastAsia="Times New Roman" w:hint="default"/>
                <w:sz w:val="18"/>
                <w:szCs w:val="18"/>
              </w:rPr>
              <w:t>/</w:t>
            </w:r>
            <w:r>
              <w:rPr>
                <w:rFonts w:ascii="宋体" w:hAnsi="宋体" w:cs="宋体" w:eastAsia="宋体" w:hint="default"/>
                <w:sz w:val="18"/>
                <w:szCs w:val="18"/>
              </w:rPr>
              <w:t>应用软件开发</w:t>
            </w:r>
          </w:p>
        </w:tc>
        <w:tc>
          <w:tcPr>
            <w:tcW w:w="146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8,547,169.80</w:t>
            </w:r>
          </w:p>
        </w:tc>
      </w:tr>
      <w:tr>
        <w:trPr>
          <w:trHeight w:val="466"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北京首钢基金有限公司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46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2,121,059.83</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4042"/>
        <w:gridCol w:w="2838"/>
        <w:gridCol w:w="1469"/>
        <w:gridCol w:w="1220"/>
      </w:tblGrid>
      <w:tr>
        <w:trPr>
          <w:trHeight w:val="464"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深圳神州数码电商服务有限公司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6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1,850,000.00</w:t>
            </w:r>
          </w:p>
        </w:tc>
      </w:tr>
      <w:tr>
        <w:trPr>
          <w:trHeight w:val="466"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福建智慧海西信息技术有限公司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应用软件开发</w:t>
            </w:r>
          </w:p>
        </w:tc>
        <w:tc>
          <w:tcPr>
            <w:tcW w:w="146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1,132,075.47</w:t>
            </w:r>
          </w:p>
        </w:tc>
      </w:tr>
      <w:tr>
        <w:trPr>
          <w:trHeight w:val="605"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神州易泰信息服务（北京）有限公司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6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961,886.79</w:t>
            </w:r>
          </w:p>
        </w:tc>
      </w:tr>
      <w:tr>
        <w:trPr>
          <w:trHeight w:val="463"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新疆金风科技股份有限公司</w:t>
            </w:r>
          </w:p>
        </w:tc>
        <w:tc>
          <w:tcPr>
            <w:tcW w:w="2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69"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113,992.94</w:t>
            </w:r>
          </w:p>
        </w:tc>
      </w:tr>
      <w:tr>
        <w:trPr>
          <w:trHeight w:val="466"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03" w:right="0"/>
              <w:jc w:val="left"/>
              <w:rPr>
                <w:rFonts w:ascii="Times New Roman" w:hAnsi="Times New Roman" w:cs="Times New Roman" w:eastAsia="Times New Roman" w:hint="default"/>
                <w:sz w:val="18"/>
                <w:szCs w:val="18"/>
              </w:rPr>
            </w:pPr>
            <w:r>
              <w:rPr>
                <w:rFonts w:ascii="Times New Roman"/>
                <w:sz w:val="18"/>
              </w:rPr>
              <w:t>23,264,025.97</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43,982,516.55</w:t>
            </w:r>
          </w:p>
        </w:tc>
      </w:tr>
    </w:tbl>
    <w:p>
      <w:pPr>
        <w:pStyle w:val="BodyText"/>
        <w:spacing w:line="240" w:lineRule="auto" w:before="87"/>
        <w:ind w:left="513" w:right="0"/>
        <w:jc w:val="left"/>
      </w:pPr>
      <w:r>
        <w:rPr/>
        <w:t>注：向关联方销售商品价格和向关联方提供关联技术服务收入以市场价格确认。</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t>本公司作为出租方：</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693"/>
        <w:gridCol w:w="2837"/>
        <w:gridCol w:w="1983"/>
        <w:gridCol w:w="2055"/>
      </w:tblGrid>
      <w:tr>
        <w:trPr>
          <w:trHeight w:val="463" w:hRule="exact"/>
        </w:trPr>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892"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77"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13"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6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7"/>
              <w:jc w:val="center"/>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4,810,669.82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4,625,667.72</w:t>
            </w:r>
          </w:p>
        </w:tc>
      </w:tr>
      <w:tr>
        <w:trPr>
          <w:trHeight w:val="46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北京华旗电子科技有限公司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77"/>
              <w:jc w:val="center"/>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576,807.79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469,053.92</w:t>
            </w:r>
          </w:p>
        </w:tc>
      </w:tr>
    </w:tbl>
    <w:p>
      <w:pPr>
        <w:pStyle w:val="BodyText"/>
        <w:spacing w:line="240" w:lineRule="auto" w:before="49"/>
        <w:ind w:right="0"/>
        <w:jc w:val="left"/>
      </w:pPr>
      <w:r>
        <w:rPr/>
        <w:t>本公司作为承租方：</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391"/>
        <w:gridCol w:w="2393"/>
        <w:gridCol w:w="2393"/>
        <w:gridCol w:w="2391"/>
      </w:tblGrid>
      <w:tr>
        <w:trPr>
          <w:trHeight w:val="46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741"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652"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6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办公用房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本公司作为被担保方</w:t>
      </w:r>
    </w:p>
    <w:p>
      <w:pPr>
        <w:pStyle w:val="BodyText"/>
        <w:spacing w:line="240" w:lineRule="auto" w:before="117"/>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46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9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6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吴冬华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38" w:right="0"/>
              <w:jc w:val="left"/>
              <w:rPr>
                <w:rFonts w:ascii="Times New Roman" w:hAnsi="Times New Roman" w:cs="Times New Roman" w:eastAsia="Times New Roman" w:hint="default"/>
                <w:sz w:val="18"/>
                <w:szCs w:val="18"/>
              </w:rPr>
            </w:pPr>
            <w:r>
              <w:rPr>
                <w:rFonts w:ascii="Times New Roman"/>
                <w:sz w:val="18"/>
              </w:rPr>
              <w:t>5,000,000.00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477" w:lineRule="auto" w:before="87"/>
        <w:ind w:right="1213"/>
        <w:jc w:val="left"/>
      </w:pPr>
      <w:r>
        <w:rPr/>
        <w:t>关联担保情况说明 本公司及其子公司不存在对外担保情况。本公司与子公司之间的担保情况、子公司与子公司之间的担保情况详见本报告第 五节</w:t>
      </w:r>
      <w:r>
        <w:rPr>
          <w:rFonts w:ascii="Times New Roman" w:hAnsi="Times New Roman" w:cs="Times New Roman" w:eastAsia="Times New Roman" w:hint="default"/>
        </w:rPr>
        <w:t>“</w:t>
      </w:r>
      <w:r>
        <w:rPr/>
        <w:t>十七、</w:t>
      </w:r>
      <w:r>
        <w:rPr>
          <w:rFonts w:ascii="Times New Roman" w:hAnsi="Times New Roman" w:cs="Times New Roman" w:eastAsia="Times New Roman" w:hint="default"/>
        </w:rPr>
        <w:t>2</w:t>
      </w:r>
      <w:r>
        <w:rPr/>
        <w:t>、重大担保</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16"/>
          <w:szCs w:val="16"/>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 关联商标使用情况</w:t>
      </w:r>
      <w:r>
        <w:rPr>
          <w:b w:val="0"/>
          <w:bCs w:val="0"/>
        </w:rPr>
      </w:r>
    </w:p>
    <w:p>
      <w:pPr>
        <w:spacing w:line="240" w:lineRule="auto" w:before="3"/>
        <w:rPr>
          <w:rFonts w:ascii="宋体" w:hAnsi="宋体" w:cs="宋体" w:eastAsia="宋体" w:hint="default"/>
          <w:b/>
          <w:bCs/>
          <w:sz w:val="16"/>
          <w:szCs w:val="16"/>
        </w:rPr>
      </w:pPr>
    </w:p>
    <w:p>
      <w:pPr>
        <w:pStyle w:val="BodyText"/>
        <w:spacing w:line="460" w:lineRule="atLeast"/>
        <w:ind w:right="1130" w:firstLine="441"/>
        <w:jc w:val="both"/>
      </w:pPr>
      <w:r>
        <w:rPr>
          <w:rFonts w:ascii="Times New Roman" w:hAnsi="Times New Roman" w:cs="Times New Roman" w:eastAsia="Times New Roman" w:hint="default"/>
        </w:rPr>
        <w:t>2013 </w:t>
      </w:r>
      <w:r>
        <w:rPr/>
        <w:t>年</w:t>
      </w:r>
      <w:r>
        <w:rPr>
          <w:rFonts w:ascii="Times New Roman" w:hAnsi="Times New Roman" w:cs="Times New Roman" w:eastAsia="Times New Roman" w:hint="default"/>
        </w:rPr>
        <w:t>10 </w:t>
      </w:r>
      <w:r>
        <w:rPr/>
        <w:t>月</w:t>
      </w:r>
      <w:r>
        <w:rPr>
          <w:rFonts w:ascii="Times New Roman" w:hAnsi="Times New Roman" w:cs="Times New Roman" w:eastAsia="Times New Roman" w:hint="default"/>
        </w:rPr>
        <w:t>28</w:t>
      </w:r>
      <w:r>
        <w:rPr>
          <w:rFonts w:ascii="Times New Roman" w:hAnsi="Times New Roman" w:cs="Times New Roman" w:eastAsia="Times New Roman" w:hint="default"/>
          <w:spacing w:val="10"/>
        </w:rPr>
        <w:t> </w:t>
      </w:r>
      <w:r>
        <w:rPr/>
        <w:t>日，神州信息与神州数码（中国）签署了《注册商标许可使用合同》，以普通使用许可的方式授权神 </w:t>
      </w:r>
      <w:r>
        <w:rPr>
          <w:spacing w:val="-1"/>
          <w:w w:val="100"/>
        </w:rPr>
        <w:t>州信息在商标有效期内无限期无偿使用</w:t>
      </w:r>
      <w:r>
        <w:rPr>
          <w:rFonts w:ascii="Times New Roman" w:hAnsi="Times New Roman" w:cs="Times New Roman" w:eastAsia="Times New Roman" w:hint="default"/>
          <w:spacing w:val="-1"/>
          <w:w w:val="100"/>
        </w:rPr>
        <w:t>“</w:t>
      </w:r>
      <w:r>
        <w:rPr>
          <w:spacing w:val="-1"/>
          <w:w w:val="100"/>
        </w:rPr>
        <w:t>风火轮</w:t>
      </w:r>
      <w:r>
        <w:rPr>
          <w:rFonts w:ascii="Times New Roman" w:hAnsi="Times New Roman" w:cs="Times New Roman" w:eastAsia="Times New Roman" w:hint="default"/>
          <w:spacing w:val="-1"/>
          <w:w w:val="100"/>
        </w:rPr>
        <w:t>”</w:t>
      </w:r>
      <w:r>
        <w:rPr>
          <w:spacing w:val="-1"/>
          <w:w w:val="100"/>
        </w:rPr>
        <w:t>图案相关的</w:t>
      </w:r>
      <w:r>
        <w:rPr>
          <w:rFonts w:ascii="Times New Roman" w:hAnsi="Times New Roman" w:cs="Times New Roman" w:eastAsia="Times New Roman" w:hint="default"/>
          <w:spacing w:val="-1"/>
          <w:w w:val="100"/>
        </w:rPr>
        <w:t>6</w:t>
      </w:r>
      <w:r>
        <w:rPr>
          <w:rFonts w:ascii="Times New Roman" w:hAnsi="Times New Roman" w:cs="Times New Roman" w:eastAsia="Times New Roman" w:hint="default"/>
          <w:w w:val="100"/>
        </w:rPr>
        <w:t> </w:t>
      </w:r>
      <w:r>
        <w:rPr>
          <w:spacing w:val="-10"/>
        </w:rPr>
        <w:t>项商标（注册号分别为：</w:t>
      </w:r>
      <w:r>
        <w:rPr>
          <w:rFonts w:ascii="Times New Roman" w:hAnsi="Times New Roman" w:cs="Times New Roman" w:eastAsia="Times New Roman" w:hint="default"/>
          <w:spacing w:val="-10"/>
        </w:rPr>
        <w:t>1981387</w:t>
      </w:r>
      <w:r>
        <w:rPr>
          <w:spacing w:val="-10"/>
        </w:rPr>
        <w:t>、</w:t>
      </w:r>
      <w:r>
        <w:rPr>
          <w:rFonts w:ascii="Times New Roman" w:hAnsi="Times New Roman" w:cs="Times New Roman" w:eastAsia="Times New Roman" w:hint="default"/>
          <w:spacing w:val="-10"/>
        </w:rPr>
        <w:t>1958296</w:t>
      </w:r>
      <w:r>
        <w:rPr>
          <w:spacing w:val="-10"/>
        </w:rPr>
        <w:t>、</w:t>
      </w:r>
      <w:r>
        <w:rPr>
          <w:rFonts w:ascii="Times New Roman" w:hAnsi="Times New Roman" w:cs="Times New Roman" w:eastAsia="Times New Roman" w:hint="default"/>
          <w:spacing w:val="-10"/>
        </w:rPr>
        <w:t>1958736</w:t>
      </w:r>
      <w:r>
        <w:rPr>
          <w:spacing w:val="-10"/>
        </w:rPr>
        <w:t>、</w:t>
      </w:r>
      <w:r>
        <w:rPr>
          <w:rFonts w:ascii="Times New Roman" w:hAnsi="Times New Roman" w:cs="Times New Roman" w:eastAsia="Times New Roman" w:hint="default"/>
          <w:spacing w:val="-10"/>
        </w:rPr>
        <w:t>1958790</w:t>
      </w:r>
      <w:r>
        <w:rPr>
          <w:spacing w:val="-10"/>
        </w:rPr>
        <w:t>、</w:t>
      </w:r>
      <w:r>
        <w:rPr>
          <w:spacing w:val="-68"/>
        </w:rPr>
        <w:t> </w:t>
      </w:r>
      <w:r>
        <w:rPr>
          <w:rFonts w:ascii="Times New Roman" w:hAnsi="Times New Roman" w:cs="Times New Roman" w:eastAsia="Times New Roman" w:hint="default"/>
          <w:spacing w:val="-2"/>
        </w:rPr>
        <w:t>1956439</w:t>
      </w:r>
      <w:r>
        <w:rPr>
          <w:spacing w:val="-2"/>
        </w:rPr>
        <w:t>、</w:t>
      </w:r>
      <w:r>
        <w:rPr>
          <w:rFonts w:ascii="Times New Roman" w:hAnsi="Times New Roman" w:cs="Times New Roman" w:eastAsia="Times New Roman" w:hint="default"/>
          <w:spacing w:val="-2"/>
        </w:rPr>
        <w:t>1964768</w:t>
      </w:r>
      <w:r>
        <w:rPr>
          <w:spacing w:val="-2"/>
        </w:rPr>
        <w:t>），目前此系列商标均在有效期内；在前述合同中，神州数码（中国）以普通使用许可的方式授权神州信</w:t>
      </w:r>
    </w:p>
    <w:p>
      <w:pPr>
        <w:spacing w:after="0" w:line="460" w:lineRule="atLeast"/>
        <w:jc w:val="both"/>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51" w:lineRule="auto" w:before="44"/>
        <w:ind w:right="1125"/>
        <w:jc w:val="left"/>
      </w:pPr>
      <w:r>
        <w:rPr>
          <w:spacing w:val="-1"/>
        </w:rPr>
        <w:t>息在商标有效期内无限期无偿使用</w:t>
      </w:r>
      <w:r>
        <w:rPr>
          <w:rFonts w:ascii="Times New Roman" w:hAnsi="Times New Roman" w:cs="Times New Roman" w:eastAsia="Times New Roman" w:hint="default"/>
          <w:spacing w:val="-1"/>
        </w:rPr>
        <w:t>“</w:t>
      </w:r>
      <w:r>
        <w:rPr>
          <w:spacing w:val="-1"/>
        </w:rPr>
        <w:t>风火轮</w:t>
      </w:r>
      <w:r>
        <w:rPr>
          <w:rFonts w:ascii="Times New Roman" w:hAnsi="Times New Roman" w:cs="Times New Roman" w:eastAsia="Times New Roman" w:hint="default"/>
          <w:spacing w:val="-1"/>
        </w:rPr>
        <w:t>”+“</w:t>
      </w:r>
      <w:r>
        <w:rPr>
          <w:spacing w:val="-1"/>
        </w:rPr>
        <w:t>神州数码</w:t>
      </w:r>
      <w:r>
        <w:rPr>
          <w:rFonts w:ascii="Times New Roman" w:hAnsi="Times New Roman" w:cs="Times New Roman" w:eastAsia="Times New Roman" w:hint="default"/>
          <w:spacing w:val="-1"/>
        </w:rPr>
        <w:t>”</w:t>
      </w:r>
      <w:r>
        <w:rPr>
          <w:spacing w:val="-1"/>
        </w:rPr>
        <w:t>商标（注册号：</w:t>
      </w:r>
      <w:r>
        <w:rPr>
          <w:rFonts w:ascii="Times New Roman" w:hAnsi="Times New Roman" w:cs="Times New Roman" w:eastAsia="Times New Roman" w:hint="default"/>
          <w:spacing w:val="-1"/>
        </w:rPr>
        <w:t>3030645</w:t>
      </w:r>
      <w:r>
        <w:rPr>
          <w:spacing w:val="-1"/>
        </w:rPr>
        <w:t>），该商标在</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6</w:t>
      </w:r>
      <w:r>
        <w:rPr>
          <w:spacing w:val="-1"/>
        </w:rPr>
        <w:t>日已经到期，神州</w:t>
      </w:r>
      <w:r>
        <w:rPr>
          <w:spacing w:val="-88"/>
        </w:rPr>
        <w:t> </w:t>
      </w:r>
      <w:r>
        <w:rPr>
          <w:spacing w:val="-88"/>
        </w:rPr>
      </w:r>
      <w:r>
        <w:rPr/>
        <w:t>数码（中国）已对该商标进行续展，续展注册有效期自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2024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w:t>
      </w:r>
    </w:p>
    <w:p>
      <w:pPr>
        <w:spacing w:line="240" w:lineRule="auto" w:before="8"/>
        <w:rPr>
          <w:rFonts w:ascii="宋体" w:hAnsi="宋体" w:cs="宋体" w:eastAsia="宋体" w:hint="default"/>
          <w:sz w:val="18"/>
          <w:szCs w:val="18"/>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）其他关联交易</w:t>
      </w:r>
      <w:r>
        <w:rPr>
          <w:b w:val="0"/>
          <w:bCs w:val="0"/>
        </w:rPr>
      </w:r>
    </w:p>
    <w:p>
      <w:pPr>
        <w:spacing w:line="240" w:lineRule="auto" w:before="1"/>
        <w:rPr>
          <w:rFonts w:ascii="宋体" w:hAnsi="宋体" w:cs="宋体" w:eastAsia="宋体" w:hint="default"/>
          <w:b/>
          <w:bCs/>
          <w:sz w:val="26"/>
          <w:szCs w:val="26"/>
        </w:rPr>
      </w:pPr>
    </w:p>
    <w:tbl>
      <w:tblPr>
        <w:tblW w:w="0" w:type="auto"/>
        <w:jc w:val="left"/>
        <w:tblInd w:w="446" w:type="dxa"/>
        <w:tblLayout w:type="fixed"/>
        <w:tblCellMar>
          <w:top w:w="0" w:type="dxa"/>
          <w:left w:w="0" w:type="dxa"/>
          <w:bottom w:w="0" w:type="dxa"/>
          <w:right w:w="0" w:type="dxa"/>
        </w:tblCellMar>
        <w:tblLook w:val="01E0"/>
      </w:tblPr>
      <w:tblGrid>
        <w:gridCol w:w="4525"/>
        <w:gridCol w:w="1133"/>
        <w:gridCol w:w="1702"/>
        <w:gridCol w:w="1683"/>
      </w:tblGrid>
      <w:tr>
        <w:trPr>
          <w:trHeight w:val="485" w:hRule="exact"/>
        </w:trPr>
        <w:tc>
          <w:tcPr>
            <w:tcW w:w="4525"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
              <w:ind w:right="2"/>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33"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
              <w:ind w:left="196" w:right="0"/>
              <w:jc w:val="left"/>
              <w:rPr>
                <w:rFonts w:ascii="宋体" w:hAnsi="宋体" w:cs="宋体" w:eastAsia="宋体" w:hint="default"/>
                <w:sz w:val="18"/>
                <w:szCs w:val="18"/>
              </w:rPr>
            </w:pPr>
            <w:r>
              <w:rPr>
                <w:rFonts w:ascii="宋体" w:hAnsi="宋体" w:cs="宋体" w:eastAsia="宋体" w:hint="default"/>
                <w:sz w:val="18"/>
                <w:szCs w:val="18"/>
              </w:rPr>
              <w:t>交易性质</w:t>
            </w:r>
          </w:p>
        </w:tc>
        <w:tc>
          <w:tcPr>
            <w:tcW w:w="1702"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年度发生额</w:t>
            </w:r>
          </w:p>
        </w:tc>
        <w:tc>
          <w:tcPr>
            <w:tcW w:w="1683"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年度发生额</w:t>
            </w:r>
          </w:p>
        </w:tc>
      </w:tr>
      <w:tr>
        <w:trPr>
          <w:trHeight w:val="494"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c>
          <w:tcPr>
            <w:tcW w:w="1133" w:type="dxa"/>
            <w:vMerge w:val="restart"/>
            <w:tcBorders>
              <w:top w:val="single" w:sz="8"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行政办公费</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14,527,296.03</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16,523,353.72</w:t>
            </w:r>
          </w:p>
        </w:tc>
      </w:tr>
      <w:tr>
        <w:trPr>
          <w:trHeight w:val="494"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北京因特睿软件有限公司</w:t>
            </w:r>
          </w:p>
        </w:tc>
        <w:tc>
          <w:tcPr>
            <w:tcW w:w="1133" w:type="dxa"/>
            <w:vMerge/>
            <w:tcBorders>
              <w:left w:val="single" w:sz="6"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4,000,000.00</w:t>
            </w:r>
          </w:p>
        </w:tc>
        <w:tc>
          <w:tcPr>
            <w:tcW w:w="1683" w:type="dxa"/>
            <w:tcBorders>
              <w:top w:val="single" w:sz="8" w:space="0" w:color="000000"/>
              <w:left w:val="single" w:sz="6" w:space="0" w:color="000000"/>
              <w:bottom w:val="single" w:sz="8" w:space="0" w:color="000000"/>
              <w:right w:val="single" w:sz="6" w:space="0" w:color="000000"/>
            </w:tcBorders>
          </w:tcPr>
          <w:p>
            <w:pPr/>
          </w:p>
        </w:tc>
      </w:tr>
      <w:tr>
        <w:trPr>
          <w:trHeight w:val="495"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神州数码</w:t>
            </w:r>
            <w:r>
              <w:rPr>
                <w:rFonts w:ascii="Times New Roman" w:hAnsi="Times New Roman" w:cs="Times New Roman" w:eastAsia="Times New Roman" w:hint="default"/>
                <w:sz w:val="18"/>
                <w:szCs w:val="18"/>
              </w:rPr>
              <w:t>(</w:t>
            </w:r>
            <w:r>
              <w:rPr>
                <w:rFonts w:ascii="宋体" w:hAnsi="宋体" w:cs="宋体" w:eastAsia="宋体" w:hint="default"/>
                <w:sz w:val="18"/>
                <w:szCs w:val="18"/>
              </w:rPr>
              <w:t>中国）有限公司</w:t>
            </w:r>
          </w:p>
        </w:tc>
        <w:tc>
          <w:tcPr>
            <w:tcW w:w="1133" w:type="dxa"/>
            <w:vMerge/>
            <w:tcBorders>
              <w:left w:val="single" w:sz="6"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2,970,488.17</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82,732.08</w:t>
            </w:r>
          </w:p>
        </w:tc>
      </w:tr>
      <w:tr>
        <w:trPr>
          <w:trHeight w:val="494"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1133" w:type="dxa"/>
            <w:vMerge/>
            <w:tcBorders>
              <w:left w:val="single" w:sz="6"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2,918,403.07</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2,776,997.95</w:t>
            </w:r>
          </w:p>
        </w:tc>
      </w:tr>
      <w:tr>
        <w:trPr>
          <w:trHeight w:val="492"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1133" w:type="dxa"/>
            <w:vMerge/>
            <w:tcBorders>
              <w:left w:val="single" w:sz="6"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1,538,914.42</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1,627,582.81</w:t>
            </w:r>
          </w:p>
        </w:tc>
      </w:tr>
      <w:tr>
        <w:trPr>
          <w:trHeight w:val="494"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昆山神州数码实业有限公司</w:t>
            </w:r>
          </w:p>
        </w:tc>
        <w:tc>
          <w:tcPr>
            <w:tcW w:w="1133" w:type="dxa"/>
            <w:vMerge/>
            <w:tcBorders>
              <w:left w:val="single" w:sz="6"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760,683.11</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182,713.12</w:t>
            </w:r>
          </w:p>
        </w:tc>
      </w:tr>
      <w:tr>
        <w:trPr>
          <w:trHeight w:val="494"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1133" w:type="dxa"/>
            <w:vMerge/>
            <w:tcBorders>
              <w:left w:val="single" w:sz="6"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747,655.70</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950,445.99</w:t>
            </w:r>
          </w:p>
        </w:tc>
      </w:tr>
      <w:tr>
        <w:trPr>
          <w:trHeight w:val="494"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神州数码（中国）有限公司西安分公司</w:t>
            </w:r>
          </w:p>
        </w:tc>
        <w:tc>
          <w:tcPr>
            <w:tcW w:w="1133" w:type="dxa"/>
            <w:vMerge/>
            <w:tcBorders>
              <w:left w:val="single" w:sz="6"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388,698.04</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391,037.68</w:t>
            </w:r>
          </w:p>
        </w:tc>
      </w:tr>
      <w:tr>
        <w:trPr>
          <w:trHeight w:val="494"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DIGITAL CHINA HOLDINGS LTD</w:t>
            </w:r>
            <w:r>
              <w:rPr>
                <w:rFonts w:ascii="Times New Roman"/>
                <w:spacing w:val="-10"/>
                <w:sz w:val="18"/>
              </w:rPr>
              <w:t> </w:t>
            </w:r>
            <w:r>
              <w:rPr>
                <w:rFonts w:ascii="Times New Roman"/>
                <w:sz w:val="18"/>
              </w:rPr>
              <w:t>BERMUDA</w:t>
            </w:r>
          </w:p>
        </w:tc>
        <w:tc>
          <w:tcPr>
            <w:tcW w:w="1133" w:type="dxa"/>
            <w:vMerge/>
            <w:tcBorders>
              <w:left w:val="single" w:sz="6"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72,547.03</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144,727.18</w:t>
            </w:r>
          </w:p>
        </w:tc>
      </w:tr>
      <w:tr>
        <w:trPr>
          <w:trHeight w:val="494"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Instant Technology Supply Chain Hong Kong</w:t>
            </w:r>
            <w:r>
              <w:rPr>
                <w:rFonts w:ascii="Times New Roman"/>
                <w:spacing w:val="-13"/>
                <w:sz w:val="18"/>
              </w:rPr>
              <w:t> </w:t>
            </w:r>
            <w:r>
              <w:rPr>
                <w:rFonts w:ascii="Times New Roman"/>
                <w:sz w:val="18"/>
              </w:rPr>
              <w:t>Limited</w:t>
            </w:r>
          </w:p>
        </w:tc>
        <w:tc>
          <w:tcPr>
            <w:tcW w:w="1133" w:type="dxa"/>
            <w:vMerge/>
            <w:tcBorders>
              <w:left w:val="single" w:sz="6"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62,110.98</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115,697.01</w:t>
            </w:r>
          </w:p>
        </w:tc>
      </w:tr>
      <w:tr>
        <w:trPr>
          <w:trHeight w:val="492"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Digital China (HK)</w:t>
            </w:r>
            <w:r>
              <w:rPr>
                <w:rFonts w:ascii="Times New Roman"/>
                <w:spacing w:val="-11"/>
                <w:sz w:val="18"/>
              </w:rPr>
              <w:t> </w:t>
            </w:r>
            <w:r>
              <w:rPr>
                <w:rFonts w:ascii="Times New Roman"/>
                <w:sz w:val="18"/>
              </w:rPr>
              <w:t>Limited</w:t>
            </w:r>
          </w:p>
        </w:tc>
        <w:tc>
          <w:tcPr>
            <w:tcW w:w="1133" w:type="dxa"/>
            <w:vMerge/>
            <w:tcBorders>
              <w:left w:val="single" w:sz="6"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16,571.07</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305,495.86</w:t>
            </w:r>
          </w:p>
        </w:tc>
      </w:tr>
      <w:tr>
        <w:trPr>
          <w:trHeight w:val="494"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北京科捷智云技术服务有限公司</w:t>
            </w:r>
          </w:p>
        </w:tc>
        <w:tc>
          <w:tcPr>
            <w:tcW w:w="1133" w:type="dxa"/>
            <w:vMerge/>
            <w:tcBorders>
              <w:left w:val="single" w:sz="6"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455.00</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5"/>
                <w:sz w:val="18"/>
              </w:rPr>
              <w:t>2,067.00</w:t>
            </w:r>
          </w:p>
        </w:tc>
      </w:tr>
      <w:tr>
        <w:trPr>
          <w:trHeight w:val="494"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神州数码软件有限公司</w:t>
            </w:r>
          </w:p>
        </w:tc>
        <w:tc>
          <w:tcPr>
            <w:tcW w:w="1133" w:type="dxa"/>
            <w:vMerge/>
            <w:tcBorders>
              <w:left w:val="single" w:sz="6"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54,152.79</w:t>
            </w:r>
          </w:p>
        </w:tc>
      </w:tr>
      <w:tr>
        <w:trPr>
          <w:trHeight w:val="494"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神州数码（重庆）信息科技有限公司</w:t>
            </w:r>
          </w:p>
        </w:tc>
        <w:tc>
          <w:tcPr>
            <w:tcW w:w="1133" w:type="dxa"/>
            <w:vMerge/>
            <w:tcBorders>
              <w:left w:val="single" w:sz="6"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27,035.38</w:t>
            </w:r>
          </w:p>
        </w:tc>
      </w:tr>
      <w:tr>
        <w:trPr>
          <w:trHeight w:val="494"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北京神州数码云角信息技术有限公司</w:t>
            </w:r>
          </w:p>
        </w:tc>
        <w:tc>
          <w:tcPr>
            <w:tcW w:w="1133" w:type="dxa"/>
            <w:vMerge/>
            <w:tcBorders>
              <w:left w:val="single" w:sz="6"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11,080.08</w:t>
            </w:r>
          </w:p>
        </w:tc>
      </w:tr>
      <w:tr>
        <w:trPr>
          <w:trHeight w:val="494"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133" w:type="dxa"/>
            <w:vMerge/>
            <w:tcBorders>
              <w:left w:val="single" w:sz="6"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9,178.77</w:t>
            </w:r>
          </w:p>
        </w:tc>
      </w:tr>
      <w:tr>
        <w:trPr>
          <w:trHeight w:val="492"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1133" w:type="dxa"/>
            <w:vMerge/>
            <w:tcBorders>
              <w:left w:val="single" w:sz="6" w:space="0" w:color="000000"/>
              <w:bottom w:val="single" w:sz="8"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5"/>
                <w:sz w:val="18"/>
              </w:rPr>
              <w:t>1,460.25</w:t>
            </w:r>
          </w:p>
        </w:tc>
      </w:tr>
      <w:tr>
        <w:trPr>
          <w:trHeight w:val="495"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1133" w:type="dxa"/>
            <w:vMerge w:val="restart"/>
            <w:tcBorders>
              <w:top w:val="single" w:sz="8"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货运仓储</w:t>
            </w: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6,196,990.03</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7,001,234.65</w:t>
            </w:r>
          </w:p>
        </w:tc>
      </w:tr>
      <w:tr>
        <w:trPr>
          <w:trHeight w:val="494"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1133" w:type="dxa"/>
            <w:vMerge/>
            <w:tcBorders>
              <w:left w:val="single" w:sz="6"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605,309.76</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2,952,671.24</w:t>
            </w:r>
          </w:p>
        </w:tc>
      </w:tr>
      <w:tr>
        <w:trPr>
          <w:trHeight w:val="494"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1133" w:type="dxa"/>
            <w:vMerge/>
            <w:tcBorders>
              <w:left w:val="single" w:sz="6" w:space="0" w:color="000000"/>
              <w:bottom w:val="single" w:sz="8"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140,214.00</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1,225,936.10</w:t>
            </w:r>
          </w:p>
        </w:tc>
      </w:tr>
      <w:tr>
        <w:trPr>
          <w:trHeight w:val="494" w:hRule="exact"/>
        </w:trPr>
        <w:tc>
          <w:tcPr>
            <w:tcW w:w="452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8" w:space="0" w:color="000000"/>
              <w:left w:val="single" w:sz="6" w:space="0" w:color="000000"/>
              <w:bottom w:val="single" w:sz="8" w:space="0" w:color="000000"/>
              <w:right w:val="single" w:sz="6" w:space="0" w:color="000000"/>
            </w:tcBorders>
          </w:tcPr>
          <w:p>
            <w:pPr/>
          </w:p>
        </w:tc>
        <w:tc>
          <w:tcPr>
            <w:tcW w:w="170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34,946,336.41</w:t>
            </w:r>
          </w:p>
        </w:tc>
        <w:tc>
          <w:tcPr>
            <w:tcW w:w="16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34,385,599.66</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10"/>
        <w:rPr>
          <w:rFonts w:ascii="宋体" w:hAnsi="宋体" w:cs="宋体" w:eastAsia="宋体" w:hint="default"/>
          <w:b/>
          <w:bCs/>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207"/>
        <w:gridCol w:w="2986"/>
        <w:gridCol w:w="1342"/>
        <w:gridCol w:w="1345"/>
        <w:gridCol w:w="1344"/>
        <w:gridCol w:w="1344"/>
      </w:tblGrid>
      <w:tr>
        <w:trPr>
          <w:trHeight w:val="466" w:hRule="exact"/>
        </w:trPr>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9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6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3" w:hRule="exact"/>
        </w:trPr>
        <w:tc>
          <w:tcPr>
            <w:tcW w:w="1207" w:type="dxa"/>
            <w:vMerge/>
            <w:tcBorders>
              <w:left w:val="single" w:sz="4" w:space="0" w:color="000000"/>
              <w:bottom w:val="single" w:sz="4" w:space="0" w:color="000000"/>
              <w:right w:val="single" w:sz="4" w:space="0" w:color="000000"/>
            </w:tcBorders>
            <w:shd w:val="clear" w:color="auto" w:fill="D2D2D2"/>
          </w:tcPr>
          <w:p>
            <w:pPr/>
          </w:p>
        </w:tc>
        <w:tc>
          <w:tcPr>
            <w:tcW w:w="2986" w:type="dxa"/>
            <w:vMerge/>
            <w:tcBorders>
              <w:left w:val="single" w:sz="4" w:space="0" w:color="000000"/>
              <w:bottom w:val="single" w:sz="4" w:space="0" w:color="000000"/>
              <w:right w:val="single" w:sz="4" w:space="0" w:color="000000"/>
            </w:tcBorders>
            <w:shd w:val="clear" w:color="auto" w:fill="D2D2D2"/>
          </w:tcPr>
          <w:p>
            <w:pP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0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3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辽宁智慧山水城科技发展有限公司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5,670,000.00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5,376,000.00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5,370,000.00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214,800.00</w:t>
            </w: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5,316,726.87</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2,279,186.17</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6,017,533.31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370,369.48</w:t>
            </w:r>
          </w:p>
        </w:tc>
      </w:tr>
      <w:tr>
        <w:trPr>
          <w:trHeight w:val="46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天津国科量子科技有限公司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4,826,435.32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4,826,435.32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6,988,000.00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943,380.00</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1,444,880.98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400,770.29</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2,014,817.16</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417,026.49</w:t>
            </w: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4,200.00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神州数码集团股份有限公司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180,606.00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3,612.12</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广州城投智慧城市科技发展有限公司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152,900.01</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3,058.00</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7,210,000.00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6,297,200.00</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智慧徐州建设投资发展有限公司</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3,975,000.00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2,599,650.00</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江苏智慧港城投资发展有限公司</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422,093.25</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374,936.25</w:t>
            </w: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北京首钢基金有限公司</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248,164.00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4,963.28</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智慧神州南通信息科技有限公司</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159,900.00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79,950.00</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神州土地（北京）信息技术有限公司</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2,000,000.01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140,000.00</w:t>
            </w: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3,557,887.50</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1,139,020.00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145,800.00</w:t>
            </w: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1,715,934.00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昆山神州数码实业有限公司</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306,324.10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神州土地（北京）信息技术有限公司</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82,100.00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342"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59,522.00</w:t>
            </w: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西安神州数码实业有限公司</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460,105.90</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w w:val="95"/>
                <w:sz w:val="18"/>
              </w:rPr>
              <w:t>9,202.12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460,105.90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w w:val="95"/>
                <w:sz w:val="18"/>
              </w:rPr>
              <w:t>9,202.12</w:t>
            </w: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86"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21,965,342.58</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12,902,464.02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38,168,513.73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11,451,477.62</w:t>
            </w:r>
          </w:p>
        </w:tc>
      </w:tr>
    </w:tbl>
    <w:p>
      <w:pPr>
        <w:pStyle w:val="BodyText"/>
        <w:spacing w:line="240" w:lineRule="auto" w:before="49"/>
        <w:ind w:left="513" w:right="0"/>
        <w:jc w:val="left"/>
      </w:pPr>
      <w:r>
        <w:rPr/>
        <w:t>注：江苏智慧港城投资发展有限公司自</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月以后不再是关联方。</w:t>
      </w:r>
    </w:p>
    <w:p>
      <w:pPr>
        <w:spacing w:line="240" w:lineRule="auto" w:before="13"/>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207"/>
        <w:gridCol w:w="4412"/>
        <w:gridCol w:w="1976"/>
        <w:gridCol w:w="1973"/>
      </w:tblGrid>
      <w:tr>
        <w:trPr>
          <w:trHeight w:val="463" w:hRule="exact"/>
        </w:trPr>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4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4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44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82" w:type="dxa"/>
        <w:tblLayout w:type="fixed"/>
        <w:tblCellMar>
          <w:top w:w="0" w:type="dxa"/>
          <w:left w:w="0" w:type="dxa"/>
          <w:bottom w:w="0" w:type="dxa"/>
          <w:right w:w="0" w:type="dxa"/>
        </w:tblCellMar>
        <w:tblLook w:val="01E0"/>
      </w:tblPr>
      <w:tblGrid>
        <w:gridCol w:w="1207"/>
        <w:gridCol w:w="4412"/>
        <w:gridCol w:w="1976"/>
        <w:gridCol w:w="1973"/>
      </w:tblGrid>
      <w:tr>
        <w:trPr>
          <w:trHeight w:val="46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31,820,606.30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779,050.00</w:t>
            </w: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广州智慧神州科技有限公司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14,700,000.00</w:t>
            </w: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北京因特睿软件有限公司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8,180,600.00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1,009,200.00</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福建智慧海西信息技术有限公司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5,104,900.00</w:t>
            </w: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3,391,260.93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1,176,882.70</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神州数码医疗科技股份有限公司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3,244,062.83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3,137,437.83</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北京神州数码云计算有限公司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2,496,984.21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3,071,035.51</w:t>
            </w: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2,001,692.96</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3,558,511.02</w:t>
            </w:r>
          </w:p>
        </w:tc>
      </w:tr>
      <w:tr>
        <w:trPr>
          <w:trHeight w:val="46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神州数码融信云技术服务有限公司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877,700.01</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6"/>
              <w:jc w:val="right"/>
              <w:rPr>
                <w:rFonts w:ascii="Times New Roman" w:hAnsi="Times New Roman" w:cs="Times New Roman" w:eastAsia="Times New Roman" w:hint="default"/>
                <w:sz w:val="18"/>
                <w:szCs w:val="18"/>
              </w:rPr>
            </w:pPr>
            <w:r>
              <w:rPr>
                <w:rFonts w:ascii="Times New Roman"/>
                <w:spacing w:val="-1"/>
                <w:sz w:val="18"/>
              </w:rPr>
              <w:t>877,700.01</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南京红松信息技术有限公司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826,615.92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1,106,195.01</w:t>
            </w: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北京科捷物流有限公司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492,435.99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595,774.86</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天津国科量子科技有限公司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296,994.69</w:t>
            </w: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上海科捷物流有限公司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73,434.88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550,831.00</w:t>
            </w: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47,192.04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46,522.41</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Instant Technology Supply Chain Hong Kong</w:t>
            </w:r>
            <w:r>
              <w:rPr>
                <w:rFonts w:ascii="Times New Roman"/>
                <w:spacing w:val="-32"/>
                <w:sz w:val="18"/>
              </w:rPr>
              <w:t> </w:t>
            </w:r>
            <w:r>
              <w:rPr>
                <w:rFonts w:ascii="Times New Roman"/>
                <w:sz w:val="18"/>
              </w:rPr>
              <w:t>Limited</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20,234.73</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827.04</w:t>
            </w:r>
          </w:p>
        </w:tc>
      </w:tr>
      <w:tr>
        <w:trPr>
          <w:trHeight w:val="46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pacing w:val="-3"/>
                <w:sz w:val="18"/>
              </w:rPr>
              <w:t>DIGITAL </w:t>
            </w:r>
            <w:r>
              <w:rPr>
                <w:rFonts w:ascii="Times New Roman"/>
                <w:sz w:val="18"/>
              </w:rPr>
              <w:t>CHINA HOLDINGS </w:t>
            </w:r>
            <w:r>
              <w:rPr>
                <w:rFonts w:ascii="Times New Roman"/>
                <w:spacing w:val="-7"/>
                <w:sz w:val="18"/>
              </w:rPr>
              <w:t>LTD</w:t>
            </w:r>
            <w:r>
              <w:rPr>
                <w:rFonts w:ascii="Times New Roman"/>
                <w:spacing w:val="-15"/>
                <w:sz w:val="18"/>
              </w:rPr>
              <w:t> </w:t>
            </w:r>
            <w:r>
              <w:rPr>
                <w:rFonts w:ascii="Times New Roman"/>
                <w:sz w:val="18"/>
              </w:rPr>
              <w:t>BERMUDA</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386.24</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10,781.68</w:t>
            </w: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4" w:right="0"/>
              <w:jc w:val="left"/>
              <w:rPr>
                <w:rFonts w:ascii="Times New Roman" w:hAnsi="Times New Roman" w:cs="Times New Roman" w:eastAsia="Times New Roman" w:hint="default"/>
                <w:sz w:val="18"/>
                <w:szCs w:val="18"/>
              </w:rPr>
            </w:pPr>
            <w:r>
              <w:rPr>
                <w:rFonts w:ascii="Times New Roman"/>
                <w:sz w:val="18"/>
              </w:rPr>
              <w:t>Digital China (HK)</w:t>
            </w:r>
            <w:r>
              <w:rPr>
                <w:rFonts w:ascii="Times New Roman"/>
                <w:spacing w:val="-11"/>
                <w:sz w:val="18"/>
              </w:rPr>
              <w:t> </w:t>
            </w:r>
            <w:r>
              <w:rPr>
                <w:rFonts w:ascii="Times New Roman"/>
                <w:sz w:val="18"/>
              </w:rPr>
              <w:t>Limited</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8"/>
              <w:jc w:val="right"/>
              <w:rPr>
                <w:rFonts w:ascii="Times New Roman" w:hAnsi="Times New Roman" w:cs="Times New Roman" w:eastAsia="Times New Roman" w:hint="default"/>
                <w:sz w:val="18"/>
                <w:szCs w:val="18"/>
              </w:rPr>
            </w:pPr>
            <w:r>
              <w:rPr>
                <w:rFonts w:ascii="Times New Roman"/>
                <w:sz w:val="18"/>
              </w:rPr>
              <w:t>82.79</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304.12</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北京神州数码云科信息技术有限公司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2,418,600.00</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上海云角信息技术有限公司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599,547.17</w:t>
            </w: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深圳科捷物流有限公司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w w:val="95"/>
                <w:sz w:val="18"/>
              </w:rPr>
              <w:t>5,077.94</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北京神州数码科捷技术服务有限公司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431.03</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42,368,765.52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10,256,612.00</w:t>
            </w: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北京神州数码有限公司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24,921,359.00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5,053,939.00</w:t>
            </w:r>
          </w:p>
        </w:tc>
      </w:tr>
      <w:tr>
        <w:trPr>
          <w:trHeight w:val="46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广州神州数码信息科技有限公司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7"/>
              <w:jc w:val="right"/>
              <w:rPr>
                <w:rFonts w:ascii="Times New Roman" w:hAnsi="Times New Roman" w:cs="Times New Roman" w:eastAsia="Times New Roman" w:hint="default"/>
                <w:sz w:val="18"/>
                <w:szCs w:val="18"/>
              </w:rPr>
            </w:pPr>
            <w:r>
              <w:rPr>
                <w:rFonts w:ascii="Times New Roman"/>
                <w:spacing w:val="-1"/>
                <w:sz w:val="18"/>
              </w:rPr>
              <w:t>3,370,453.40</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上海神州数码有限公司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202,300.00</w:t>
            </w: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深圳科捷电商供应链有限公司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1,841,568.48</w:t>
            </w: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神州数码医疗科技股份有限公司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2,398,080.00</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7"/>
              <w:jc w:val="right"/>
              <w:rPr>
                <w:rFonts w:ascii="Times New Roman" w:hAnsi="Times New Roman" w:cs="Times New Roman" w:eastAsia="Times New Roman" w:hint="default"/>
                <w:sz w:val="18"/>
                <w:szCs w:val="18"/>
              </w:rPr>
            </w:pPr>
            <w:r>
              <w:rPr>
                <w:rFonts w:ascii="Times New Roman"/>
                <w:spacing w:val="-1"/>
                <w:sz w:val="18"/>
              </w:rPr>
              <w:t>2,398,080.00</w:t>
            </w:r>
          </w:p>
        </w:tc>
      </w:tr>
      <w:tr>
        <w:trPr>
          <w:trHeight w:val="463"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神州数码（中国）有限公司</w:t>
            </w:r>
          </w:p>
        </w:tc>
        <w:tc>
          <w:tcPr>
            <w:tcW w:w="1976"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6"/>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66"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智慧神州（北京）科技有限公司</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22,847,500.00</w:t>
            </w:r>
          </w:p>
        </w:tc>
        <w:tc>
          <w:tcPr>
            <w:tcW w:w="19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1261" w:top="1120" w:bottom="1460" w:left="980" w:right="0"/>
        </w:sectPr>
      </w:pPr>
    </w:p>
    <w:p>
      <w:pPr>
        <w:spacing w:line="240" w:lineRule="auto" w:before="8"/>
        <w:rPr>
          <w:rFonts w:ascii="Times New Roman" w:hAnsi="Times New Roman" w:cs="Times New Roman" w:eastAsia="Times New Roman" w:hint="default"/>
          <w:sz w:val="26"/>
          <w:szCs w:val="26"/>
        </w:rPr>
      </w:pPr>
    </w:p>
    <w:tbl>
      <w:tblPr>
        <w:tblW w:w="0" w:type="auto"/>
        <w:jc w:val="left"/>
        <w:tblInd w:w="182" w:type="dxa"/>
        <w:tblLayout w:type="fixed"/>
        <w:tblCellMar>
          <w:top w:w="0" w:type="dxa"/>
          <w:left w:w="0" w:type="dxa"/>
          <w:bottom w:w="0" w:type="dxa"/>
          <w:right w:w="0" w:type="dxa"/>
        </w:tblCellMar>
        <w:tblLook w:val="01E0"/>
      </w:tblPr>
      <w:tblGrid>
        <w:gridCol w:w="1207"/>
        <w:gridCol w:w="4412"/>
        <w:gridCol w:w="1976"/>
        <w:gridCol w:w="1973"/>
      </w:tblGrid>
      <w:tr>
        <w:trPr>
          <w:trHeight w:val="464"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412" w:type="dxa"/>
            <w:tcBorders>
              <w:top w:val="single" w:sz="4" w:space="0" w:color="000000"/>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818" w:right="0"/>
              <w:jc w:val="left"/>
              <w:rPr>
                <w:rFonts w:ascii="Times New Roman" w:hAnsi="Times New Roman" w:cs="Times New Roman" w:eastAsia="Times New Roman" w:hint="default"/>
                <w:sz w:val="18"/>
                <w:szCs w:val="18"/>
              </w:rPr>
            </w:pPr>
            <w:r>
              <w:rPr>
                <w:rFonts w:ascii="Times New Roman"/>
                <w:sz w:val="18"/>
              </w:rPr>
              <w:t>167,952,457.52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909" w:right="0"/>
              <w:jc w:val="left"/>
              <w:rPr>
                <w:rFonts w:ascii="Times New Roman" w:hAnsi="Times New Roman" w:cs="Times New Roman" w:eastAsia="Times New Roman" w:hint="default"/>
                <w:sz w:val="18"/>
                <w:szCs w:val="18"/>
              </w:rPr>
            </w:pPr>
            <w:r>
              <w:rPr>
                <w:rFonts w:ascii="Times New Roman"/>
                <w:sz w:val="18"/>
              </w:rPr>
              <w:t>40,426,093.73</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十三、股份支付</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 适用 □</w:t>
      </w:r>
      <w:r>
        <w:rPr>
          <w:spacing w:val="3"/>
        </w:rPr>
        <w:t> </w:t>
      </w:r>
      <w:r>
        <w:rPr/>
        <w:t>不适用</w:t>
      </w:r>
    </w:p>
    <w:p>
      <w:pPr>
        <w:pStyle w:val="BodyText"/>
        <w:spacing w:line="240" w:lineRule="auto" w:before="115"/>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082"/>
        <w:gridCol w:w="6486"/>
      </w:tblGrid>
      <w:tr>
        <w:trPr>
          <w:trHeight w:val="75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6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hAnsi="宋体" w:cs="宋体" w:eastAsia="宋体" w:hint="default"/>
                <w:sz w:val="18"/>
                <w:szCs w:val="18"/>
              </w:rPr>
              <w:t>股票期权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22,270,000.00 </w:t>
            </w:r>
            <w:r>
              <w:rPr>
                <w:rFonts w:ascii="宋体" w:hAnsi="宋体" w:cs="宋体" w:eastAsia="宋体" w:hint="default"/>
                <w:sz w:val="18"/>
                <w:szCs w:val="18"/>
              </w:rPr>
              <w:t>股</w:t>
            </w:r>
          </w:p>
          <w:p>
            <w:pPr>
              <w:pStyle w:val="TableParagraph"/>
              <w:spacing w:line="240" w:lineRule="auto" w:before="101"/>
              <w:ind w:right="17"/>
              <w:jc w:val="right"/>
              <w:rPr>
                <w:rFonts w:ascii="宋体" w:hAnsi="宋体" w:cs="宋体" w:eastAsia="宋体" w:hint="default"/>
                <w:sz w:val="18"/>
                <w:szCs w:val="18"/>
              </w:rPr>
            </w:pPr>
            <w:r>
              <w:rPr>
                <w:rFonts w:ascii="宋体" w:hAnsi="宋体" w:cs="宋体" w:eastAsia="宋体" w:hint="default"/>
                <w:sz w:val="18"/>
                <w:szCs w:val="18"/>
              </w:rPr>
              <w:t>限制性股票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6,950,000.00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1340"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66"/>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 格的范围和合同剩余期限</w:t>
            </w:r>
          </w:p>
        </w:tc>
        <w:tc>
          <w:tcPr>
            <w:tcW w:w="648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年股票期权激励计划”行权价格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股，授予登记完成之日起至所有 股票期权行权或注销之日止最长不超过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 划”授予价格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6.345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股，授予登记完成之日起至限制性股解除禁售或回购注销</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完毕之日止最长不超过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个月。</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983"/>
        <w:gridCol w:w="4585"/>
      </w:tblGrid>
      <w:tr>
        <w:trPr>
          <w:trHeight w:val="466"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见附注十三、</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股权激励计划</w:t>
            </w:r>
          </w:p>
        </w:tc>
      </w:tr>
      <w:tr>
        <w:trPr>
          <w:trHeight w:val="46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17"/>
              <w:jc w:val="right"/>
              <w:rPr>
                <w:rFonts w:ascii="宋体" w:hAnsi="宋体" w:cs="宋体" w:eastAsia="宋体" w:hint="default"/>
                <w:sz w:val="18"/>
                <w:szCs w:val="18"/>
              </w:rPr>
            </w:pPr>
            <w:r>
              <w:rPr>
                <w:rFonts w:ascii="宋体" w:hAnsi="宋体" w:cs="宋体" w:eastAsia="宋体" w:hint="default"/>
                <w:sz w:val="18"/>
                <w:szCs w:val="18"/>
              </w:rPr>
              <w:t>见附注十三、</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股权激励计划</w:t>
            </w:r>
          </w:p>
        </w:tc>
      </w:tr>
      <w:tr>
        <w:trPr>
          <w:trHeight w:val="46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31,946,886.71</w:t>
            </w:r>
          </w:p>
        </w:tc>
      </w:tr>
      <w:tr>
        <w:trPr>
          <w:trHeight w:val="466"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8,966,826.00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、股权激励计划</w:t>
      </w:r>
      <w:r>
        <w:rPr>
          <w:b w:val="0"/>
          <w:bCs w:val="0"/>
        </w:rPr>
      </w:r>
    </w:p>
    <w:p>
      <w:pPr>
        <w:spacing w:line="240" w:lineRule="auto" w:before="2"/>
        <w:rPr>
          <w:rFonts w:ascii="宋体" w:hAnsi="宋体" w:cs="宋体" w:eastAsia="宋体" w:hint="default"/>
          <w:b/>
          <w:bCs/>
          <w:sz w:val="32"/>
          <w:szCs w:val="32"/>
        </w:rPr>
      </w:pPr>
    </w:p>
    <w:p>
      <w:pPr>
        <w:pStyle w:val="BodyText"/>
        <w:spacing w:line="451" w:lineRule="auto"/>
        <w:ind w:right="1128" w:firstLine="439"/>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日，公司第八届董事会</w:t>
      </w:r>
      <w:r>
        <w:rPr>
          <w:rFonts w:ascii="Times New Roman" w:hAnsi="Times New Roman" w:cs="Times New Roman" w:eastAsia="Times New Roman" w:hint="default"/>
        </w:rPr>
        <w:t>2019</w:t>
      </w:r>
      <w:r>
        <w:rPr/>
        <w:t>年第三次临时会议审议通过了《关于公司</w:t>
      </w:r>
      <w:r>
        <w:rPr>
          <w:rFonts w:ascii="Times New Roman" w:hAnsi="Times New Roman" w:cs="Times New Roman" w:eastAsia="Times New Roman" w:hint="default"/>
        </w:rPr>
        <w:t>&lt;2019</w:t>
      </w:r>
      <w:r>
        <w:rPr/>
        <w:t>年股票期权与限制性股票激励 </w:t>
      </w:r>
      <w:r>
        <w:rPr>
          <w:spacing w:val="-1"/>
        </w:rPr>
        <w:t>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&lt;2019</w:t>
      </w:r>
      <w:r>
        <w:rPr>
          <w:spacing w:val="-1"/>
        </w:rPr>
        <w:t>年股票期权与限制性股票激励计划实施考核管理办法</w:t>
      </w:r>
      <w:r>
        <w:rPr>
          <w:rFonts w:ascii="Times New Roman" w:hAnsi="Times New Roman" w:cs="Times New Roman" w:eastAsia="Times New Roman" w:hint="default"/>
          <w:spacing w:val="-1"/>
        </w:rPr>
        <w:t>&gt;</w:t>
      </w:r>
      <w:r>
        <w:rPr>
          <w:spacing w:val="-1"/>
        </w:rPr>
        <w:t>的议案》、《关</w:t>
      </w:r>
      <w:r>
        <w:rPr>
          <w:spacing w:val="-63"/>
        </w:rPr>
        <w:t> </w:t>
      </w:r>
      <w:r>
        <w:rPr>
          <w:spacing w:val="-63"/>
        </w:rPr>
      </w:r>
      <w:r>
        <w:rPr/>
        <w:t>于提请股东大会授权董事会办理股权激励相关事宜的议案》。</w:t>
      </w:r>
    </w:p>
    <w:p>
      <w:pPr>
        <w:pStyle w:val="BodyText"/>
        <w:spacing w:line="451" w:lineRule="auto" w:before="74"/>
        <w:ind w:right="1131" w:firstLine="439"/>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日，公司第八届董事会</w:t>
      </w:r>
      <w:r>
        <w:rPr>
          <w:rFonts w:ascii="Times New Roman" w:hAnsi="Times New Roman" w:cs="Times New Roman" w:eastAsia="Times New Roman" w:hint="default"/>
          <w:spacing w:val="-2"/>
        </w:rPr>
        <w:t>2019</w:t>
      </w:r>
      <w:r>
        <w:rPr>
          <w:spacing w:val="-2"/>
        </w:rPr>
        <w:t>年第四次临时会议审议通过了《关于公司</w:t>
      </w:r>
      <w:r>
        <w:rPr>
          <w:rFonts w:ascii="Times New Roman" w:hAnsi="Times New Roman" w:cs="Times New Roman" w:eastAsia="Times New Roman" w:hint="default"/>
          <w:spacing w:val="-2"/>
        </w:rPr>
        <w:t>&lt;2019</w:t>
      </w:r>
      <w:r>
        <w:rPr>
          <w:spacing w:val="-2"/>
        </w:rPr>
        <w:t>年股票期权与限制性股票激励计</w:t>
      </w:r>
      <w:r>
        <w:rPr/>
        <w:t> 划（草案修订稿）</w:t>
      </w:r>
      <w:r>
        <w:rPr>
          <w:rFonts w:ascii="Times New Roman" w:hAnsi="Times New Roman" w:cs="Times New Roman" w:eastAsia="Times New Roman" w:hint="default"/>
        </w:rPr>
        <w:t>&gt;</w:t>
      </w:r>
      <w:r>
        <w:rPr/>
        <w:t>及其摘要的议案》。</w:t>
      </w:r>
    </w:p>
    <w:p>
      <w:pPr>
        <w:pStyle w:val="BodyText"/>
        <w:spacing w:line="451" w:lineRule="auto" w:before="43"/>
        <w:ind w:right="1131" w:firstLine="439"/>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日，神州信息召开</w:t>
      </w:r>
      <w:r>
        <w:rPr>
          <w:rFonts w:ascii="Times New Roman" w:hAnsi="Times New Roman" w:cs="Times New Roman" w:eastAsia="Times New Roman" w:hint="default"/>
          <w:spacing w:val="-2"/>
        </w:rPr>
        <w:t>2019</w:t>
      </w:r>
      <w:r>
        <w:rPr>
          <w:spacing w:val="-2"/>
        </w:rPr>
        <w:t>年度第三次临时股东大会，审议批准了</w:t>
      </w:r>
      <w:r>
        <w:rPr>
          <w:rFonts w:ascii="Times New Roman" w:hAnsi="Times New Roman" w:cs="Times New Roman" w:eastAsia="Times New Roman" w:hint="default"/>
          <w:spacing w:val="-2"/>
        </w:rPr>
        <w:t>2019</w:t>
      </w:r>
      <w:r>
        <w:rPr>
          <w:spacing w:val="-2"/>
        </w:rPr>
        <w:t>年股票期权与限制性股票激励计划等相</w:t>
      </w:r>
      <w:r>
        <w:rPr/>
        <w:t> 关议案。</w:t>
      </w:r>
    </w:p>
    <w:p>
      <w:pPr>
        <w:pStyle w:val="BodyText"/>
        <w:spacing w:line="451" w:lineRule="auto" w:before="74"/>
        <w:ind w:right="1131" w:firstLine="439"/>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17</w:t>
      </w:r>
      <w:r>
        <w:rPr>
          <w:spacing w:val="-2"/>
        </w:rPr>
        <w:t>日，公司第八届董事会</w:t>
      </w:r>
      <w:r>
        <w:rPr>
          <w:rFonts w:ascii="Times New Roman" w:hAnsi="Times New Roman" w:cs="Times New Roman" w:eastAsia="Times New Roman" w:hint="default"/>
          <w:spacing w:val="-2"/>
        </w:rPr>
        <w:t>2019</w:t>
      </w:r>
      <w:r>
        <w:rPr>
          <w:spacing w:val="-2"/>
        </w:rPr>
        <w:t>年第七次临时会议审议通过了《关于调整</w:t>
      </w:r>
      <w:r>
        <w:rPr>
          <w:rFonts w:ascii="Times New Roman" w:hAnsi="Times New Roman" w:cs="Times New Roman" w:eastAsia="Times New Roman" w:hint="default"/>
          <w:spacing w:val="-2"/>
        </w:rPr>
        <w:t>2019</w:t>
      </w:r>
      <w:r>
        <w:rPr>
          <w:spacing w:val="-2"/>
        </w:rPr>
        <w:t>年股票期权与限制性股票激励计</w:t>
      </w:r>
      <w:r>
        <w:rPr/>
        <w:t> 划激励对象名单、授予权益数量及价格议案》、《关于向激励对象授予股票期权与限制性股票的议案》。</w:t>
      </w:r>
    </w:p>
    <w:p>
      <w:pPr>
        <w:pStyle w:val="BodyText"/>
        <w:spacing w:line="240" w:lineRule="auto" w:before="74"/>
        <w:ind w:left="592" w:right="0"/>
        <w:jc w:val="left"/>
      </w:pPr>
      <w:r>
        <w:rPr/>
        <w:t>（一）基本内容</w:t>
      </w:r>
    </w:p>
    <w:p>
      <w:pPr>
        <w:spacing w:line="240" w:lineRule="auto" w:before="10"/>
        <w:rPr>
          <w:rFonts w:ascii="宋体" w:hAnsi="宋体" w:cs="宋体" w:eastAsia="宋体" w:hint="default"/>
          <w:sz w:val="17"/>
          <w:szCs w:val="17"/>
        </w:rPr>
      </w:pPr>
    </w:p>
    <w:p>
      <w:pPr>
        <w:pStyle w:val="BodyText"/>
        <w:spacing w:line="240" w:lineRule="auto"/>
        <w:ind w:left="592" w:right="0"/>
        <w:jc w:val="left"/>
      </w:pPr>
      <w:r>
        <w:rPr>
          <w:rFonts w:ascii="Times New Roman" w:hAnsi="Times New Roman" w:cs="Times New Roman" w:eastAsia="Times New Roman" w:hint="default"/>
        </w:rPr>
        <w:t>1</w:t>
      </w:r>
      <w:r>
        <w:rPr/>
        <w:t>）股票来源：本激励计划来源为神州信息向激励对象定向发行</w:t>
      </w:r>
      <w:r>
        <w:rPr>
          <w:rFonts w:ascii="Times New Roman" w:hAnsi="Times New Roman" w:cs="Times New Roman" w:eastAsia="Times New Roman" w:hint="default"/>
        </w:rPr>
        <w:t>A</w:t>
      </w:r>
      <w:r>
        <w:rPr/>
        <w:t>股普通股股票；</w:t>
      </w:r>
    </w:p>
    <w:p>
      <w:pPr>
        <w:spacing w:after="0" w:line="240"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240" w:lineRule="auto" w:before="44"/>
        <w:ind w:left="592" w:right="0"/>
        <w:jc w:val="left"/>
      </w:pPr>
      <w:r>
        <w:rPr>
          <w:rFonts w:ascii="Times New Roman" w:hAnsi="Times New Roman" w:cs="Times New Roman" w:eastAsia="Times New Roman" w:hint="default"/>
        </w:rPr>
        <w:t>2</w:t>
      </w:r>
      <w:r>
        <w:rPr/>
        <w:t>）授予日：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w:t>
      </w:r>
    </w:p>
    <w:p>
      <w:pPr>
        <w:spacing w:line="240" w:lineRule="auto" w:before="9"/>
        <w:rPr>
          <w:rFonts w:ascii="宋体" w:hAnsi="宋体" w:cs="宋体" w:eastAsia="宋体" w:hint="default"/>
          <w:sz w:val="16"/>
          <w:szCs w:val="16"/>
        </w:rPr>
      </w:pPr>
    </w:p>
    <w:p>
      <w:pPr>
        <w:pStyle w:val="BodyText"/>
        <w:spacing w:line="240" w:lineRule="auto"/>
        <w:ind w:left="592" w:right="0"/>
        <w:jc w:val="left"/>
      </w:pPr>
      <w:r>
        <w:rPr>
          <w:rFonts w:ascii="Times New Roman" w:hAnsi="Times New Roman" w:cs="Times New Roman" w:eastAsia="Times New Roman" w:hint="default"/>
        </w:rPr>
        <w:t>3</w:t>
      </w:r>
      <w:r>
        <w:rPr/>
        <w:t>）行权</w:t>
      </w:r>
      <w:r>
        <w:rPr>
          <w:rFonts w:ascii="Times New Roman" w:hAnsi="Times New Roman" w:cs="Times New Roman" w:eastAsia="Times New Roman" w:hint="default"/>
        </w:rPr>
        <w:t>/</w:t>
      </w:r>
      <w:r>
        <w:rPr/>
        <w:t>授予价格：股票期权的行权价格为</w:t>
      </w:r>
      <w:r>
        <w:rPr>
          <w:rFonts w:ascii="Times New Roman" w:hAnsi="Times New Roman" w:cs="Times New Roman" w:eastAsia="Times New Roman" w:hint="default"/>
        </w:rPr>
        <w:t>12.76</w:t>
      </w:r>
      <w:r>
        <w:rPr/>
        <w:t>元</w:t>
      </w:r>
      <w:r>
        <w:rPr>
          <w:rFonts w:ascii="Times New Roman" w:hAnsi="Times New Roman" w:cs="Times New Roman" w:eastAsia="Times New Roman" w:hint="default"/>
        </w:rPr>
        <w:t>/</w:t>
      </w:r>
      <w:r>
        <w:rPr/>
        <w:t>份，限制性股票的授予价格为</w:t>
      </w:r>
      <w:r>
        <w:rPr>
          <w:rFonts w:ascii="Times New Roman" w:hAnsi="Times New Roman" w:cs="Times New Roman" w:eastAsia="Times New Roman" w:hint="default"/>
        </w:rPr>
        <w:t>6.345</w:t>
      </w:r>
      <w:r>
        <w:rPr/>
        <w:t>元</w:t>
      </w:r>
      <w:r>
        <w:rPr>
          <w:rFonts w:ascii="Times New Roman" w:hAnsi="Times New Roman" w:cs="Times New Roman" w:eastAsia="Times New Roman" w:hint="default"/>
        </w:rPr>
        <w:t>/</w:t>
      </w:r>
      <w:r>
        <w:rPr/>
        <w:t>股；</w:t>
      </w:r>
    </w:p>
    <w:p>
      <w:pPr>
        <w:spacing w:line="240" w:lineRule="auto" w:before="9"/>
        <w:rPr>
          <w:rFonts w:ascii="宋体" w:hAnsi="宋体" w:cs="宋体" w:eastAsia="宋体" w:hint="default"/>
          <w:sz w:val="16"/>
          <w:szCs w:val="16"/>
        </w:rPr>
      </w:pPr>
    </w:p>
    <w:p>
      <w:pPr>
        <w:pStyle w:val="BodyText"/>
        <w:spacing w:line="451" w:lineRule="auto"/>
        <w:ind w:right="0" w:firstLine="439"/>
        <w:jc w:val="left"/>
      </w:pPr>
      <w:r>
        <w:rPr>
          <w:rFonts w:ascii="Times New Roman" w:hAnsi="Times New Roman" w:cs="Times New Roman" w:eastAsia="Times New Roman" w:hint="default"/>
          <w:spacing w:val="-2"/>
        </w:rPr>
        <w:t>4</w:t>
      </w:r>
      <w:r>
        <w:rPr>
          <w:spacing w:val="-2"/>
        </w:rPr>
        <w:t>）授予人数及授予数量：股票期权授予的激励对象共计</w:t>
      </w:r>
      <w:r>
        <w:rPr>
          <w:rFonts w:ascii="Times New Roman" w:hAnsi="Times New Roman" w:cs="Times New Roman" w:eastAsia="Times New Roman" w:hint="default"/>
          <w:spacing w:val="-2"/>
        </w:rPr>
        <w:t>104</w:t>
      </w:r>
      <w:r>
        <w:rPr>
          <w:spacing w:val="-2"/>
        </w:rPr>
        <w:t>人，授予数量为</w:t>
      </w:r>
      <w:r>
        <w:rPr>
          <w:rFonts w:ascii="Times New Roman" w:hAnsi="Times New Roman" w:cs="Times New Roman" w:eastAsia="Times New Roman" w:hint="default"/>
          <w:spacing w:val="-2"/>
        </w:rPr>
        <w:t>2,247.00</w:t>
      </w:r>
      <w:r>
        <w:rPr>
          <w:spacing w:val="-2"/>
        </w:rPr>
        <w:t>万份，占公司总股本</w:t>
      </w:r>
      <w:r>
        <w:rPr>
          <w:rFonts w:ascii="Times New Roman" w:hAnsi="Times New Roman" w:cs="Times New Roman" w:eastAsia="Times New Roman" w:hint="default"/>
          <w:spacing w:val="-2"/>
        </w:rPr>
        <w:t>96,343.13</w:t>
      </w:r>
      <w:r>
        <w:rPr>
          <w:spacing w:val="-2"/>
        </w:rPr>
        <w:t>万股</w:t>
      </w:r>
      <w:r>
        <w:rPr/>
        <w:t> 的</w:t>
      </w:r>
      <w:r>
        <w:rPr>
          <w:rFonts w:ascii="Times New Roman" w:hAnsi="Times New Roman" w:cs="Times New Roman" w:eastAsia="Times New Roman" w:hint="default"/>
        </w:rPr>
        <w:t>2.33%</w:t>
      </w:r>
      <w:r>
        <w:rPr/>
        <w:t>。限制性股票授予的激励对象共</w:t>
      </w:r>
      <w:r>
        <w:rPr>
          <w:rFonts w:ascii="Times New Roman" w:hAnsi="Times New Roman" w:cs="Times New Roman" w:eastAsia="Times New Roman" w:hint="default"/>
        </w:rPr>
        <w:t>16</w:t>
      </w:r>
      <w:r>
        <w:rPr/>
        <w:t>人，授予数量为</w:t>
      </w:r>
      <w:r>
        <w:rPr>
          <w:rFonts w:ascii="Times New Roman" w:hAnsi="Times New Roman" w:cs="Times New Roman" w:eastAsia="Times New Roman" w:hint="default"/>
        </w:rPr>
        <w:t>695.00</w:t>
      </w:r>
      <w:r>
        <w:rPr/>
        <w:t>万股限制性股票，占公司总股本</w:t>
      </w:r>
      <w:r>
        <w:rPr>
          <w:rFonts w:ascii="Times New Roman" w:hAnsi="Times New Roman" w:cs="Times New Roman" w:eastAsia="Times New Roman" w:hint="default"/>
        </w:rPr>
        <w:t>96,343.13</w:t>
      </w:r>
      <w:r>
        <w:rPr/>
        <w:t>万股的</w:t>
      </w:r>
      <w:r>
        <w:rPr>
          <w:rFonts w:ascii="Times New Roman" w:hAnsi="Times New Roman" w:cs="Times New Roman" w:eastAsia="Times New Roman" w:hint="default"/>
        </w:rPr>
        <w:t>0.72%</w:t>
      </w:r>
      <w:r>
        <w:rPr/>
        <w:t>。</w:t>
      </w:r>
    </w:p>
    <w:p>
      <w:pPr>
        <w:pStyle w:val="BodyText"/>
        <w:spacing w:line="240" w:lineRule="auto" w:before="43"/>
        <w:ind w:left="592" w:right="0"/>
        <w:jc w:val="left"/>
      </w:pPr>
      <w:r>
        <w:rPr/>
        <w:t>（二）激励计划的有效期、等待</w:t>
      </w:r>
      <w:r>
        <w:rPr>
          <w:rFonts w:ascii="Times New Roman" w:hAnsi="Times New Roman" w:cs="Times New Roman" w:eastAsia="Times New Roman" w:hint="default"/>
        </w:rPr>
        <w:t>/</w:t>
      </w:r>
      <w:r>
        <w:rPr/>
        <w:t>限售期、行权</w:t>
      </w:r>
      <w:r>
        <w:rPr>
          <w:rFonts w:ascii="Times New Roman" w:hAnsi="Times New Roman" w:cs="Times New Roman" w:eastAsia="Times New Roman" w:hint="default"/>
        </w:rPr>
        <w:t>/</w:t>
      </w:r>
      <w:r>
        <w:rPr/>
        <w:t>解除限售安排</w:t>
      </w:r>
    </w:p>
    <w:p>
      <w:pPr>
        <w:spacing w:line="240" w:lineRule="auto" w:before="9"/>
        <w:rPr>
          <w:rFonts w:ascii="宋体" w:hAnsi="宋体" w:cs="宋体" w:eastAsia="宋体" w:hint="default"/>
          <w:sz w:val="16"/>
          <w:szCs w:val="16"/>
        </w:rPr>
      </w:pPr>
    </w:p>
    <w:p>
      <w:pPr>
        <w:pStyle w:val="BodyText"/>
        <w:spacing w:line="451" w:lineRule="auto"/>
        <w:ind w:left="592" w:right="1125"/>
        <w:jc w:val="left"/>
        <w:rPr>
          <w:rFonts w:ascii="宋体" w:hAnsi="宋体" w:cs="宋体" w:eastAsia="宋体" w:hint="default"/>
        </w:rPr>
      </w:pPr>
      <w:r>
        <w:rPr>
          <w:rFonts w:ascii="Times New Roman" w:hAnsi="Times New Roman" w:cs="Times New Roman" w:eastAsia="Times New Roman" w:hint="default"/>
        </w:rPr>
        <w:t>1</w:t>
      </w:r>
      <w:r>
        <w:rPr/>
        <w:t>）股票期权 本激励计划有效期自股票期权授予登记完成之日起至激励对象获授的股票期权全部行权或注销之日止，最长不超过</w:t>
      </w:r>
      <w:r>
        <w:rPr>
          <w:rFonts w:ascii="宋体" w:hAnsi="宋体" w:cs="宋体" w:eastAsia="宋体" w:hint="default"/>
        </w:rPr>
        <w:t>36</w:t>
      </w:r>
    </w:p>
    <w:p>
      <w:pPr>
        <w:pStyle w:val="BodyText"/>
        <w:spacing w:line="240" w:lineRule="auto" w:before="74"/>
        <w:ind w:right="0"/>
        <w:jc w:val="left"/>
      </w:pPr>
      <w:r>
        <w:rPr/>
        <w:t>个月。</w:t>
      </w:r>
    </w:p>
    <w:p>
      <w:pPr>
        <w:spacing w:line="240" w:lineRule="auto" w:before="1"/>
        <w:rPr>
          <w:rFonts w:ascii="宋体" w:hAnsi="宋体" w:cs="宋体" w:eastAsia="宋体" w:hint="default"/>
          <w:sz w:val="11"/>
          <w:szCs w:val="11"/>
        </w:rPr>
      </w:pPr>
    </w:p>
    <w:tbl>
      <w:tblPr>
        <w:tblW w:w="0" w:type="auto"/>
        <w:jc w:val="left"/>
        <w:tblInd w:w="604" w:type="dxa"/>
        <w:tblLayout w:type="fixed"/>
        <w:tblCellMar>
          <w:top w:w="0" w:type="dxa"/>
          <w:left w:w="0" w:type="dxa"/>
          <w:bottom w:w="0" w:type="dxa"/>
          <w:right w:w="0" w:type="dxa"/>
        </w:tblCellMar>
        <w:tblLook w:val="01E0"/>
      </w:tblPr>
      <w:tblGrid>
        <w:gridCol w:w="1385"/>
        <w:gridCol w:w="5956"/>
        <w:gridCol w:w="1383"/>
      </w:tblGrid>
      <w:tr>
        <w:trPr>
          <w:trHeight w:val="506" w:hRule="exact"/>
        </w:trPr>
        <w:tc>
          <w:tcPr>
            <w:tcW w:w="1385"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97"/>
              <w:ind w:left="326" w:right="0"/>
              <w:jc w:val="left"/>
              <w:rPr>
                <w:rFonts w:ascii="宋体" w:hAnsi="宋体" w:cs="宋体" w:eastAsia="宋体" w:hint="default"/>
                <w:sz w:val="18"/>
                <w:szCs w:val="18"/>
              </w:rPr>
            </w:pPr>
            <w:r>
              <w:rPr>
                <w:rFonts w:ascii="宋体" w:hAnsi="宋体" w:cs="宋体" w:eastAsia="宋体" w:hint="default"/>
                <w:sz w:val="18"/>
                <w:szCs w:val="18"/>
              </w:rPr>
              <w:t>行权安排</w:t>
            </w:r>
          </w:p>
        </w:tc>
        <w:tc>
          <w:tcPr>
            <w:tcW w:w="5956"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97"/>
              <w:ind w:left="2"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383"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行权比例</w:t>
            </w:r>
          </w:p>
        </w:tc>
      </w:tr>
      <w:tr>
        <w:trPr>
          <w:trHeight w:val="976" w:hRule="exact"/>
        </w:trPr>
        <w:tc>
          <w:tcPr>
            <w:tcW w:w="13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8"/>
              <w:ind w:left="4" w:right="0"/>
              <w:jc w:val="left"/>
              <w:rPr>
                <w:rFonts w:ascii="宋体" w:hAnsi="宋体" w:cs="宋体" w:eastAsia="宋体" w:hint="default"/>
                <w:sz w:val="18"/>
                <w:szCs w:val="18"/>
              </w:rPr>
            </w:pPr>
            <w:r>
              <w:rPr>
                <w:rFonts w:ascii="宋体" w:hAnsi="宋体" w:cs="宋体" w:eastAsia="宋体" w:hint="default"/>
                <w:sz w:val="18"/>
                <w:szCs w:val="18"/>
              </w:rPr>
              <w:t>股票期权第一个</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行权期</w:t>
            </w:r>
          </w:p>
        </w:tc>
        <w:tc>
          <w:tcPr>
            <w:tcW w:w="5956" w:type="dxa"/>
            <w:tcBorders>
              <w:top w:val="single" w:sz="8" w:space="0" w:color="000000"/>
              <w:left w:val="single" w:sz="6" w:space="0" w:color="000000"/>
              <w:bottom w:val="single" w:sz="8" w:space="0" w:color="000000"/>
              <w:right w:val="single" w:sz="6" w:space="0" w:color="000000"/>
            </w:tcBorders>
          </w:tcPr>
          <w:p>
            <w:pPr>
              <w:pStyle w:val="TableParagraph"/>
              <w:spacing w:line="451" w:lineRule="auto" w:before="98"/>
              <w:ind w:left="4" w:right="170"/>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个月后的首个交易日起至授予登记完成之日起</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个月内的最后一个交易日当日止</w:t>
            </w:r>
          </w:p>
        </w:tc>
        <w:tc>
          <w:tcPr>
            <w:tcW w:w="13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Times New Roman" w:hAnsi="Times New Roman" w:cs="Times New Roman" w:eastAsia="Times New Roman" w:hint="default"/>
                <w:sz w:val="18"/>
                <w:szCs w:val="18"/>
              </w:rPr>
            </w:pPr>
            <w:r>
              <w:rPr>
                <w:rFonts w:ascii="Times New Roman"/>
                <w:sz w:val="18"/>
              </w:rPr>
              <w:t>50%</w:t>
            </w:r>
          </w:p>
        </w:tc>
      </w:tr>
      <w:tr>
        <w:trPr>
          <w:trHeight w:val="977" w:hRule="exact"/>
        </w:trPr>
        <w:tc>
          <w:tcPr>
            <w:tcW w:w="138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left="4" w:right="0"/>
              <w:jc w:val="left"/>
              <w:rPr>
                <w:rFonts w:ascii="宋体" w:hAnsi="宋体" w:cs="宋体" w:eastAsia="宋体" w:hint="default"/>
                <w:sz w:val="18"/>
                <w:szCs w:val="18"/>
              </w:rPr>
            </w:pPr>
            <w:r>
              <w:rPr>
                <w:rFonts w:ascii="宋体" w:hAnsi="宋体" w:cs="宋体" w:eastAsia="宋体" w:hint="default"/>
                <w:sz w:val="18"/>
                <w:szCs w:val="18"/>
              </w:rPr>
              <w:t>股票期权第二个</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行权期</w:t>
            </w:r>
          </w:p>
        </w:tc>
        <w:tc>
          <w:tcPr>
            <w:tcW w:w="5956" w:type="dxa"/>
            <w:tcBorders>
              <w:top w:val="single" w:sz="8" w:space="0" w:color="000000"/>
              <w:left w:val="single" w:sz="6" w:space="0" w:color="000000"/>
              <w:bottom w:val="single" w:sz="8" w:space="0" w:color="000000"/>
              <w:right w:val="single" w:sz="6" w:space="0" w:color="000000"/>
            </w:tcBorders>
          </w:tcPr>
          <w:p>
            <w:pPr>
              <w:pStyle w:val="TableParagraph"/>
              <w:spacing w:line="451" w:lineRule="auto" w:before="99"/>
              <w:ind w:left="4" w:right="170"/>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个月后的首个交易日起至授予登记完成之日起</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个月内的最后一个交易日当日止</w:t>
            </w:r>
          </w:p>
        </w:tc>
        <w:tc>
          <w:tcPr>
            <w:tcW w:w="13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50%</w:t>
            </w:r>
          </w:p>
        </w:tc>
      </w:tr>
    </w:tbl>
    <w:p>
      <w:pPr>
        <w:pStyle w:val="BodyText"/>
        <w:spacing w:line="451" w:lineRule="auto" w:before="87"/>
        <w:ind w:left="592" w:right="1854"/>
        <w:jc w:val="left"/>
      </w:pPr>
      <w:r>
        <w:rPr/>
        <w:pict>
          <v:shape style="position:absolute;margin-left:79.223999pt;margin-top:46.781727pt;width:437.3pt;height:123.7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26"/>
                    <w:gridCol w:w="5814"/>
                    <w:gridCol w:w="1383"/>
                  </w:tblGrid>
                  <w:tr>
                    <w:trPr>
                      <w:trHeight w:val="507" w:hRule="exact"/>
                    </w:trPr>
                    <w:tc>
                      <w:tcPr>
                        <w:tcW w:w="1526"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99"/>
                          <w:ind w:left="398" w:right="0"/>
                          <w:jc w:val="left"/>
                          <w:rPr>
                            <w:rFonts w:ascii="宋体" w:hAnsi="宋体" w:cs="宋体" w:eastAsia="宋体" w:hint="default"/>
                            <w:sz w:val="18"/>
                            <w:szCs w:val="18"/>
                          </w:rPr>
                        </w:pPr>
                        <w:r>
                          <w:rPr>
                            <w:rFonts w:ascii="宋体" w:hAnsi="宋体" w:cs="宋体" w:eastAsia="宋体" w:hint="default"/>
                            <w:sz w:val="18"/>
                            <w:szCs w:val="18"/>
                          </w:rPr>
                          <w:t>行权安排</w:t>
                        </w:r>
                      </w:p>
                    </w:tc>
                    <w:tc>
                      <w:tcPr>
                        <w:tcW w:w="5814"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383"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99"/>
                          <w:ind w:right="0"/>
                          <w:jc w:val="center"/>
                          <w:rPr>
                            <w:rFonts w:ascii="宋体" w:hAnsi="宋体" w:cs="宋体" w:eastAsia="宋体" w:hint="default"/>
                            <w:sz w:val="18"/>
                            <w:szCs w:val="18"/>
                          </w:rPr>
                        </w:pPr>
                        <w:r>
                          <w:rPr>
                            <w:rFonts w:ascii="宋体" w:hAnsi="宋体" w:cs="宋体" w:eastAsia="宋体" w:hint="default"/>
                            <w:sz w:val="18"/>
                            <w:szCs w:val="18"/>
                          </w:rPr>
                          <w:t>行权比例</w:t>
                        </w:r>
                      </w:p>
                    </w:tc>
                  </w:tr>
                  <w:tr>
                    <w:trPr>
                      <w:trHeight w:val="974" w:hRule="exact"/>
                    </w:trPr>
                    <w:tc>
                      <w:tcPr>
                        <w:tcW w:w="15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7"/>
                          <w:ind w:left="4" w:right="0"/>
                          <w:jc w:val="left"/>
                          <w:rPr>
                            <w:rFonts w:ascii="宋体" w:hAnsi="宋体" w:cs="宋体" w:eastAsia="宋体" w:hint="default"/>
                            <w:sz w:val="18"/>
                            <w:szCs w:val="18"/>
                          </w:rPr>
                        </w:pPr>
                        <w:r>
                          <w:rPr>
                            <w:rFonts w:ascii="宋体" w:hAnsi="宋体" w:cs="宋体" w:eastAsia="宋体" w:hint="default"/>
                            <w:sz w:val="18"/>
                            <w:szCs w:val="18"/>
                          </w:rPr>
                          <w:t>限制性股票第一个</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解除限售期</w:t>
                        </w:r>
                      </w:p>
                    </w:tc>
                    <w:tc>
                      <w:tcPr>
                        <w:tcW w:w="5814" w:type="dxa"/>
                        <w:tcBorders>
                          <w:top w:val="single" w:sz="8" w:space="0" w:color="000000"/>
                          <w:left w:val="single" w:sz="6" w:space="0" w:color="000000"/>
                          <w:bottom w:val="single" w:sz="8" w:space="0" w:color="000000"/>
                          <w:right w:val="single" w:sz="6" w:space="0" w:color="000000"/>
                        </w:tcBorders>
                      </w:tcPr>
                      <w:p>
                        <w:pPr>
                          <w:pStyle w:val="TableParagraph"/>
                          <w:spacing w:line="451" w:lineRule="auto" w:before="97"/>
                          <w:ind w:left="4" w:right="29"/>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个月后的首个交易日起至授予登记完成之日起</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个月内的最后一个交易日当日止</w:t>
                        </w:r>
                      </w:p>
                    </w:tc>
                    <w:tc>
                      <w:tcPr>
                        <w:tcW w:w="13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50%</w:t>
                        </w:r>
                      </w:p>
                    </w:tc>
                  </w:tr>
                  <w:tr>
                    <w:trPr>
                      <w:trHeight w:val="977" w:hRule="exact"/>
                    </w:trPr>
                    <w:tc>
                      <w:tcPr>
                        <w:tcW w:w="152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9"/>
                          <w:ind w:left="4" w:right="0"/>
                          <w:jc w:val="left"/>
                          <w:rPr>
                            <w:rFonts w:ascii="宋体" w:hAnsi="宋体" w:cs="宋体" w:eastAsia="宋体" w:hint="default"/>
                            <w:sz w:val="18"/>
                            <w:szCs w:val="18"/>
                          </w:rPr>
                        </w:pPr>
                        <w:r>
                          <w:rPr>
                            <w:rFonts w:ascii="宋体" w:hAnsi="宋体" w:cs="宋体" w:eastAsia="宋体" w:hint="default"/>
                            <w:sz w:val="18"/>
                            <w:szCs w:val="18"/>
                          </w:rPr>
                          <w:t>限制性股票第二个</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解除限售期</w:t>
                        </w:r>
                        <w:r>
                          <w:rPr>
                            <w:rFonts w:ascii="宋体" w:hAnsi="宋体" w:cs="宋体" w:eastAsia="宋体" w:hint="default"/>
                            <w:sz w:val="18"/>
                            <w:szCs w:val="18"/>
                          </w:rPr>
                          <w:t> </w:t>
                        </w:r>
                      </w:p>
                    </w:tc>
                    <w:tc>
                      <w:tcPr>
                        <w:tcW w:w="5814" w:type="dxa"/>
                        <w:tcBorders>
                          <w:top w:val="single" w:sz="8" w:space="0" w:color="000000"/>
                          <w:left w:val="single" w:sz="6" w:space="0" w:color="000000"/>
                          <w:bottom w:val="single" w:sz="8" w:space="0" w:color="000000"/>
                          <w:right w:val="single" w:sz="6" w:space="0" w:color="000000"/>
                        </w:tcBorders>
                      </w:tcPr>
                      <w:p>
                        <w:pPr>
                          <w:pStyle w:val="TableParagraph"/>
                          <w:spacing w:line="451" w:lineRule="auto" w:before="99"/>
                          <w:ind w:left="4" w:right="29"/>
                          <w:jc w:val="left"/>
                          <w:rPr>
                            <w:rFonts w:ascii="宋体" w:hAnsi="宋体" w:cs="宋体" w:eastAsia="宋体" w:hint="default"/>
                            <w:sz w:val="18"/>
                            <w:szCs w:val="18"/>
                          </w:rPr>
                        </w:pPr>
                        <w:r>
                          <w:rPr>
                            <w:rFonts w:ascii="宋体" w:hAnsi="宋体" w:cs="宋体" w:eastAsia="宋体" w:hint="default"/>
                            <w:sz w:val="18"/>
                            <w:szCs w:val="18"/>
                          </w:rPr>
                          <w:t>自授予登记完成之日起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个月后的首个交易日起至授予登记完成之日起</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个月内的最后一个交易日当日止</w:t>
                        </w:r>
                      </w:p>
                    </w:tc>
                    <w:tc>
                      <w:tcPr>
                        <w:tcW w:w="138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50%</w:t>
                        </w:r>
                      </w:p>
                    </w:tc>
                  </w:tr>
                </w:tbl>
                <w:p>
                  <w:pPr/>
                </w:p>
              </w:txbxContent>
            </v:textbox>
            <w10:wrap type="none"/>
          </v:shape>
        </w:pict>
      </w:r>
      <w:r>
        <w:rPr>
          <w:rFonts w:ascii="Times New Roman" w:hAnsi="Times New Roman" w:cs="Times New Roman" w:eastAsia="Times New Roman" w:hint="default"/>
        </w:rPr>
        <w:t>2</w:t>
      </w:r>
      <w:r>
        <w:rPr/>
        <w:t>）限制性股票 本激励计划授予的限制性股票限售期分别为自激励对象获授的限制性股票登记完成之日起</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24</w:t>
      </w:r>
      <w:r>
        <w:rPr/>
        <w:t>个月。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before="44"/>
        <w:ind w:left="592" w:right="0"/>
        <w:jc w:val="left"/>
      </w:pPr>
      <w:r>
        <w:rPr/>
        <w:t>（三）本次股权激励计划的业绩考核要求</w:t>
      </w:r>
    </w:p>
    <w:p>
      <w:pPr>
        <w:spacing w:line="240" w:lineRule="auto" w:before="10"/>
        <w:rPr>
          <w:rFonts w:ascii="宋体" w:hAnsi="宋体" w:cs="宋体" w:eastAsia="宋体" w:hint="default"/>
          <w:sz w:val="17"/>
          <w:szCs w:val="17"/>
        </w:rPr>
      </w:pPr>
    </w:p>
    <w:p>
      <w:pPr>
        <w:pStyle w:val="BodyText"/>
        <w:spacing w:line="451" w:lineRule="auto"/>
        <w:ind w:right="0" w:firstLine="439"/>
        <w:jc w:val="left"/>
      </w:pPr>
      <w:r>
        <w:rPr>
          <w:spacing w:val="-3"/>
        </w:rPr>
        <w:t>本激励计划的行权考核年度为</w:t>
      </w:r>
      <w:r>
        <w:rPr>
          <w:rFonts w:ascii="Times New Roman" w:hAnsi="Times New Roman" w:cs="Times New Roman" w:eastAsia="Times New Roman" w:hint="default"/>
          <w:spacing w:val="-3"/>
        </w:rPr>
        <w:t>2019-2020</w:t>
      </w:r>
      <w:r>
        <w:rPr>
          <w:spacing w:val="-3"/>
        </w:rPr>
        <w:t>年两个会计年度，每个会计年度考核一次，以达到业绩考核目标做为行权条件，</w:t>
      </w:r>
      <w:r>
        <w:rPr/>
        <w:t> 股票期权与限制性股票的行权条件一致。</w:t>
      </w:r>
    </w:p>
    <w:p>
      <w:pPr>
        <w:pStyle w:val="BodyText"/>
        <w:spacing w:line="451" w:lineRule="auto" w:before="74"/>
        <w:ind w:left="592" w:right="8154"/>
        <w:jc w:val="left"/>
      </w:pPr>
      <w:r>
        <w:rPr>
          <w:rFonts w:ascii="Times New Roman" w:hAnsi="Times New Roman" w:cs="Times New Roman" w:eastAsia="Times New Roman" w:hint="default"/>
        </w:rPr>
        <w:t>1</w:t>
      </w:r>
      <w:r>
        <w:rPr/>
        <w:t>）公司层面业绩考核要求 各年度业绩考核目标如下：</w:t>
      </w:r>
    </w:p>
    <w:tbl>
      <w:tblPr>
        <w:tblW w:w="0" w:type="auto"/>
        <w:jc w:val="left"/>
        <w:tblInd w:w="604" w:type="dxa"/>
        <w:tblLayout w:type="fixed"/>
        <w:tblCellMar>
          <w:top w:w="0" w:type="dxa"/>
          <w:left w:w="0" w:type="dxa"/>
          <w:bottom w:w="0" w:type="dxa"/>
          <w:right w:w="0" w:type="dxa"/>
        </w:tblCellMar>
        <w:tblLook w:val="01E0"/>
      </w:tblPr>
      <w:tblGrid>
        <w:gridCol w:w="4364"/>
        <w:gridCol w:w="4359"/>
      </w:tblGrid>
      <w:tr>
        <w:trPr>
          <w:trHeight w:val="499" w:hRule="exact"/>
        </w:trPr>
        <w:tc>
          <w:tcPr>
            <w:tcW w:w="4364"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4359"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行权条件</w:t>
            </w:r>
          </w:p>
        </w:tc>
      </w:tr>
      <w:tr>
        <w:trPr>
          <w:trHeight w:val="509" w:hRule="exact"/>
        </w:trPr>
        <w:tc>
          <w:tcPr>
            <w:tcW w:w="43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3"/>
              <w:ind w:left="4" w:right="0"/>
              <w:jc w:val="left"/>
              <w:rPr>
                <w:rFonts w:ascii="宋体" w:hAnsi="宋体" w:cs="宋体" w:eastAsia="宋体" w:hint="default"/>
                <w:sz w:val="18"/>
                <w:szCs w:val="18"/>
              </w:rPr>
            </w:pPr>
            <w:r>
              <w:rPr>
                <w:rFonts w:ascii="宋体" w:hAnsi="宋体" w:cs="宋体" w:eastAsia="宋体" w:hint="default"/>
                <w:sz w:val="18"/>
                <w:szCs w:val="18"/>
              </w:rPr>
              <w:t>股票期权第一个行权期</w:t>
            </w:r>
            <w:r>
              <w:rPr>
                <w:rFonts w:ascii="宋体" w:hAnsi="宋体" w:cs="宋体" w:eastAsia="宋体" w:hint="default"/>
                <w:sz w:val="18"/>
                <w:szCs w:val="18"/>
              </w:rPr>
              <w:t>/</w:t>
            </w:r>
            <w:r>
              <w:rPr>
                <w:rFonts w:ascii="宋体" w:hAnsi="宋体" w:cs="宋体" w:eastAsia="宋体" w:hint="default"/>
                <w:sz w:val="18"/>
                <w:szCs w:val="18"/>
              </w:rPr>
              <w:t>限制性股票第一个解除限售期</w:t>
            </w:r>
          </w:p>
        </w:tc>
        <w:tc>
          <w:tcPr>
            <w:tcW w:w="43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年净利润不低于</w:t>
            </w:r>
            <w:r>
              <w:rPr>
                <w:rFonts w:ascii="Times New Roman" w:hAnsi="Times New Roman" w:cs="Times New Roman" w:eastAsia="Times New Roman" w:hint="default"/>
                <w:sz w:val="18"/>
                <w:szCs w:val="18"/>
              </w:rPr>
              <w:t>3.6</w:t>
            </w:r>
            <w:r>
              <w:rPr>
                <w:rFonts w:ascii="宋体" w:hAnsi="宋体" w:cs="宋体" w:eastAsia="宋体" w:hint="default"/>
                <w:sz w:val="18"/>
                <w:szCs w:val="18"/>
              </w:rPr>
              <w:t>亿元</w:t>
            </w:r>
          </w:p>
        </w:tc>
      </w:tr>
      <w:tr>
        <w:trPr>
          <w:trHeight w:val="509" w:hRule="exact"/>
        </w:trPr>
        <w:tc>
          <w:tcPr>
            <w:tcW w:w="436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1"/>
              <w:ind w:left="4" w:right="0"/>
              <w:jc w:val="left"/>
              <w:rPr>
                <w:rFonts w:ascii="宋体" w:hAnsi="宋体" w:cs="宋体" w:eastAsia="宋体" w:hint="default"/>
                <w:sz w:val="18"/>
                <w:szCs w:val="18"/>
              </w:rPr>
            </w:pPr>
            <w:r>
              <w:rPr>
                <w:rFonts w:ascii="宋体" w:hAnsi="宋体" w:cs="宋体" w:eastAsia="宋体" w:hint="default"/>
                <w:sz w:val="18"/>
                <w:szCs w:val="18"/>
              </w:rPr>
              <w:t>股票期权第二个行权期</w:t>
            </w:r>
            <w:r>
              <w:rPr>
                <w:rFonts w:ascii="宋体" w:hAnsi="宋体" w:cs="宋体" w:eastAsia="宋体" w:hint="default"/>
                <w:sz w:val="18"/>
                <w:szCs w:val="18"/>
              </w:rPr>
              <w:t>/</w:t>
            </w:r>
            <w:r>
              <w:rPr>
                <w:rFonts w:ascii="宋体" w:hAnsi="宋体" w:cs="宋体" w:eastAsia="宋体" w:hint="default"/>
                <w:sz w:val="18"/>
                <w:szCs w:val="18"/>
              </w:rPr>
              <w:t>限制性股票第二个解除限售期</w:t>
            </w:r>
          </w:p>
        </w:tc>
        <w:tc>
          <w:tcPr>
            <w:tcW w:w="435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9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年净利润不低于</w:t>
            </w:r>
            <w:r>
              <w:rPr>
                <w:rFonts w:ascii="Times New Roman" w:hAnsi="Times New Roman" w:cs="Times New Roman" w:eastAsia="Times New Roman" w:hint="default"/>
                <w:sz w:val="18"/>
                <w:szCs w:val="18"/>
              </w:rPr>
              <w:t>4.35</w:t>
            </w:r>
            <w:r>
              <w:rPr>
                <w:rFonts w:ascii="宋体" w:hAnsi="宋体" w:cs="宋体" w:eastAsia="宋体" w:hint="default"/>
                <w:sz w:val="18"/>
                <w:szCs w:val="18"/>
              </w:rPr>
              <w:t>亿元</w:t>
            </w:r>
          </w:p>
        </w:tc>
      </w:tr>
    </w:tbl>
    <w:p>
      <w:pPr>
        <w:pStyle w:val="BodyText"/>
        <w:spacing w:line="240" w:lineRule="auto" w:before="81"/>
        <w:ind w:left="592" w:right="0"/>
        <w:jc w:val="left"/>
      </w:pPr>
      <w:r>
        <w:rPr>
          <w:rFonts w:ascii="Times New Roman" w:hAnsi="Times New Roman" w:cs="Times New Roman" w:eastAsia="Times New Roman" w:hint="default"/>
        </w:rPr>
        <w:t>2</w:t>
      </w:r>
      <w:r>
        <w:rPr/>
        <w:t>）个人层面绩效考核要求</w:t>
      </w:r>
    </w:p>
    <w:p>
      <w:pPr>
        <w:spacing w:after="0" w:line="240" w:lineRule="auto"/>
        <w:jc w:val="left"/>
        <w:sectPr>
          <w:footerReference w:type="default" r:id="rId82"/>
          <w:pgSz w:w="11910" w:h="16840"/>
          <w:pgMar w:footer="1261" w:header="916" w:top="1120" w:bottom="1460" w:left="980" w:right="0"/>
          <w:pgNumType w:start="241"/>
        </w:sectPr>
      </w:pPr>
    </w:p>
    <w:p>
      <w:pPr>
        <w:spacing w:line="240" w:lineRule="auto" w:before="10"/>
        <w:rPr>
          <w:rFonts w:ascii="宋体" w:hAnsi="宋体" w:cs="宋体" w:eastAsia="宋体" w:hint="default"/>
          <w:sz w:val="26"/>
          <w:szCs w:val="26"/>
        </w:rPr>
      </w:pPr>
    </w:p>
    <w:p>
      <w:pPr>
        <w:pStyle w:val="BodyText"/>
        <w:spacing w:line="477" w:lineRule="auto" w:before="44"/>
        <w:ind w:right="1134" w:firstLine="439"/>
        <w:jc w:val="left"/>
      </w:pPr>
      <w:r>
        <w:rPr/>
        <w:t>薪酬与考核委员会将对激励对象分年度进行考核，并依据考核结果确定其行权的比例，若神州信息层面各年度业绩考 核达标，则激励对象个人当年实际行权额度等于个人层面行权比例乘以个人当年计划行权额度。</w:t>
      </w:r>
    </w:p>
    <w:p>
      <w:pPr>
        <w:pStyle w:val="BodyText"/>
        <w:spacing w:line="240" w:lineRule="auto" w:before="54"/>
        <w:ind w:left="592" w:right="0"/>
        <w:jc w:val="left"/>
      </w:pPr>
      <w:r>
        <w:rPr/>
        <w:t>（四）股权激励模型及参数</w:t>
      </w:r>
    </w:p>
    <w:p>
      <w:pPr>
        <w:spacing w:line="240" w:lineRule="auto" w:before="10"/>
        <w:rPr>
          <w:rFonts w:ascii="宋体" w:hAnsi="宋体" w:cs="宋体" w:eastAsia="宋体" w:hint="default"/>
          <w:sz w:val="17"/>
          <w:szCs w:val="17"/>
        </w:rPr>
      </w:pPr>
    </w:p>
    <w:p>
      <w:pPr>
        <w:pStyle w:val="BodyText"/>
        <w:spacing w:line="451" w:lineRule="auto"/>
        <w:ind w:right="0" w:firstLine="439"/>
        <w:jc w:val="left"/>
      </w:pPr>
      <w:r>
        <w:rPr/>
        <w:t>公司股票期权与限制性股票都选取按照布莱克</w:t>
      </w:r>
      <w:r>
        <w:rPr>
          <w:rFonts w:ascii="Times New Roman" w:hAnsi="Times New Roman" w:cs="Times New Roman" w:eastAsia="Times New Roman" w:hint="default"/>
        </w:rPr>
        <w:t>-</w:t>
      </w:r>
      <w:r>
        <w:rPr/>
        <w:t>斯科尔斯期权定价模型（</w:t>
      </w:r>
      <w:r>
        <w:rPr>
          <w:rFonts w:ascii="Times New Roman" w:hAnsi="Times New Roman" w:cs="Times New Roman" w:eastAsia="Times New Roman" w:hint="default"/>
        </w:rPr>
        <w:t>B-S</w:t>
      </w:r>
      <w:r>
        <w:rPr/>
        <w:t>模型）对期权的价值进行计算，选取的参 数也一致，如下：</w:t>
      </w:r>
    </w:p>
    <w:p>
      <w:pPr>
        <w:pStyle w:val="BodyText"/>
        <w:spacing w:line="240" w:lineRule="auto" w:before="74"/>
        <w:ind w:left="592" w:right="0"/>
        <w:jc w:val="left"/>
      </w:pPr>
      <w:r>
        <w:rPr>
          <w:rFonts w:ascii="Times New Roman" w:hAnsi="Times New Roman" w:cs="Times New Roman" w:eastAsia="Times New Roman" w:hint="default"/>
        </w:rPr>
        <w:t>1</w:t>
      </w:r>
      <w:r>
        <w:rPr/>
        <w:t>）授予日：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日授予；</w:t>
      </w:r>
    </w:p>
    <w:p>
      <w:pPr>
        <w:spacing w:line="240" w:lineRule="auto" w:before="9"/>
        <w:rPr>
          <w:rFonts w:ascii="宋体" w:hAnsi="宋体" w:cs="宋体" w:eastAsia="宋体" w:hint="default"/>
          <w:sz w:val="16"/>
          <w:szCs w:val="16"/>
        </w:rPr>
      </w:pPr>
    </w:p>
    <w:p>
      <w:pPr>
        <w:pStyle w:val="BodyText"/>
        <w:spacing w:line="240" w:lineRule="auto"/>
        <w:ind w:left="592" w:right="0"/>
        <w:jc w:val="left"/>
      </w:pPr>
      <w:r>
        <w:rPr>
          <w:rFonts w:ascii="Times New Roman" w:hAnsi="Times New Roman" w:cs="Times New Roman" w:eastAsia="Times New Roman" w:hint="default"/>
        </w:rPr>
        <w:t>2</w:t>
      </w:r>
      <w:r>
        <w:rPr/>
        <w:t>）标的股价：授予日收盘价为</w:t>
      </w:r>
      <w:r>
        <w:rPr>
          <w:rFonts w:ascii="Times New Roman" w:hAnsi="Times New Roman" w:cs="Times New Roman" w:eastAsia="Times New Roman" w:hint="default"/>
        </w:rPr>
        <w:t>12.16</w:t>
      </w:r>
      <w:r>
        <w:rPr/>
        <w:t>元</w:t>
      </w:r>
      <w:r>
        <w:rPr>
          <w:rFonts w:ascii="Times New Roman" w:hAnsi="Times New Roman" w:cs="Times New Roman" w:eastAsia="Times New Roman" w:hint="default"/>
        </w:rPr>
        <w:t>/</w:t>
      </w:r>
      <w:r>
        <w:rPr/>
        <w:t>股；</w:t>
      </w:r>
    </w:p>
    <w:p>
      <w:pPr>
        <w:spacing w:line="240" w:lineRule="auto" w:before="9"/>
        <w:rPr>
          <w:rFonts w:ascii="宋体" w:hAnsi="宋体" w:cs="宋体" w:eastAsia="宋体" w:hint="default"/>
          <w:sz w:val="16"/>
          <w:szCs w:val="16"/>
        </w:rPr>
      </w:pPr>
    </w:p>
    <w:p>
      <w:pPr>
        <w:pStyle w:val="BodyText"/>
        <w:spacing w:line="240" w:lineRule="auto"/>
        <w:ind w:left="592" w:right="0"/>
        <w:jc w:val="left"/>
      </w:pPr>
      <w:r>
        <w:rPr>
          <w:rFonts w:ascii="Times New Roman" w:hAnsi="Times New Roman" w:cs="Times New Roman" w:eastAsia="Times New Roman" w:hint="default"/>
        </w:rPr>
        <w:t>3</w:t>
      </w:r>
      <w:r>
        <w:rPr/>
        <w:t>）期权的行权价：</w:t>
      </w:r>
      <w:r>
        <w:rPr>
          <w:rFonts w:ascii="Times New Roman" w:hAnsi="Times New Roman" w:cs="Times New Roman" w:eastAsia="Times New Roman" w:hint="default"/>
        </w:rPr>
        <w:t>12.76</w:t>
      </w:r>
      <w:r>
        <w:rPr/>
        <w:t>元</w:t>
      </w:r>
      <w:r>
        <w:rPr>
          <w:rFonts w:ascii="Times New Roman" w:hAnsi="Times New Roman" w:cs="Times New Roman" w:eastAsia="Times New Roman" w:hint="default"/>
        </w:rPr>
        <w:t>/</w:t>
      </w:r>
      <w:r>
        <w:rPr/>
        <w:t>股；</w:t>
      </w:r>
    </w:p>
    <w:p>
      <w:pPr>
        <w:spacing w:line="240" w:lineRule="auto" w:before="10"/>
        <w:rPr>
          <w:rFonts w:ascii="宋体" w:hAnsi="宋体" w:cs="宋体" w:eastAsia="宋体" w:hint="default"/>
          <w:sz w:val="16"/>
          <w:szCs w:val="16"/>
        </w:rPr>
      </w:pPr>
    </w:p>
    <w:p>
      <w:pPr>
        <w:pStyle w:val="BodyText"/>
        <w:spacing w:line="240" w:lineRule="auto"/>
        <w:ind w:left="592" w:right="0"/>
        <w:jc w:val="left"/>
      </w:pPr>
      <w:r>
        <w:rPr>
          <w:rFonts w:ascii="Times New Roman" w:hAnsi="Times New Roman" w:cs="Times New Roman" w:eastAsia="Times New Roman" w:hint="default"/>
        </w:rPr>
        <w:t>4</w:t>
      </w:r>
      <w:r>
        <w:rPr/>
        <w:t>）有效期分别为：</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2</w:t>
      </w:r>
      <w:r>
        <w:rPr/>
        <w:t>年（授予登记完成之日至每期首个行权日的期限）；</w:t>
      </w:r>
    </w:p>
    <w:p>
      <w:pPr>
        <w:spacing w:line="240" w:lineRule="auto" w:before="9"/>
        <w:rPr>
          <w:rFonts w:ascii="宋体" w:hAnsi="宋体" w:cs="宋体" w:eastAsia="宋体" w:hint="default"/>
          <w:sz w:val="16"/>
          <w:szCs w:val="16"/>
        </w:rPr>
      </w:pPr>
    </w:p>
    <w:p>
      <w:pPr>
        <w:pStyle w:val="BodyText"/>
        <w:spacing w:line="240" w:lineRule="auto"/>
        <w:ind w:left="592" w:right="0"/>
        <w:jc w:val="left"/>
      </w:pPr>
      <w:r>
        <w:rPr>
          <w:rFonts w:ascii="Times New Roman" w:hAnsi="Times New Roman" w:cs="Times New Roman" w:eastAsia="Times New Roman" w:hint="default"/>
        </w:rPr>
        <w:t>5</w:t>
      </w:r>
      <w:r>
        <w:rPr/>
        <w:t>）历史波动率：</w:t>
      </w:r>
      <w:r>
        <w:rPr>
          <w:rFonts w:ascii="Times New Roman" w:hAnsi="Times New Roman" w:cs="Times New Roman" w:eastAsia="Times New Roman" w:hint="default"/>
        </w:rPr>
        <w:t>26.63%</w:t>
      </w:r>
      <w:r>
        <w:rPr/>
        <w:t>、</w:t>
      </w:r>
      <w:r>
        <w:rPr>
          <w:rFonts w:ascii="Times New Roman" w:hAnsi="Times New Roman" w:cs="Times New Roman" w:eastAsia="Times New Roman" w:hint="default"/>
        </w:rPr>
        <w:t>23.76%</w:t>
      </w:r>
      <w:r>
        <w:rPr/>
        <w:t>（分别深证成指最近一年、两年的波动率）；</w:t>
      </w:r>
    </w:p>
    <w:p>
      <w:pPr>
        <w:spacing w:line="240" w:lineRule="auto" w:before="9"/>
        <w:rPr>
          <w:rFonts w:ascii="宋体" w:hAnsi="宋体" w:cs="宋体" w:eastAsia="宋体" w:hint="default"/>
          <w:sz w:val="16"/>
          <w:szCs w:val="16"/>
        </w:rPr>
      </w:pPr>
    </w:p>
    <w:p>
      <w:pPr>
        <w:pStyle w:val="BodyText"/>
        <w:spacing w:line="240" w:lineRule="auto"/>
        <w:ind w:left="592" w:right="0"/>
        <w:jc w:val="left"/>
      </w:pPr>
      <w:r>
        <w:rPr>
          <w:rFonts w:ascii="Times New Roman" w:hAnsi="Times New Roman" w:cs="Times New Roman" w:eastAsia="Times New Roman" w:hint="default"/>
        </w:rPr>
        <w:t>6</w:t>
      </w:r>
      <w:r>
        <w:rPr/>
        <w:t>）无风险利率：</w:t>
      </w:r>
      <w:r>
        <w:rPr>
          <w:rFonts w:ascii="Times New Roman" w:hAnsi="Times New Roman" w:cs="Times New Roman" w:eastAsia="Times New Roman" w:hint="default"/>
        </w:rPr>
        <w:t>1.50%</w:t>
      </w:r>
      <w:r>
        <w:rPr/>
        <w:t>、</w:t>
      </w:r>
      <w:r>
        <w:rPr>
          <w:rFonts w:ascii="Times New Roman" w:hAnsi="Times New Roman" w:cs="Times New Roman" w:eastAsia="Times New Roman" w:hint="default"/>
        </w:rPr>
        <w:t>2.10%</w:t>
      </w:r>
      <w:r>
        <w:rPr/>
        <w:t>（分别采用中国人民银行制定的金融机构 </w:t>
      </w:r>
      <w:r>
        <w:rPr>
          <w:rFonts w:ascii="Times New Roman" w:hAnsi="Times New Roman" w:cs="Times New Roman" w:eastAsia="Times New Roman" w:hint="default"/>
        </w:rPr>
        <w:t>1</w:t>
      </w:r>
      <w:r>
        <w:rPr/>
        <w:t>年期、</w:t>
      </w: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年期存款基准利率）；</w:t>
      </w:r>
    </w:p>
    <w:p>
      <w:pPr>
        <w:spacing w:line="240" w:lineRule="auto" w:before="9"/>
        <w:rPr>
          <w:rFonts w:ascii="宋体" w:hAnsi="宋体" w:cs="宋体" w:eastAsia="宋体" w:hint="default"/>
          <w:sz w:val="16"/>
          <w:szCs w:val="16"/>
        </w:rPr>
      </w:pPr>
    </w:p>
    <w:p>
      <w:pPr>
        <w:pStyle w:val="BodyText"/>
        <w:spacing w:line="240" w:lineRule="auto"/>
        <w:ind w:left="592" w:right="0"/>
        <w:jc w:val="left"/>
      </w:pPr>
      <w:r>
        <w:rPr>
          <w:rFonts w:ascii="Times New Roman" w:hAnsi="Times New Roman" w:cs="Times New Roman" w:eastAsia="Times New Roman" w:hint="default"/>
        </w:rPr>
        <w:t>7</w:t>
      </w:r>
      <w:r>
        <w:rPr/>
        <w:t>）股息率：</w:t>
      </w:r>
      <w:r>
        <w:rPr>
          <w:rFonts w:ascii="Times New Roman" w:hAnsi="Times New Roman" w:cs="Times New Roman" w:eastAsia="Times New Roman" w:hint="default"/>
        </w:rPr>
        <w:t>0.3106%</w:t>
      </w:r>
      <w:r>
        <w:rPr/>
        <w:t>、</w:t>
      </w:r>
      <w:r>
        <w:rPr>
          <w:rFonts w:ascii="Times New Roman" w:hAnsi="Times New Roman" w:cs="Times New Roman" w:eastAsia="Times New Roman" w:hint="default"/>
        </w:rPr>
        <w:t>0.2826%</w:t>
      </w:r>
      <w:r>
        <w:rPr/>
        <w:t>（取本激励计划授予前公司最近一年、两年的平均股息率）。</w:t>
      </w:r>
    </w:p>
    <w:p>
      <w:pPr>
        <w:spacing w:line="240" w:lineRule="auto" w:before="0"/>
        <w:rPr>
          <w:rFonts w:ascii="宋体" w:hAnsi="宋体" w:cs="宋体" w:eastAsia="宋体" w:hint="default"/>
          <w:sz w:val="18"/>
          <w:szCs w:val="18"/>
        </w:rPr>
      </w:pPr>
    </w:p>
    <w:p>
      <w:pPr>
        <w:spacing w:line="506" w:lineRule="auto" w:before="158"/>
        <w:ind w:left="153" w:right="8344" w:firstLine="0"/>
        <w:jc w:val="left"/>
        <w:rPr>
          <w:rFonts w:ascii="宋体" w:hAnsi="宋体" w:cs="宋体" w:eastAsia="宋体" w:hint="default"/>
          <w:sz w:val="18"/>
          <w:szCs w:val="18"/>
        </w:rPr>
      </w:pP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BodyText"/>
        <w:spacing w:line="246" w:lineRule="exact"/>
        <w:ind w:left="594" w:right="0"/>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(T)</w:t>
      </w:r>
      <w:r>
        <w:rPr/>
        <w:t>，本公司就房屋租赁等项目之不可撤销经营租赁所需于下列期间承担款项如下：</w:t>
      </w:r>
    </w:p>
    <w:p>
      <w:pPr>
        <w:spacing w:line="240" w:lineRule="auto" w:before="5"/>
        <w:rPr>
          <w:rFonts w:ascii="宋体" w:hAnsi="宋体" w:cs="宋体" w:eastAsia="宋体" w:hint="default"/>
          <w:sz w:val="10"/>
          <w:szCs w:val="10"/>
        </w:rPr>
      </w:pPr>
    </w:p>
    <w:tbl>
      <w:tblPr>
        <w:tblW w:w="0" w:type="auto"/>
        <w:jc w:val="left"/>
        <w:tblInd w:w="671" w:type="dxa"/>
        <w:tblLayout w:type="fixed"/>
        <w:tblCellMar>
          <w:top w:w="0" w:type="dxa"/>
          <w:left w:w="0" w:type="dxa"/>
          <w:bottom w:w="0" w:type="dxa"/>
          <w:right w:w="0" w:type="dxa"/>
        </w:tblCellMar>
        <w:tblLook w:val="01E0"/>
      </w:tblPr>
      <w:tblGrid>
        <w:gridCol w:w="4155"/>
        <w:gridCol w:w="4436"/>
      </w:tblGrid>
      <w:tr>
        <w:trPr>
          <w:trHeight w:val="485" w:hRule="exact"/>
        </w:trPr>
        <w:tc>
          <w:tcPr>
            <w:tcW w:w="4155"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期间</w:t>
            </w:r>
          </w:p>
        </w:tc>
        <w:tc>
          <w:tcPr>
            <w:tcW w:w="4436"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经营租赁</w:t>
            </w:r>
          </w:p>
        </w:tc>
      </w:tr>
      <w:tr>
        <w:trPr>
          <w:trHeight w:val="494" w:hRule="exact"/>
        </w:trPr>
        <w:tc>
          <w:tcPr>
            <w:tcW w:w="41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T+1</w:t>
            </w:r>
            <w:r>
              <w:rPr>
                <w:rFonts w:ascii="宋体" w:hAnsi="宋体" w:cs="宋体" w:eastAsia="宋体" w:hint="default"/>
                <w:sz w:val="18"/>
                <w:szCs w:val="18"/>
              </w:rPr>
              <w:t>年（</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p>
        </w:tc>
        <w:tc>
          <w:tcPr>
            <w:tcW w:w="4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8,574,063.79</w:t>
            </w:r>
          </w:p>
        </w:tc>
      </w:tr>
      <w:tr>
        <w:trPr>
          <w:trHeight w:val="494" w:hRule="exact"/>
        </w:trPr>
        <w:tc>
          <w:tcPr>
            <w:tcW w:w="41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T+2</w:t>
            </w:r>
            <w:r>
              <w:rPr>
                <w:rFonts w:ascii="宋体" w:hAnsi="宋体" w:cs="宋体" w:eastAsia="宋体" w:hint="default"/>
                <w:sz w:val="18"/>
                <w:szCs w:val="18"/>
              </w:rPr>
              <w:t>年（</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p>
        </w:tc>
        <w:tc>
          <w:tcPr>
            <w:tcW w:w="4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4,453,300.32</w:t>
            </w:r>
          </w:p>
        </w:tc>
      </w:tr>
      <w:tr>
        <w:trPr>
          <w:trHeight w:val="494" w:hRule="exact"/>
        </w:trPr>
        <w:tc>
          <w:tcPr>
            <w:tcW w:w="41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T+3</w:t>
            </w:r>
            <w:r>
              <w:rPr>
                <w:rFonts w:ascii="宋体" w:hAnsi="宋体" w:cs="宋体" w:eastAsia="宋体" w:hint="default"/>
                <w:sz w:val="18"/>
                <w:szCs w:val="18"/>
              </w:rPr>
              <w:t>年（</w:t>
            </w:r>
            <w:r>
              <w:rPr>
                <w:rFonts w:ascii="Times New Roman" w:hAnsi="Times New Roman" w:cs="Times New Roman" w:eastAsia="Times New Roman" w:hint="default"/>
                <w:sz w:val="18"/>
                <w:szCs w:val="18"/>
              </w:rPr>
              <w:t>2022</w:t>
            </w:r>
            <w:r>
              <w:rPr>
                <w:rFonts w:ascii="宋体" w:hAnsi="宋体" w:cs="宋体" w:eastAsia="宋体" w:hint="default"/>
                <w:sz w:val="18"/>
                <w:szCs w:val="18"/>
              </w:rPr>
              <w:t>年）</w:t>
            </w:r>
          </w:p>
        </w:tc>
        <w:tc>
          <w:tcPr>
            <w:tcW w:w="4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1,840,654.84</w:t>
            </w:r>
          </w:p>
        </w:tc>
      </w:tr>
      <w:tr>
        <w:trPr>
          <w:trHeight w:val="494" w:hRule="exact"/>
        </w:trPr>
        <w:tc>
          <w:tcPr>
            <w:tcW w:w="415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T+3</w:t>
            </w:r>
            <w:r>
              <w:rPr>
                <w:rFonts w:ascii="宋体" w:hAnsi="宋体" w:cs="宋体" w:eastAsia="宋体" w:hint="default"/>
                <w:sz w:val="18"/>
                <w:szCs w:val="18"/>
              </w:rPr>
              <w:t>年以后</w:t>
            </w:r>
          </w:p>
        </w:tc>
        <w:tc>
          <w:tcPr>
            <w:tcW w:w="4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1,542,769.70</w:t>
            </w:r>
          </w:p>
        </w:tc>
      </w:tr>
    </w:tbl>
    <w:p>
      <w:pPr>
        <w:pStyle w:val="BodyText"/>
        <w:spacing w:line="240" w:lineRule="auto" w:before="87"/>
        <w:ind w:left="594" w:right="0"/>
        <w:jc w:val="left"/>
        <w:rPr>
          <w:rFonts w:ascii="宋体" w:hAnsi="宋体" w:cs="宋体" w:eastAsia="宋体" w:hint="default"/>
        </w:rPr>
      </w:pPr>
      <w:r>
        <w:rPr/>
        <w:t>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日，除上述事项外，本集团无需披露的其他重大承诺事项。</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4"/>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32"/>
          <w:szCs w:val="32"/>
        </w:rPr>
      </w:pPr>
    </w:p>
    <w:p>
      <w:pPr>
        <w:pStyle w:val="BodyText"/>
        <w:spacing w:line="240" w:lineRule="auto"/>
        <w:ind w:left="594" w:right="0"/>
        <w:jc w:val="left"/>
        <w:rPr>
          <w:rFonts w:ascii="宋体" w:hAnsi="宋体" w:cs="宋体" w:eastAsia="宋体" w:hint="default"/>
        </w:rPr>
      </w:pPr>
      <w:r>
        <w:rPr>
          <w:rFonts w:ascii="宋体" w:hAnsi="宋体" w:cs="宋体" w:eastAsia="宋体" w:hint="default"/>
        </w:rPr>
        <w:t>1</w:t>
      </w:r>
      <w:r>
        <w:rPr/>
        <w:t>、中国普天信息产业集团有限公司诉神州数码信息服务股份有限公司“与公司有关纠纷”案</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477" w:lineRule="auto"/>
        <w:ind w:right="1123" w:firstLine="441"/>
        <w:jc w:val="left"/>
        <w:rPr>
          <w:rFonts w:ascii="宋体" w:hAnsi="宋体" w:cs="宋体" w:eastAsia="宋体" w:hint="default"/>
        </w:rPr>
      </w:pPr>
      <w:r>
        <w:rPr>
          <w:rFonts w:ascii="宋体" w:hAnsi="宋体" w:cs="宋体" w:eastAsia="宋体" w:hint="default"/>
          <w:spacing w:val="-2"/>
        </w:rPr>
        <w:t>2018</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7</w:t>
      </w:r>
      <w:r>
        <w:rPr>
          <w:spacing w:val="-2"/>
        </w:rPr>
        <w:t>日，中国普天信息产业集团有限公司向北京市第二中级人民法院发起诉讼，就本公司协助生物港公司抽逃</w:t>
      </w:r>
      <w:r>
        <w:rPr/>
        <w:t> 出资为由，要求本公司在协助生物港公司抽逃出资的</w:t>
      </w:r>
      <w:r>
        <w:rPr>
          <w:rFonts w:ascii="宋体" w:hAnsi="宋体" w:cs="宋体" w:eastAsia="宋体" w:hint="default"/>
        </w:rPr>
        <w:t>25,000,000.00</w:t>
      </w:r>
      <w:r>
        <w:rPr/>
        <w:t>元及利息范围内承担连带赔偿责任。本公司于</w:t>
      </w:r>
      <w:r>
        <w:rPr>
          <w:rFonts w:ascii="宋体" w:hAnsi="宋体" w:cs="宋体" w:eastAsia="宋体" w:hint="default"/>
        </w:rPr>
        <w:t>2018</w:t>
      </w:r>
      <w:r>
        <w:rPr/>
        <w:t>年</w:t>
      </w:r>
      <w:r>
        <w:rPr>
          <w:rFonts w:ascii="宋体" w:hAnsi="宋体" w:cs="宋体" w:eastAsia="宋体" w:hint="default"/>
        </w:rPr>
        <w:t>12</w:t>
      </w:r>
    </w:p>
    <w:p>
      <w:pPr>
        <w:spacing w:after="0" w:line="477" w:lineRule="auto"/>
        <w:jc w:val="left"/>
        <w:rPr>
          <w:rFonts w:ascii="宋体" w:hAnsi="宋体" w:cs="宋体" w:eastAsia="宋体" w:hint="default"/>
        </w:rPr>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77" w:lineRule="auto" w:before="44"/>
        <w:ind w:right="0"/>
        <w:jc w:val="left"/>
        <w:rPr>
          <w:rFonts w:ascii="宋体" w:hAnsi="宋体" w:cs="宋体" w:eastAsia="宋体" w:hint="default"/>
        </w:rPr>
      </w:pPr>
      <w:r>
        <w:rPr>
          <w:spacing w:val="-2"/>
        </w:rPr>
        <w:t>月底向北京市第二中级人民法院提起管辖权异议诉讼，被北京市第二中级人民法院驳回，本公司针对驳回管辖权异议的裁定</w:t>
      </w:r>
      <w:r>
        <w:rPr>
          <w:spacing w:val="-64"/>
        </w:rPr>
        <w:t> </w:t>
      </w:r>
      <w:r>
        <w:rPr>
          <w:spacing w:val="-64"/>
        </w:rPr>
      </w:r>
      <w:r>
        <w:rPr/>
        <w:t>书向北京市高级人民法院提起诉讼</w:t>
      </w:r>
      <w:r>
        <w:rPr>
          <w:rFonts w:ascii="宋体" w:hAnsi="宋体" w:cs="宋体" w:eastAsia="宋体" w:hint="default"/>
        </w:rPr>
        <w:t>,</w:t>
      </w:r>
      <w:r>
        <w:rPr/>
        <w:t>被北京市高级人民法院于</w:t>
      </w:r>
      <w:r>
        <w:rPr>
          <w:rFonts w:ascii="宋体" w:hAnsi="宋体" w:cs="宋体" w:eastAsia="宋体" w:hint="default"/>
        </w:rPr>
        <w:t>2019</w:t>
      </w:r>
      <w:r>
        <w:rPr/>
        <w:t>年</w:t>
      </w:r>
      <w:r>
        <w:rPr>
          <w:rFonts w:ascii="宋体" w:hAnsi="宋体" w:cs="宋体" w:eastAsia="宋体" w:hint="default"/>
        </w:rPr>
        <w:t>5</w:t>
      </w:r>
      <w:r>
        <w:rPr/>
        <w:t>月驳回。</w:t>
      </w:r>
      <w:r>
        <w:rPr>
          <w:rFonts w:ascii="宋体" w:hAnsi="宋体" w:cs="宋体" w:eastAsia="宋体" w:hint="default"/>
        </w:rPr>
        <w:t> </w:t>
      </w:r>
    </w:p>
    <w:p>
      <w:pPr>
        <w:pStyle w:val="BodyText"/>
        <w:spacing w:line="477" w:lineRule="auto" w:before="54"/>
        <w:ind w:right="1130" w:firstLine="441"/>
        <w:jc w:val="both"/>
        <w:rPr>
          <w:rFonts w:ascii="宋体" w:hAnsi="宋体" w:cs="宋体" w:eastAsia="宋体" w:hint="default"/>
        </w:rPr>
      </w:pP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29</w:t>
      </w:r>
      <w:r>
        <w:rPr>
          <w:spacing w:val="-2"/>
        </w:rPr>
        <w:t>日，北京市第二中级人民法院出具了（</w:t>
      </w:r>
      <w:r>
        <w:rPr>
          <w:rFonts w:ascii="宋体" w:hAnsi="宋体" w:cs="宋体" w:eastAsia="宋体" w:hint="default"/>
          <w:spacing w:val="-2"/>
        </w:rPr>
        <w:t>2018</w:t>
      </w:r>
      <w:r>
        <w:rPr>
          <w:spacing w:val="-2"/>
        </w:rPr>
        <w:t>）京</w:t>
      </w:r>
      <w:r>
        <w:rPr>
          <w:rFonts w:ascii="宋体" w:hAnsi="宋体" w:cs="宋体" w:eastAsia="宋体" w:hint="default"/>
          <w:spacing w:val="-2"/>
        </w:rPr>
        <w:t>02</w:t>
      </w:r>
      <w:r>
        <w:rPr>
          <w:spacing w:val="-2"/>
        </w:rPr>
        <w:t>民初</w:t>
      </w:r>
      <w:r>
        <w:rPr>
          <w:rFonts w:ascii="宋体" w:hAnsi="宋体" w:cs="宋体" w:eastAsia="宋体" w:hint="default"/>
          <w:spacing w:val="-2"/>
        </w:rPr>
        <w:t>344</w:t>
      </w:r>
      <w:r>
        <w:rPr>
          <w:spacing w:val="-2"/>
        </w:rPr>
        <w:t>号的民事判决书：神州信息在代垫资金本息共</w:t>
      </w:r>
      <w:r>
        <w:rPr/>
        <w:t> 计</w:t>
      </w:r>
      <w:r>
        <w:rPr>
          <w:rFonts w:ascii="宋体" w:hAnsi="宋体" w:cs="宋体" w:eastAsia="宋体" w:hint="default"/>
        </w:rPr>
        <w:t>3,512.00</w:t>
      </w:r>
      <w:r>
        <w:rPr/>
        <w:t>万元范围内，对于深圳市生物港投资有限公司在广东省深圳市中级人民法院（</w:t>
      </w:r>
      <w:r>
        <w:rPr>
          <w:rFonts w:ascii="宋体" w:hAnsi="宋体" w:cs="宋体" w:eastAsia="宋体" w:hint="default"/>
        </w:rPr>
        <w:t>2007</w:t>
      </w:r>
      <w:r>
        <w:rPr/>
        <w:t>）深中法委执字第</w:t>
      </w:r>
      <w:r>
        <w:rPr>
          <w:rFonts w:ascii="宋体" w:hAnsi="宋体" w:cs="宋体" w:eastAsia="宋体" w:hint="default"/>
        </w:rPr>
        <w:t>539</w:t>
      </w:r>
      <w:r>
        <w:rPr/>
        <w:t>号执行</w:t>
      </w:r>
      <w:r>
        <w:rPr>
          <w:spacing w:val="-87"/>
        </w:rPr>
        <w:t> </w:t>
      </w:r>
      <w:r>
        <w:rPr>
          <w:spacing w:val="-87"/>
        </w:rPr>
      </w:r>
      <w:r>
        <w:rPr/>
        <w:t>案项下对中国普天信息产业集团有限公司的债务经强制执行不能清偿的部分（以数额不超过</w:t>
      </w:r>
      <w:r>
        <w:rPr>
          <w:rFonts w:ascii="宋体" w:hAnsi="宋体" w:cs="宋体" w:eastAsia="宋体" w:hint="default"/>
        </w:rPr>
        <w:t>6</w:t>
      </w:r>
      <w:r>
        <w:rPr/>
        <w:t>，</w:t>
      </w:r>
      <w:r>
        <w:rPr>
          <w:rFonts w:ascii="宋体" w:hAnsi="宋体" w:cs="宋体" w:eastAsia="宋体" w:hint="default"/>
        </w:rPr>
        <w:t>812.52</w:t>
      </w:r>
      <w:r>
        <w:rPr/>
        <w:t>万元为限）承担补充</w:t>
      </w:r>
      <w:r>
        <w:rPr>
          <w:spacing w:val="-85"/>
        </w:rPr>
        <w:t> </w:t>
      </w:r>
      <w:r>
        <w:rPr>
          <w:spacing w:val="-85"/>
        </w:rPr>
      </w:r>
      <w:r>
        <w:rPr>
          <w:spacing w:val="-2"/>
        </w:rPr>
        <w:t>赔偿责任，其他第三方被告北京新富投资有限公司在抽逃出资</w:t>
      </w:r>
      <w:r>
        <w:rPr>
          <w:rFonts w:ascii="宋体" w:hAnsi="宋体" w:cs="宋体" w:eastAsia="宋体" w:hint="default"/>
          <w:spacing w:val="-2"/>
        </w:rPr>
        <w:t>5,838.00</w:t>
      </w:r>
      <w:r>
        <w:rPr>
          <w:spacing w:val="-2"/>
        </w:rPr>
        <w:t>万元范围内承担补充赔偿责任，昆山市申昌科技有限</w:t>
      </w:r>
      <w:r>
        <w:rPr>
          <w:spacing w:val="-60"/>
        </w:rPr>
        <w:t> </w:t>
      </w:r>
      <w:r>
        <w:rPr>
          <w:spacing w:val="-60"/>
        </w:rPr>
      </w:r>
      <w:r>
        <w:rPr>
          <w:spacing w:val="16"/>
        </w:rPr>
        <w:t>公司在代垫资金本息共计</w:t>
      </w:r>
      <w:r>
        <w:rPr>
          <w:spacing w:val="-68"/>
        </w:rPr>
        <w:t> </w:t>
      </w:r>
      <w:r>
        <w:rPr>
          <w:rFonts w:ascii="宋体" w:hAnsi="宋体" w:cs="宋体" w:eastAsia="宋体" w:hint="default"/>
        </w:rPr>
        <w:t>6,025.00</w:t>
      </w:r>
      <w:r>
        <w:rPr>
          <w:rFonts w:ascii="宋体" w:hAnsi="宋体" w:cs="宋体" w:eastAsia="宋体" w:hint="default"/>
          <w:spacing w:val="-68"/>
        </w:rPr>
        <w:t> </w:t>
      </w:r>
      <w:r>
        <w:rPr>
          <w:spacing w:val="16"/>
        </w:rPr>
        <w:t>万元范围内承担补充赔偿责任。</w:t>
      </w:r>
      <w:r>
        <w:rPr>
          <w:spacing w:val="-70"/>
        </w:rPr>
        <w:t> </w:t>
      </w:r>
      <w:r>
        <w:rPr>
          <w:spacing w:val="15"/>
        </w:rPr>
        <w:t>本公司已上诉，</w:t>
      </w:r>
      <w:r>
        <w:rPr>
          <w:spacing w:val="-70"/>
        </w:rPr>
        <w:t> </w:t>
      </w:r>
      <w:r>
        <w:rPr>
          <w:spacing w:val="16"/>
        </w:rPr>
        <w:t>但根据上述判决计提预计负债</w:t>
      </w:r>
      <w:r>
        <w:rPr/>
        <w:t> </w:t>
      </w:r>
      <w:r>
        <w:rPr>
          <w:rFonts w:ascii="宋体" w:hAnsi="宋体" w:cs="宋体" w:eastAsia="宋体" w:hint="default"/>
        </w:rPr>
        <w:t>21,381,871.13</w:t>
      </w:r>
      <w:r>
        <w:rPr/>
        <w:t>元。</w:t>
      </w:r>
      <w:r>
        <w:rPr>
          <w:rFonts w:ascii="宋体" w:hAnsi="宋体" w:cs="宋体" w:eastAsia="宋体" w:hint="default"/>
        </w:rPr>
        <w:t> </w:t>
      </w:r>
    </w:p>
    <w:p>
      <w:pPr>
        <w:pStyle w:val="BodyText"/>
        <w:spacing w:line="240" w:lineRule="auto" w:before="55"/>
        <w:ind w:left="594" w:right="0"/>
        <w:jc w:val="left"/>
        <w:rPr>
          <w:rFonts w:ascii="宋体" w:hAnsi="宋体" w:cs="宋体" w:eastAsia="宋体" w:hint="default"/>
        </w:rPr>
      </w:pPr>
      <w:r>
        <w:rPr>
          <w:rFonts w:ascii="宋体" w:hAnsi="宋体" w:cs="宋体" w:eastAsia="宋体" w:hint="default"/>
        </w:rPr>
        <w:t>2</w:t>
      </w:r>
      <w:r>
        <w:rPr/>
        <w:t>、大唐软件诉神州数码系统集成服务有限公司“买卖合同纠纷”案</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477" w:lineRule="auto"/>
        <w:ind w:right="1128" w:firstLine="441"/>
        <w:jc w:val="both"/>
        <w:rPr>
          <w:rFonts w:ascii="宋体" w:hAnsi="宋体" w:cs="宋体" w:eastAsia="宋体" w:hint="default"/>
        </w:rPr>
      </w:pP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14</w:t>
      </w:r>
      <w:r>
        <w:rPr>
          <w:spacing w:val="-2"/>
        </w:rPr>
        <w:t>日，大唐软件向北京市海淀区人民法院发起诉讼，就神州数码系统集成服务有限公司未按约定支付合同款</w:t>
      </w:r>
      <w:r>
        <w:rPr/>
        <w:t> </w:t>
      </w:r>
      <w:r>
        <w:rPr>
          <w:spacing w:val="-2"/>
        </w:rPr>
        <w:t>为由，要求神州数码系统集成服务有限公司赔偿其订单采购成本</w:t>
      </w:r>
      <w:r>
        <w:rPr>
          <w:rFonts w:ascii="宋体" w:hAnsi="宋体" w:cs="宋体" w:eastAsia="宋体" w:hint="default"/>
          <w:spacing w:val="-2"/>
        </w:rPr>
        <w:t>2,349,465.23</w:t>
      </w:r>
      <w:r>
        <w:rPr>
          <w:spacing w:val="-2"/>
        </w:rPr>
        <w:t>元，赔偿可得利益损失</w:t>
      </w:r>
      <w:r>
        <w:rPr>
          <w:rFonts w:ascii="宋体" w:hAnsi="宋体" w:cs="宋体" w:eastAsia="宋体" w:hint="default"/>
          <w:spacing w:val="-2"/>
        </w:rPr>
        <w:t>204,301.00</w:t>
      </w:r>
      <w:r>
        <w:rPr>
          <w:spacing w:val="-2"/>
        </w:rPr>
        <w:t>元，赔偿资</w:t>
      </w:r>
      <w:r>
        <w:rPr>
          <w:spacing w:val="-50"/>
        </w:rPr>
        <w:t> </w:t>
      </w:r>
      <w:r>
        <w:rPr>
          <w:spacing w:val="-50"/>
        </w:rPr>
      </w:r>
      <w:r>
        <w:rPr/>
        <w:t>金占用损失</w:t>
      </w:r>
      <w:r>
        <w:rPr>
          <w:rFonts w:ascii="宋体" w:hAnsi="宋体" w:cs="宋体" w:eastAsia="宋体" w:hint="default"/>
        </w:rPr>
        <w:t>551,648.00</w:t>
      </w:r>
      <w:r>
        <w:rPr/>
        <w:t>元，共计</w:t>
      </w:r>
      <w:r>
        <w:rPr>
          <w:rFonts w:ascii="宋体" w:hAnsi="宋体" w:cs="宋体" w:eastAsia="宋体" w:hint="default"/>
        </w:rPr>
        <w:t>3,105,414.23</w:t>
      </w:r>
      <w:r>
        <w:rPr/>
        <w:t>元，并承担诉讼费。北京市海淀区人民法院于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27</w:t>
      </w:r>
      <w:r>
        <w:rPr/>
        <w:t>日对该案作出一审 判决，驳回了大唐软件全部诉讼请求。大唐软件不服判决进行上诉。</w:t>
      </w:r>
      <w:r>
        <w:rPr>
          <w:rFonts w:ascii="宋体" w:hAnsi="宋体" w:cs="宋体" w:eastAsia="宋体" w:hint="default"/>
        </w:rPr>
        <w:t> </w:t>
      </w:r>
    </w:p>
    <w:p>
      <w:pPr>
        <w:pStyle w:val="BodyText"/>
        <w:spacing w:line="477" w:lineRule="auto" w:before="54"/>
        <w:ind w:right="1136" w:firstLine="441"/>
        <w:jc w:val="both"/>
        <w:rPr>
          <w:rFonts w:ascii="宋体" w:hAnsi="宋体" w:cs="宋体" w:eastAsia="宋体" w:hint="default"/>
        </w:rPr>
      </w:pP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9</w:t>
      </w:r>
      <w:r>
        <w:rPr/>
        <w:t>日，北京市第一中级人民法院出具了（</w:t>
      </w:r>
      <w:r>
        <w:rPr>
          <w:rFonts w:ascii="宋体" w:hAnsi="宋体" w:cs="宋体" w:eastAsia="宋体" w:hint="default"/>
        </w:rPr>
        <w:t>2019</w:t>
      </w:r>
      <w:r>
        <w:rPr/>
        <w:t>）京</w:t>
      </w:r>
      <w:r>
        <w:rPr>
          <w:rFonts w:ascii="宋体" w:hAnsi="宋体" w:cs="宋体" w:eastAsia="宋体" w:hint="default"/>
        </w:rPr>
        <w:t>01</w:t>
      </w:r>
      <w:r>
        <w:rPr/>
        <w:t>民终</w:t>
      </w:r>
      <w:r>
        <w:rPr>
          <w:rFonts w:ascii="宋体" w:hAnsi="宋体" w:cs="宋体" w:eastAsia="宋体" w:hint="default"/>
        </w:rPr>
        <w:t>4480</w:t>
      </w:r>
      <w:r>
        <w:rPr/>
        <w:t>号民事裁定书：撤销北京市海淀区人民法院作 出的一审判决，发回北京市海淀区人民法院重新审理。本公司管理层根据诉讼情况计提预计负债</w:t>
      </w:r>
      <w:r>
        <w:rPr>
          <w:rFonts w:ascii="宋体" w:hAnsi="宋体" w:cs="宋体" w:eastAsia="宋体" w:hint="default"/>
        </w:rPr>
        <w:t>3,628,255.03</w:t>
      </w:r>
      <w:r>
        <w:rPr>
          <w:rFonts w:ascii="宋体" w:hAnsi="宋体" w:cs="宋体" w:eastAsia="宋体" w:hint="default"/>
          <w:spacing w:val="-2"/>
        </w:rPr>
        <w:t> </w:t>
      </w:r>
      <w:r>
        <w:rPr/>
        <w:t>元。</w:t>
      </w:r>
      <w:r>
        <w:rPr>
          <w:rFonts w:ascii="宋体" w:hAnsi="宋体" w:cs="宋体" w:eastAsia="宋体" w:hint="default"/>
        </w:rPr>
        <w:t> </w:t>
      </w:r>
    </w:p>
    <w:p>
      <w:pPr>
        <w:pStyle w:val="BodyText"/>
        <w:spacing w:line="240" w:lineRule="auto" w:before="54"/>
        <w:ind w:left="594" w:right="0"/>
        <w:jc w:val="left"/>
        <w:rPr>
          <w:rFonts w:ascii="宋体" w:hAnsi="宋体" w:cs="宋体" w:eastAsia="宋体" w:hint="default"/>
        </w:rPr>
      </w:pPr>
      <w:r>
        <w:rPr>
          <w:rFonts w:ascii="宋体" w:hAnsi="宋体" w:cs="宋体" w:eastAsia="宋体" w:hint="default"/>
        </w:rPr>
        <w:t>3</w:t>
      </w:r>
      <w:r>
        <w:rPr/>
        <w:t>、北京市设备安装工程集团有限公司诉神州数码系统集成服务有限公司“建设工程分包合同纠纷”案</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477" w:lineRule="auto"/>
        <w:ind w:right="1133" w:firstLine="441"/>
        <w:jc w:val="both"/>
        <w:rPr>
          <w:rFonts w:ascii="宋体" w:hAnsi="宋体" w:cs="宋体" w:eastAsia="宋体" w:hint="default"/>
        </w:rPr>
      </w:pP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5</w:t>
      </w:r>
      <w:r>
        <w:rPr/>
        <w:t>日，北京市设备安装工程集团有限公司向北京市大兴区人民法院发起诉讼，就神州数码系统集成服务有限 公司未支付工程款为由，要求神州数码系统集成服务有限公司支付工程进度款</w:t>
      </w:r>
      <w:r>
        <w:rPr>
          <w:rFonts w:ascii="宋体" w:hAnsi="宋体" w:cs="宋体" w:eastAsia="宋体" w:hint="default"/>
        </w:rPr>
        <w:t>1,200,000.00</w:t>
      </w:r>
      <w:r>
        <w:rPr/>
        <w:t>元及延期支付工程款的违约金</w:t>
      </w:r>
      <w:r>
        <w:rPr>
          <w:spacing w:val="-12"/>
        </w:rPr>
        <w:t> </w:t>
      </w:r>
      <w:r>
        <w:rPr>
          <w:spacing w:val="-12"/>
        </w:rPr>
      </w:r>
      <w:r>
        <w:rPr/>
        <w:t>及利息人民币</w:t>
      </w:r>
      <w:r>
        <w:rPr>
          <w:rFonts w:ascii="宋体" w:hAnsi="宋体" w:cs="宋体" w:eastAsia="宋体" w:hint="default"/>
        </w:rPr>
        <w:t>22,015.00</w:t>
      </w:r>
      <w:r>
        <w:rPr/>
        <w:t>元，支付合同外工程款人民币</w:t>
      </w:r>
      <w:r>
        <w:rPr>
          <w:rFonts w:ascii="宋体" w:hAnsi="宋体" w:cs="宋体" w:eastAsia="宋体" w:hint="default"/>
        </w:rPr>
        <w:t>1,155,880.24</w:t>
      </w:r>
      <w:r>
        <w:rPr/>
        <w:t>元，共计</w:t>
      </w:r>
      <w:r>
        <w:rPr>
          <w:rFonts w:ascii="宋体" w:hAnsi="宋体" w:cs="宋体" w:eastAsia="宋体" w:hint="default"/>
        </w:rPr>
        <w:t>2,377,895.24</w:t>
      </w:r>
      <w:r>
        <w:rPr/>
        <w:t>元，并承担全部诉讼费用。案件 目前处于法庭鉴定阶段。</w:t>
      </w:r>
      <w:r>
        <w:rPr>
          <w:rFonts w:ascii="宋体" w:hAnsi="宋体" w:cs="宋体" w:eastAsia="宋体" w:hint="default"/>
        </w:rPr>
        <w:t> </w:t>
      </w:r>
    </w:p>
    <w:p>
      <w:pPr>
        <w:pStyle w:val="BodyText"/>
        <w:spacing w:line="240" w:lineRule="auto" w:before="54"/>
        <w:ind w:left="594" w:right="0"/>
        <w:jc w:val="left"/>
        <w:rPr>
          <w:rFonts w:ascii="宋体" w:hAnsi="宋体" w:cs="宋体" w:eastAsia="宋体" w:hint="default"/>
        </w:rPr>
      </w:pPr>
      <w:r>
        <w:rPr>
          <w:rFonts w:ascii="宋体" w:hAnsi="宋体" w:cs="宋体" w:eastAsia="宋体" w:hint="default"/>
        </w:rPr>
        <w:t>4</w:t>
      </w:r>
      <w:r>
        <w:rPr/>
        <w:t>、云南北斗高分地理信息科技有限公司诉中农信达“技术服务合同纠纷”案</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477" w:lineRule="auto"/>
        <w:ind w:right="1128" w:firstLine="441"/>
        <w:jc w:val="both"/>
        <w:rPr>
          <w:rFonts w:ascii="宋体" w:hAnsi="宋体" w:cs="宋体" w:eastAsia="宋体" w:hint="default"/>
        </w:rPr>
      </w:pPr>
      <w:r>
        <w:rPr>
          <w:rFonts w:ascii="宋体" w:hAnsi="宋体" w:cs="宋体" w:eastAsia="宋体" w:hint="default"/>
        </w:rPr>
        <w:t>2019</w:t>
      </w:r>
      <w:r>
        <w:rPr/>
        <w:t>年</w:t>
      </w:r>
      <w:r>
        <w:rPr>
          <w:rFonts w:ascii="宋体" w:hAnsi="宋体" w:cs="宋体" w:eastAsia="宋体" w:hint="default"/>
        </w:rPr>
        <w:t>7</w:t>
      </w:r>
      <w:r>
        <w:rPr/>
        <w:t>月</w:t>
      </w:r>
      <w:r>
        <w:rPr>
          <w:rFonts w:ascii="宋体" w:hAnsi="宋体" w:cs="宋体" w:eastAsia="宋体" w:hint="default"/>
        </w:rPr>
        <w:t>19</w:t>
      </w:r>
      <w:r>
        <w:rPr/>
        <w:t>日，云南北斗高分地理信息科技有限公司以中农信达未能按期支付其数据使用费为由向云南省大理市白 </w:t>
      </w:r>
      <w:r>
        <w:rPr>
          <w:spacing w:val="-2"/>
        </w:rPr>
        <w:t>族自治州中级人民法院提起诉讼，要求中农信达支付其数据使用费</w:t>
      </w:r>
      <w:r>
        <w:rPr>
          <w:rFonts w:ascii="宋体" w:hAnsi="宋体" w:cs="宋体" w:eastAsia="宋体" w:hint="default"/>
          <w:spacing w:val="-2"/>
        </w:rPr>
        <w:t>9,863,220.80</w:t>
      </w:r>
      <w:r>
        <w:rPr>
          <w:spacing w:val="-2"/>
        </w:rPr>
        <w:t>元，支付逾期付款违约金</w:t>
      </w:r>
      <w:r>
        <w:rPr>
          <w:rFonts w:ascii="宋体" w:hAnsi="宋体" w:cs="宋体" w:eastAsia="宋体" w:hint="default"/>
          <w:spacing w:val="-2"/>
        </w:rPr>
        <w:t>197,264.00</w:t>
      </w:r>
      <w:r>
        <w:rPr>
          <w:spacing w:val="-2"/>
        </w:rPr>
        <w:t>元，共</w:t>
      </w:r>
      <w:r>
        <w:rPr>
          <w:spacing w:val="-50"/>
        </w:rPr>
        <w:t> </w:t>
      </w:r>
      <w:r>
        <w:rPr>
          <w:spacing w:val="-50"/>
        </w:rPr>
      </w:r>
      <w:r>
        <w:rPr/>
        <w:t>计</w:t>
      </w:r>
      <w:r>
        <w:rPr>
          <w:rFonts w:ascii="宋体" w:hAnsi="宋体" w:cs="宋体" w:eastAsia="宋体" w:hint="default"/>
        </w:rPr>
        <w:t>10,060,484.80</w:t>
      </w:r>
      <w:r>
        <w:rPr/>
        <w:t>元。该案件暂未开庭审理。</w:t>
      </w:r>
      <w:r>
        <w:rPr>
          <w:rFonts w:ascii="宋体" w:hAnsi="宋体" w:cs="宋体" w:eastAsia="宋体" w:hint="default"/>
        </w:rPr>
        <w:t> </w:t>
      </w:r>
    </w:p>
    <w:p>
      <w:pPr>
        <w:pStyle w:val="BodyText"/>
        <w:spacing w:line="240" w:lineRule="auto" w:before="54"/>
        <w:ind w:left="594" w:right="0"/>
        <w:jc w:val="left"/>
        <w:rPr>
          <w:rFonts w:ascii="宋体" w:hAnsi="宋体" w:cs="宋体" w:eastAsia="宋体" w:hint="default"/>
        </w:rPr>
      </w:pPr>
      <w:r>
        <w:rPr>
          <w:rFonts w:ascii="宋体" w:hAnsi="宋体" w:cs="宋体" w:eastAsia="宋体" w:hint="default"/>
        </w:rPr>
        <w:t>5</w:t>
      </w:r>
      <w:r>
        <w:rPr/>
        <w:t>、青田县农业局诉中农信达“农业技术服务合同纠纷”案</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477" w:lineRule="auto"/>
        <w:ind w:right="1128" w:firstLine="441"/>
        <w:jc w:val="both"/>
        <w:rPr>
          <w:rFonts w:ascii="宋体" w:hAnsi="宋体" w:cs="宋体" w:eastAsia="宋体" w:hint="default"/>
        </w:rPr>
      </w:pPr>
      <w:r>
        <w:rPr>
          <w:rFonts w:ascii="宋体" w:hAnsi="宋体" w:cs="宋体" w:eastAsia="宋体" w:hint="default"/>
        </w:rPr>
        <w:t>2019</w:t>
      </w:r>
      <w:r>
        <w:rPr/>
        <w:t>年</w:t>
      </w:r>
      <w:r>
        <w:rPr>
          <w:rFonts w:ascii="宋体" w:hAnsi="宋体" w:cs="宋体" w:eastAsia="宋体" w:hint="default"/>
        </w:rPr>
        <w:t>10</w:t>
      </w:r>
      <w:r>
        <w:rPr/>
        <w:t>月</w:t>
      </w:r>
      <w:r>
        <w:rPr>
          <w:rFonts w:ascii="宋体" w:hAnsi="宋体" w:cs="宋体" w:eastAsia="宋体" w:hint="default"/>
        </w:rPr>
        <w:t>23</w:t>
      </w:r>
      <w:r>
        <w:rPr/>
        <w:t>日，青田县农业局以中农信达未能按期履约导致合同解除，进而造成其损失为由，向青田县人民法院提 </w:t>
      </w:r>
      <w:r>
        <w:rPr>
          <w:spacing w:val="-2"/>
        </w:rPr>
        <w:t>起诉讼，要求中农信达赔偿其损失</w:t>
      </w:r>
      <w:r>
        <w:rPr>
          <w:rFonts w:ascii="宋体" w:hAnsi="宋体" w:cs="宋体" w:eastAsia="宋体" w:hint="default"/>
          <w:spacing w:val="-2"/>
        </w:rPr>
        <w:t>5,388,768.00</w:t>
      </w:r>
      <w:r>
        <w:rPr>
          <w:spacing w:val="-2"/>
        </w:rPr>
        <w:t>元，赔偿其垫付的劳动报酬及工作人员食宿费</w:t>
      </w:r>
      <w:r>
        <w:rPr>
          <w:rFonts w:ascii="宋体" w:hAnsi="宋体" w:cs="宋体" w:eastAsia="宋体" w:hint="default"/>
          <w:spacing w:val="-2"/>
        </w:rPr>
        <w:t>484,000.00</w:t>
      </w:r>
      <w:r>
        <w:rPr>
          <w:spacing w:val="-2"/>
        </w:rPr>
        <w:t>元，同时没收中农</w:t>
      </w:r>
      <w:r>
        <w:rPr>
          <w:spacing w:val="-49"/>
        </w:rPr>
        <w:t> </w:t>
      </w:r>
      <w:r>
        <w:rPr>
          <w:spacing w:val="-49"/>
        </w:rPr>
      </w:r>
      <w:r>
        <w:rPr/>
        <w:t>信达缴纳的履约保证金</w:t>
      </w:r>
      <w:r>
        <w:rPr>
          <w:rFonts w:ascii="宋体" w:hAnsi="宋体" w:cs="宋体" w:eastAsia="宋体" w:hint="default"/>
        </w:rPr>
        <w:t>337,500.00</w:t>
      </w:r>
      <w:r>
        <w:rPr/>
        <w:t>元，共计</w:t>
      </w:r>
      <w:r>
        <w:rPr>
          <w:rFonts w:ascii="宋体" w:hAnsi="宋体" w:cs="宋体" w:eastAsia="宋体" w:hint="default"/>
        </w:rPr>
        <w:t>6,210,268.00</w:t>
      </w:r>
      <w:r>
        <w:rPr/>
        <w:t>元。该案件暂未开庭审理。</w:t>
      </w:r>
      <w:r>
        <w:rPr>
          <w:rFonts w:ascii="宋体" w:hAnsi="宋体" w:cs="宋体" w:eastAsia="宋体" w:hint="default"/>
        </w:rPr>
        <w:t> </w:t>
      </w:r>
    </w:p>
    <w:p>
      <w:pPr>
        <w:spacing w:after="0" w:line="477" w:lineRule="auto"/>
        <w:jc w:val="both"/>
        <w:rPr>
          <w:rFonts w:ascii="宋体" w:hAnsi="宋体" w:cs="宋体" w:eastAsia="宋体" w:hint="default"/>
        </w:rPr>
        <w:sectPr>
          <w:pgSz w:w="11910" w:h="16840"/>
          <w:pgMar w:header="916" w:footer="1261" w:top="112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十五、资产负债表日后事项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4983"/>
        <w:gridCol w:w="4585"/>
      </w:tblGrid>
      <w:tr>
        <w:trPr>
          <w:trHeight w:val="466"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37,844,869.65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2"/>
        <w:rPr>
          <w:rFonts w:ascii="宋体" w:hAnsi="宋体" w:cs="宋体" w:eastAsia="宋体" w:hint="default"/>
          <w:b/>
          <w:bCs/>
          <w:sz w:val="32"/>
          <w:szCs w:val="32"/>
        </w:rPr>
      </w:pPr>
    </w:p>
    <w:p>
      <w:pPr>
        <w:pStyle w:val="BodyText"/>
        <w:spacing w:line="477" w:lineRule="auto"/>
        <w:ind w:right="1130" w:firstLine="441"/>
        <w:jc w:val="both"/>
        <w:rPr>
          <w:rFonts w:ascii="宋体" w:hAnsi="宋体" w:cs="宋体" w:eastAsia="宋体" w:hint="default"/>
        </w:rPr>
      </w:pPr>
      <w:r>
        <w:rPr>
          <w:rFonts w:ascii="宋体" w:hAnsi="宋体" w:cs="宋体" w:eastAsia="宋体" w:hint="default"/>
        </w:rPr>
        <w:t>1</w:t>
      </w:r>
      <w:r>
        <w:rPr/>
        <w:t>、新型冠状病毒感染的肺炎疫情于</w:t>
      </w:r>
      <w:r>
        <w:rPr>
          <w:rFonts w:ascii="宋体" w:hAnsi="宋体" w:cs="宋体" w:eastAsia="宋体" w:hint="default"/>
        </w:rPr>
        <w:t>2020</w:t>
      </w:r>
      <w:r>
        <w:rPr/>
        <w:t>年</w:t>
      </w:r>
      <w:r>
        <w:rPr>
          <w:rFonts w:ascii="宋体" w:hAnsi="宋体" w:cs="宋体" w:eastAsia="宋体" w:hint="default"/>
        </w:rPr>
        <w:t>1</w:t>
      </w:r>
      <w:r>
        <w:rPr/>
        <w:t>月在全国爆发以来，本集团密切关注肺炎疫情发展情况，评估和积极应对 </w:t>
      </w:r>
      <w:r>
        <w:rPr>
          <w:spacing w:val="-2"/>
        </w:rPr>
        <w:t>其对本集团财务状况、经营成果等方面的影响。本集团预计此次疫情对本集团的经营活动造成一定的暂时性影响，尚未发现</w:t>
      </w:r>
      <w:r>
        <w:rPr>
          <w:spacing w:val="-63"/>
        </w:rPr>
        <w:t> </w:t>
      </w:r>
      <w:r>
        <w:rPr>
          <w:spacing w:val="-63"/>
        </w:rPr>
      </w:r>
      <w:r>
        <w:rPr/>
        <w:t>重大不利影响。</w:t>
      </w:r>
      <w:r>
        <w:rPr>
          <w:rFonts w:ascii="宋体" w:hAnsi="宋体" w:cs="宋体" w:eastAsia="宋体" w:hint="default"/>
        </w:rPr>
        <w:t> </w:t>
      </w:r>
    </w:p>
    <w:p>
      <w:pPr>
        <w:pStyle w:val="BodyText"/>
        <w:spacing w:line="240" w:lineRule="auto" w:before="54"/>
        <w:ind w:left="594" w:right="0"/>
        <w:jc w:val="left"/>
        <w:rPr>
          <w:rFonts w:ascii="宋体" w:hAnsi="宋体" w:cs="宋体" w:eastAsia="宋体" w:hint="default"/>
        </w:rPr>
      </w:pPr>
      <w:r>
        <w:rPr>
          <w:rFonts w:ascii="宋体" w:hAnsi="宋体" w:cs="宋体" w:eastAsia="宋体" w:hint="default"/>
        </w:rPr>
        <w:t>2</w:t>
      </w:r>
      <w:r>
        <w:rPr/>
        <w:t>、截至本报告出具日，除上述事项外，本公司无需披露其他重大资产负债表日后事项。</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r>
        <w:rPr/>
        <w:t>十六、母公司财务报表主要项目注释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 应收账款分类披露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310"/>
        <w:jc w:val="right"/>
      </w:pPr>
      <w:r>
        <w:rPr/>
        <w:t>单位：</w:t>
      </w:r>
      <w:r>
        <w:rPr>
          <w:spacing w:val="-18"/>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39"/>
        <w:gridCol w:w="1500"/>
        <w:gridCol w:w="929"/>
        <w:gridCol w:w="1445"/>
        <w:gridCol w:w="974"/>
        <w:gridCol w:w="1313"/>
      </w:tblGrid>
      <w:tr>
        <w:trPr>
          <w:trHeight w:val="488" w:hRule="exact"/>
        </w:trPr>
        <w:tc>
          <w:tcPr>
            <w:tcW w:w="3339"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162" w:type="dxa"/>
            <w:gridSpan w:val="5"/>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4" w:hRule="exact"/>
        </w:trPr>
        <w:tc>
          <w:tcPr>
            <w:tcW w:w="3339" w:type="dxa"/>
            <w:vMerge/>
            <w:tcBorders>
              <w:left w:val="single" w:sz="6" w:space="0" w:color="000000"/>
              <w:right w:val="single" w:sz="6" w:space="0" w:color="000000"/>
            </w:tcBorders>
            <w:shd w:val="clear" w:color="auto" w:fill="D9D9D9"/>
          </w:tcPr>
          <w:p>
            <w:pPr/>
          </w:p>
        </w:tc>
        <w:tc>
          <w:tcPr>
            <w:tcW w:w="2429"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2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1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86" w:hRule="exact"/>
        </w:trPr>
        <w:tc>
          <w:tcPr>
            <w:tcW w:w="3339" w:type="dxa"/>
            <w:vMerge/>
            <w:tcBorders>
              <w:left w:val="single" w:sz="6" w:space="0" w:color="000000"/>
              <w:bottom w:val="single" w:sz="8" w:space="0" w:color="000000"/>
              <w:right w:val="single" w:sz="6" w:space="0" w:color="000000"/>
            </w:tcBorders>
            <w:shd w:val="clear" w:color="auto" w:fill="D9D9D9"/>
          </w:tcPr>
          <w:p>
            <w:pPr/>
          </w:p>
        </w:tc>
        <w:tc>
          <w:tcPr>
            <w:tcW w:w="15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5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23"/>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left="3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43"/>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313" w:type="dxa"/>
            <w:vMerge/>
            <w:tcBorders>
              <w:left w:val="single" w:sz="6" w:space="0" w:color="000000"/>
              <w:bottom w:val="single" w:sz="8" w:space="0" w:color="000000"/>
              <w:right w:val="single" w:sz="6" w:space="0" w:color="000000"/>
            </w:tcBorders>
            <w:shd w:val="clear" w:color="auto" w:fill="D9D9D9"/>
          </w:tcPr>
          <w:p>
            <w:pPr/>
          </w:p>
        </w:tc>
      </w:tr>
      <w:tr>
        <w:trPr>
          <w:trHeight w:val="494" w:hRule="exact"/>
        </w:trPr>
        <w:tc>
          <w:tcPr>
            <w:tcW w:w="33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500" w:type="dxa"/>
            <w:tcBorders>
              <w:top w:val="single" w:sz="6" w:space="0" w:color="000000"/>
              <w:left w:val="single" w:sz="6" w:space="0" w:color="000000"/>
              <w:bottom w:val="single" w:sz="6" w:space="0" w:color="000000"/>
              <w:right w:val="single" w:sz="6" w:space="0" w:color="000000"/>
            </w:tcBorders>
          </w:tcPr>
          <w:p>
            <w:pPr/>
          </w:p>
        </w:tc>
        <w:tc>
          <w:tcPr>
            <w:tcW w:w="929" w:type="dxa"/>
            <w:tcBorders>
              <w:top w:val="single" w:sz="6" w:space="0" w:color="000000"/>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
        </w:tc>
        <w:tc>
          <w:tcPr>
            <w:tcW w:w="974" w:type="dxa"/>
            <w:tcBorders>
              <w:top w:val="single" w:sz="6" w:space="0" w:color="000000"/>
              <w:left w:val="single" w:sz="6" w:space="0" w:color="000000"/>
              <w:bottom w:val="single" w:sz="6" w:space="0" w:color="000000"/>
              <w:right w:val="single" w:sz="6" w:space="0" w:color="000000"/>
            </w:tcBorders>
          </w:tcPr>
          <w:p>
            <w:pPr/>
          </w:p>
        </w:tc>
        <w:tc>
          <w:tcPr>
            <w:tcW w:w="1313" w:type="dxa"/>
            <w:tcBorders>
              <w:top w:val="single" w:sz="8" w:space="0" w:color="000000"/>
              <w:left w:val="single" w:sz="6" w:space="0" w:color="000000"/>
              <w:bottom w:val="single" w:sz="6" w:space="0" w:color="000000"/>
              <w:right w:val="single" w:sz="6" w:space="0" w:color="000000"/>
            </w:tcBorders>
          </w:tcPr>
          <w:p>
            <w:pPr/>
          </w:p>
        </w:tc>
      </w:tr>
      <w:tr>
        <w:trPr>
          <w:trHeight w:val="493" w:hRule="exact"/>
        </w:trPr>
        <w:tc>
          <w:tcPr>
            <w:tcW w:w="3339" w:type="dxa"/>
            <w:tcBorders>
              <w:top w:val="single" w:sz="8"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按组合计提计提坏账准备</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48" w:right="0"/>
              <w:jc w:val="left"/>
              <w:rPr>
                <w:rFonts w:ascii="Times New Roman" w:hAnsi="Times New Roman" w:cs="Times New Roman" w:eastAsia="Times New Roman" w:hint="default"/>
                <w:sz w:val="18"/>
                <w:szCs w:val="18"/>
              </w:rPr>
            </w:pPr>
            <w:r>
              <w:rPr>
                <w:rFonts w:ascii="Times New Roman"/>
                <w:sz w:val="18"/>
              </w:rPr>
              <w:t>27,090,379.95</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14,295,665.45</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52.77</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12,794,714.50</w:t>
            </w:r>
          </w:p>
        </w:tc>
      </w:tr>
      <w:tr>
        <w:trPr>
          <w:trHeight w:val="490" w:hRule="exact"/>
        </w:trPr>
        <w:tc>
          <w:tcPr>
            <w:tcW w:w="333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其中：账期组合</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48" w:right="0"/>
              <w:jc w:val="left"/>
              <w:rPr>
                <w:rFonts w:ascii="Times New Roman" w:hAnsi="Times New Roman" w:cs="Times New Roman" w:eastAsia="Times New Roman" w:hint="default"/>
                <w:sz w:val="18"/>
                <w:szCs w:val="18"/>
              </w:rPr>
            </w:pPr>
            <w:r>
              <w:rPr>
                <w:rFonts w:ascii="Times New Roman"/>
                <w:sz w:val="18"/>
              </w:rPr>
              <w:t>27,090,379.95</w:t>
            </w:r>
          </w:p>
        </w:tc>
        <w:tc>
          <w:tcPr>
            <w:tcW w:w="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14,295,665.45</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52.77</w:t>
            </w:r>
          </w:p>
        </w:tc>
        <w:tc>
          <w:tcPr>
            <w:tcW w:w="1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12,794,714.50</w:t>
            </w:r>
          </w:p>
        </w:tc>
      </w:tr>
      <w:tr>
        <w:trPr>
          <w:trHeight w:val="494" w:hRule="exact"/>
        </w:trPr>
        <w:tc>
          <w:tcPr>
            <w:tcW w:w="33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27,090,379.95</w:t>
            </w:r>
          </w:p>
        </w:tc>
        <w:tc>
          <w:tcPr>
            <w:tcW w:w="92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45"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14,295,665.45</w:t>
            </w:r>
          </w:p>
        </w:tc>
        <w:tc>
          <w:tcPr>
            <w:tcW w:w="97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z w:val="18"/>
              </w:rPr>
              <w:t>52.77</w:t>
            </w:r>
          </w:p>
        </w:tc>
        <w:tc>
          <w:tcPr>
            <w:tcW w:w="131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12,794,714.50</w:t>
            </w:r>
          </w:p>
        </w:tc>
      </w:tr>
    </w:tbl>
    <w:p>
      <w:pPr>
        <w:pStyle w:val="BodyText"/>
        <w:spacing w:line="240" w:lineRule="auto" w:before="49"/>
        <w:ind w:right="0"/>
        <w:jc w:val="left"/>
      </w:pPr>
      <w:r>
        <w:rPr/>
        <w:t>（续上表）</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3338"/>
        <w:gridCol w:w="1500"/>
        <w:gridCol w:w="929"/>
        <w:gridCol w:w="1445"/>
        <w:gridCol w:w="974"/>
        <w:gridCol w:w="1439"/>
      </w:tblGrid>
      <w:tr>
        <w:trPr>
          <w:trHeight w:val="488" w:hRule="exact"/>
        </w:trPr>
        <w:tc>
          <w:tcPr>
            <w:tcW w:w="333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6288" w:type="dxa"/>
            <w:gridSpan w:val="5"/>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9"/>
              <w:ind w:right="2"/>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90" w:hRule="exact"/>
        </w:trPr>
        <w:tc>
          <w:tcPr>
            <w:tcW w:w="3338" w:type="dxa"/>
            <w:vMerge/>
            <w:tcBorders>
              <w:left w:val="single" w:sz="6" w:space="0" w:color="000000"/>
              <w:right w:val="single" w:sz="6" w:space="0" w:color="000000"/>
            </w:tcBorders>
            <w:shd w:val="clear" w:color="auto" w:fill="D9D9D9"/>
          </w:tcPr>
          <w:p>
            <w:pPr/>
          </w:p>
        </w:tc>
        <w:tc>
          <w:tcPr>
            <w:tcW w:w="2429" w:type="dxa"/>
            <w:gridSpan w:val="2"/>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20" w:type="dxa"/>
            <w:gridSpan w:val="2"/>
            <w:tcBorders>
              <w:top w:val="single" w:sz="8"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39" w:type="dxa"/>
            <w:vMerge w:val="restart"/>
            <w:tcBorders>
              <w:top w:val="single" w:sz="8" w:space="0" w:color="000000"/>
              <w:left w:val="single" w:sz="6" w:space="0" w:color="000000"/>
              <w:right w:val="single" w:sz="6" w:space="0" w:color="000000"/>
            </w:tcBorders>
            <w:shd w:val="clear" w:color="auto" w:fill="D9D9D9"/>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91" w:hRule="exact"/>
        </w:trPr>
        <w:tc>
          <w:tcPr>
            <w:tcW w:w="3338" w:type="dxa"/>
            <w:vMerge/>
            <w:tcBorders>
              <w:left w:val="single" w:sz="6" w:space="0" w:color="000000"/>
              <w:bottom w:val="single" w:sz="8" w:space="0" w:color="000000"/>
              <w:right w:val="single" w:sz="6" w:space="0" w:color="000000"/>
            </w:tcBorders>
            <w:shd w:val="clear" w:color="auto" w:fill="D9D9D9"/>
          </w:tcPr>
          <w:p>
            <w:pPr/>
          </w:p>
        </w:tc>
        <w:tc>
          <w:tcPr>
            <w:tcW w:w="1500"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8"/>
              <w:ind w:right="106"/>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8"/>
              <w:ind w:left="2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5"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8"/>
              <w:ind w:left="3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74" w:type="dxa"/>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40" w:lineRule="auto" w:before="88"/>
              <w:ind w:left="4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39" w:type="dxa"/>
            <w:vMerge/>
            <w:tcBorders>
              <w:left w:val="single" w:sz="6" w:space="0" w:color="000000"/>
              <w:bottom w:val="single" w:sz="8" w:space="0" w:color="000000"/>
              <w:right w:val="single" w:sz="6" w:space="0" w:color="000000"/>
            </w:tcBorders>
            <w:shd w:val="clear" w:color="auto" w:fill="D9D9D9"/>
          </w:tcPr>
          <w:p>
            <w:pPr/>
          </w:p>
        </w:tc>
      </w:tr>
    </w:tbl>
    <w:p>
      <w:pPr>
        <w:spacing w:after="0"/>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3339"/>
        <w:gridCol w:w="1500"/>
        <w:gridCol w:w="929"/>
        <w:gridCol w:w="1445"/>
        <w:gridCol w:w="974"/>
        <w:gridCol w:w="1436"/>
      </w:tblGrid>
      <w:tr>
        <w:trPr>
          <w:trHeight w:val="495" w:hRule="exact"/>
        </w:trPr>
        <w:tc>
          <w:tcPr>
            <w:tcW w:w="33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按单项计提坏账准备</w:t>
            </w:r>
          </w:p>
        </w:tc>
        <w:tc>
          <w:tcPr>
            <w:tcW w:w="1500" w:type="dxa"/>
            <w:tcBorders>
              <w:top w:val="single" w:sz="6" w:space="0" w:color="000000"/>
              <w:left w:val="single" w:sz="6" w:space="0" w:color="000000"/>
              <w:bottom w:val="single" w:sz="8" w:space="0" w:color="000000"/>
              <w:right w:val="single" w:sz="6" w:space="0" w:color="000000"/>
            </w:tcBorders>
          </w:tcPr>
          <w:p>
            <w:pPr/>
          </w:p>
        </w:tc>
        <w:tc>
          <w:tcPr>
            <w:tcW w:w="929" w:type="dxa"/>
            <w:tcBorders>
              <w:top w:val="single" w:sz="6" w:space="0" w:color="000000"/>
              <w:left w:val="single" w:sz="6" w:space="0" w:color="000000"/>
              <w:bottom w:val="single" w:sz="8" w:space="0" w:color="000000"/>
              <w:right w:val="single" w:sz="6" w:space="0" w:color="000000"/>
            </w:tcBorders>
          </w:tcPr>
          <w:p>
            <w:pPr/>
          </w:p>
        </w:tc>
        <w:tc>
          <w:tcPr>
            <w:tcW w:w="1445" w:type="dxa"/>
            <w:tcBorders>
              <w:top w:val="single" w:sz="6" w:space="0" w:color="000000"/>
              <w:left w:val="single" w:sz="6" w:space="0" w:color="000000"/>
              <w:bottom w:val="single" w:sz="8" w:space="0" w:color="000000"/>
              <w:right w:val="single" w:sz="6" w:space="0" w:color="000000"/>
            </w:tcBorders>
          </w:tcPr>
          <w:p>
            <w:pPr/>
          </w:p>
        </w:tc>
        <w:tc>
          <w:tcPr>
            <w:tcW w:w="974" w:type="dxa"/>
            <w:tcBorders>
              <w:top w:val="single" w:sz="6" w:space="0" w:color="000000"/>
              <w:left w:val="single" w:sz="6" w:space="0" w:color="000000"/>
              <w:bottom w:val="single" w:sz="8" w:space="0" w:color="000000"/>
              <w:right w:val="single" w:sz="6" w:space="0" w:color="000000"/>
            </w:tcBorders>
          </w:tcPr>
          <w:p>
            <w:pPr/>
          </w:p>
        </w:tc>
        <w:tc>
          <w:tcPr>
            <w:tcW w:w="1436" w:type="dxa"/>
            <w:tcBorders>
              <w:top w:val="single" w:sz="6" w:space="0" w:color="000000"/>
              <w:left w:val="single" w:sz="6" w:space="0" w:color="000000"/>
              <w:bottom w:val="single" w:sz="8" w:space="0" w:color="000000"/>
              <w:right w:val="single" w:sz="6" w:space="0" w:color="000000"/>
            </w:tcBorders>
          </w:tcPr>
          <w:p>
            <w:pPr/>
          </w:p>
        </w:tc>
      </w:tr>
      <w:tr>
        <w:trPr>
          <w:trHeight w:val="494" w:hRule="exact"/>
        </w:trPr>
        <w:tc>
          <w:tcPr>
            <w:tcW w:w="33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按组合计提计提坏账准备</w:t>
            </w:r>
          </w:p>
        </w:tc>
        <w:tc>
          <w:tcPr>
            <w:tcW w:w="1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235,472,766.46</w:t>
            </w:r>
          </w:p>
        </w:tc>
        <w:tc>
          <w:tcPr>
            <w:tcW w:w="9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12,486,011.89</w:t>
            </w:r>
          </w:p>
        </w:tc>
        <w:tc>
          <w:tcPr>
            <w:tcW w:w="9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5.30</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222,986,754.57</w:t>
            </w:r>
          </w:p>
        </w:tc>
      </w:tr>
      <w:tr>
        <w:trPr>
          <w:trHeight w:val="492" w:hRule="exact"/>
        </w:trPr>
        <w:tc>
          <w:tcPr>
            <w:tcW w:w="33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其中：账期组合</w:t>
            </w:r>
          </w:p>
        </w:tc>
        <w:tc>
          <w:tcPr>
            <w:tcW w:w="1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235,472,766.46</w:t>
            </w:r>
          </w:p>
        </w:tc>
        <w:tc>
          <w:tcPr>
            <w:tcW w:w="9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12,486,011.89</w:t>
            </w:r>
          </w:p>
        </w:tc>
        <w:tc>
          <w:tcPr>
            <w:tcW w:w="9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5.30</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222,986,754.57</w:t>
            </w:r>
          </w:p>
        </w:tc>
      </w:tr>
      <w:tr>
        <w:trPr>
          <w:trHeight w:val="497" w:hRule="exact"/>
        </w:trPr>
        <w:tc>
          <w:tcPr>
            <w:tcW w:w="333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235,472,766.46</w:t>
            </w:r>
          </w:p>
        </w:tc>
        <w:tc>
          <w:tcPr>
            <w:tcW w:w="92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12,486,011.89</w:t>
            </w:r>
          </w:p>
        </w:tc>
        <w:tc>
          <w:tcPr>
            <w:tcW w:w="97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5.30</w:t>
            </w:r>
          </w:p>
        </w:tc>
        <w:tc>
          <w:tcPr>
            <w:tcW w:w="143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222,986,754.57</w:t>
            </w:r>
          </w:p>
        </w:tc>
      </w:tr>
    </w:tbl>
    <w:p>
      <w:pPr>
        <w:pStyle w:val="BodyText"/>
        <w:spacing w:line="240" w:lineRule="auto" w:before="87"/>
        <w:ind w:left="510" w:right="0"/>
        <w:jc w:val="left"/>
        <w:rPr>
          <w:rFonts w:ascii="宋体" w:hAnsi="宋体" w:cs="宋体" w:eastAsia="宋体" w:hint="default"/>
        </w:rPr>
      </w:pPr>
      <w:r>
        <w:rPr/>
        <w:t>组合中，采用账期组合</w:t>
      </w:r>
      <w:r>
        <w:rPr>
          <w:rFonts w:ascii="Times New Roman" w:hAnsi="Times New Roman" w:cs="Times New Roman" w:eastAsia="Times New Roman" w:hint="default"/>
        </w:rPr>
        <w:t>II</w:t>
      </w:r>
      <w:r>
        <w:rPr/>
        <w:t>计提坏账准备的应收账款</w:t>
      </w:r>
      <w:r>
        <w:rPr>
          <w:rFonts w:ascii="宋体" w:hAnsi="宋体" w:cs="宋体" w:eastAsia="宋体" w:hint="default"/>
        </w:rPr>
        <w:t> </w:t>
      </w:r>
    </w:p>
    <w:p>
      <w:pPr>
        <w:spacing w:line="240" w:lineRule="auto" w:before="5"/>
        <w:rPr>
          <w:rFonts w:ascii="宋体" w:hAnsi="宋体" w:cs="宋体" w:eastAsia="宋体" w:hint="default"/>
          <w:sz w:val="10"/>
          <w:szCs w:val="10"/>
        </w:rPr>
      </w:pPr>
    </w:p>
    <w:p>
      <w:pPr>
        <w:pStyle w:val="BodyText"/>
        <w:spacing w:line="240" w:lineRule="auto" w:before="44"/>
        <w:ind w:left="0" w:right="1310"/>
        <w:jc w:val="right"/>
      </w:pPr>
      <w:r>
        <w:rPr/>
        <w:t>单位：</w:t>
      </w:r>
      <w:r>
        <w:rPr>
          <w:spacing w:val="-18"/>
        </w:rPr>
        <w:t> </w:t>
      </w:r>
      <w:r>
        <w:rPr/>
        <w:t>元</w:t>
      </w:r>
    </w:p>
    <w:p>
      <w:pPr>
        <w:spacing w:line="240" w:lineRule="auto" w:before="2"/>
        <w:rPr>
          <w:rFonts w:ascii="宋体" w:hAnsi="宋体" w:cs="宋体" w:eastAsia="宋体" w:hint="default"/>
          <w:sz w:val="8"/>
          <w:szCs w:val="8"/>
        </w:rPr>
      </w:pPr>
    </w:p>
    <w:tbl>
      <w:tblPr>
        <w:tblW w:w="0" w:type="auto"/>
        <w:jc w:val="left"/>
        <w:tblInd w:w="172" w:type="dxa"/>
        <w:tblLayout w:type="fixed"/>
        <w:tblCellMar>
          <w:top w:w="0" w:type="dxa"/>
          <w:left w:w="0" w:type="dxa"/>
          <w:bottom w:w="0" w:type="dxa"/>
          <w:right w:w="0" w:type="dxa"/>
        </w:tblCellMar>
        <w:tblLook w:val="01E0"/>
      </w:tblPr>
      <w:tblGrid>
        <w:gridCol w:w="2403"/>
        <w:gridCol w:w="2410"/>
        <w:gridCol w:w="2410"/>
        <w:gridCol w:w="2410"/>
      </w:tblGrid>
      <w:tr>
        <w:trPr>
          <w:trHeight w:val="490" w:hRule="exact"/>
        </w:trPr>
        <w:tc>
          <w:tcPr>
            <w:tcW w:w="240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7230"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8" w:hRule="exact"/>
        </w:trPr>
        <w:tc>
          <w:tcPr>
            <w:tcW w:w="2403" w:type="dxa"/>
            <w:vMerge/>
            <w:tcBorders>
              <w:left w:val="single" w:sz="6" w:space="0" w:color="000000"/>
              <w:bottom w:val="single" w:sz="6" w:space="0" w:color="000000"/>
              <w:right w:val="single" w:sz="6" w:space="0" w:color="000000"/>
            </w:tcBorders>
            <w:shd w:val="clear" w:color="auto" w:fill="D9D9D9"/>
          </w:tcPr>
          <w:p>
            <w:pP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58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未超账期</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12,813,711.35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256,507.85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2.00</w:t>
            </w:r>
          </w:p>
        </w:tc>
      </w:tr>
      <w:tr>
        <w:trPr>
          <w:trHeight w:val="4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181-360</w:t>
            </w:r>
            <w:r>
              <w:rPr>
                <w:rFonts w:ascii="宋体" w:hAnsi="宋体" w:cs="宋体" w:eastAsia="宋体" w:hint="default"/>
                <w:sz w:val="18"/>
                <w:szCs w:val="18"/>
              </w:rPr>
              <w:t>天</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135,080.00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27,016.00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20.00</w:t>
            </w:r>
          </w:p>
        </w:tc>
      </w:tr>
      <w:tr>
        <w:trPr>
          <w:trHeight w:val="4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361-540</w:t>
            </w:r>
            <w:r>
              <w:rPr>
                <w:rFonts w:ascii="宋体" w:hAnsi="宋体" w:cs="宋体" w:eastAsia="宋体" w:hint="default"/>
                <w:sz w:val="18"/>
                <w:szCs w:val="18"/>
              </w:rPr>
              <w:t>天</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258,894.00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129,447.00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50.00</w:t>
            </w:r>
          </w:p>
        </w:tc>
      </w:tr>
      <w:tr>
        <w:trPr>
          <w:trHeight w:val="487"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721</w:t>
            </w:r>
            <w:r>
              <w:rPr>
                <w:rFonts w:ascii="宋体" w:hAnsi="宋体" w:cs="宋体" w:eastAsia="宋体" w:hint="default"/>
                <w:sz w:val="18"/>
                <w:szCs w:val="18"/>
              </w:rPr>
              <w:t>天以上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13,882,694.60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13,882,694.60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27,090,379.95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14,295,665.45</w:t>
            </w:r>
          </w:p>
        </w:tc>
        <w:tc>
          <w:tcPr>
            <w:tcW w:w="2410" w:type="dxa"/>
            <w:tcBorders>
              <w:top w:val="single" w:sz="6" w:space="0" w:color="000000"/>
              <w:left w:val="single" w:sz="6" w:space="0" w:color="000000"/>
              <w:bottom w:val="single" w:sz="6" w:space="0" w:color="000000"/>
              <w:right w:val="single" w:sz="6" w:space="0" w:color="000000"/>
            </w:tcBorders>
          </w:tcPr>
          <w:p>
            <w:pPr/>
          </w:p>
        </w:tc>
      </w:tr>
    </w:tbl>
    <w:p>
      <w:pPr>
        <w:pStyle w:val="Heading5"/>
        <w:spacing w:line="254" w:lineRule="exact"/>
        <w:ind w:left="513" w:right="0"/>
        <w:jc w:val="left"/>
      </w:pPr>
      <w:r>
        <w:rPr/>
        <w:t>（续上表）</w:t>
      </w:r>
    </w:p>
    <w:p>
      <w:pPr>
        <w:spacing w:line="240" w:lineRule="auto" w:before="7"/>
        <w:rPr>
          <w:rFonts w:ascii="宋体" w:hAnsi="宋体" w:cs="宋体" w:eastAsia="宋体" w:hint="default"/>
          <w:sz w:val="4"/>
          <w:szCs w:val="4"/>
        </w:rPr>
      </w:pPr>
    </w:p>
    <w:tbl>
      <w:tblPr>
        <w:tblW w:w="0" w:type="auto"/>
        <w:jc w:val="left"/>
        <w:tblInd w:w="172" w:type="dxa"/>
        <w:tblLayout w:type="fixed"/>
        <w:tblCellMar>
          <w:top w:w="0" w:type="dxa"/>
          <w:left w:w="0" w:type="dxa"/>
          <w:bottom w:w="0" w:type="dxa"/>
          <w:right w:w="0" w:type="dxa"/>
        </w:tblCellMar>
        <w:tblLook w:val="01E0"/>
      </w:tblPr>
      <w:tblGrid>
        <w:gridCol w:w="2403"/>
        <w:gridCol w:w="2410"/>
        <w:gridCol w:w="2410"/>
        <w:gridCol w:w="2410"/>
      </w:tblGrid>
      <w:tr>
        <w:trPr>
          <w:trHeight w:val="490" w:hRule="exact"/>
        </w:trPr>
        <w:tc>
          <w:tcPr>
            <w:tcW w:w="240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7230"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89" w:hRule="exact"/>
        </w:trPr>
        <w:tc>
          <w:tcPr>
            <w:tcW w:w="2403" w:type="dxa"/>
            <w:vMerge/>
            <w:tcBorders>
              <w:left w:val="single" w:sz="6" w:space="0" w:color="000000"/>
              <w:bottom w:val="single" w:sz="6" w:space="0" w:color="000000"/>
              <w:right w:val="single" w:sz="6" w:space="0" w:color="000000"/>
            </w:tcBorders>
            <w:shd w:val="clear" w:color="auto" w:fill="D9D9D9"/>
          </w:tcPr>
          <w:p>
            <w:pP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9"/>
              <w:ind w:left="58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未超账期</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219,927,310.48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244,667.48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2.00</w:t>
            </w:r>
          </w:p>
        </w:tc>
      </w:tr>
      <w:tr>
        <w:trPr>
          <w:trHeight w:val="487"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1-180</w:t>
            </w:r>
            <w:r>
              <w:rPr>
                <w:rFonts w:ascii="宋体" w:hAnsi="宋体" w:cs="宋体" w:eastAsia="宋体" w:hint="default"/>
                <w:sz w:val="18"/>
                <w:szCs w:val="18"/>
              </w:rPr>
              <w:t>天</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396,946.10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27,786.23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7.00</w:t>
            </w:r>
          </w:p>
        </w:tc>
      </w:tr>
      <w:tr>
        <w:trPr>
          <w:trHeight w:val="4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181-360</w:t>
            </w:r>
            <w:r>
              <w:rPr>
                <w:rFonts w:ascii="宋体" w:hAnsi="宋体" w:cs="宋体" w:eastAsia="宋体" w:hint="default"/>
                <w:sz w:val="18"/>
                <w:szCs w:val="18"/>
              </w:rPr>
              <w:t>天</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1,204,133.48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240,826.70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20.00</w:t>
            </w:r>
          </w:p>
        </w:tc>
      </w:tr>
      <w:tr>
        <w:trPr>
          <w:trHeight w:val="4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361-540</w:t>
            </w:r>
            <w:r>
              <w:rPr>
                <w:rFonts w:ascii="宋体" w:hAnsi="宋体" w:cs="宋体" w:eastAsia="宋体" w:hint="default"/>
                <w:sz w:val="18"/>
                <w:szCs w:val="18"/>
              </w:rPr>
              <w:t>天</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241,888.00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120,944.00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50.00</w:t>
            </w:r>
          </w:p>
        </w:tc>
      </w:tr>
      <w:tr>
        <w:trPr>
          <w:trHeight w:val="4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541-720</w:t>
            </w:r>
            <w:r>
              <w:rPr>
                <w:rFonts w:ascii="宋体" w:hAnsi="宋体" w:cs="宋体" w:eastAsia="宋体" w:hint="default"/>
                <w:sz w:val="18"/>
                <w:szCs w:val="18"/>
              </w:rPr>
              <w:t>天</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8,412,276.90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6,561,575.98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78.00</w:t>
            </w:r>
          </w:p>
        </w:tc>
      </w:tr>
      <w:tr>
        <w:trPr>
          <w:trHeight w:val="487"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721</w:t>
            </w:r>
            <w:r>
              <w:rPr>
                <w:rFonts w:ascii="宋体" w:hAnsi="宋体" w:cs="宋体" w:eastAsia="宋体" w:hint="default"/>
                <w:sz w:val="18"/>
                <w:szCs w:val="18"/>
              </w:rPr>
              <w:t>天以上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5,290,211.50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5,290,211.50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235,472,766.46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12,486,011.89</w:t>
            </w:r>
          </w:p>
        </w:tc>
        <w:tc>
          <w:tcPr>
            <w:tcW w:w="241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w:t>
      </w:r>
      <w:r>
        <w:rPr>
          <w:spacing w:val="-3"/>
        </w:rPr>
        <w:t> </w:t>
      </w:r>
      <w:r>
        <w:rPr/>
        <w:t>应收账款按账龄列示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402"/>
        <w:jc w:val="right"/>
      </w:pPr>
      <w:r>
        <w:rPr/>
        <w:t>单位：</w:t>
      </w:r>
      <w:r>
        <w:rPr>
          <w:spacing w:val="-18"/>
        </w:rPr>
        <w:t> </w:t>
      </w:r>
      <w:r>
        <w:rPr/>
        <w:t>元</w:t>
      </w:r>
    </w:p>
    <w:p>
      <w:pPr>
        <w:spacing w:line="240" w:lineRule="auto" w:before="9"/>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3795"/>
        <w:gridCol w:w="5531"/>
      </w:tblGrid>
      <w:tr>
        <w:trPr>
          <w:trHeight w:val="482" w:hRule="exact"/>
        </w:trPr>
        <w:tc>
          <w:tcPr>
            <w:tcW w:w="37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55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90"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12,950,657.52</w:t>
            </w:r>
          </w:p>
        </w:tc>
      </w:tr>
      <w:tr>
        <w:trPr>
          <w:trHeight w:val="490"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258,393.37</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98" w:type="dxa"/>
        <w:tblLayout w:type="fixed"/>
        <w:tblCellMar>
          <w:top w:w="0" w:type="dxa"/>
          <w:left w:w="0" w:type="dxa"/>
          <w:bottom w:w="0" w:type="dxa"/>
          <w:right w:w="0" w:type="dxa"/>
        </w:tblCellMar>
        <w:tblLook w:val="01E0"/>
      </w:tblPr>
      <w:tblGrid>
        <w:gridCol w:w="3795"/>
        <w:gridCol w:w="5531"/>
      </w:tblGrid>
      <w:tr>
        <w:trPr>
          <w:trHeight w:val="490"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242,271.82</w:t>
            </w:r>
          </w:p>
        </w:tc>
      </w:tr>
      <w:tr>
        <w:trPr>
          <w:trHeight w:val="487"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13,435,437.87</w:t>
            </w:r>
          </w:p>
        </w:tc>
      </w:tr>
      <w:tr>
        <w:trPr>
          <w:trHeight w:val="490"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203,619.37</w:t>
            </w:r>
          </w:p>
        </w:tc>
      </w:tr>
      <w:tr>
        <w:trPr>
          <w:trHeight w:val="490" w:hRule="exact"/>
        </w:trPr>
        <w:tc>
          <w:tcPr>
            <w:tcW w:w="37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27,090,379.95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3</w:t>
      </w:r>
      <w:r>
        <w:rPr/>
        <w:t>）</w:t>
      </w:r>
      <w:r>
        <w:rPr>
          <w:spacing w:val="-2"/>
        </w:rPr>
        <w:t> </w:t>
      </w:r>
      <w:r>
        <w:rPr/>
        <w:t>本年应收账款坏账准备情况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8"/>
        </w:rPr>
        <w:t> </w:t>
      </w:r>
      <w:r>
        <w:rPr/>
        <w:t>元</w:t>
      </w:r>
    </w:p>
    <w:p>
      <w:pPr>
        <w:spacing w:line="240" w:lineRule="auto" w:before="4"/>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1596"/>
        <w:gridCol w:w="1594"/>
        <w:gridCol w:w="1740"/>
        <w:gridCol w:w="1702"/>
        <w:gridCol w:w="1342"/>
        <w:gridCol w:w="1594"/>
      </w:tblGrid>
      <w:tr>
        <w:trPr>
          <w:trHeight w:val="490" w:hRule="exact"/>
        </w:trPr>
        <w:tc>
          <w:tcPr>
            <w:tcW w:w="15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78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9"/>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88" w:hRule="exact"/>
        </w:trPr>
        <w:tc>
          <w:tcPr>
            <w:tcW w:w="1596" w:type="dxa"/>
            <w:vMerge/>
            <w:tcBorders>
              <w:left w:val="single" w:sz="6" w:space="0" w:color="000000"/>
              <w:bottom w:val="single" w:sz="6" w:space="0" w:color="000000"/>
              <w:right w:val="single" w:sz="6" w:space="0" w:color="000000"/>
            </w:tcBorders>
            <w:shd w:val="clear" w:color="auto" w:fill="D2D2D2"/>
          </w:tcPr>
          <w:p>
            <w:pPr/>
          </w:p>
        </w:tc>
        <w:tc>
          <w:tcPr>
            <w:tcW w:w="1594" w:type="dxa"/>
            <w:vMerge/>
            <w:tcBorders>
              <w:left w:val="single" w:sz="6" w:space="0" w:color="000000"/>
              <w:bottom w:val="single" w:sz="6" w:space="0" w:color="000000"/>
              <w:right w:val="single" w:sz="6" w:space="0" w:color="000000"/>
            </w:tcBorders>
            <w:shd w:val="clear" w:color="auto" w:fill="D2D2D2"/>
          </w:tcPr>
          <w:p>
            <w:pPr/>
          </w:p>
        </w:tc>
        <w:tc>
          <w:tcPr>
            <w:tcW w:w="17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7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9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213" w:right="0"/>
              <w:jc w:val="left"/>
              <w:rPr>
                <w:rFonts w:ascii="宋体" w:hAnsi="宋体" w:cs="宋体" w:eastAsia="宋体" w:hint="default"/>
                <w:sz w:val="18"/>
                <w:szCs w:val="18"/>
              </w:rPr>
            </w:pPr>
            <w:r>
              <w:rPr>
                <w:rFonts w:ascii="宋体" w:hAnsi="宋体" w:cs="宋体" w:eastAsia="宋体" w:hint="default"/>
                <w:sz w:val="18"/>
                <w:szCs w:val="18"/>
              </w:rPr>
              <w:t>转销或核销</w:t>
            </w:r>
          </w:p>
        </w:tc>
        <w:tc>
          <w:tcPr>
            <w:tcW w:w="1594" w:type="dxa"/>
            <w:vMerge/>
            <w:tcBorders>
              <w:left w:val="single" w:sz="6" w:space="0" w:color="000000"/>
              <w:bottom w:val="single" w:sz="6" w:space="0" w:color="000000"/>
              <w:right w:val="single" w:sz="6" w:space="0" w:color="000000"/>
            </w:tcBorders>
            <w:shd w:val="clear" w:color="auto" w:fill="D2D2D2"/>
          </w:tcPr>
          <w:p>
            <w:pPr/>
          </w:p>
        </w:tc>
      </w:tr>
      <w:tr>
        <w:trPr>
          <w:trHeight w:val="490" w:hRule="exact"/>
        </w:trPr>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45" w:right="0"/>
              <w:jc w:val="left"/>
              <w:rPr>
                <w:rFonts w:ascii="Times New Roman" w:hAnsi="Times New Roman" w:cs="Times New Roman" w:eastAsia="Times New Roman" w:hint="default"/>
                <w:sz w:val="18"/>
                <w:szCs w:val="18"/>
              </w:rPr>
            </w:pPr>
            <w:r>
              <w:rPr>
                <w:rFonts w:ascii="Times New Roman"/>
                <w:sz w:val="18"/>
              </w:rPr>
              <w:t>12,486,011.89</w:t>
            </w:r>
          </w:p>
        </w:tc>
        <w:tc>
          <w:tcPr>
            <w:tcW w:w="1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777" w:right="0"/>
              <w:jc w:val="left"/>
              <w:rPr>
                <w:rFonts w:ascii="Times New Roman" w:hAnsi="Times New Roman" w:cs="Times New Roman" w:eastAsia="Times New Roman" w:hint="default"/>
                <w:sz w:val="18"/>
                <w:szCs w:val="18"/>
              </w:rPr>
            </w:pPr>
            <w:r>
              <w:rPr>
                <w:rFonts w:ascii="Times New Roman"/>
                <w:sz w:val="18"/>
              </w:rPr>
              <w:t>1,809,653.56</w:t>
            </w:r>
          </w:p>
        </w:tc>
        <w:tc>
          <w:tcPr>
            <w:tcW w:w="170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542" w:right="0"/>
              <w:jc w:val="left"/>
              <w:rPr>
                <w:rFonts w:ascii="Times New Roman" w:hAnsi="Times New Roman" w:cs="Times New Roman" w:eastAsia="Times New Roman" w:hint="default"/>
                <w:sz w:val="18"/>
                <w:szCs w:val="18"/>
              </w:rPr>
            </w:pPr>
            <w:r>
              <w:rPr>
                <w:rFonts w:ascii="Times New Roman"/>
                <w:sz w:val="18"/>
              </w:rPr>
              <w:t>14,295,665.45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4</w:t>
      </w:r>
      <w:r>
        <w:rPr/>
        <w:t>）</w:t>
      </w:r>
      <w:r>
        <w:rPr>
          <w:spacing w:val="-4"/>
        </w:rPr>
        <w:t> </w:t>
      </w:r>
      <w:r>
        <w:rPr/>
        <w:t>按欠款方归集的年末余额前五名的应收账款情况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3" w:firstLine="360"/>
        <w:jc w:val="left"/>
      </w:pPr>
      <w:r>
        <w:rPr/>
        <w:t>按欠款方归集的年末余额前五名的应收账款情况本年按欠款方归集的年末余额前五名应收账款汇总金额</w:t>
      </w:r>
      <w:r>
        <w:rPr>
          <w:rFonts w:ascii="宋体" w:hAnsi="宋体" w:cs="宋体" w:eastAsia="宋体" w:hint="default"/>
        </w:rPr>
        <w:t>24,444,875.54 </w:t>
      </w:r>
      <w:r>
        <w:rPr/>
        <w:t>元，占应收账款年末余额合计数的比例</w:t>
      </w:r>
      <w:r>
        <w:rPr>
          <w:rFonts w:ascii="Times New Roman" w:hAnsi="Times New Roman" w:cs="Times New Roman" w:eastAsia="Times New Roman" w:hint="default"/>
        </w:rPr>
        <w:t>90.23%</w:t>
      </w:r>
      <w:r>
        <w:rPr/>
        <w:t>，相应计提的坏账准备年末余额汇总金额</w:t>
      </w:r>
      <w:r>
        <w:rPr>
          <w:rFonts w:ascii="Times New Roman" w:hAnsi="Times New Roman" w:cs="Times New Roman" w:eastAsia="Times New Roman" w:hint="default"/>
        </w:rPr>
        <w:t>13,665,304.85</w:t>
      </w:r>
      <w:r>
        <w:rPr/>
        <w:t>元</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48"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16" w:space="0" w:color="D2D2D2"/>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191" w:type="dxa"/>
            <w:tcBorders>
              <w:top w:val="single" w:sz="16" w:space="0" w:color="D2D2D2"/>
              <w:left w:val="single" w:sz="4" w:space="0" w:color="000000"/>
              <w:bottom w:val="single" w:sz="4" w:space="0" w:color="000000"/>
              <w:right w:val="single" w:sz="4" w:space="0" w:color="000000"/>
            </w:tcBorders>
          </w:tcPr>
          <w:p>
            <w:pP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27,101,016.58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69,586,011.88</w:t>
            </w: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87,101,016.58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69,586,011.88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90"/>
        <w:gridCol w:w="3190"/>
        <w:gridCol w:w="3191"/>
      </w:tblGrid>
      <w:tr>
        <w:trPr>
          <w:trHeight w:val="46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6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1261" w:top="1120" w:bottom="1460" w:left="980" w:right="0"/>
        </w:sectPr>
      </w:pPr>
    </w:p>
    <w:p>
      <w:pPr>
        <w:spacing w:line="240" w:lineRule="auto" w:before="10"/>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188"/>
        <w:gridCol w:w="3190"/>
        <w:gridCol w:w="3193"/>
      </w:tblGrid>
      <w:tr>
        <w:trPr>
          <w:trHeight w:val="46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6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27,078,000.00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69,561,800.00</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24,706.00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24,706.00</w:t>
            </w:r>
          </w:p>
        </w:tc>
      </w:tr>
      <w:tr>
        <w:trPr>
          <w:trHeight w:val="463" w:hRule="exact"/>
        </w:trPr>
        <w:tc>
          <w:tcPr>
            <w:tcW w:w="3188" w:type="dxa"/>
            <w:tcBorders>
              <w:top w:val="single" w:sz="4" w:space="0" w:color="000000"/>
              <w:left w:val="single" w:sz="4" w:space="0" w:color="000000"/>
              <w:bottom w:val="single" w:sz="16" w:space="0" w:color="D2D2D2"/>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z w:val="18"/>
                <w:szCs w:val="18"/>
              </w:rPr>
              <w:t>;</w:t>
            </w:r>
            <w:r>
              <w:rPr>
                <w:rFonts w:ascii="宋体" w:hAnsi="宋体" w:cs="宋体" w:eastAsia="宋体" w:hint="default"/>
                <w:sz w:val="18"/>
                <w:szCs w:val="18"/>
              </w:rPr>
              <w:t>坏账准备</w:t>
            </w:r>
            <w:r>
              <w:rPr>
                <w:rFonts w:ascii="宋体" w:hAnsi="宋体" w:cs="宋体" w:eastAsia="宋体"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w w:val="95"/>
                <w:sz w:val="18"/>
              </w:rPr>
              <w:t>1,689.42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494.12</w:t>
            </w:r>
          </w:p>
        </w:tc>
      </w:tr>
      <w:tr>
        <w:trPr>
          <w:trHeight w:val="46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27,101,016.58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69,586,011.88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w:t>
      </w:r>
      <w:r>
        <w:rPr>
          <w:spacing w:val="-2"/>
        </w:rPr>
        <w:t> </w:t>
      </w:r>
      <w:r>
        <w:rPr/>
        <w:t>其他应收款坏账准备计提情况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8"/>
        </w:rPr>
        <w:t> </w:t>
      </w:r>
      <w:r>
        <w:rPr/>
        <w:t>元</w:t>
      </w:r>
    </w:p>
    <w:p>
      <w:pPr>
        <w:spacing w:line="240" w:lineRule="auto" w:before="3"/>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1915"/>
        <w:gridCol w:w="1738"/>
        <w:gridCol w:w="2014"/>
        <w:gridCol w:w="2098"/>
        <w:gridCol w:w="1805"/>
      </w:tblGrid>
      <w:tr>
        <w:trPr>
          <w:trHeight w:val="493" w:hRule="exact"/>
        </w:trPr>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502"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641"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0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681"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34" w:hRule="exact"/>
        </w:trPr>
        <w:tc>
          <w:tcPr>
            <w:tcW w:w="1915" w:type="dxa"/>
            <w:vMerge/>
            <w:tcBorders>
              <w:left w:val="single" w:sz="6" w:space="0" w:color="000000"/>
              <w:bottom w:val="single" w:sz="6" w:space="0" w:color="000000"/>
              <w:right w:val="single" w:sz="6" w:space="0" w:color="000000"/>
            </w:tcBorders>
            <w:shd w:val="clear" w:color="auto" w:fill="D2D2D2"/>
          </w:tcPr>
          <w:p>
            <w:pPr/>
          </w:p>
        </w:tc>
        <w:tc>
          <w:tcPr>
            <w:tcW w:w="17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0" w:lineRule="auto" w:before="53"/>
              <w:ind w:left="682" w:right="47" w:hanging="630"/>
              <w:jc w:val="left"/>
              <w:rPr>
                <w:rFonts w:ascii="宋体" w:hAnsi="宋体" w:cs="宋体" w:eastAsia="宋体" w:hint="default"/>
                <w:sz w:val="18"/>
                <w:szCs w:val="18"/>
              </w:rPr>
            </w:pPr>
            <w:r>
              <w:rPr>
                <w:rFonts w:ascii="宋体" w:hAnsi="宋体" w:cs="宋体" w:eastAsia="宋体" w:hint="default"/>
                <w:sz w:val="18"/>
                <w:szCs w:val="18"/>
              </w:rPr>
              <w:t>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个月预期信用 损失</w:t>
            </w:r>
          </w:p>
        </w:tc>
        <w:tc>
          <w:tcPr>
            <w:tcW w:w="20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6" w:space="0" w:color="000000"/>
              <w:bottom w:val="single" w:sz="6" w:space="0" w:color="000000"/>
              <w:right w:val="single" w:sz="6" w:space="0" w:color="000000"/>
            </w:tcBorders>
            <w:shd w:val="clear" w:color="auto" w:fill="D2D2D2"/>
          </w:tcPr>
          <w:p>
            <w:pPr/>
          </w:p>
        </w:tc>
      </w:tr>
      <w:tr>
        <w:trPr>
          <w:trHeight w:val="4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日余额</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494.12</w:t>
            </w:r>
          </w:p>
        </w:tc>
        <w:tc>
          <w:tcPr>
            <w:tcW w:w="2014" w:type="dxa"/>
            <w:tcBorders>
              <w:top w:val="single" w:sz="6" w:space="0" w:color="000000"/>
              <w:left w:val="single" w:sz="6" w:space="0" w:color="000000"/>
              <w:bottom w:val="single" w:sz="6" w:space="0" w:color="000000"/>
              <w:right w:val="single" w:sz="6" w:space="0" w:color="000000"/>
            </w:tcBorders>
          </w:tcPr>
          <w:p>
            <w:pPr/>
          </w:p>
        </w:tc>
        <w:tc>
          <w:tcPr>
            <w:tcW w:w="20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494.12</w:t>
            </w:r>
          </w:p>
        </w:tc>
      </w:tr>
      <w:tr>
        <w:trPr>
          <w:trHeight w:val="488"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-478.12</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1,673.42</w:t>
            </w:r>
          </w:p>
        </w:tc>
        <w:tc>
          <w:tcPr>
            <w:tcW w:w="20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1,195.30</w:t>
            </w:r>
          </w:p>
        </w:tc>
      </w:tr>
      <w:tr>
        <w:trPr>
          <w:trHeight w:val="490"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w:t>
            </w:r>
          </w:p>
        </w:tc>
        <w:tc>
          <w:tcPr>
            <w:tcW w:w="17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16.00</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5"/>
                <w:sz w:val="18"/>
              </w:rPr>
              <w:t>1,673.42</w:t>
            </w:r>
          </w:p>
        </w:tc>
        <w:tc>
          <w:tcPr>
            <w:tcW w:w="20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w w:val="95"/>
                <w:sz w:val="18"/>
              </w:rPr>
              <w:t>1,689.42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w:t>
      </w:r>
      <w:r>
        <w:rPr>
          <w:spacing w:val="-3"/>
        </w:rPr>
        <w:t> </w:t>
      </w:r>
      <w:r>
        <w:rPr/>
        <w:t>其他应收款按账龄列示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8"/>
        </w:rPr>
        <w:t> </w:t>
      </w:r>
      <w:r>
        <w:rPr/>
        <w:t>元</w:t>
      </w:r>
    </w:p>
    <w:p>
      <w:pPr>
        <w:spacing w:line="240" w:lineRule="auto" w:before="9"/>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4784"/>
        <w:gridCol w:w="4787"/>
      </w:tblGrid>
      <w:tr>
        <w:trPr>
          <w:trHeight w:val="48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90"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27,078,000.00</w:t>
            </w:r>
          </w:p>
        </w:tc>
      </w:tr>
      <w:tr>
        <w:trPr>
          <w:trHeight w:val="487"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800.00</w:t>
            </w:r>
          </w:p>
        </w:tc>
      </w:tr>
      <w:tr>
        <w:trPr>
          <w:trHeight w:val="490"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23,906.00</w:t>
            </w:r>
          </w:p>
        </w:tc>
      </w:tr>
      <w:tr>
        <w:trPr>
          <w:trHeight w:val="490"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27,102,706.00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w:t>
      </w:r>
      <w:r>
        <w:rPr>
          <w:spacing w:val="-2"/>
        </w:rPr>
        <w:t> </w:t>
      </w:r>
      <w:r>
        <w:rPr/>
        <w:t>其他应收款坏账准备情况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8"/>
        </w:rPr>
        <w:t> </w:t>
      </w:r>
      <w:r>
        <w:rPr/>
        <w:t>元</w:t>
      </w:r>
    </w:p>
    <w:p>
      <w:pPr>
        <w:spacing w:line="240" w:lineRule="auto" w:before="3"/>
        <w:rPr>
          <w:rFonts w:ascii="宋体" w:hAnsi="宋体" w:cs="宋体" w:eastAsia="宋体" w:hint="default"/>
          <w:sz w:val="8"/>
          <w:szCs w:val="8"/>
        </w:rPr>
      </w:pPr>
    </w:p>
    <w:tbl>
      <w:tblPr>
        <w:tblW w:w="0" w:type="auto"/>
        <w:jc w:val="left"/>
        <w:tblInd w:w="198" w:type="dxa"/>
        <w:tblLayout w:type="fixed"/>
        <w:tblCellMar>
          <w:top w:w="0" w:type="dxa"/>
          <w:left w:w="0" w:type="dxa"/>
          <w:bottom w:w="0" w:type="dxa"/>
          <w:right w:w="0" w:type="dxa"/>
        </w:tblCellMar>
        <w:tblLook w:val="01E0"/>
      </w:tblPr>
      <w:tblGrid>
        <w:gridCol w:w="1721"/>
        <w:gridCol w:w="1342"/>
        <w:gridCol w:w="1457"/>
        <w:gridCol w:w="1594"/>
        <w:gridCol w:w="1335"/>
        <w:gridCol w:w="2122"/>
      </w:tblGrid>
      <w:tr>
        <w:trPr>
          <w:trHeight w:val="493" w:hRule="exact"/>
        </w:trPr>
        <w:tc>
          <w:tcPr>
            <w:tcW w:w="172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4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38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1"/>
              <w:ind w:left="2" w:right="0"/>
              <w:jc w:val="center"/>
              <w:rPr>
                <w:rFonts w:ascii="宋体" w:hAnsi="宋体" w:cs="宋体" w:eastAsia="宋体" w:hint="default"/>
                <w:sz w:val="18"/>
                <w:szCs w:val="18"/>
              </w:rPr>
            </w:pPr>
            <w:r>
              <w:rPr>
                <w:rFonts w:ascii="宋体" w:hAnsi="宋体" w:cs="宋体" w:eastAsia="宋体" w:hint="default"/>
                <w:sz w:val="18"/>
                <w:szCs w:val="18"/>
              </w:rPr>
              <w:t>本年变动金额</w:t>
            </w:r>
          </w:p>
        </w:tc>
        <w:tc>
          <w:tcPr>
            <w:tcW w:w="21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6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78" w:hRule="exact"/>
        </w:trPr>
        <w:tc>
          <w:tcPr>
            <w:tcW w:w="1721" w:type="dxa"/>
            <w:vMerge/>
            <w:tcBorders>
              <w:left w:val="single" w:sz="6" w:space="0" w:color="000000"/>
              <w:bottom w:val="single" w:sz="6" w:space="0" w:color="000000"/>
              <w:right w:val="single" w:sz="6" w:space="0" w:color="000000"/>
            </w:tcBorders>
            <w:shd w:val="clear" w:color="auto" w:fill="D2D2D2"/>
          </w:tcPr>
          <w:p>
            <w:pPr/>
          </w:p>
        </w:tc>
        <w:tc>
          <w:tcPr>
            <w:tcW w:w="1342" w:type="dxa"/>
            <w:vMerge/>
            <w:tcBorders>
              <w:left w:val="single" w:sz="6" w:space="0" w:color="000000"/>
              <w:bottom w:val="single" w:sz="6" w:space="0" w:color="000000"/>
              <w:right w:val="single" w:sz="6" w:space="0" w:color="000000"/>
            </w:tcBorders>
            <w:shd w:val="clear" w:color="auto" w:fill="D2D2D2"/>
          </w:tcPr>
          <w:p>
            <w:pPr/>
          </w:p>
        </w:tc>
        <w:tc>
          <w:tcPr>
            <w:tcW w:w="1457" w:type="dxa"/>
            <w:tcBorders>
              <w:top w:val="single" w:sz="6" w:space="0" w:color="000000"/>
              <w:left w:val="single" w:sz="6" w:space="0" w:color="000000"/>
              <w:bottom w:val="nil" w:sz="6" w:space="0" w:color="auto"/>
              <w:right w:val="single" w:sz="6"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594" w:type="dxa"/>
            <w:tcBorders>
              <w:top w:val="single" w:sz="6" w:space="0" w:color="000000"/>
              <w:left w:val="single" w:sz="6" w:space="0" w:color="000000"/>
              <w:bottom w:val="nil" w:sz="6" w:space="0" w:color="auto"/>
              <w:right w:val="single" w:sz="6"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合并增加</w:t>
            </w:r>
          </w:p>
        </w:tc>
        <w:tc>
          <w:tcPr>
            <w:tcW w:w="1335" w:type="dxa"/>
            <w:tcBorders>
              <w:top w:val="single" w:sz="6" w:space="0" w:color="000000"/>
              <w:left w:val="single" w:sz="6" w:space="0" w:color="000000"/>
              <w:bottom w:val="nil" w:sz="6" w:space="0" w:color="auto"/>
              <w:right w:val="single" w:sz="6" w:space="0" w:color="000000"/>
            </w:tcBorders>
            <w:shd w:val="clear" w:color="auto" w:fill="D2D2D2"/>
          </w:tcPr>
          <w:p>
            <w:pPr>
              <w:pStyle w:val="TableParagraph"/>
              <w:spacing w:line="240" w:lineRule="auto" w:before="53"/>
              <w:ind w:left="208" w:right="0"/>
              <w:jc w:val="left"/>
              <w:rPr>
                <w:rFonts w:ascii="宋体" w:hAnsi="宋体" w:cs="宋体" w:eastAsia="宋体" w:hint="default"/>
                <w:sz w:val="18"/>
                <w:szCs w:val="18"/>
              </w:rPr>
            </w:pPr>
            <w:r>
              <w:rPr>
                <w:rFonts w:ascii="宋体" w:hAnsi="宋体" w:cs="宋体" w:eastAsia="宋体" w:hint="default"/>
                <w:sz w:val="18"/>
                <w:szCs w:val="18"/>
              </w:rPr>
              <w:t>转销或核销</w:t>
            </w:r>
          </w:p>
        </w:tc>
        <w:tc>
          <w:tcPr>
            <w:tcW w:w="2122" w:type="dxa"/>
            <w:vMerge/>
            <w:tcBorders>
              <w:left w:val="single" w:sz="6" w:space="0" w:color="000000"/>
              <w:bottom w:val="single" w:sz="6" w:space="0" w:color="000000"/>
              <w:right w:val="single" w:sz="6" w:space="0" w:color="000000"/>
            </w:tcBorders>
            <w:shd w:val="clear" w:color="auto" w:fill="D2D2D2"/>
          </w:tcPr>
          <w:p>
            <w:pPr/>
          </w:p>
        </w:tc>
      </w:tr>
    </w:tbl>
    <w:p>
      <w:pPr>
        <w:spacing w:after="0"/>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98" w:type="dxa"/>
        <w:tblLayout w:type="fixed"/>
        <w:tblCellMar>
          <w:top w:w="0" w:type="dxa"/>
          <w:left w:w="0" w:type="dxa"/>
          <w:bottom w:w="0" w:type="dxa"/>
          <w:right w:w="0" w:type="dxa"/>
        </w:tblCellMar>
        <w:tblLook w:val="01E0"/>
      </w:tblPr>
      <w:tblGrid>
        <w:gridCol w:w="1721"/>
        <w:gridCol w:w="1342"/>
        <w:gridCol w:w="1457"/>
        <w:gridCol w:w="1594"/>
        <w:gridCol w:w="1335"/>
        <w:gridCol w:w="2122"/>
      </w:tblGrid>
      <w:tr>
        <w:trPr>
          <w:trHeight w:val="490" w:hRule="exact"/>
        </w:trPr>
        <w:tc>
          <w:tcPr>
            <w:tcW w:w="1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31" w:right="0"/>
              <w:jc w:val="left"/>
              <w:rPr>
                <w:rFonts w:ascii="Times New Roman" w:hAnsi="Times New Roman" w:cs="Times New Roman" w:eastAsia="Times New Roman" w:hint="default"/>
                <w:sz w:val="18"/>
                <w:szCs w:val="18"/>
              </w:rPr>
            </w:pPr>
            <w:r>
              <w:rPr>
                <w:rFonts w:ascii="Times New Roman"/>
                <w:sz w:val="18"/>
              </w:rPr>
              <w:t>494.12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11" w:right="-1"/>
              <w:jc w:val="left"/>
              <w:rPr>
                <w:rFonts w:ascii="Times New Roman" w:hAnsi="Times New Roman" w:cs="Times New Roman" w:eastAsia="Times New Roman" w:hint="default"/>
                <w:sz w:val="18"/>
                <w:szCs w:val="18"/>
              </w:rPr>
            </w:pPr>
            <w:r>
              <w:rPr>
                <w:rFonts w:ascii="Times New Roman"/>
                <w:sz w:val="18"/>
              </w:rPr>
              <w:t>1,195.30</w:t>
            </w:r>
          </w:p>
        </w:tc>
        <w:tc>
          <w:tcPr>
            <w:tcW w:w="1594"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21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w w:val="95"/>
                <w:sz w:val="18"/>
              </w:rPr>
              <w:t>1,689.42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5"/>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368"/>
        <w:gridCol w:w="1369"/>
        <w:gridCol w:w="1366"/>
        <w:gridCol w:w="1368"/>
        <w:gridCol w:w="1369"/>
        <w:gridCol w:w="1366"/>
        <w:gridCol w:w="1368"/>
      </w:tblGrid>
      <w:tr>
        <w:trPr>
          <w:trHeight w:val="43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79"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2,801,019,955.58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99" w:right="0"/>
              <w:jc w:val="left"/>
              <w:rPr>
                <w:rFonts w:ascii="Times New Roman" w:hAnsi="Times New Roman" w:cs="Times New Roman" w:eastAsia="Times New Roman" w:hint="default"/>
                <w:sz w:val="18"/>
                <w:szCs w:val="18"/>
              </w:rPr>
            </w:pPr>
            <w:r>
              <w:rPr>
                <w:rFonts w:ascii="Times New Roman"/>
                <w:sz w:val="18"/>
              </w:rPr>
              <w:t>37,926,590.48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2,763,093,365.10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2,789,862,660.58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99" w:right="0"/>
              <w:jc w:val="left"/>
              <w:rPr>
                <w:rFonts w:ascii="Times New Roman" w:hAnsi="Times New Roman" w:cs="Times New Roman" w:eastAsia="Times New Roman" w:hint="default"/>
                <w:sz w:val="18"/>
                <w:szCs w:val="18"/>
              </w:rPr>
            </w:pPr>
            <w:r>
              <w:rPr>
                <w:rFonts w:ascii="Times New Roman"/>
                <w:sz w:val="18"/>
              </w:rPr>
              <w:t>37,926,590.48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2,751,936,070.10</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2,321,471.37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2,321,471.37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2,644,956.50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2,644,956.50</w:t>
            </w:r>
          </w:p>
        </w:tc>
      </w:tr>
      <w:tr>
        <w:trPr>
          <w:trHeight w:val="4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2,803,341,426.95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99" w:right="0"/>
              <w:jc w:val="left"/>
              <w:rPr>
                <w:rFonts w:ascii="Times New Roman" w:hAnsi="Times New Roman" w:cs="Times New Roman" w:eastAsia="Times New Roman" w:hint="default"/>
                <w:sz w:val="18"/>
                <w:szCs w:val="18"/>
              </w:rPr>
            </w:pPr>
            <w:r>
              <w:rPr>
                <w:rFonts w:ascii="Times New Roman"/>
                <w:sz w:val="18"/>
              </w:rPr>
              <w:t>37,926,590.48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2,765,414,836.47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2,792,507,617.08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299" w:right="0"/>
              <w:jc w:val="left"/>
              <w:rPr>
                <w:rFonts w:ascii="Times New Roman" w:hAnsi="Times New Roman" w:cs="Times New Roman" w:eastAsia="Times New Roman" w:hint="default"/>
                <w:sz w:val="18"/>
                <w:szCs w:val="18"/>
              </w:rPr>
            </w:pPr>
            <w:r>
              <w:rPr>
                <w:rFonts w:ascii="Times New Roman"/>
                <w:sz w:val="18"/>
              </w:rPr>
              <w:t>37,926,590.48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2,754,581,026.60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2693"/>
        <w:gridCol w:w="1409"/>
        <w:gridCol w:w="1186"/>
        <w:gridCol w:w="480"/>
        <w:gridCol w:w="612"/>
        <w:gridCol w:w="567"/>
        <w:gridCol w:w="1418"/>
        <w:gridCol w:w="1205"/>
      </w:tblGrid>
      <w:tr>
        <w:trPr>
          <w:trHeight w:val="463" w:hRule="exact"/>
        </w:trPr>
        <w:tc>
          <w:tcPr>
            <w:tcW w:w="26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1"/>
                <w:szCs w:val="21"/>
              </w:rPr>
            </w:pPr>
          </w:p>
          <w:p>
            <w:pPr>
              <w:pStyle w:val="TableParagraph"/>
              <w:spacing w:line="297" w:lineRule="auto"/>
              <w:ind w:left="580" w:right="36"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284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876" w:right="0"/>
              <w:jc w:val="left"/>
              <w:rPr>
                <w:rFonts w:ascii="宋体" w:hAnsi="宋体" w:cs="宋体" w:eastAsia="宋体" w:hint="default"/>
                <w:sz w:val="18"/>
                <w:szCs w:val="18"/>
              </w:rPr>
            </w:pPr>
            <w:r>
              <w:rPr>
                <w:rFonts w:ascii="宋体" w:hAnsi="宋体" w:cs="宋体" w:eastAsia="宋体" w:hint="default"/>
                <w:sz w:val="18"/>
                <w:szCs w:val="18"/>
              </w:rPr>
              <w:t>本期增减变动</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1"/>
                <w:szCs w:val="21"/>
              </w:rPr>
            </w:pPr>
          </w:p>
          <w:p>
            <w:pPr>
              <w:pStyle w:val="TableParagraph"/>
              <w:spacing w:line="297" w:lineRule="auto"/>
              <w:ind w:left="585" w:right="41"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417" w:right="57"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5" w:hRule="exact"/>
        </w:trPr>
        <w:tc>
          <w:tcPr>
            <w:tcW w:w="2693" w:type="dxa"/>
            <w:vMerge/>
            <w:tcBorders>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shd w:val="clear" w:color="auto" w:fill="D2D2D2"/>
          </w:tcPr>
          <w:p>
            <w:pP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53"/>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29"/>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神州数码系统集成服务有限公司</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787,115,617.91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4,189,840.00</w:t>
            </w:r>
          </w:p>
        </w:tc>
        <w:tc>
          <w:tcPr>
            <w:tcW w:w="48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791,305,457.91</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神州数码金信科技股份有限公司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6,432,881.52</w:t>
            </w:r>
          </w:p>
        </w:tc>
        <w:tc>
          <w:tcPr>
            <w:tcW w:w="118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6,432,881.52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37,926,590.48</w:t>
            </w:r>
          </w:p>
        </w:tc>
      </w:tr>
      <w:tr>
        <w:trPr>
          <w:trHeight w:val="71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北京中农信达信息技术有限公司</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710,000,000.00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506,082.00</w:t>
            </w:r>
          </w:p>
        </w:tc>
        <w:tc>
          <w:tcPr>
            <w:tcW w:w="48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710,506,082.00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杨凌农业云服务有限公司（注）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35,096.00</w:t>
            </w:r>
          </w:p>
        </w:tc>
        <w:tc>
          <w:tcPr>
            <w:tcW w:w="48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40,035,096.00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神州灵云（北京）科技有限公司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7,200,000.00</w:t>
            </w:r>
          </w:p>
        </w:tc>
        <w:tc>
          <w:tcPr>
            <w:tcW w:w="118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7,200,000.00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南京华苏科技有限公司（注）</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1,198,787,570.67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478,006.00</w:t>
            </w:r>
          </w:p>
        </w:tc>
        <w:tc>
          <w:tcPr>
            <w:tcW w:w="48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1,199,265,576.67</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7"/>
              <w:jc w:val="left"/>
              <w:rPr>
                <w:rFonts w:ascii="宋体" w:hAnsi="宋体" w:cs="宋体" w:eastAsia="宋体" w:hint="default"/>
                <w:sz w:val="18"/>
                <w:szCs w:val="18"/>
              </w:rPr>
            </w:pPr>
            <w:r>
              <w:rPr>
                <w:rFonts w:ascii="宋体" w:hAnsi="宋体" w:cs="宋体" w:eastAsia="宋体" w:hint="default"/>
                <w:sz w:val="18"/>
                <w:szCs w:val="18"/>
              </w:rPr>
              <w:t>神州国信（北京）量子科技有限 公司</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2,400,000.00</w:t>
            </w:r>
          </w:p>
        </w:tc>
        <w:tc>
          <w:tcPr>
            <w:tcW w:w="1186" w:type="dxa"/>
            <w:tcBorders>
              <w:top w:val="single" w:sz="4" w:space="0" w:color="000000"/>
              <w:left w:val="single" w:sz="4" w:space="0" w:color="000000"/>
              <w:bottom w:val="single" w:sz="4" w:space="0" w:color="000000"/>
              <w:right w:val="single" w:sz="4" w:space="0" w:color="000000"/>
            </w:tcBorders>
          </w:tcPr>
          <w:p>
            <w:pPr/>
          </w:p>
        </w:tc>
        <w:tc>
          <w:tcPr>
            <w:tcW w:w="48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64"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北京神州邦邦技术服务有限公司</w:t>
            </w:r>
          </w:p>
        </w:tc>
        <w:tc>
          <w:tcPr>
            <w:tcW w:w="14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48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神州数码融信软件有限公司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4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1,954,363.00</w:t>
            </w:r>
          </w:p>
        </w:tc>
        <w:tc>
          <w:tcPr>
            <w:tcW w:w="48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1,954,363.00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691"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神州数码信息系统有限公司</w:t>
            </w:r>
          </w:p>
          <w:p>
            <w:pPr>
              <w:pStyle w:val="TableParagraph"/>
              <w:spacing w:line="240" w:lineRule="auto" w:before="62"/>
              <w:ind w:left="24" w:right="0"/>
              <w:jc w:val="left"/>
              <w:rPr>
                <w:rFonts w:ascii="宋体" w:hAnsi="宋体" w:cs="宋体" w:eastAsia="宋体" w:hint="default"/>
                <w:sz w:val="20"/>
                <w:szCs w:val="20"/>
              </w:rPr>
            </w:pPr>
            <w:r>
              <w:rPr>
                <w:rFonts w:ascii="宋体" w:hAnsi="宋体" w:cs="宋体" w:eastAsia="宋体" w:hint="default"/>
                <w:sz w:val="18"/>
                <w:szCs w:val="18"/>
              </w:rPr>
              <w:t>（注）</w:t>
            </w:r>
            <w:r>
              <w:rPr>
                <w:rFonts w:ascii="宋体" w:hAnsi="宋体" w:cs="宋体" w:eastAsia="宋体" w:hint="default"/>
                <w:w w:val="99"/>
                <w:sz w:val="20"/>
                <w:szCs w:val="20"/>
              </w:rPr>
              <w:t> </w:t>
            </w:r>
            <w:r>
              <w:rPr>
                <w:rFonts w:ascii="宋体" w:hAnsi="宋体" w:cs="宋体" w:eastAsia="宋体" w:hint="default"/>
                <w:sz w:val="20"/>
                <w:szCs w:val="20"/>
              </w:rPr>
            </w:r>
          </w:p>
        </w:tc>
        <w:tc>
          <w:tcPr>
            <w:tcW w:w="1409"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993,908.00</w:t>
            </w:r>
          </w:p>
        </w:tc>
        <w:tc>
          <w:tcPr>
            <w:tcW w:w="48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993,908.00</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2,751,936,070.10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11,157,295.00</w:t>
            </w:r>
          </w:p>
        </w:tc>
        <w:tc>
          <w:tcPr>
            <w:tcW w:w="480"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2,763,093,365.10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37,926,590.48</w:t>
            </w:r>
          </w:p>
        </w:tc>
      </w:tr>
    </w:tbl>
    <w:p>
      <w:pPr>
        <w:pStyle w:val="BodyText"/>
        <w:spacing w:line="240" w:lineRule="auto" w:before="87"/>
        <w:ind w:left="513" w:right="0"/>
        <w:jc w:val="left"/>
      </w:pPr>
      <w:r>
        <w:rPr/>
        <w:t>注：本年增加系本公司实施了股票期权和限制性股票计划，并于</w:t>
      </w:r>
      <w:r>
        <w:rPr>
          <w:spacing w:val="-2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w:t>
      </w:r>
      <w:r>
        <w:rPr>
          <w:spacing w:val="-32"/>
        </w:rPr>
        <w:t> </w:t>
      </w:r>
      <w:r>
        <w:rPr>
          <w:rFonts w:ascii="Times New Roman" w:hAnsi="Times New Roman" w:cs="Times New Roman" w:eastAsia="Times New Roman" w:hint="default"/>
        </w:rPr>
        <w:t>9</w:t>
      </w:r>
      <w:r>
        <w:rPr>
          <w:rFonts w:ascii="Times New Roman" w:hAnsi="Times New Roman" w:cs="Times New Roman" w:eastAsia="Times New Roman" w:hint="default"/>
          <w:spacing w:val="14"/>
        </w:rPr>
        <w:t> </w:t>
      </w:r>
      <w:r>
        <w:rPr/>
        <w:t>月</w:t>
      </w:r>
      <w:r>
        <w:rPr>
          <w:spacing w:val="-30"/>
        </w:rPr>
        <w:t> </w:t>
      </w:r>
      <w:r>
        <w:rPr>
          <w:rFonts w:ascii="Times New Roman" w:hAnsi="Times New Roman" w:cs="Times New Roman" w:eastAsia="Times New Roman" w:hint="default"/>
        </w:rPr>
        <w:t>17</w:t>
      </w:r>
      <w:r>
        <w:rPr>
          <w:rFonts w:ascii="Times New Roman" w:hAnsi="Times New Roman" w:cs="Times New Roman" w:eastAsia="Times New Roman" w:hint="default"/>
          <w:spacing w:val="17"/>
        </w:rPr>
        <w:t> </w:t>
      </w:r>
      <w:r>
        <w:rPr/>
        <w:t>日首次授予激励对象股票期权和限制</w:t>
      </w:r>
    </w:p>
    <w:p>
      <w:pPr>
        <w:spacing w:after="0" w:line="240" w:lineRule="auto"/>
        <w:jc w:val="left"/>
        <w:sectPr>
          <w:pgSz w:w="11910" w:h="16840"/>
          <w:pgMar w:header="916" w:footer="1261" w:top="1120" w:bottom="1460" w:left="980" w:right="0"/>
        </w:sectPr>
      </w:pPr>
    </w:p>
    <w:p>
      <w:pPr>
        <w:spacing w:line="240" w:lineRule="auto" w:before="10"/>
        <w:rPr>
          <w:rFonts w:ascii="宋体" w:hAnsi="宋体" w:cs="宋体" w:eastAsia="宋体" w:hint="default"/>
          <w:sz w:val="26"/>
          <w:szCs w:val="26"/>
        </w:rPr>
      </w:pPr>
    </w:p>
    <w:p>
      <w:pPr>
        <w:pStyle w:val="BodyText"/>
        <w:spacing w:line="477" w:lineRule="auto" w:before="44"/>
        <w:ind w:right="1131"/>
        <w:jc w:val="both"/>
      </w:pPr>
      <w:r>
        <w:rPr>
          <w:spacing w:val="-2"/>
        </w:rPr>
        <w:t>性股票。本公司以自身权益工具结算的股份授予神州数码系统集成服务有限公司、中农信达、杨凌农业云服务有限公司、华</w:t>
      </w:r>
      <w:r>
        <w:rPr>
          <w:spacing w:val="-64"/>
        </w:rPr>
        <w:t> </w:t>
      </w:r>
      <w:r>
        <w:rPr>
          <w:spacing w:val="-64"/>
        </w:rPr>
      </w:r>
      <w:r>
        <w:rPr>
          <w:spacing w:val="-2"/>
        </w:rPr>
        <w:t>苏科技、神州数码融信软件有限公司以及神州数码信息系统有限公司股票期权和限制性股票，本公司按照授予日权益工具的</w:t>
      </w:r>
      <w:r>
        <w:rPr>
          <w:spacing w:val="-64"/>
        </w:rPr>
        <w:t> </w:t>
      </w:r>
      <w:r>
        <w:rPr>
          <w:spacing w:val="-64"/>
        </w:rPr>
      </w:r>
      <w:r>
        <w:rPr/>
        <w:t>公允价值确认对子公司的长期股权投资。</w:t>
      </w:r>
    </w:p>
    <w:p>
      <w:pPr>
        <w:spacing w:line="240" w:lineRule="auto" w:before="6"/>
        <w:rPr>
          <w:rFonts w:ascii="宋体" w:hAnsi="宋体" w:cs="宋体" w:eastAsia="宋体" w:hint="default"/>
          <w:sz w:val="19"/>
          <w:szCs w:val="19"/>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0"/>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1274"/>
        <w:gridCol w:w="1136"/>
        <w:gridCol w:w="566"/>
        <w:gridCol w:w="566"/>
        <w:gridCol w:w="994"/>
        <w:gridCol w:w="850"/>
        <w:gridCol w:w="569"/>
        <w:gridCol w:w="850"/>
        <w:gridCol w:w="566"/>
        <w:gridCol w:w="427"/>
        <w:gridCol w:w="1133"/>
        <w:gridCol w:w="641"/>
      </w:tblGrid>
      <w:tr>
        <w:trPr>
          <w:trHeight w:val="466" w:hRule="exact"/>
        </w:trPr>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7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115"/>
              <w:ind w:left="14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538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115"/>
              <w:ind w:left="14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45" w:right="43"/>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025" w:hRule="exact"/>
        </w:trPr>
        <w:tc>
          <w:tcPr>
            <w:tcW w:w="1274"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追加 投资</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 w:right="39"/>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9" w:right="59"/>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8"/>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58"/>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计提 减值 准备</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3"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r>
      <w:tr>
        <w:trPr>
          <w:trHeight w:val="479"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50"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8"/>
              <w:jc w:val="left"/>
              <w:rPr>
                <w:rFonts w:ascii="宋体" w:hAnsi="宋体" w:cs="宋体" w:eastAsia="宋体" w:hint="default"/>
                <w:sz w:val="18"/>
                <w:szCs w:val="18"/>
              </w:rPr>
            </w:pPr>
            <w:r>
              <w:rPr>
                <w:rFonts w:ascii="宋体" w:hAnsi="宋体" w:cs="宋体" w:eastAsia="宋体" w:hint="default"/>
                <w:sz w:val="18"/>
                <w:szCs w:val="18"/>
              </w:rPr>
              <w:t>天津国科量子 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2,644,956.50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-323,485.13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2,321,471.37</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66" w:hRule="exact"/>
        </w:trPr>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2,644,956.50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-323,485.13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2,321,471.37</w:t>
            </w: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2,644,956.50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-323,485.13</w:t>
            </w:r>
          </w:p>
        </w:tc>
        <w:tc>
          <w:tcPr>
            <w:tcW w:w="85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pacing w:val="-1"/>
                <w:sz w:val="18"/>
              </w:rPr>
              <w:t>2,321,471.37</w:t>
            </w:r>
          </w:p>
        </w:tc>
        <w:tc>
          <w:tcPr>
            <w:tcW w:w="6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3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79"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735"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77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77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772"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66"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86" w:right="0"/>
              <w:jc w:val="left"/>
              <w:rPr>
                <w:rFonts w:ascii="Times New Roman" w:hAnsi="Times New Roman" w:cs="Times New Roman" w:eastAsia="Times New Roman" w:hint="default"/>
                <w:sz w:val="18"/>
                <w:szCs w:val="18"/>
              </w:rPr>
            </w:pPr>
            <w:r>
              <w:rPr>
                <w:rFonts w:ascii="Times New Roman"/>
                <w:sz w:val="18"/>
              </w:rPr>
              <w:t>206,490,411.09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56" w:right="0"/>
              <w:jc w:val="left"/>
              <w:rPr>
                <w:rFonts w:ascii="Times New Roman" w:hAnsi="Times New Roman" w:cs="Times New Roman" w:eastAsia="Times New Roman" w:hint="default"/>
                <w:sz w:val="18"/>
                <w:szCs w:val="18"/>
              </w:rPr>
            </w:pPr>
            <w:r>
              <w:rPr>
                <w:rFonts w:ascii="Times New Roman"/>
                <w:sz w:val="18"/>
              </w:rPr>
              <w:t>191,757,262.40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56" w:right="0"/>
              <w:jc w:val="left"/>
              <w:rPr>
                <w:rFonts w:ascii="Times New Roman" w:hAnsi="Times New Roman" w:cs="Times New Roman" w:eastAsia="Times New Roman" w:hint="default"/>
                <w:sz w:val="18"/>
                <w:szCs w:val="18"/>
              </w:rPr>
            </w:pPr>
            <w:r>
              <w:rPr>
                <w:rFonts w:ascii="Times New Roman"/>
                <w:sz w:val="18"/>
              </w:rPr>
              <w:t>942,192,881.87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56" w:right="0"/>
              <w:jc w:val="left"/>
              <w:rPr>
                <w:rFonts w:ascii="Times New Roman" w:hAnsi="Times New Roman" w:cs="Times New Roman" w:eastAsia="Times New Roman" w:hint="default"/>
                <w:sz w:val="18"/>
                <w:szCs w:val="18"/>
              </w:rPr>
            </w:pPr>
            <w:r>
              <w:rPr>
                <w:rFonts w:ascii="Times New Roman"/>
                <w:sz w:val="18"/>
              </w:rPr>
              <w:t>894,281,995.69</w:t>
            </w:r>
          </w:p>
        </w:tc>
      </w:tr>
      <w:tr>
        <w:trPr>
          <w:trHeight w:val="46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686" w:right="0"/>
              <w:jc w:val="left"/>
              <w:rPr>
                <w:rFonts w:ascii="Times New Roman" w:hAnsi="Times New Roman" w:cs="Times New Roman" w:eastAsia="Times New Roman" w:hint="default"/>
                <w:sz w:val="18"/>
                <w:szCs w:val="18"/>
              </w:rPr>
            </w:pPr>
            <w:r>
              <w:rPr>
                <w:rFonts w:ascii="Times New Roman"/>
                <w:sz w:val="18"/>
              </w:rPr>
              <w:t>206,490,411.09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56" w:right="0"/>
              <w:jc w:val="left"/>
              <w:rPr>
                <w:rFonts w:ascii="Times New Roman" w:hAnsi="Times New Roman" w:cs="Times New Roman" w:eastAsia="Times New Roman" w:hint="default"/>
                <w:sz w:val="18"/>
                <w:szCs w:val="18"/>
              </w:rPr>
            </w:pPr>
            <w:r>
              <w:rPr>
                <w:rFonts w:ascii="Times New Roman"/>
                <w:sz w:val="18"/>
              </w:rPr>
              <w:t>191,757,262.40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56" w:right="0"/>
              <w:jc w:val="left"/>
              <w:rPr>
                <w:rFonts w:ascii="Times New Roman" w:hAnsi="Times New Roman" w:cs="Times New Roman" w:eastAsia="Times New Roman" w:hint="default"/>
                <w:sz w:val="18"/>
                <w:szCs w:val="18"/>
              </w:rPr>
            </w:pPr>
            <w:r>
              <w:rPr>
                <w:rFonts w:ascii="Times New Roman"/>
                <w:sz w:val="18"/>
              </w:rPr>
              <w:t>942,192,881.87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756" w:right="0"/>
              <w:jc w:val="left"/>
              <w:rPr>
                <w:rFonts w:ascii="Times New Roman" w:hAnsi="Times New Roman" w:cs="Times New Roman" w:eastAsia="Times New Roman" w:hint="default"/>
                <w:sz w:val="18"/>
                <w:szCs w:val="18"/>
              </w:rPr>
            </w:pPr>
            <w:r>
              <w:rPr>
                <w:rFonts w:ascii="Times New Roman"/>
                <w:sz w:val="18"/>
              </w:rPr>
              <w:t>894,281,995.69</w:t>
            </w:r>
          </w:p>
        </w:tc>
      </w:tr>
    </w:tbl>
    <w:p>
      <w:pPr>
        <w:pStyle w:val="BodyText"/>
        <w:spacing w:line="240" w:lineRule="auto" w:before="49"/>
        <w:ind w:right="0"/>
        <w:jc w:val="left"/>
      </w:pPr>
      <w:r>
        <w:rPr/>
        <w:t>是否已执行新收入准则</w:t>
      </w:r>
    </w:p>
    <w:p>
      <w:pPr>
        <w:pStyle w:val="BodyText"/>
        <w:spacing w:line="240" w:lineRule="auto" w:before="117"/>
        <w:ind w:right="0"/>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0"/>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82" w:type="dxa"/>
        <w:tblLayout w:type="fixed"/>
        <w:tblCellMar>
          <w:top w:w="0" w:type="dxa"/>
          <w:left w:w="0" w:type="dxa"/>
          <w:bottom w:w="0" w:type="dxa"/>
          <w:right w:w="0" w:type="dxa"/>
        </w:tblCellMar>
        <w:tblLook w:val="01E0"/>
      </w:tblPr>
      <w:tblGrid>
        <w:gridCol w:w="3325"/>
        <w:gridCol w:w="3058"/>
        <w:gridCol w:w="3188"/>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-323,485.13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-3,514,339.50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-2,632,444.77</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407,734.80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16" w:footer="1261" w:top="1120" w:bottom="1460" w:left="980" w:right="0"/>
        </w:sectPr>
      </w:pPr>
    </w:p>
    <w:p>
      <w:pPr>
        <w:spacing w:line="240" w:lineRule="auto" w:before="6"/>
        <w:rPr>
          <w:rFonts w:ascii="宋体" w:hAnsi="宋体" w:cs="宋体" w:eastAsia="宋体" w:hint="default"/>
          <w:sz w:val="23"/>
          <w:szCs w:val="23"/>
        </w:rPr>
      </w:pPr>
    </w:p>
    <w:tbl>
      <w:tblPr>
        <w:tblW w:w="0" w:type="auto"/>
        <w:jc w:val="left"/>
        <w:tblInd w:w="182" w:type="dxa"/>
        <w:tblLayout w:type="fixed"/>
        <w:tblCellMar>
          <w:top w:w="0" w:type="dxa"/>
          <w:left w:w="0" w:type="dxa"/>
          <w:bottom w:w="0" w:type="dxa"/>
          <w:right w:w="0" w:type="dxa"/>
        </w:tblCellMar>
        <w:tblLook w:val="01E0"/>
      </w:tblPr>
      <w:tblGrid>
        <w:gridCol w:w="3325"/>
        <w:gridCol w:w="3058"/>
        <w:gridCol w:w="3188"/>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3,958,932.52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6,787,932.01</w:t>
            </w: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8"/>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5,563.95</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以摊余成本计量的金融资产终止确认损失</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-44,952.72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63,998,229.47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646,711.69</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t>√ 适用 □</w:t>
      </w:r>
      <w:r>
        <w:rPr>
          <w:spacing w:val="3"/>
        </w:rPr>
        <w:t> </w:t>
      </w:r>
      <w:r>
        <w:rPr/>
        <w:t>不适用</w:t>
      </w:r>
    </w:p>
    <w:p>
      <w:pPr>
        <w:pStyle w:val="BodyText"/>
        <w:spacing w:line="240" w:lineRule="auto" w:before="115"/>
        <w:ind w:left="0" w:right="1130"/>
        <w:jc w:val="right"/>
      </w:pPr>
      <w:r>
        <w:rPr/>
        <w:t>单位：</w:t>
      </w:r>
      <w:r>
        <w:rPr>
          <w:spacing w:val="1"/>
        </w:rPr>
        <w:t> </w:t>
      </w:r>
      <w:r>
        <w:rPr/>
        <w:t>元</w:t>
      </w:r>
    </w:p>
    <w:p>
      <w:pPr>
        <w:spacing w:line="240" w:lineRule="auto" w:before="7"/>
        <w:rPr>
          <w:rFonts w:ascii="宋体" w:hAnsi="宋体" w:cs="宋体" w:eastAsia="宋体" w:hint="default"/>
          <w:sz w:val="9"/>
          <w:szCs w:val="9"/>
        </w:rPr>
      </w:pPr>
    </w:p>
    <w:tbl>
      <w:tblPr>
        <w:tblW w:w="0" w:type="auto"/>
        <w:jc w:val="left"/>
        <w:tblInd w:w="182" w:type="dxa"/>
        <w:tblLayout w:type="fixed"/>
        <w:tblCellMar>
          <w:top w:w="0" w:type="dxa"/>
          <w:left w:w="0" w:type="dxa"/>
          <w:bottom w:w="0" w:type="dxa"/>
          <w:right w:w="0" w:type="dxa"/>
        </w:tblCellMar>
        <w:tblLook w:val="01E0"/>
      </w:tblPr>
      <w:tblGrid>
        <w:gridCol w:w="6143"/>
        <w:gridCol w:w="1652"/>
        <w:gridCol w:w="1776"/>
      </w:tblGrid>
      <w:tr>
        <w:trPr>
          <w:trHeight w:val="448" w:hRule="exact"/>
        </w:trPr>
        <w:tc>
          <w:tcPr>
            <w:tcW w:w="6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50" w:hRule="exact"/>
        </w:trPr>
        <w:tc>
          <w:tcPr>
            <w:tcW w:w="6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2"/>
              <w:jc w:val="right"/>
              <w:rPr>
                <w:rFonts w:ascii="Times New Roman" w:hAnsi="Times New Roman" w:cs="Times New Roman" w:eastAsia="Times New Roman" w:hint="default"/>
                <w:sz w:val="18"/>
                <w:szCs w:val="18"/>
              </w:rPr>
            </w:pPr>
            <w:r>
              <w:rPr>
                <w:rFonts w:ascii="Times New Roman"/>
                <w:spacing w:val="-1"/>
                <w:sz w:val="18"/>
              </w:rPr>
              <w:t>-3,500,616.15</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728" w:hRule="exact"/>
        </w:trPr>
        <w:tc>
          <w:tcPr>
            <w:tcW w:w="6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4"/>
              <w:ind w:left="24" w:right="166"/>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 定量享受的政府补助除外）</w:t>
            </w:r>
          </w:p>
        </w:tc>
        <w:tc>
          <w:tcPr>
            <w:tcW w:w="16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38,356,416.45</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1355" w:hRule="exact"/>
        </w:trPr>
        <w:tc>
          <w:tcPr>
            <w:tcW w:w="6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66"/>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 衍生金融资产、交易性金融负债、衍生金融负债产生的公允价值变动损益， 以及处置交易性金融资产、衍生金融资产、交易性金融负债、衍生金融负债 和其他债权投资取得的投资收益</w:t>
            </w:r>
          </w:p>
        </w:tc>
        <w:tc>
          <w:tcPr>
            <w:tcW w:w="16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5,747,180.93</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432" w:hRule="exact"/>
        </w:trPr>
        <w:tc>
          <w:tcPr>
            <w:tcW w:w="6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单独进行减值测试的应收款项、合同资产减值准备转回</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1"/>
                <w:sz w:val="18"/>
              </w:rPr>
              <w:t>2,680,276.05</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463" w:hRule="exact"/>
        </w:trPr>
        <w:tc>
          <w:tcPr>
            <w:tcW w:w="6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5"/>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1"/>
              <w:jc w:val="right"/>
              <w:rPr>
                <w:rFonts w:ascii="Times New Roman" w:hAnsi="Times New Roman" w:cs="Times New Roman" w:eastAsia="Times New Roman" w:hint="default"/>
                <w:sz w:val="18"/>
                <w:szCs w:val="18"/>
              </w:rPr>
            </w:pPr>
            <w:r>
              <w:rPr>
                <w:rFonts w:ascii="Times New Roman"/>
                <w:spacing w:val="-1"/>
                <w:sz w:val="18"/>
              </w:rPr>
              <w:t>-24,109,241.56</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6143" w:type="dxa"/>
            <w:tcBorders>
              <w:top w:val="single" w:sz="12" w:space="0" w:color="D2D2D2"/>
              <w:left w:val="single" w:sz="4" w:space="0" w:color="000000"/>
              <w:bottom w:val="single" w:sz="16" w:space="0" w:color="D2D2D2"/>
              <w:right w:val="single" w:sz="4" w:space="0" w:color="000000"/>
            </w:tcBorders>
          </w:tcPr>
          <w:p>
            <w:pPr>
              <w:pStyle w:val="TableParagraph"/>
              <w:spacing w:line="240" w:lineRule="auto" w:before="85"/>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22"/>
              <w:jc w:val="right"/>
              <w:rPr>
                <w:rFonts w:ascii="Times New Roman" w:hAnsi="Times New Roman" w:cs="Times New Roman" w:eastAsia="Times New Roman" w:hint="default"/>
                <w:sz w:val="18"/>
                <w:szCs w:val="18"/>
              </w:rPr>
            </w:pPr>
            <w:r>
              <w:rPr>
                <w:rFonts w:ascii="Times New Roman"/>
                <w:spacing w:val="-1"/>
                <w:sz w:val="18"/>
              </w:rPr>
              <w:t>42,370,357.37</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448" w:hRule="exact"/>
        </w:trPr>
        <w:tc>
          <w:tcPr>
            <w:tcW w:w="6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1"/>
                <w:sz w:val="18"/>
              </w:rPr>
              <w:t>10,095,223.12</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6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1"/>
              <w:jc w:val="right"/>
              <w:rPr>
                <w:rFonts w:ascii="Times New Roman" w:hAnsi="Times New Roman" w:cs="Times New Roman" w:eastAsia="Times New Roman" w:hint="default"/>
                <w:sz w:val="18"/>
                <w:szCs w:val="18"/>
              </w:rPr>
            </w:pPr>
            <w:r>
              <w:rPr>
                <w:rFonts w:ascii="Times New Roman"/>
                <w:spacing w:val="-1"/>
                <w:sz w:val="18"/>
              </w:rPr>
              <w:t>1,930,402.18</w:t>
            </w:r>
          </w:p>
        </w:tc>
        <w:tc>
          <w:tcPr>
            <w:tcW w:w="1776" w:type="dxa"/>
            <w:tcBorders>
              <w:top w:val="single" w:sz="4" w:space="0" w:color="000000"/>
              <w:left w:val="single" w:sz="4" w:space="0" w:color="000000"/>
              <w:bottom w:val="single" w:sz="4" w:space="0" w:color="000000"/>
              <w:right w:val="single" w:sz="4" w:space="0" w:color="000000"/>
            </w:tcBorders>
          </w:tcPr>
          <w:p>
            <w:pPr/>
          </w:p>
        </w:tc>
      </w:tr>
      <w:tr>
        <w:trPr>
          <w:trHeight w:val="480" w:hRule="exact"/>
        </w:trPr>
        <w:tc>
          <w:tcPr>
            <w:tcW w:w="6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49,518,747.79</w:t>
            </w:r>
          </w:p>
        </w:tc>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对公司根据《公开发行证券的公司信息披露解释性公告第</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号——非经常性损益》定义界定的非经常性损益项目，以及把</w:t>
      </w:r>
    </w:p>
    <w:p>
      <w:pPr>
        <w:pStyle w:val="BodyText"/>
        <w:spacing w:line="300" w:lineRule="auto" w:before="63"/>
        <w:ind w:right="1215"/>
        <w:jc w:val="left"/>
      </w:pPr>
      <w:r>
        <w:rPr/>
        <w:t>《公开发行证券的公司信息披露解释性公告第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号——非经常性损益》中列举的非经常性损益项目界定为经常性损益的项 目，应说明原因。</w:t>
      </w:r>
    </w:p>
    <w:p>
      <w:pPr>
        <w:pStyle w:val="BodyText"/>
        <w:spacing w:line="240" w:lineRule="auto" w:before="70"/>
        <w:ind w:right="0"/>
        <w:jc w:val="left"/>
      </w:pPr>
      <w:r>
        <w:rPr/>
        <w:t>□ 适用 √</w:t>
      </w:r>
      <w:r>
        <w:rPr>
          <w:spacing w:val="3"/>
        </w:rPr>
        <w:t> </w:t>
      </w:r>
      <w:r>
        <w:rPr/>
        <w:t>不适用</w:t>
      </w:r>
    </w:p>
    <w:p>
      <w:pPr>
        <w:spacing w:after="0" w:line="240" w:lineRule="auto"/>
        <w:jc w:val="left"/>
        <w:sectPr>
          <w:pgSz w:w="11910" w:h="16840"/>
          <w:pgMar w:header="916" w:footer="1261" w:top="1120" w:bottom="14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4"/>
        <w:spacing w:line="240" w:lineRule="auto" w:before="36"/>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82" w:type="dxa"/>
        <w:tblLayout w:type="fixed"/>
        <w:tblCellMar>
          <w:top w:w="0" w:type="dxa"/>
          <w:left w:w="0" w:type="dxa"/>
          <w:bottom w:w="0" w:type="dxa"/>
          <w:right w:w="0" w:type="dxa"/>
        </w:tblCellMar>
        <w:tblLook w:val="01E0"/>
      </w:tblPr>
      <w:tblGrid>
        <w:gridCol w:w="4434"/>
        <w:gridCol w:w="1308"/>
        <w:gridCol w:w="1913"/>
        <w:gridCol w:w="1913"/>
      </w:tblGrid>
      <w:tr>
        <w:trPr>
          <w:trHeight w:val="463" w:hRule="exact"/>
        </w:trPr>
        <w:tc>
          <w:tcPr>
            <w:tcW w:w="44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3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4"/>
              <w:ind w:left="290" w:right="107" w:hanging="180"/>
              <w:jc w:val="left"/>
              <w:rPr>
                <w:rFonts w:ascii="宋体" w:hAnsi="宋体" w:cs="宋体" w:eastAsia="宋体" w:hint="default"/>
                <w:sz w:val="18"/>
                <w:szCs w:val="18"/>
              </w:rPr>
            </w:pPr>
            <w:r>
              <w:rPr>
                <w:rFonts w:ascii="宋体" w:hAnsi="宋体" w:cs="宋体" w:eastAsia="宋体" w:hint="default"/>
                <w:sz w:val="18"/>
                <w:szCs w:val="18"/>
              </w:rPr>
              <w:t>加权平均净资 产收益率</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63" w:hRule="exact"/>
        </w:trPr>
        <w:tc>
          <w:tcPr>
            <w:tcW w:w="4434" w:type="dxa"/>
            <w:vMerge/>
            <w:tcBorders>
              <w:left w:val="single" w:sz="4" w:space="0" w:color="000000"/>
              <w:bottom w:val="single" w:sz="4" w:space="0" w:color="000000"/>
              <w:right w:val="single" w:sz="4" w:space="0" w:color="000000"/>
            </w:tcBorders>
            <w:shd w:val="clear" w:color="auto" w:fill="D2D2D2"/>
          </w:tcPr>
          <w:p>
            <w:pPr/>
          </w:p>
        </w:tc>
        <w:tc>
          <w:tcPr>
            <w:tcW w:w="1308"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24"/>
              <w:jc w:val="righ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right="24"/>
              <w:jc w:val="righ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466" w:hRule="exact"/>
        </w:trPr>
        <w:tc>
          <w:tcPr>
            <w:tcW w:w="4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7.44%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0.3899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0.3890</w:t>
            </w:r>
          </w:p>
        </w:tc>
      </w:tr>
      <w:tr>
        <w:trPr>
          <w:trHeight w:val="463" w:hRule="exact"/>
        </w:trPr>
        <w:tc>
          <w:tcPr>
            <w:tcW w:w="4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0"/>
              <w:ind w:left="2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z w:val="18"/>
              </w:rPr>
              <w:t>6.46%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0.3385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20"/>
              <w:jc w:val="right"/>
              <w:rPr>
                <w:rFonts w:ascii="Times New Roman" w:hAnsi="Times New Roman" w:cs="Times New Roman" w:eastAsia="Times New Roman" w:hint="default"/>
                <w:sz w:val="18"/>
                <w:szCs w:val="18"/>
              </w:rPr>
            </w:pPr>
            <w:r>
              <w:rPr>
                <w:rFonts w:ascii="Times New Roman"/>
                <w:spacing w:val="-1"/>
                <w:sz w:val="18"/>
              </w:rPr>
              <w:t>0.3377</w:t>
            </w:r>
          </w:p>
        </w:tc>
      </w:tr>
    </w:tbl>
    <w:p>
      <w:pPr>
        <w:spacing w:after="0" w:line="240" w:lineRule="auto"/>
        <w:jc w:val="right"/>
        <w:rPr>
          <w:rFonts w:ascii="Times New Roman" w:hAnsi="Times New Roman" w:cs="Times New Roman" w:eastAsia="Times New Roman" w:hint="default"/>
          <w:sz w:val="18"/>
          <w:szCs w:val="18"/>
        </w:rPr>
        <w:sectPr>
          <w:pgSz w:w="11910" w:h="16840"/>
          <w:pgMar w:header="916" w:footer="1261" w:top="1120" w:bottom="14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pStyle w:val="Heading1"/>
        <w:spacing w:line="240" w:lineRule="auto"/>
        <w:ind w:left="3285" w:right="0"/>
        <w:jc w:val="left"/>
        <w:rPr>
          <w:b w:val="0"/>
          <w:bCs w:val="0"/>
        </w:rPr>
      </w:pPr>
      <w:bookmarkStart w:name="_bookmark12" w:id="13"/>
      <w:bookmarkEnd w:id="13"/>
      <w:r>
        <w:rPr>
          <w:b w:val="0"/>
          <w:bCs w:val="0"/>
        </w:rPr>
      </w:r>
      <w:r>
        <w:rPr/>
        <w:t>第十三节</w:t>
      </w:r>
      <w:r>
        <w:rPr>
          <w:spacing w:val="-5"/>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t>（一）载有公司负责人、主管会计工作负责人、会计机构负责人签名并盖章的财务报表。</w:t>
      </w:r>
    </w:p>
    <w:p>
      <w:pPr>
        <w:pStyle w:val="BodyText"/>
        <w:spacing w:line="240" w:lineRule="auto" w:before="76"/>
        <w:ind w:right="0"/>
        <w:jc w:val="left"/>
      </w:pPr>
      <w:r>
        <w:rPr/>
        <w:t>（二）载有会计师事务所盖章、注册会计师签名并盖章的审计报告原件。</w:t>
      </w:r>
    </w:p>
    <w:p>
      <w:pPr>
        <w:pStyle w:val="BodyText"/>
        <w:spacing w:line="300" w:lineRule="auto" w:before="76"/>
        <w:ind w:right="1118"/>
        <w:jc w:val="left"/>
      </w:pPr>
      <w:r>
        <w:rPr/>
        <w:t>（三）报告期内在《证券时报》及巨潮资讯网（</w:t>
      </w:r>
      <w:hyperlink r:id="rId12">
        <w:r>
          <w:rPr>
            <w:rFonts w:ascii="Times New Roman" w:hAnsi="Times New Roman" w:cs="Times New Roman" w:eastAsia="Times New Roman" w:hint="default"/>
          </w:rPr>
          <w:t>http://www.cninfo.com.cn</w:t>
        </w:r>
      </w:hyperlink>
      <w:r>
        <w:rPr/>
        <w:t>）上公开公开披露过的所有公司文件的正本及公告 的原稿。</w:t>
      </w:r>
    </w:p>
    <w:p>
      <w:pPr>
        <w:pStyle w:val="BodyText"/>
        <w:spacing w:line="240" w:lineRule="auto" w:before="72"/>
        <w:ind w:right="0"/>
        <w:jc w:val="left"/>
      </w:pPr>
      <w:r>
        <w:rPr/>
        <w:t>（四）文件存放地：北京市海淀区西北旺东路</w:t>
      </w:r>
      <w:r>
        <w:rPr>
          <w:rFonts w:ascii="Times New Roman" w:hAnsi="Times New Roman" w:cs="Times New Roman" w:eastAsia="Times New Roman" w:hint="default"/>
        </w:rPr>
        <w:t>10</w:t>
      </w:r>
      <w:r>
        <w:rPr/>
        <w:t>号院东区</w:t>
      </w:r>
      <w:r>
        <w:rPr>
          <w:rFonts w:ascii="Times New Roman" w:hAnsi="Times New Roman" w:cs="Times New Roman" w:eastAsia="Times New Roman" w:hint="default"/>
        </w:rPr>
        <w:t>18</w:t>
      </w:r>
      <w:r>
        <w:rPr/>
        <w:t>号楼神州信息大厦六层。</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44"/>
        <w:ind w:left="0" w:right="1040"/>
        <w:jc w:val="right"/>
        <w:rPr>
          <w:rFonts w:ascii="宋体" w:hAnsi="宋体" w:cs="宋体" w:eastAsia="宋体" w:hint="default"/>
        </w:rPr>
      </w:pPr>
      <w:r>
        <w:rPr/>
        <w:t>神州数码信息服务股份有限公司</w:t>
      </w:r>
      <w:r>
        <w:rPr>
          <w:rFonts w:ascii="宋体" w:hAnsi="宋体" w:cs="宋体" w:eastAsia="宋体" w:hint="default"/>
        </w:rPr>
        <w:t> </w:t>
      </w:r>
    </w:p>
    <w:p>
      <w:pPr>
        <w:pStyle w:val="BodyText"/>
        <w:spacing w:line="316" w:lineRule="auto" w:before="76"/>
        <w:ind w:left="8622" w:right="1040" w:firstLine="91"/>
        <w:jc w:val="right"/>
        <w:rPr>
          <w:rFonts w:ascii="宋体" w:hAnsi="宋体" w:cs="宋体" w:eastAsia="宋体" w:hint="default"/>
        </w:rPr>
      </w:pPr>
      <w:r>
        <w:rPr/>
        <w:t>董事长：郭为</w:t>
      </w:r>
      <w:r>
        <w:rPr>
          <w:rFonts w:ascii="宋体" w:hAnsi="宋体" w:cs="宋体" w:eastAsia="宋体" w:hint="default"/>
        </w:rPr>
        <w:t> </w:t>
      </w:r>
      <w:r>
        <w:rPr>
          <w:rFonts w:ascii="宋体" w:hAnsi="宋体" w:cs="宋体" w:eastAsia="宋体" w:hint="default"/>
          <w:spacing w:val="-1"/>
        </w:rPr>
        <w:t>2020</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27</w:t>
      </w:r>
      <w:r>
        <w:rPr>
          <w:spacing w:val="-1"/>
        </w:rPr>
        <w:t>日</w:t>
      </w:r>
      <w:r>
        <w:rPr>
          <w:rFonts w:ascii="宋体" w:hAnsi="宋体" w:cs="宋体" w:eastAsia="宋体" w:hint="default"/>
        </w:rPr>
        <w:t> </w:t>
      </w:r>
    </w:p>
    <w:sectPr>
      <w:pgSz w:w="11910" w:h="16840"/>
      <w:pgMar w:header="916" w:footer="1261" w:top="1120" w:bottom="14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6000" type="#_x0000_t75" stroked="false">
          <v:imagedata r:id="rId1" o:title=""/>
        </v:shape>
      </w:pict>
    </w:r>
    <w:r>
      <w:rPr/>
      <w:pict>
        <v:shape style="position:absolute;margin-left:530.599976pt;margin-top:781.453918pt;width:6.5pt;height:11pt;mso-position-horizontal-relative:page;mso-position-vertical-relative:page;z-index:-12759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75616" type="#_x0000_t75" stroked="false">
          <v:imagedata r:id="rId1" o:title=""/>
        </v:shape>
      </w:pict>
    </w:r>
    <w:r>
      <w:rPr/>
      <w:pict>
        <v:shape style="position:absolute;margin-left:758.659973pt;margin-top:521.317932pt;width:13.15pt;height:11pt;mso-position-horizontal-relative:page;mso-position-vertical-relative:page;z-index:-1275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36</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5520" type="#_x0000_t75" stroked="false">
          <v:imagedata r:id="rId1" o:title=""/>
        </v:shape>
      </w:pict>
    </w:r>
    <w:r>
      <w:rPr/>
      <w:pict>
        <v:shape style="position:absolute;margin-left:527.440002pt;margin-top:767.893921pt;width:13.15pt;height:11pt;mso-position-horizontal-relative:page;mso-position-vertical-relative:page;z-index:-1275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56</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5472" type="#_x0000_t75" stroked="false">
          <v:imagedata r:id="rId1" o:title=""/>
        </v:shape>
      </w:pict>
    </w:r>
    <w:r>
      <w:rPr/>
      <w:pict>
        <v:shape style="position:absolute;margin-left:527.440002pt;margin-top:767.893921pt;width:13.15pt;height:11pt;mso-position-horizontal-relative:page;mso-position-vertical-relative:page;z-index:-12754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59</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75376" type="#_x0000_t75" stroked="false">
          <v:imagedata r:id="rId1" o:title=""/>
        </v:shape>
      </w:pict>
    </w:r>
    <w:r>
      <w:rPr/>
      <w:pict>
        <v:shape style="position:absolute;margin-left:758.659973pt;margin-top:521.317932pt;width:13.15pt;height:11pt;mso-position-horizontal-relative:page;mso-position-vertical-relative:page;z-index:-12753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61</w:t>
                </w:r>
                <w:r>
                  <w:rPr/>
                  <w:fldChar w:fldCharType="end"/>
                </w:r>
                <w:r>
                  <w:rPr>
                    <w:rFonts w:ascii="Times New Roman"/>
                    <w:spacing w:val="1"/>
                  </w:rPr>
                </w:r>
                <w:r>
                  <w:rPr>
                    <w:rFonts w:ascii="Times New Roman"/>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75280" type="#_x0000_t75" stroked="false">
          <v:imagedata r:id="rId1" o:title=""/>
        </v:shape>
      </w:pict>
    </w:r>
    <w:r>
      <w:rPr/>
      <w:pict>
        <v:shape style="position:absolute;margin-left:758.659973pt;margin-top:521.317932pt;width:13.15pt;height:11pt;mso-position-horizontal-relative:page;mso-position-vertical-relative:page;z-index:-12752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64</w:t>
                </w:r>
                <w:r>
                  <w:rPr/>
                  <w:fldChar w:fldCharType="end"/>
                </w:r>
                <w:r>
                  <w:rPr>
                    <w:rFonts w:ascii="Times New Roman"/>
                    <w:spacing w:val="1"/>
                  </w:rPr>
                </w:r>
                <w:r>
                  <w:rPr>
                    <w:rFonts w:ascii="Times New Roman"/>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5184" type="#_x0000_t75" stroked="false">
          <v:imagedata r:id="rId1" o:title=""/>
        </v:shape>
      </w:pict>
    </w:r>
    <w:r>
      <w:rPr/>
      <w:pict>
        <v:shape style="position:absolute;margin-left:527.440002pt;margin-top:767.893921pt;width:13.15pt;height:11pt;mso-position-horizontal-relative:page;mso-position-vertical-relative:page;z-index:-12751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72</w:t>
                </w:r>
                <w:r>
                  <w:rPr/>
                  <w:fldChar w:fldCharType="end"/>
                </w:r>
                <w:r>
                  <w:rPr>
                    <w:rFonts w:ascii="Times New Roman"/>
                    <w:spacing w:val="1"/>
                  </w:rPr>
                </w:r>
                <w:r>
                  <w:rPr>
                    <w:rFonts w:ascii="Times New Roman"/>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5952" type="#_x0000_t75" stroked="false">
          <v:imagedata r:id="rId1" o:title=""/>
        </v:shape>
      </w:pict>
    </w:r>
    <w:r>
      <w:rPr/>
      <w:pict>
        <v:shape style="position:absolute;margin-left:527.440002pt;margin-top:767.893921pt;width:13.15pt;height:11pt;mso-position-horizontal-relative:page;mso-position-vertical-relative:page;z-index:-1275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75064" type="#_x0000_t75" stroked="false">
          <v:imagedata r:id="rId1" o:title=""/>
        </v:shape>
      </w:pict>
    </w:r>
    <w:r>
      <w:rPr/>
      <w:pict>
        <v:shape style="position:absolute;margin-left:758.659973pt;margin-top:521.317932pt;width:13.15pt;height:11pt;mso-position-horizontal-relative:page;mso-position-vertical-relative:page;z-index:-1275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82</w:t>
                </w:r>
                <w:r>
                  <w:rPr/>
                  <w:fldChar w:fldCharType="end"/>
                </w:r>
                <w:r>
                  <w:rPr>
                    <w:rFonts w:ascii="Times New Roman"/>
                    <w:spacing w:val="1"/>
                  </w:rPr>
                </w:r>
                <w:r>
                  <w:rPr>
                    <w:rFonts w:ascii="Times New Roman"/>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4968" type="#_x0000_t75" stroked="false">
          <v:imagedata r:id="rId1" o:title=""/>
        </v:shape>
      </w:pict>
    </w:r>
    <w:r>
      <w:rPr/>
      <w:pict>
        <v:shape style="position:absolute;margin-left:527.440002pt;margin-top:767.893921pt;width:13.15pt;height:11pt;mso-position-horizontal-relative:page;mso-position-vertical-relative:page;z-index:-12749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84</w:t>
                </w:r>
                <w:r>
                  <w:rPr/>
                  <w:fldChar w:fldCharType="end"/>
                </w:r>
                <w:r>
                  <w:rPr>
                    <w:rFonts w:ascii="Times New Roman"/>
                    <w:spacing w:val="1"/>
                  </w:rPr>
                </w:r>
                <w:r>
                  <w:rPr>
                    <w:rFonts w:ascii="Times New Roman"/>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4920" type="#_x0000_t75" stroked="false">
          <v:imagedata r:id="rId1" o:title=""/>
        </v:shape>
      </w:pict>
    </w:r>
    <w:r>
      <w:rPr/>
      <w:pict>
        <v:shape style="position:absolute;margin-left:523.880005pt;margin-top:767.893921pt;width:15.7pt;height:11pt;mso-position-horizontal-relative:page;mso-position-vertical-relative:page;z-index:-127489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4872" type="#_x0000_t75" stroked="false">
          <v:imagedata r:id="rId1" o:title=""/>
        </v:shape>
      </w:pict>
    </w:r>
    <w:r>
      <w:rPr/>
      <w:pict>
        <v:shape style="position:absolute;margin-left:522.880005pt;margin-top:767.893921pt;width:17.7pt;height:11pt;mso-position-horizontal-relative:page;mso-position-vertical-relative:page;z-index:-12748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4824" type="#_x0000_t75" stroked="false">
          <v:imagedata r:id="rId1" o:title=""/>
        </v:shape>
      </w:pict>
    </w:r>
    <w:r>
      <w:rPr/>
      <w:pict>
        <v:shape style="position:absolute;margin-left:523.23999pt;margin-top:767.893921pt;width:17.3pt;height:11pt;mso-position-horizontal-relative:page;mso-position-vertical-relative:page;z-index:-12748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4776" type="#_x0000_t75" stroked="false">
          <v:imagedata r:id="rId1" o:title=""/>
        </v:shape>
      </w:pict>
    </w:r>
    <w:r>
      <w:rPr/>
      <w:pict>
        <v:shape style="position:absolute;margin-left:522.880005pt;margin-top:767.893921pt;width:17.7pt;height:11pt;mso-position-horizontal-relative:page;mso-position-vertical-relative:page;z-index:-12747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4728" type="#_x0000_t75" stroked="false">
          <v:imagedata r:id="rId1" o:title=""/>
        </v:shape>
      </w:pict>
    </w:r>
    <w:r>
      <w:rPr/>
      <w:pict>
        <v:shape style="position:absolute;margin-left:522.880005pt;margin-top:767.893921pt;width:17.7pt;height:11pt;mso-position-horizontal-relative:page;mso-position-vertical-relative:page;z-index:-12747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131</w:t>
                </w:r>
                <w:r>
                  <w:rPr/>
                  <w:fldChar w:fldCharType="end"/>
                </w:r>
                <w:r>
                  <w:rPr>
                    <w:rFonts w:ascii="Times New Roman"/>
                    <w:spacing w:val="1"/>
                  </w:rPr>
                </w:r>
                <w:r>
                  <w:rPr>
                    <w:rFonts w:ascii="Times New Roman"/>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274632" type="#_x0000_t75" stroked="false">
          <v:imagedata r:id="rId1" o:title=""/>
        </v:shape>
      </w:pict>
    </w:r>
    <w:r>
      <w:rPr/>
      <w:pict>
        <v:shape style="position:absolute;margin-left:778.099976pt;margin-top:521.317932pt;width:17.7pt;height:11pt;mso-position-horizontal-relative:page;mso-position-vertical-relative:page;z-index:-12746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134</w:t>
                </w:r>
                <w:r>
                  <w:rPr/>
                  <w:fldChar w:fldCharType="end"/>
                </w:r>
                <w:r>
                  <w:rPr>
                    <w:rFonts w:ascii="Times New Roman"/>
                    <w:spacing w:val="1"/>
                  </w:rPr>
                </w:r>
                <w:r>
                  <w:rPr>
                    <w:rFonts w:ascii="Times New Roman"/>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4536" type="#_x0000_t75" stroked="false">
          <v:imagedata r:id="rId1" o:title=""/>
        </v:shape>
      </w:pict>
    </w:r>
    <w:r>
      <w:rPr/>
      <w:pict>
        <v:shape style="position:absolute;margin-left:522.880005pt;margin-top:767.893921pt;width:17.7pt;height:11pt;mso-position-horizontal-relative:page;mso-position-vertical-relative:page;z-index:-1274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142</w:t>
                </w:r>
                <w:r>
                  <w:rPr/>
                  <w:fldChar w:fldCharType="end"/>
                </w:r>
                <w:r>
                  <w:rPr>
                    <w:rFonts w:ascii="Times New Roman"/>
                    <w:spacing w:val="1"/>
                  </w:rPr>
                </w:r>
                <w:r>
                  <w:rPr>
                    <w:rFonts w:ascii="Times New Roman"/>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4488" type="#_x0000_t75" stroked="false">
          <v:imagedata r:id="rId1" o:title=""/>
        </v:shape>
      </w:pict>
    </w:r>
    <w:r>
      <w:rPr/>
      <w:pict>
        <v:shape style="position:absolute;margin-left:522.880005pt;margin-top:767.893921pt;width:17.7pt;height:11pt;mso-position-horizontal-relative:page;mso-position-vertical-relative:page;z-index:-12744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156</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5856" type="#_x0000_t75" stroked="false">
          <v:imagedata r:id="rId1" o:title=""/>
        </v:shape>
      </w:pict>
    </w:r>
    <w:r>
      <w:rPr/>
      <w:pict>
        <v:shape style="position:absolute;margin-left:527.440002pt;margin-top:767.893921pt;width:13.15pt;height:11pt;mso-position-horizontal-relative:page;mso-position-vertical-relative:page;z-index:-1275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r>
                  <w:rPr>
                    <w:rFonts w:ascii="Times New Roman"/>
                    <w:spacing w:val="1"/>
                  </w:rPr>
                </w:r>
                <w:r>
                  <w:rPr>
                    <w:rFonts w:ascii="Times New Roman"/>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4440" type="#_x0000_t75" stroked="false">
          <v:imagedata r:id="rId1" o:title=""/>
        </v:shape>
      </w:pict>
    </w:r>
    <w:r>
      <w:rPr/>
      <w:pict>
        <v:shape style="position:absolute;margin-left:523.880005pt;margin-top:767.893921pt;width:15.7pt;height:11pt;mso-position-horizontal-relative:page;mso-position-vertical-relative:page;z-index:-12744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4392" type="#_x0000_t75" stroked="false">
          <v:imagedata r:id="rId1" o:title=""/>
        </v:shape>
      </w:pict>
    </w:r>
    <w:r>
      <w:rPr/>
      <w:pict>
        <v:shape style="position:absolute;margin-left:522.880005pt;margin-top:767.893921pt;width:17.7pt;height:11pt;mso-position-horizontal-relative:page;mso-position-vertical-relative:page;z-index:-1274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4344" type="#_x0000_t75" stroked="false">
          <v:imagedata r:id="rId1" o:title=""/>
        </v:shape>
      </w:pict>
    </w:r>
    <w:r>
      <w:rPr/>
      <w:pict>
        <v:shape style="position:absolute;margin-left:522.880005pt;margin-top:767.893921pt;width:17.7pt;height:15pt;mso-position-horizontal-relative:page;mso-position-vertical-relative:page;z-index:-1274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241</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5760" type="#_x0000_t75" stroked="false">
          <v:imagedata r:id="rId1" o:title=""/>
        </v:shape>
      </w:pict>
    </w:r>
    <w:r>
      <w:rPr/>
      <w:pict>
        <v:shape style="position:absolute;margin-left:527.440002pt;margin-top:767.893921pt;width:13.15pt;height:11pt;mso-position-horizontal-relative:page;mso-position-vertical-relative:page;z-index:-12757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27</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75712" type="#_x0000_t75" stroked="false">
          <v:imagedata r:id="rId1" o:title=""/>
        </v:shape>
      </w:pict>
    </w:r>
    <w:r>
      <w:rPr/>
      <w:pict>
        <v:shape style="position:absolute;margin-left:527.440002pt;margin-top:767.893921pt;width:13.15pt;height:11pt;mso-position-horizontal-relative:page;mso-position-vertical-relative:page;z-index:-12756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8.185608pt;width:213.75pt;height:11.5pt;mso-position-horizontal-relative:page;mso-position-vertical-relative:page;z-index:-1276024" type="#_x0000_t202" filled="false" stroked="false">
          <v:textbox inset="0,0,0,0">
            <w:txbxContent>
              <w:p>
                <w:pPr>
                  <w:pStyle w:val="BodyText"/>
                  <w:spacing w:line="214" w:lineRule="exact"/>
                  <w:ind w:left="20" w:right="0"/>
                  <w:jc w:val="left"/>
                </w:pP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6.420006pt;width:700.9pt;height:.1pt;mso-position-horizontal-relative:page;mso-position-vertical-relative:page;z-index:-1275424" coordorigin="1411,1128" coordsize="14018,2">
          <v:shape style="position:absolute;left:1411;top:1128;width:14018;height:2" coordorigin="1411,1128" coordsize="14018,0" path="m1411,1128l15429,1128e" filled="false" stroked="true" strokeweight=".48pt" strokecolor="#000000">
            <v:path arrowok="t"/>
          </v:shape>
          <w10:wrap type="none"/>
        </v:group>
      </w:pict>
    </w:r>
    <w:r>
      <w:rPr/>
      <w:pict>
        <v:shape style="position:absolute;margin-left:557.429993pt;margin-top:44.805634pt;width:213.75pt;height:11.5pt;mso-position-horizontal-relative:page;mso-position-vertical-relative:page;z-index:-1275400" type="#_x0000_t202" filled="false" stroked="false">
          <v:textbox inset="0,0,0,0">
            <w:txbxContent>
              <w:p>
                <w:pPr>
                  <w:pStyle w:val="BodyText"/>
                  <w:spacing w:line="214" w:lineRule="exact"/>
                  <w:ind w:left="20" w:right="0"/>
                  <w:jc w:val="left"/>
                </w:pP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6.420006pt;width:700.9pt;height:.1pt;mso-position-horizontal-relative:page;mso-position-vertical-relative:page;z-index:-1275328" coordorigin="1411,1128" coordsize="14018,2">
          <v:shape style="position:absolute;left:1411;top:1128;width:14018;height:2" coordorigin="1411,1128" coordsize="14018,0" path="m1411,1128l15429,1128e" filled="false" stroked="true" strokeweight=".48pt" strokecolor="#000000">
            <v:path arrowok="t"/>
          </v:shape>
          <w10:wrap type="none"/>
        </v:group>
      </w:pict>
    </w:r>
    <w:r>
      <w:rPr/>
      <w:pict>
        <v:shape style="position:absolute;margin-left:557.429993pt;margin-top:44.805634pt;width:213.75pt;height:11.5pt;mso-position-horizontal-relative:page;mso-position-vertical-relative:page;z-index:-1275304" type="#_x0000_t202" filled="false" stroked="false">
          <v:textbox inset="0,0,0,0">
            <w:txbxContent>
              <w:p>
                <w:pPr>
                  <w:pStyle w:val="BodyText"/>
                  <w:spacing w:line="214" w:lineRule="exact"/>
                  <w:ind w:left="20" w:right="0"/>
                  <w:jc w:val="left"/>
                </w:pP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6.399982pt;width:484.9pt;height:.1pt;mso-position-horizontal-relative:page;mso-position-vertical-relative:page;z-index:-1275232" coordorigin="1104,1128" coordsize="9698,2">
          <v:shape style="position:absolute;left:1104;top:1128;width:9698;height:2" coordorigin="1104,1128" coordsize="9698,0" path="m1104,1128l10802,1128e" filled="false" stroked="true" strokeweight=".48pt" strokecolor="#000000">
            <v:path arrowok="t"/>
          </v:shape>
          <w10:wrap type="none"/>
        </v:group>
      </w:pict>
    </w:r>
    <w:r>
      <w:rPr/>
      <w:pict>
        <v:shape style="position:absolute;margin-left:326.070007pt;margin-top:44.785606pt;width:213.75pt;height:11.5pt;mso-position-horizontal-relative:page;mso-position-vertical-relative:page;z-index:-1275208" type="#_x0000_t202" filled="false" stroked="false">
          <v:textbox inset="0,0,0,0">
            <w:txbxContent>
              <w:p>
                <w:pPr>
                  <w:pStyle w:val="BodyText"/>
                  <w:spacing w:line="214" w:lineRule="exact"/>
                  <w:ind w:left="20" w:right="0"/>
                  <w:jc w:val="left"/>
                </w:pP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6.399982pt;width:484.9pt;height:.1pt;mso-position-horizontal-relative:page;mso-position-vertical-relative:page;z-index:-1275136" coordorigin="1104,1128" coordsize="9698,2">
          <v:shape style="position:absolute;left:1104;top:1128;width:9698;height:2" coordorigin="1104,1128" coordsize="9698,0" path="m1104,1128l10802,1128e" filled="false" stroked="true" strokeweight=".48pt" strokecolor="#000000">
            <v:path arrowok="t"/>
          </v:shape>
          <w10:wrap type="none"/>
        </v:group>
      </w:pict>
    </w:r>
    <w:r>
      <w:rPr/>
      <w:pict>
        <v:shape style="position:absolute;margin-left:326.070007pt;margin-top:44.785606pt;width:213.75pt;height:11.5pt;mso-position-horizontal-relative:page;mso-position-vertical-relative:page;z-index:-1275112" type="#_x0000_t202" filled="false" stroked="false">
          <v:textbox inset="0,0,0,0">
            <w:txbxContent>
              <w:p>
                <w:pPr>
                  <w:pStyle w:val="BodyText"/>
                  <w:spacing w:line="214" w:lineRule="exact"/>
                  <w:ind w:left="20" w:right="0"/>
                  <w:jc w:val="left"/>
                </w:pP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7.429993pt;margin-top:44.805634pt;width:213.75pt;height:11.5pt;mso-position-horizontal-relative:page;mso-position-vertical-relative:page;z-index:-1275088" type="#_x0000_t202" filled="false" stroked="false">
          <v:textbox inset="0,0,0,0">
            <w:txbxContent>
              <w:p>
                <w:pPr>
                  <w:pStyle w:val="BodyText"/>
                  <w:spacing w:line="214" w:lineRule="exact"/>
                  <w:ind w:left="20" w:right="0"/>
                  <w:jc w:val="left"/>
                </w:pP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6.399982pt;width:484.9pt;height:.1pt;mso-position-horizontal-relative:page;mso-position-vertical-relative:page;z-index:-1275016" coordorigin="1104,1128" coordsize="9698,2">
          <v:shape style="position:absolute;left:1104;top:1128;width:9698;height:2" coordorigin="1104,1128" coordsize="9698,0" path="m1104,1128l10802,1128e" filled="false" stroked="true" strokeweight=".48pt" strokecolor="#000000">
            <v:path arrowok="t"/>
          </v:shape>
          <w10:wrap type="none"/>
        </v:group>
      </w:pict>
    </w:r>
    <w:r>
      <w:rPr/>
      <w:pict>
        <v:shape style="position:absolute;margin-left:326.070007pt;margin-top:44.785606pt;width:213.75pt;height:11.5pt;mso-position-horizontal-relative:page;mso-position-vertical-relative:page;z-index:-1274992" type="#_x0000_t202" filled="false" stroked="false">
          <v:textbox inset="0,0,0,0">
            <w:txbxContent>
              <w:p>
                <w:pPr>
                  <w:pStyle w:val="BodyText"/>
                  <w:spacing w:line="214" w:lineRule="exact"/>
                  <w:ind w:left="20" w:right="0"/>
                  <w:jc w:val="left"/>
                </w:pP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6.420006pt;width:724.8pt;height:.1pt;mso-position-horizontal-relative:page;mso-position-vertical-relative:page;z-index:-1274680" coordorigin="1411,1128" coordsize="14496,2">
          <v:shape style="position:absolute;left:1411;top:1128;width:14496;height:2" coordorigin="1411,1128" coordsize="14496,0" path="m1411,1128l15907,1128e" filled="false" stroked="true" strokeweight=".48pt" strokecolor="#000000">
            <v:path arrowok="t"/>
          </v:shape>
          <w10:wrap type="none"/>
        </v:group>
      </w:pict>
    </w:r>
    <w:r>
      <w:rPr/>
      <w:pict>
        <v:shape style="position:absolute;margin-left:581.309998pt;margin-top:44.805634pt;width:213.75pt;height:11.5pt;mso-position-horizontal-relative:page;mso-position-vertical-relative:page;z-index:-1274656" type="#_x0000_t202" filled="false" stroked="false">
          <v:textbox inset="0,0,0,0">
            <w:txbxContent>
              <w:p>
                <w:pPr>
                  <w:pStyle w:val="BodyText"/>
                  <w:spacing w:line="214" w:lineRule="exact"/>
                  <w:ind w:left="20" w:right="0"/>
                  <w:jc w:val="left"/>
                </w:pP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6.399982pt;width:484.9pt;height:.1pt;mso-position-horizontal-relative:page;mso-position-vertical-relative:page;z-index:-1274584" coordorigin="1104,1128" coordsize="9698,2">
          <v:shape style="position:absolute;left:1104;top:1128;width:9698;height:2" coordorigin="1104,1128" coordsize="9698,0" path="m1104,1128l10802,1128e" filled="false" stroked="true" strokeweight=".48pt" strokecolor="#000000">
            <v:path arrowok="t"/>
          </v:shape>
          <w10:wrap type="none"/>
        </v:group>
      </w:pict>
    </w:r>
    <w:r>
      <w:rPr/>
      <w:pict>
        <v:shape style="position:absolute;margin-left:326.070007pt;margin-top:44.785606pt;width:213.75pt;height:11.5pt;mso-position-horizontal-relative:page;mso-position-vertical-relative:page;z-index:-1274560" type="#_x0000_t202" filled="false" stroked="false">
          <v:textbox inset="0,0,0,0">
            <w:txbxContent>
              <w:p>
                <w:pPr>
                  <w:pStyle w:val="BodyText"/>
                  <w:spacing w:line="214" w:lineRule="exact"/>
                  <w:ind w:left="20" w:right="0"/>
                  <w:jc w:val="left"/>
                </w:pP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6.399982pt;width:484.9pt;height:.1pt;mso-position-horizontal-relative:page;mso-position-vertical-relative:page;z-index:-1275904" coordorigin="1104,1128" coordsize="9698,2">
          <v:shape style="position:absolute;left:1104;top:1128;width:9698;height:2" coordorigin="1104,1128" coordsize="9698,0" path="m1104,1128l10802,1128e" filled="false" stroked="true" strokeweight=".48pt" strokecolor="#000000">
            <v:path arrowok="t"/>
          </v:shape>
          <w10:wrap type="none"/>
        </v:group>
      </w:pict>
    </w:r>
    <w:r>
      <w:rPr/>
      <w:pict>
        <v:shape style="position:absolute;margin-left:326.070007pt;margin-top:44.785606pt;width:213.75pt;height:11.5pt;mso-position-horizontal-relative:page;mso-position-vertical-relative:page;z-index:-1275880" type="#_x0000_t202" filled="false" stroked="false">
          <v:textbox inset="0,0,0,0">
            <w:txbxContent>
              <w:p>
                <w:pPr>
                  <w:pStyle w:val="BodyText"/>
                  <w:spacing w:line="214" w:lineRule="exact"/>
                  <w:ind w:left="20" w:right="0"/>
                  <w:jc w:val="left"/>
                </w:pP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6.399982pt;width:484.9pt;height:.1pt;mso-position-horizontal-relative:page;mso-position-vertical-relative:page;z-index:-1275808" coordorigin="1104,1128" coordsize="9698,2">
          <v:shape style="position:absolute;left:1104;top:1128;width:9698;height:2" coordorigin="1104,1128" coordsize="9698,0" path="m1104,1128l10802,1128e" filled="false" stroked="true" strokeweight=".48pt" strokecolor="#000000">
            <v:path arrowok="t"/>
          </v:shape>
          <w10:wrap type="none"/>
        </v:group>
      </w:pict>
    </w:r>
    <w:r>
      <w:rPr/>
      <w:pict>
        <v:shape style="position:absolute;margin-left:326.070007pt;margin-top:44.785606pt;width:213.75pt;height:11.5pt;mso-position-horizontal-relative:page;mso-position-vertical-relative:page;z-index:-1275784" type="#_x0000_t202" filled="false" stroked="false">
          <v:textbox inset="0,0,0,0">
            <w:txbxContent>
              <w:p>
                <w:pPr>
                  <w:pStyle w:val="BodyText"/>
                  <w:spacing w:line="214" w:lineRule="exact"/>
                  <w:ind w:left="20" w:right="0"/>
                  <w:jc w:val="left"/>
                </w:pP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6.420006pt;width:700.9pt;height:.1pt;mso-position-horizontal-relative:page;mso-position-vertical-relative:page;z-index:-1275664" coordorigin="1411,1128" coordsize="14018,2">
          <v:shape style="position:absolute;left:1411;top:1128;width:14018;height:2" coordorigin="1411,1128" coordsize="14018,0" path="m1411,1128l15429,1128e" filled="false" stroked="true" strokeweight=".48pt" strokecolor="#000000">
            <v:path arrowok="t"/>
          </v:shape>
          <w10:wrap type="none"/>
        </v:group>
      </w:pict>
    </w:r>
    <w:r>
      <w:rPr/>
      <w:pict>
        <v:shape style="position:absolute;margin-left:557.429993pt;margin-top:44.805634pt;width:213.75pt;height:11.5pt;mso-position-horizontal-relative:page;mso-position-vertical-relative:page;z-index:-1275640" type="#_x0000_t202" filled="false" stroked="false">
          <v:textbox inset="0,0,0,0">
            <w:txbxContent>
              <w:p>
                <w:pPr>
                  <w:pStyle w:val="BodyText"/>
                  <w:spacing w:line="214" w:lineRule="exact"/>
                  <w:ind w:left="20" w:right="0"/>
                  <w:jc w:val="left"/>
                </w:pP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6.399982pt;width:484.9pt;height:.1pt;mso-position-horizontal-relative:page;mso-position-vertical-relative:page;z-index:-1275568" coordorigin="1104,1128" coordsize="9698,2">
          <v:shape style="position:absolute;left:1104;top:1128;width:9698;height:2" coordorigin="1104,1128" coordsize="9698,0" path="m1104,1128l10802,1128e" filled="false" stroked="true" strokeweight=".48pt" strokecolor="#000000">
            <v:path arrowok="t"/>
          </v:shape>
          <w10:wrap type="none"/>
        </v:group>
      </w:pict>
    </w:r>
    <w:r>
      <w:rPr/>
      <w:pict>
        <v:shape style="position:absolute;margin-left:326.070007pt;margin-top:44.785606pt;width:213.75pt;height:11.5pt;mso-position-horizontal-relative:page;mso-position-vertical-relative:page;z-index:-1275544" type="#_x0000_t202" filled="false" stroked="false">
          <v:textbox inset="0,0,0,0">
            <w:txbxContent>
              <w:p>
                <w:pPr>
                  <w:pStyle w:val="BodyText"/>
                  <w:spacing w:line="214" w:lineRule="exact"/>
                  <w:ind w:left="20" w:right="0"/>
                  <w:jc w:val="left"/>
                </w:pPr>
                <w:r>
                  <w:rPr/>
                  <w:t>神州数码信息服务股份有限公司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3"/>
    </w:pPr>
    <w:rPr>
      <w:rFonts w:ascii="宋体" w:hAnsi="宋体" w:eastAsia="宋体"/>
      <w:sz w:val="28"/>
      <w:szCs w:val="2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414"/>
      <w:outlineLvl w:val="3"/>
    </w:pPr>
    <w:rPr>
      <w:rFonts w:ascii="宋体" w:hAnsi="宋体" w:eastAsia="宋体"/>
      <w:b/>
      <w:bCs/>
      <w:sz w:val="22"/>
      <w:szCs w:val="22"/>
    </w:rPr>
  </w:style>
  <w:style w:styleId="Heading4" w:type="paragraph">
    <w:name w:val="Heading 4"/>
    <w:basedOn w:val="Normal"/>
    <w:uiPriority w:val="1"/>
    <w:qFormat/>
    <w:pPr>
      <w:ind w:left="153"/>
      <w:outlineLvl w:val="4"/>
    </w:pPr>
    <w:rPr>
      <w:rFonts w:ascii="宋体" w:hAnsi="宋体" w:eastAsia="宋体"/>
      <w:b/>
      <w:bCs/>
      <w:sz w:val="21"/>
      <w:szCs w:val="21"/>
    </w:rPr>
  </w:style>
  <w:style w:styleId="Heading5" w:type="paragraph">
    <w:name w:val="Heading 5"/>
    <w:basedOn w:val="Normal"/>
    <w:uiPriority w:val="1"/>
    <w:qFormat/>
    <w:pPr>
      <w:ind w:left="153"/>
      <w:outlineLvl w:val="5"/>
    </w:pPr>
    <w:rPr>
      <w:rFonts w:ascii="宋体" w:hAnsi="宋体" w:eastAsia="宋体"/>
      <w:sz w:val="20"/>
      <w:szCs w:val="20"/>
    </w:rPr>
  </w:style>
  <w:style w:styleId="Heading6" w:type="paragraph">
    <w:name w:val="Heading 6"/>
    <w:basedOn w:val="Normal"/>
    <w:uiPriority w:val="1"/>
    <w:qFormat/>
    <w:pPr>
      <w:spacing w:before="59"/>
      <w:ind w:left="513"/>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dcits.com/" TargetMode="External"/><Relationship Id="rId11" Type="http://schemas.openxmlformats.org/officeDocument/2006/relationships/hyperlink" Target="mailto:dcits-ir@dcits.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hyperlink" Target="http://114.80.154.45/SmartReaderWeb/SmartReader/?type=1&amp;amp;id=481508049&amp;amp;fav=1&amp;amp;lan=cn&amp;amp;dlang=cn&amp;amp;device=pc&amp;amp;gateway=news&amp;amp;terminaltype=wft&amp;amp;version=19.3.5.75500&amp;amp;device=pc&amp;amp;terminaltype=wft&amp;amp;version=19.3.5.75500" TargetMode="External"/><Relationship Id="rId15" Type="http://schemas.openxmlformats.org/officeDocument/2006/relationships/hyperlink" Target="http://114.80.154.45/SmartReaderWeb/SmartReader/?type=1&amp;amp;id=480839890&amp;amp;fav=1&amp;amp;lan=cn&amp;amp;dlang=cn&amp;amp;device=pc&amp;amp;gateway=news&amp;amp;terminaltype=wft&amp;amp;version=19.3.5.75500&amp;amp;device=pc&amp;amp;terminaltype=wft&amp;amp;version=19.3.5.75500" TargetMode="Externa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image" Target="media/image1.jpeg"/><Relationship Id="rId19" Type="http://schemas.openxmlformats.org/officeDocument/2006/relationships/header" Target="header4.xml"/><Relationship Id="rId20" Type="http://schemas.openxmlformats.org/officeDocument/2006/relationships/footer" Target="footer5.xml"/><Relationship Id="rId21" Type="http://schemas.openxmlformats.org/officeDocument/2006/relationships/header" Target="head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header" Target="header6.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hyperlink" Target="http://www.cninfo.com.cn/new/disclosure/detail?stockCode=00" TargetMode="External"/><Relationship Id="rId28" Type="http://schemas.openxmlformats.org/officeDocument/2006/relationships/header" Target="header7.xml"/><Relationship Id="rId29" Type="http://schemas.openxmlformats.org/officeDocument/2006/relationships/footer" Target="footer10.xml"/><Relationship Id="rId30" Type="http://schemas.openxmlformats.org/officeDocument/2006/relationships/header" Target="header8.xml"/><Relationship Id="rId31" Type="http://schemas.openxmlformats.org/officeDocument/2006/relationships/footer" Target="footer11.xml"/><Relationship Id="rId32" Type="http://schemas.openxmlformats.org/officeDocument/2006/relationships/header" Target="header9.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header" Target="header10.xml"/><Relationship Id="rId36" Type="http://schemas.openxmlformats.org/officeDocument/2006/relationships/footer" Target="footer14.xml"/><Relationship Id="rId37" Type="http://schemas.openxmlformats.org/officeDocument/2006/relationships/hyperlink" Target="http://ww/" TargetMode="External"/><Relationship Id="rId38" Type="http://schemas.openxmlformats.org/officeDocument/2006/relationships/header" Target="header11.xml"/><Relationship Id="rId39" Type="http://schemas.openxmlformats.org/officeDocument/2006/relationships/footer" Target="footer15.xml"/><Relationship Id="rId40" Type="http://schemas.openxmlformats.org/officeDocument/2006/relationships/header" Target="header12.xml"/><Relationship Id="rId41" Type="http://schemas.openxmlformats.org/officeDocument/2006/relationships/footer" Target="footer16.xml"/><Relationship Id="rId42" Type="http://schemas.openxmlformats.org/officeDocument/2006/relationships/header" Target="header13.xml"/><Relationship Id="rId43" Type="http://schemas.openxmlformats.org/officeDocument/2006/relationships/footer" Target="footer17.xml"/><Relationship Id="rId44" Type="http://schemas.openxmlformats.org/officeDocument/2006/relationships/header" Target="header14.xml"/><Relationship Id="rId45" Type="http://schemas.openxmlformats.org/officeDocument/2006/relationships/footer" Target="footer18.xml"/><Relationship Id="rId46" Type="http://schemas.openxmlformats.org/officeDocument/2006/relationships/header" Target="header15.xml"/><Relationship Id="rId47" Type="http://schemas.openxmlformats.org/officeDocument/2006/relationships/footer" Target="footer19.xml"/><Relationship Id="rId48" Type="http://schemas.openxmlformats.org/officeDocument/2006/relationships/header" Target="header16.xml"/><Relationship Id="rId49" Type="http://schemas.openxmlformats.org/officeDocument/2006/relationships/footer" Target="footer20.xml"/><Relationship Id="rId50" Type="http://schemas.openxmlformats.org/officeDocument/2006/relationships/header" Target="header17.xml"/><Relationship Id="rId51" Type="http://schemas.openxmlformats.org/officeDocument/2006/relationships/footer" Target="footer21.xml"/><Relationship Id="rId52" Type="http://schemas.openxmlformats.org/officeDocument/2006/relationships/image" Target="media/image3.png"/><Relationship Id="rId53" Type="http://schemas.openxmlformats.org/officeDocument/2006/relationships/image" Target="media/image4.png"/><Relationship Id="rId54" Type="http://schemas.openxmlformats.org/officeDocument/2006/relationships/image" Target="media/image5.png"/><Relationship Id="rId55" Type="http://schemas.openxmlformats.org/officeDocument/2006/relationships/image" Target="media/image6.png"/><Relationship Id="rId56" Type="http://schemas.openxmlformats.org/officeDocument/2006/relationships/image" Target="media/image7.png"/><Relationship Id="rId57" Type="http://schemas.openxmlformats.org/officeDocument/2006/relationships/image" Target="media/image8.png"/><Relationship Id="rId58" Type="http://schemas.openxmlformats.org/officeDocument/2006/relationships/image" Target="media/image9.png"/><Relationship Id="rId59" Type="http://schemas.openxmlformats.org/officeDocument/2006/relationships/image" Target="media/image10.png"/><Relationship Id="rId60" Type="http://schemas.openxmlformats.org/officeDocument/2006/relationships/image" Target="media/image11.png"/><Relationship Id="rId61" Type="http://schemas.openxmlformats.org/officeDocument/2006/relationships/image" Target="media/image12.png"/><Relationship Id="rId62" Type="http://schemas.openxmlformats.org/officeDocument/2006/relationships/image" Target="media/image13.png"/><Relationship Id="rId63" Type="http://schemas.openxmlformats.org/officeDocument/2006/relationships/image" Target="media/image14.png"/><Relationship Id="rId64" Type="http://schemas.openxmlformats.org/officeDocument/2006/relationships/image" Target="media/image15.png"/><Relationship Id="rId65" Type="http://schemas.openxmlformats.org/officeDocument/2006/relationships/image" Target="media/image16.png"/><Relationship Id="rId66" Type="http://schemas.openxmlformats.org/officeDocument/2006/relationships/image" Target="media/image17.png"/><Relationship Id="rId67" Type="http://schemas.openxmlformats.org/officeDocument/2006/relationships/image" Target="media/image18.png"/><Relationship Id="rId68" Type="http://schemas.openxmlformats.org/officeDocument/2006/relationships/image" Target="media/image19.png"/><Relationship Id="rId69" Type="http://schemas.openxmlformats.org/officeDocument/2006/relationships/footer" Target="footer22.xml"/><Relationship Id="rId70" Type="http://schemas.openxmlformats.org/officeDocument/2006/relationships/footer" Target="footer23.xml"/><Relationship Id="rId71" Type="http://schemas.openxmlformats.org/officeDocument/2006/relationships/hyperlink" Target="https://www.qichacha.com/firm_055c5c55858a1739a1565a593d284e58.html" TargetMode="External"/><Relationship Id="rId72" Type="http://schemas.openxmlformats.org/officeDocument/2006/relationships/footer" Target="footer24.xml"/><Relationship Id="rId73" Type="http://schemas.openxmlformats.org/officeDocument/2006/relationships/footer" Target="footer25.xml"/><Relationship Id="rId74" Type="http://schemas.openxmlformats.org/officeDocument/2006/relationships/footer" Target="footer26.xml"/><Relationship Id="rId75" Type="http://schemas.openxmlformats.org/officeDocument/2006/relationships/header" Target="header18.xml"/><Relationship Id="rId76" Type="http://schemas.openxmlformats.org/officeDocument/2006/relationships/footer" Target="footer27.xml"/><Relationship Id="rId77" Type="http://schemas.openxmlformats.org/officeDocument/2006/relationships/header" Target="header19.xml"/><Relationship Id="rId78" Type="http://schemas.openxmlformats.org/officeDocument/2006/relationships/footer" Target="footer28.xml"/><Relationship Id="rId79" Type="http://schemas.openxmlformats.org/officeDocument/2006/relationships/footer" Target="footer29.xml"/><Relationship Id="rId80" Type="http://schemas.openxmlformats.org/officeDocument/2006/relationships/footer" Target="footer30.xml"/><Relationship Id="rId81" Type="http://schemas.openxmlformats.org/officeDocument/2006/relationships/footer" Target="footer31.xml"/><Relationship Id="rId82" Type="http://schemas.openxmlformats.org/officeDocument/2006/relationships/footer" Target="footer3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26.xml.rels><?xml version="1.0" encoding="UTF-8" standalone="yes"?>
<Relationships xmlns="http://schemas.openxmlformats.org/package/2006/relationships"><Relationship Id="rId1" Type="http://schemas.openxmlformats.org/officeDocument/2006/relationships/image" Target="media/image1.jpeg"/></Relationships>

</file>

<file path=word/_rels/footer27.xml.rels><?xml version="1.0" encoding="UTF-8" standalone="yes"?>
<Relationships xmlns="http://schemas.openxmlformats.org/package/2006/relationships"><Relationship Id="rId1" Type="http://schemas.openxmlformats.org/officeDocument/2006/relationships/image" Target="media/image1.jpeg"/></Relationships>

</file>

<file path=word/_rels/footer28.xml.rels><?xml version="1.0" encoding="UTF-8" standalone="yes"?>
<Relationships xmlns="http://schemas.openxmlformats.org/package/2006/relationships"><Relationship Id="rId1" Type="http://schemas.openxmlformats.org/officeDocument/2006/relationships/image" Target="media/image1.jpeg"/></Relationships>

</file>

<file path=word/_rels/footer29.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30.xml.rels><?xml version="1.0" encoding="UTF-8" standalone="yes"?>
<Relationships xmlns="http://schemas.openxmlformats.org/package/2006/relationships"><Relationship Id="rId1" Type="http://schemas.openxmlformats.org/officeDocument/2006/relationships/image" Target="media/image1.jpeg"/></Relationships>

</file>

<file path=word/_rels/footer31.xml.rels><?xml version="1.0" encoding="UTF-8" standalone="yes"?>
<Relationships xmlns="http://schemas.openxmlformats.org/package/2006/relationships"><Relationship Id="rId1" Type="http://schemas.openxmlformats.org/officeDocument/2006/relationships/image" Target="media/image1.jpeg"/></Relationships>

</file>

<file path=word/_rels/footer32.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dongss.DIGITALCHINA</dc:creator>
  <dcterms:created xsi:type="dcterms:W3CDTF">2020-05-19T01:52:06Z</dcterms:created>
  <dcterms:modified xsi:type="dcterms:W3CDTF">2020-05-19T01:52:06Z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Microsoft® Word 2013</vt:lpwstr>
  </property>
  <property fmtid="{D5CDD505-2E9C-101B-9397-08002B2CF9AE}" pid="4" name="LastSaved">
    <vt:filetime>2020-05-18T00:00:00Z</vt:filetime>
  </property>
</Properties>
</file>