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835150" cy="5486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835150" cy="548640"/>
                    </a:xfrm>
                    <a:prstGeom prst="rect"/>
                  </pic:spPr>
                </pic:pic>
              </a:graphicData>
            </a:graphic>
          </wp:inline>
        </w:drawing>
      </w:r>
    </w:p>
    <w:p>
      <w:pPr>
        <w:widowControl w:val="0"/>
        <w:spacing w:after="219" w:line="1" w:lineRule="exact"/>
      </w:pPr>
    </w:p>
    <w:p>
      <w:pPr>
        <w:pStyle w:val="Style2"/>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神州数码信息服务股份有限公司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41" w:right="1021" w:bottom="2641" w:left="1107"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620" w:after="360" w:line="240" w:lineRule="auto"/>
        <w:ind w:left="0" w:right="0" w:firstLine="0"/>
        <w:jc w:val="center"/>
      </w:pPr>
      <w:bookmarkStart w:id="0" w:name="bookmark0"/>
      <w:bookmarkStart w:id="1" w:name="bookmark1"/>
      <w:bookmarkStart w:id="2" w:name="bookmark2"/>
      <w:bookmarkStart w:id="3" w:name="bookmark3"/>
      <w:r>
        <w:rPr>
          <w:rFonts w:ascii="Times New Roman" w:eastAsia="Times New Roman" w:hAnsi="Times New Roman" w:cs="Times New Roman"/>
          <w:color w:val="000000"/>
          <w:spacing w:val="0"/>
          <w:w w:val="100"/>
          <w:position w:val="0"/>
        </w:rPr>
        <w:t>2021</w:t>
      </w:r>
      <w:r>
        <w:rPr>
          <w:color w:val="000000"/>
          <w:spacing w:val="0"/>
          <w:w w:val="100"/>
          <w:position w:val="0"/>
        </w:rPr>
        <w:t>年度董事长报告</w:t>
      </w:r>
      <w:bookmarkEnd w:id="1"/>
      <w:bookmarkEnd w:id="2"/>
      <w:bookmarkEnd w:id="3"/>
      <w:bookmarkEnd w:id="0"/>
    </w:p>
    <w:p>
      <w:pPr>
        <w:pStyle w:val="Style13"/>
        <w:keepNext w:val="0"/>
        <w:keepLines w:val="0"/>
        <w:widowControl w:val="0"/>
        <w:shd w:val="clear" w:color="auto" w:fill="auto"/>
        <w:bidi w:val="0"/>
        <w:spacing w:before="0" w:after="0" w:line="350" w:lineRule="exact"/>
        <w:ind w:left="0" w:right="0"/>
        <w:jc w:val="both"/>
      </w:pPr>
      <w:r>
        <w:rPr>
          <w:color w:val="000000"/>
          <w:spacing w:val="0"/>
          <w:w w:val="100"/>
          <w:position w:val="0"/>
        </w:rPr>
        <w:t>过去两年，新冠疫情在全球肆虐，国际地缘政治极度不稳定，世界深陷经济衰退危机。在</w:t>
      </w:r>
      <w:r>
        <w:rPr>
          <w:color w:val="000000"/>
          <w:spacing w:val="0"/>
          <w:w w:val="100"/>
          <w:position w:val="0"/>
        </w:rPr>
        <w:t>2022</w:t>
      </w:r>
      <w:r>
        <w:rPr>
          <w:color w:val="000000"/>
          <w:spacing w:val="0"/>
          <w:w w:val="100"/>
          <w:position w:val="0"/>
        </w:rPr>
        <w:t>年的春天，我们终于隐 约可以看到新冠疫情式微的曙光。疫情深刻改变了我们每个人的生活，也为全人类叩响了世界经济结构、政治格局、全球化 进程、能源供需和科技进步等进入新发展范式的大门。</w:t>
      </w:r>
      <w:r>
        <w:rPr>
          <w:color w:val="000000"/>
          <w:spacing w:val="0"/>
          <w:w w:val="100"/>
          <w:position w:val="0"/>
        </w:rPr>
        <w:t>2021</w:t>
      </w:r>
      <w:r>
        <w:rPr>
          <w:color w:val="000000"/>
          <w:spacing w:val="0"/>
          <w:w w:val="100"/>
          <w:position w:val="0"/>
        </w:rPr>
        <w:t>年以来，在以习近平总书记为核心的党中央坚强领导下，我国 在疫情防控上取得了举世瞩目的成就，但也确实面临着宏观经济增速放缓、动能要素不足、金融风险加大的多重压力，为我 们朝着</w:t>
      </w:r>
      <w:r>
        <w:rPr>
          <w:color w:val="000000"/>
          <w:spacing w:val="0"/>
          <w:w w:val="100"/>
          <w:position w:val="0"/>
        </w:rPr>
        <w:t>2035</w:t>
      </w:r>
      <w:r>
        <w:rPr>
          <w:color w:val="000000"/>
          <w:spacing w:val="0"/>
          <w:w w:val="100"/>
          <w:position w:val="0"/>
        </w:rPr>
        <w:t>年社会经济发展蓝图顺利前行、实现“十四五”发展规划目标带来了诸多挑战。在坚持以科技自立自强作为发 展支撑、建设科技强国的前进道路上，神州信息作为国内领先的金融科技企业，将紧抓数字经济赋予我们的时代机遇，专注 数字技术与金融行业的深度融合，以创新驱动高质量发展，赋能金融产业，在金融信创、原生、数字化安全底座等领域与我 们的客户携手探索新金融的新业态与新场景，推进金融产业的数字化转型。</w:t>
      </w:r>
    </w:p>
    <w:p>
      <w:pPr>
        <w:pStyle w:val="Style13"/>
        <w:keepNext w:val="0"/>
        <w:keepLines w:val="0"/>
        <w:widowControl w:val="0"/>
        <w:shd w:val="clear" w:color="auto" w:fill="auto"/>
        <w:bidi w:val="0"/>
        <w:spacing w:before="0" w:after="0" w:line="350" w:lineRule="exact"/>
        <w:ind w:left="0" w:right="0"/>
        <w:jc w:val="both"/>
      </w:pPr>
      <w:r>
        <w:rPr>
          <w:color w:val="000000"/>
          <w:spacing w:val="0"/>
          <w:w w:val="100"/>
          <w:position w:val="0"/>
        </w:rPr>
        <w:t>2022</w:t>
      </w:r>
      <w:r>
        <w:rPr>
          <w:color w:val="000000"/>
          <w:spacing w:val="0"/>
          <w:w w:val="100"/>
          <w:position w:val="0"/>
        </w:rPr>
        <w:t>年伊始，第二期《求是》杂志发表习近平总书记的重要文章《不断做强做优做大我国数字经济》。文章强调，近 年来，数字经济发展速度之快、辐射范围之广、影响程度之深前所未有，正在成为重组全球要素资源、重塑全球经济结构、 改变全球竞争格局的关键力量。同一时间，国务院印发《“十四五”数字经济发展规划》，要求优化升级数字基础设施，充 分发挥数据要素作用，大力推进产业数字化转型，加快推动数字产业化发展；央行则印发《金融科技发展规划</w:t>
      </w:r>
      <w:r>
        <w:rPr>
          <w:color w:val="000000"/>
          <w:spacing w:val="0"/>
          <w:w w:val="100"/>
          <w:position w:val="0"/>
        </w:rPr>
        <w:t xml:space="preserve">（2022-2025 </w:t>
      </w:r>
      <w:r>
        <w:rPr>
          <w:color w:val="000000"/>
          <w:spacing w:val="0"/>
          <w:w w:val="100"/>
          <w:position w:val="0"/>
        </w:rPr>
        <w:t>年）》，提出要释放数据要素潜能，打造数字基础设施，深化核心技术应用、激活数字化经营新动能，加快金融服务智慧再 造。</w:t>
      </w:r>
    </w:p>
    <w:p>
      <w:pPr>
        <w:pStyle w:val="Style13"/>
        <w:keepNext w:val="0"/>
        <w:keepLines w:val="0"/>
        <w:widowControl w:val="0"/>
        <w:shd w:val="clear" w:color="auto" w:fill="auto"/>
        <w:bidi w:val="0"/>
        <w:spacing w:before="0" w:after="0" w:line="350" w:lineRule="exact"/>
        <w:ind w:left="0" w:right="0"/>
        <w:jc w:val="both"/>
      </w:pPr>
      <w:r>
        <w:rPr>
          <w:color w:val="000000"/>
          <w:spacing w:val="0"/>
          <w:w w:val="100"/>
          <w:position w:val="0"/>
        </w:rPr>
        <w:t>央行在新的金融科技发展规划中要求加快金融机构的数字化转型，以“数字驱动、智慧为民、绿色低碳、公平普惠”为 原则，将数字元素注入金融服务全流程，以科技驱动和数据赋能促进金融创新，推动金融科技从“立柱架梁”全面迈入“积 厚成势”新阶段。这是我国金融科技发展的新阶段顶层设计，为神州信息未来三年锚定了发展目标与方向。在这样的行业主 题下，我们将继续聚焦金融科技战略，响应总书记号召，在万千产业进行数字化转型升级的过程中，建设普惠金融体系，保 障国家金融安全，通过我们的金融服务为客户提供更加深刻、持续而长远的价值，真正服务实体经济。</w:t>
      </w:r>
    </w:p>
    <w:p>
      <w:pPr>
        <w:pStyle w:val="Style13"/>
        <w:keepNext w:val="0"/>
        <w:keepLines w:val="0"/>
        <w:widowControl w:val="0"/>
        <w:shd w:val="clear" w:color="auto" w:fill="auto"/>
        <w:bidi w:val="0"/>
        <w:spacing w:before="0" w:after="0" w:line="350" w:lineRule="exact"/>
        <w:ind w:left="0" w:right="0"/>
        <w:jc w:val="both"/>
      </w:pPr>
      <w:r>
        <w:rPr>
          <w:color w:val="000000"/>
          <w:spacing w:val="0"/>
          <w:w w:val="100"/>
          <w:position w:val="0"/>
        </w:rPr>
        <w:t>数字经济时代，社会生活的几乎所有方面都在融入数字化的互联互通浪潮，日益形成有机的生态整体。以云计算、大数 据、人工智能、物联网、区块链和</w:t>
      </w:r>
      <w:r>
        <w:rPr>
          <w:color w:val="000000"/>
          <w:spacing w:val="0"/>
          <w:w w:val="100"/>
          <w:position w:val="0"/>
        </w:rPr>
        <w:t>5G</w:t>
      </w:r>
      <w:r>
        <w:rPr>
          <w:color w:val="000000"/>
          <w:spacing w:val="0"/>
          <w:w w:val="100"/>
          <w:position w:val="0"/>
        </w:rPr>
        <w:t>等为代表的新技术在近年来蓬勃发展，构建起新一代基础设施体系，为技术更迭、社 会进步和商业革新持续提供新的发展动能，带来千行百业的数字转型、智能升级与融合创新。而在新一代基础设施体系循环 重构和演进的过程中，新的技术范式和商业环境也为企业的生存和发展带来了新课题：在数字时代，数据价值的深度挖掘和 数据资源的广泛应用正在构建新的科技语境，企业应如何利用数字经济所产生的强大算力、成熟算法和丰富数据，进行业务 与应用的革新和融合，才能在跨越式迭代和颠覆性创新越来越频繁发生的今天，永立不败之地。</w:t>
      </w:r>
    </w:p>
    <w:p>
      <w:pPr>
        <w:pStyle w:val="Style13"/>
        <w:keepNext w:val="0"/>
        <w:keepLines w:val="0"/>
        <w:widowControl w:val="0"/>
        <w:shd w:val="clear" w:color="auto" w:fill="auto"/>
        <w:bidi w:val="0"/>
        <w:spacing w:before="0" w:after="0" w:line="350" w:lineRule="exact"/>
        <w:ind w:left="0" w:right="0"/>
        <w:jc w:val="both"/>
      </w:pPr>
      <w:r>
        <w:rPr>
          <w:color w:val="000000"/>
          <w:spacing w:val="0"/>
          <w:w w:val="100"/>
          <w:position w:val="0"/>
        </w:rPr>
        <w:t>我们认为，无论是处于新兴产业还是在传统行业，在数字经济对商业逻辑和企业价值的颠覆潮流中，企业唯一的出路就 是数字化转型：使技术研发、业务流程、管理决策、组织模式和产业链协同都无限贴合以数据为关键生产要素的生产关系， 让数字技术渗透至企业运转的所有环节，将“数据+算法”融入组织管理的全生命周期并形成闭环，在提升组织效能过程中 实现企业竞争力的重构。当然，企业的数字化转型远不止于拥抱并应用数字技术，也不应仅仅是对设备与系统的数字化改造， 数字化转型是一项需要企业全力以赴的整体战略，应该深入到企业思维方式转变和数字文化构建的层面。</w:t>
      </w:r>
    </w:p>
    <w:p>
      <w:pPr>
        <w:pStyle w:val="Style13"/>
        <w:keepNext w:val="0"/>
        <w:keepLines w:val="0"/>
        <w:widowControl w:val="0"/>
        <w:shd w:val="clear" w:color="auto" w:fill="auto"/>
        <w:bidi w:val="0"/>
        <w:spacing w:before="0" w:after="0" w:line="350" w:lineRule="exact"/>
        <w:ind w:left="0" w:right="0"/>
        <w:jc w:val="both"/>
      </w:pPr>
      <w:r>
        <w:rPr>
          <w:color w:val="000000"/>
          <w:spacing w:val="0"/>
          <w:w w:val="100"/>
          <w:position w:val="0"/>
        </w:rPr>
        <w:t>企业的数字化转型是通过数字技术构建一个全感知、全联接、全场景、全智能的数字世界，在实现数字世界对物理世界 精准映射的基础上，优化再造物理世界的业务，对传统管理模式、业务模式和商业模式进行创新和重塑，以获得业务的成功。 在数字经济时代，金融业，特别是银行业一直是新信息技术的应用者和引领者，具有天然的信息化属性和推动数字化转型的 技术基础，因而得以在经营和服务过程中充分凸显数据要素的价值，领先其他行业率先获得数字经济的时代与技术红利。</w:t>
      </w:r>
    </w:p>
    <w:p>
      <w:pPr>
        <w:pStyle w:val="Style13"/>
        <w:keepNext w:val="0"/>
        <w:keepLines w:val="0"/>
        <w:widowControl w:val="0"/>
        <w:shd w:val="clear" w:color="auto" w:fill="auto"/>
        <w:bidi w:val="0"/>
        <w:spacing w:before="0" w:after="0" w:line="350" w:lineRule="exact"/>
        <w:ind w:left="0" w:right="0"/>
        <w:jc w:val="both"/>
      </w:pPr>
      <w:r>
        <w:rPr>
          <w:color w:val="000000"/>
          <w:spacing w:val="0"/>
          <w:w w:val="100"/>
          <w:position w:val="0"/>
        </w:rPr>
        <w:t>当然，为捕捉普惠金融和场景金融所带来的巨大机遇，今天我国的银行仍然需要克服</w:t>
      </w:r>
      <w:r>
        <w:rPr>
          <w:color w:val="000000"/>
          <w:spacing w:val="0"/>
          <w:w w:val="100"/>
          <w:position w:val="0"/>
        </w:rPr>
        <w:t>IT</w:t>
      </w:r>
      <w:r>
        <w:rPr>
          <w:color w:val="000000"/>
          <w:spacing w:val="0"/>
          <w:w w:val="100"/>
          <w:position w:val="0"/>
        </w:rPr>
        <w:t xml:space="preserve">架构交互能力不足、产业场景 植入能力有限、组织架构不够敏捷、数据治理结构分散等数字化发展不足所带来的挑战。想要抓住机遇，克服挑战，我们建 </w:t>
      </w:r>
      <w:r>
        <w:rPr>
          <w:color w:val="000000"/>
          <w:spacing w:val="0"/>
          <w:w w:val="100"/>
          <w:position w:val="0"/>
        </w:rPr>
        <w:t>议银行的变革升级可以从如下几个方面着手。首先，是构建数字原生的“新银行”，谱写组织的数字基因，构建数字能力持 续升级的机制，将数字思维刻入底层经营理念，形成天然的数字化思考方式和行动模式，用数字驱动组织运行与发展。其次， 是用场景融合的思路提供服务，深刻理解各场景对信用中介的需求，将金融产品和信用服务与应用场景相融合，为客户打造 个性化、定制化、无感、无形的银行体验。第三，是向客户提供比传统服务更进一步的“旅程服务”，根据客户行为和需要， 引导客户成长，实现全生命周期陪伴，在客户成长的旅程中进行各项服务的智能化输出，比如金融服务、信用中介服务、数 字化能力和相关经验、供需平台化服务等，最终达成旅程化的极致客户体验。第四，持续提升科技能力，以云原生、分布式 和全栈信创基础等要求升级</w:t>
      </w:r>
      <w:r>
        <w:rPr>
          <w:color w:val="000000"/>
          <w:spacing w:val="0"/>
          <w:w w:val="100"/>
          <w:position w:val="0"/>
        </w:rPr>
        <w:t>IT</w:t>
      </w:r>
      <w:r>
        <w:rPr>
          <w:color w:val="000000"/>
          <w:spacing w:val="0"/>
          <w:w w:val="100"/>
          <w:position w:val="0"/>
        </w:rPr>
        <w:t>架构，搭建多维度的中台体系为前端应用提供高效支持，系统地建设数据、模型和算力能力， 沉淀、运营和发挥数据资产的价值，并通过数字科技降本增效，实现组织的卓越运营。</w:t>
      </w:r>
    </w:p>
    <w:p>
      <w:pPr>
        <w:pStyle w:val="Style13"/>
        <w:keepNext w:val="0"/>
        <w:keepLines w:val="0"/>
        <w:widowControl w:val="0"/>
        <w:shd w:val="clear" w:color="auto" w:fill="auto"/>
        <w:bidi w:val="0"/>
        <w:spacing w:before="0" w:after="0" w:line="352" w:lineRule="exact"/>
        <w:ind w:left="0" w:right="0"/>
        <w:jc w:val="both"/>
      </w:pPr>
      <w:r>
        <w:rPr>
          <w:color w:val="000000"/>
          <w:spacing w:val="0"/>
          <w:w w:val="100"/>
          <w:position w:val="0"/>
        </w:rPr>
        <w:t>早在</w:t>
      </w:r>
      <w:r>
        <w:rPr>
          <w:color w:val="000000"/>
          <w:spacing w:val="0"/>
          <w:w w:val="100"/>
          <w:position w:val="0"/>
        </w:rPr>
        <w:t>2015</w:t>
      </w:r>
      <w:r>
        <w:rPr>
          <w:color w:val="000000"/>
          <w:spacing w:val="0"/>
          <w:w w:val="100"/>
          <w:position w:val="0"/>
        </w:rPr>
        <w:t>年，普惠金融就已经上升为国家战略。将场景金融与普惠金融相结合，由数字化转型切入，将为银行业带来 千载难逢的历史机遇。借助数字技术手段，深入场景，银行可以更好地“读懂”农村、“读懂”小微企业、“读懂”绿色产 业，并通过因地制宜地改造业务与风控模式，提供有针对性、有特色、符合实际需求的金融服务，进而可以在历史最悠久的 金融行业，借助最先进的数字技术，撬动体量最大的新蓝海市场。</w:t>
      </w:r>
    </w:p>
    <w:p>
      <w:pPr>
        <w:pStyle w:val="Style13"/>
        <w:keepNext w:val="0"/>
        <w:keepLines w:val="0"/>
        <w:widowControl w:val="0"/>
        <w:shd w:val="clear" w:color="auto" w:fill="auto"/>
        <w:bidi w:val="0"/>
        <w:spacing w:before="0" w:after="0" w:line="352" w:lineRule="exact"/>
        <w:ind w:left="0" w:right="0"/>
        <w:jc w:val="both"/>
      </w:pPr>
      <w:r>
        <w:rPr>
          <w:color w:val="000000"/>
          <w:spacing w:val="0"/>
          <w:w w:val="100"/>
          <w:position w:val="0"/>
        </w:rPr>
        <w:t>神州信息在服务金融机构客户方面有超过</w:t>
      </w:r>
      <w:r>
        <w:rPr>
          <w:color w:val="000000"/>
          <w:spacing w:val="0"/>
          <w:w w:val="100"/>
          <w:position w:val="0"/>
        </w:rPr>
        <w:t>30</w:t>
      </w:r>
      <w:r>
        <w:rPr>
          <w:color w:val="000000"/>
          <w:spacing w:val="0"/>
          <w:w w:val="100"/>
          <w:position w:val="0"/>
        </w:rPr>
        <w:t>年的经验，作为国内头部银行</w:t>
      </w:r>
      <w:r>
        <w:rPr>
          <w:color w:val="000000"/>
          <w:spacing w:val="0"/>
          <w:w w:val="100"/>
          <w:position w:val="0"/>
        </w:rPr>
        <w:t>IT</w:t>
      </w:r>
      <w:r>
        <w:rPr>
          <w:color w:val="000000"/>
          <w:spacing w:val="0"/>
          <w:w w:val="100"/>
          <w:position w:val="0"/>
        </w:rPr>
        <w:t>系统、产品和解决方案提供商，我们在过 去几年明确地体察到数字化转型为金融机构带来的新机遇和新挑战。为了深度服务银行的数字化转型，我们在</w:t>
      </w:r>
      <w:r>
        <w:rPr>
          <w:color w:val="000000"/>
          <w:spacing w:val="0"/>
          <w:w w:val="100"/>
          <w:position w:val="0"/>
        </w:rPr>
        <w:t>2021</w:t>
      </w:r>
      <w:r>
        <w:rPr>
          <w:color w:val="000000"/>
          <w:spacing w:val="0"/>
          <w:w w:val="100"/>
          <w:position w:val="0"/>
        </w:rPr>
        <w:t>年推出 了以数字技术为核心、面向未来银行</w:t>
      </w:r>
      <w:r>
        <w:rPr>
          <w:color w:val="000000"/>
          <w:spacing w:val="0"/>
          <w:w w:val="100"/>
          <w:position w:val="0"/>
        </w:rPr>
        <w:t>IT</w:t>
      </w:r>
      <w:r>
        <w:rPr>
          <w:color w:val="000000"/>
          <w:spacing w:val="0"/>
          <w:w w:val="100"/>
          <w:position w:val="0"/>
        </w:rPr>
        <w:t>架构的</w:t>
      </w:r>
      <w:r>
        <w:rPr>
          <w:color w:val="000000"/>
          <w:spacing w:val="0"/>
          <w:w w:val="100"/>
          <w:position w:val="0"/>
        </w:rPr>
        <w:t>ModelB@nk 5.0</w:t>
      </w:r>
      <w:r>
        <w:rPr>
          <w:color w:val="000000"/>
          <w:spacing w:val="0"/>
          <w:w w:val="100"/>
          <w:position w:val="0"/>
        </w:rPr>
        <w:t xml:space="preserve">技术架构。作为面向未来的银行业应用架构指引蓝图， </w:t>
      </w:r>
      <w:r>
        <w:rPr>
          <w:color w:val="000000"/>
          <w:spacing w:val="0"/>
          <w:w w:val="100"/>
          <w:position w:val="0"/>
        </w:rPr>
        <w:t>ModelB@nk5.0</w:t>
      </w:r>
      <w:r>
        <w:rPr>
          <w:color w:val="000000"/>
          <w:spacing w:val="0"/>
          <w:w w:val="100"/>
          <w:position w:val="0"/>
        </w:rPr>
        <w:t>基于云原生和微服务体系，以场景化、旅程化及中台化的细分功能赋能银行客户的生产生活，能够围绕银行 场景建设、旅程服务、能力输出、资源积累、组织管理五个层面的业务发展诉求，帮助其在大零售、产业金融乃至投资服务 等不同业务场景构建专业化金融服务体系，实现业务模式创新并发挥数据价值，从而更好地服务实体经济。</w:t>
      </w:r>
    </w:p>
    <w:p>
      <w:pPr>
        <w:pStyle w:val="Style13"/>
        <w:keepNext w:val="0"/>
        <w:keepLines w:val="0"/>
        <w:widowControl w:val="0"/>
        <w:shd w:val="clear" w:color="auto" w:fill="auto"/>
        <w:bidi w:val="0"/>
        <w:spacing w:before="0" w:after="0" w:line="352" w:lineRule="exact"/>
        <w:ind w:left="0" w:right="0"/>
        <w:jc w:val="both"/>
      </w:pPr>
      <w:r>
        <w:rPr>
          <w:color w:val="000000"/>
          <w:spacing w:val="0"/>
          <w:w w:val="100"/>
          <w:position w:val="0"/>
        </w:rPr>
        <w:t>此外，神州信息也在</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月发布了 “神州信创云”全家桶架构蓝图，旨在为企业数字化转型打造全栈自主可控底 座，提供整体信创云规划及建设服务的能力。“神州信创云”与</w:t>
      </w:r>
      <w:r>
        <w:rPr>
          <w:color w:val="000000"/>
          <w:spacing w:val="0"/>
          <w:w w:val="100"/>
          <w:position w:val="0"/>
        </w:rPr>
        <w:t xml:space="preserve">ModelB@nk5.0 </w:t>
      </w:r>
      <w:r>
        <w:rPr>
          <w:color w:val="000000"/>
          <w:spacing w:val="0"/>
          <w:w w:val="100"/>
          <w:position w:val="0"/>
        </w:rPr>
        <w:t>一道，形成了我们的金融科技</w:t>
      </w:r>
      <w:r>
        <w:rPr>
          <w:color w:val="000000"/>
          <w:spacing w:val="0"/>
          <w:w w:val="100"/>
          <w:position w:val="0"/>
        </w:rPr>
        <w:t>2.0</w:t>
      </w:r>
      <w:r>
        <w:rPr>
          <w:color w:val="000000"/>
          <w:spacing w:val="0"/>
          <w:w w:val="100"/>
          <w:position w:val="0"/>
        </w:rPr>
        <w:t>架构体系 的两极，在基础层和应用层分别为金融机构数字化升级提供全面的技术底座和能力支持。</w:t>
      </w:r>
    </w:p>
    <w:p>
      <w:pPr>
        <w:pStyle w:val="Style13"/>
        <w:keepNext w:val="0"/>
        <w:keepLines w:val="0"/>
        <w:widowControl w:val="0"/>
        <w:shd w:val="clear" w:color="auto" w:fill="auto"/>
        <w:bidi w:val="0"/>
        <w:spacing w:before="0" w:after="0" w:line="352" w:lineRule="exact"/>
        <w:ind w:left="0" w:right="0"/>
        <w:jc w:val="both"/>
      </w:pPr>
      <w:r>
        <w:rPr>
          <w:color w:val="000000"/>
          <w:spacing w:val="0"/>
          <w:w w:val="100"/>
          <w:position w:val="0"/>
        </w:rPr>
        <w:t>2021</w:t>
      </w:r>
      <w:r>
        <w:rPr>
          <w:color w:val="000000"/>
          <w:spacing w:val="0"/>
          <w:w w:val="100"/>
          <w:position w:val="0"/>
        </w:rPr>
        <w:t>年是神州信息成立的第</w:t>
      </w:r>
      <w:r>
        <w:rPr>
          <w:color w:val="000000"/>
          <w:spacing w:val="0"/>
          <w:w w:val="100"/>
          <w:position w:val="0"/>
        </w:rPr>
        <w:t>20</w:t>
      </w:r>
      <w:r>
        <w:rPr>
          <w:color w:val="000000"/>
          <w:spacing w:val="0"/>
          <w:w w:val="100"/>
          <w:position w:val="0"/>
        </w:rPr>
        <w:t>年，也是中国共产党迎来百年诞辰的重要年份。在后疫情时代的今天，金融科技行业的 变革愈加广阔而深刻，世界百年变局的演进宏大且充满不确定性。神州信息的前行，中国金融行业的进步，我们国家的发展 征程都在过去一年经历了意义深远的跨越。我国顺利换挡进入高质量发展阶段，经济长期向好，社会大局稳定；金融行业在 数字技术的加持下生机勃勃，跃迁式发展蓄势待发；神州信息也在金融软件、金融信创和场景金融等金融科技领域取得了令 我们欣慰自豪的成绩。</w:t>
      </w:r>
    </w:p>
    <w:p>
      <w:pPr>
        <w:pStyle w:val="Style13"/>
        <w:keepNext w:val="0"/>
        <w:keepLines w:val="0"/>
        <w:widowControl w:val="0"/>
        <w:shd w:val="clear" w:color="auto" w:fill="auto"/>
        <w:bidi w:val="0"/>
        <w:spacing w:before="0" w:after="820" w:line="352" w:lineRule="exact"/>
        <w:ind w:left="0" w:right="0"/>
        <w:jc w:val="both"/>
      </w:pPr>
      <w:r>
        <w:rPr>
          <w:color w:val="000000"/>
          <w:spacing w:val="0"/>
          <w:w w:val="100"/>
          <w:position w:val="0"/>
        </w:rPr>
        <w:t>2022</w:t>
      </w:r>
      <w:r>
        <w:rPr>
          <w:color w:val="000000"/>
          <w:spacing w:val="0"/>
          <w:w w:val="100"/>
          <w:position w:val="0"/>
        </w:rPr>
        <w:t>年将是神州信息发展历程中非常关键的一年，我们以客户为中心的金融科技营销体系将在今年形成涵盖营销、售 前、解决方案与交付、研发四层架构的完整结构，未来会围绕客户的长期价值增长部署我们的各项工作；我们的数字化中台 建设也将在今年通过业务中台和数据中台两个抓手深化公司自身的数字化转型。我们坚信，在金融机构进行全面数字化转型 的关键时期，神州信息为客户提供的涵盖金融科技与解决方案、金融信创和场景金融三大体系，包括核心应用、云计算、数 据智能、智能银行、开放金融、移动互联、风险管理与科技监管等在内的超过</w:t>
      </w:r>
      <w:r>
        <w:rPr>
          <w:color w:val="000000"/>
          <w:spacing w:val="0"/>
          <w:w w:val="100"/>
          <w:position w:val="0"/>
        </w:rPr>
        <w:t>200</w:t>
      </w:r>
      <w:r>
        <w:rPr>
          <w:color w:val="000000"/>
          <w:spacing w:val="0"/>
          <w:w w:val="100"/>
          <w:position w:val="0"/>
        </w:rPr>
        <w:t>个产品与解决方案将助力客户在金融数字 化浪潮中厘清时代大势，把握行业先机，应时而动，顺势而为，建立长青基业。</w:t>
      </w:r>
    </w:p>
    <w:p>
      <w:pPr>
        <w:pStyle w:val="Style13"/>
        <w:keepNext w:val="0"/>
        <w:keepLines w:val="0"/>
        <w:widowControl w:val="0"/>
        <w:shd w:val="clear" w:color="auto" w:fill="auto"/>
        <w:bidi w:val="0"/>
        <w:spacing w:before="0" w:after="160" w:line="240" w:lineRule="auto"/>
        <w:ind w:left="0" w:right="0" w:firstLine="0"/>
        <w:jc w:val="right"/>
      </w:pPr>
      <w:r>
        <w:rPr>
          <w:color w:val="000000"/>
          <w:spacing w:val="0"/>
          <w:w w:val="100"/>
          <w:position w:val="0"/>
        </w:rPr>
        <w:t>神州数码信息服务股份有限公司</w:t>
      </w:r>
    </w:p>
    <w:p>
      <w:pPr>
        <w:pStyle w:val="Style13"/>
        <w:keepNext w:val="0"/>
        <w:keepLines w:val="0"/>
        <w:widowControl w:val="0"/>
        <w:shd w:val="clear" w:color="auto" w:fill="auto"/>
        <w:bidi w:val="0"/>
        <w:spacing w:before="0" w:after="480" w:line="240" w:lineRule="auto"/>
        <w:ind w:left="0" w:right="0" w:firstLine="0"/>
        <w:jc w:val="right"/>
      </w:pPr>
      <w:r>
        <w:rPr>
          <w:color w:val="000000"/>
          <w:spacing w:val="0"/>
          <w:w w:val="100"/>
          <w:position w:val="0"/>
        </w:rPr>
        <w:t>董事长：郭为</w:t>
      </w:r>
    </w:p>
    <w:p>
      <w:pPr>
        <w:pStyle w:val="Style10"/>
        <w:keepNext/>
        <w:keepLines/>
        <w:widowControl w:val="0"/>
        <w:shd w:val="clear" w:color="auto" w:fill="auto"/>
        <w:bidi w:val="0"/>
        <w:spacing w:before="0" w:after="360" w:line="240" w:lineRule="auto"/>
        <w:ind w:left="0" w:right="0" w:firstLine="0"/>
        <w:jc w:val="center"/>
      </w:pPr>
      <w:bookmarkStart w:id="4" w:name="bookmark4"/>
      <w:bookmarkStart w:id="5" w:name="bookmark5"/>
      <w:bookmarkStart w:id="6" w:name="bookmark6"/>
      <w:bookmarkStart w:id="7" w:name="bookmark7"/>
      <w:r>
        <w:rPr>
          <w:color w:val="000000"/>
          <w:spacing w:val="0"/>
          <w:w w:val="100"/>
          <w:position w:val="0"/>
        </w:rPr>
        <w:t>第一节重要提示、目录和释义</w:t>
      </w:r>
      <w:bookmarkEnd w:id="5"/>
      <w:bookmarkEnd w:id="6"/>
      <w:bookmarkEnd w:id="7"/>
      <w:bookmarkEnd w:id="4"/>
    </w:p>
    <w:p>
      <w:pPr>
        <w:pStyle w:val="Style16"/>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公司负责人郭为、主管会计工作负责人刘伟刚及会计机构负责人（会计主管 人员）张秀慧声明：保证本年度报告中财务报告的真实、准确、完整。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43" w:lineRule="exact"/>
        <w:ind w:left="0" w:right="0"/>
        <w:jc w:val="both"/>
      </w:pPr>
      <w:r>
        <w:rPr>
          <w:color w:val="000000"/>
          <w:spacing w:val="0"/>
          <w:w w:val="100"/>
          <w:position w:val="0"/>
        </w:rPr>
        <w:t>本公司2021年年度报告涉及的未来计划等前瞻性陈述，不构成公司对投资 者的实质承诺，敬请广大投资者注意投资风险。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公司已在本报告中描述了公司发展过程中可能面对的风险，敬请查阅本报 告第三节之“十一、公司未来发展的展望”中“（三）公司发展过程中可能面 临的风险”的内容。</w:t>
      </w:r>
    </w:p>
    <w:p>
      <w:pPr>
        <w:pStyle w:val="Style16"/>
        <w:keepNext w:val="0"/>
        <w:keepLines w:val="0"/>
        <w:widowControl w:val="0"/>
        <w:shd w:val="clear" w:color="auto" w:fill="auto"/>
        <w:bidi w:val="0"/>
        <w:spacing w:before="0" w:line="624" w:lineRule="exact"/>
        <w:ind w:left="0" w:right="0"/>
        <w:jc w:val="both"/>
        <w:sectPr>
          <w:footnotePr>
            <w:pos w:val="pageBottom"/>
            <w:numFmt w:val="decimal"/>
            <w:numRestart w:val="continuous"/>
          </w:footnotePr>
          <w:pgSz w:w="11900" w:h="16840"/>
          <w:pgMar w:top="1311" w:right="997" w:bottom="1522" w:left="1096" w:header="0" w:footer="3" w:gutter="0"/>
          <w:cols w:space="720"/>
          <w:noEndnote/>
          <w:rtlGutter w:val="0"/>
          <w:docGrid w:linePitch="360"/>
        </w:sectPr>
      </w:pPr>
      <w:r>
        <w:rPr>
          <w:color w:val="000000"/>
          <w:spacing w:val="0"/>
          <w:w w:val="100"/>
          <w:position w:val="0"/>
        </w:rPr>
        <w:t>公司经本次董事会审议通过的利润分配预案为：以截至第九届董事会第一 次会议召开日，公司总股本扣除回购专户中已回购股份后的970,749,237股为基 数，向全体股东每10股派发现金红利</w:t>
      </w:r>
      <w:r>
        <w:rPr>
          <w:color w:val="000000"/>
          <w:spacing w:val="0"/>
          <w:w w:val="100"/>
          <w:position w:val="0"/>
        </w:rPr>
        <w:t>0.40</w:t>
      </w:r>
      <w:r>
        <w:rPr>
          <w:color w:val="000000"/>
          <w:spacing w:val="0"/>
          <w:w w:val="100"/>
          <w:position w:val="0"/>
        </w:rPr>
        <w:t>元（含税），送红股0股（含税）， 不以公积金转增股本。</w:t>
      </w:r>
    </w:p>
    <w:p>
      <w:pPr>
        <w:pStyle w:val="Style2"/>
        <w:keepNext w:val="0"/>
        <w:keepLines w:val="0"/>
        <w:widowControl w:val="0"/>
        <w:shd w:val="clear" w:color="auto" w:fill="auto"/>
        <w:bidi w:val="0"/>
        <w:spacing w:before="0" w:after="160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leader="dot" w:pos="9617" w:val="right"/>
        </w:tabs>
        <w:bidi w:val="0"/>
        <w:spacing w:before="0" w:line="240" w:lineRule="auto"/>
        <w:ind w:left="0" w:right="0" w:firstLine="0"/>
        <w:jc w:val="both"/>
      </w:pPr>
      <w:r>
        <w:fldChar w:fldCharType="begin"/>
        <w:instrText xml:space="preserve"> TOC \o "1-5" \h \z </w:instrText>
        <w:fldChar w:fldCharType="separate"/>
      </w:r>
      <w:hyperlink w:anchor="bookmark2" w:tooltip="Current Document">
        <w:r>
          <w:rPr>
            <w:rFonts w:ascii="Times New Roman" w:eastAsia="Times New Roman" w:hAnsi="Times New Roman" w:cs="Times New Roman"/>
            <w:color w:val="000000"/>
            <w:spacing w:val="0"/>
            <w:w w:val="100"/>
            <w:position w:val="0"/>
          </w:rPr>
          <w:t>2021</w:t>
        </w:r>
        <w:r>
          <w:rPr>
            <w:color w:val="000000"/>
            <w:spacing w:val="0"/>
            <w:w w:val="100"/>
            <w:position w:val="0"/>
          </w:rPr>
          <w:t>年度董事长报告</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6"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13"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58"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244"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409"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424"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564"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107</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626"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116</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630"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117</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sectPr>
          <w:footnotePr>
            <w:pos w:val="pageBottom"/>
            <w:numFmt w:val="decimal"/>
            <w:numRestart w:val="continuous"/>
          </w:footnotePr>
          <w:pgSz w:w="11900" w:h="16840"/>
          <w:pgMar w:top="2857" w:right="1107" w:bottom="2857" w:left="1107" w:header="0" w:footer="3" w:gutter="0"/>
          <w:cols w:space="720"/>
          <w:noEndnote/>
          <w:rtlGutter w:val="0"/>
          <w:docGrid w:linePitch="360"/>
        </w:sectPr>
      </w:pPr>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118</w:t>
      </w:r>
      <w:r>
        <w:fldChar w:fldCharType="end"/>
      </w:r>
    </w:p>
    <w:p>
      <w:pPr>
        <w:pStyle w:val="Style4"/>
        <w:keepNext w:val="0"/>
        <w:keepLines w:val="0"/>
        <w:widowControl w:val="0"/>
        <w:shd w:val="clear" w:color="auto" w:fill="auto"/>
        <w:bidi w:val="0"/>
        <w:spacing w:before="780" w:line="240" w:lineRule="auto"/>
        <w:ind w:left="0" w:right="0" w:firstLine="0"/>
        <w:jc w:val="center"/>
      </w:pPr>
      <w:r>
        <w:rPr>
          <w:color w:val="000000"/>
          <w:spacing w:val="0"/>
          <w:w w:val="100"/>
          <w:position w:val="0"/>
        </w:rPr>
        <w:t>备查文件目录</w:t>
      </w:r>
    </w:p>
    <w:p>
      <w:pPr>
        <w:pStyle w:val="Style13"/>
        <w:keepNext w:val="0"/>
        <w:keepLines w:val="0"/>
        <w:widowControl w:val="0"/>
        <w:shd w:val="clear" w:color="auto" w:fill="auto"/>
        <w:tabs>
          <w:tab w:pos="531" w:val="left"/>
        </w:tabs>
        <w:bidi w:val="0"/>
        <w:spacing w:before="0" w:after="120" w:line="240" w:lineRule="auto"/>
        <w:ind w:left="0" w:right="0" w:firstLine="0"/>
        <w:jc w:val="both"/>
      </w:pPr>
      <w:bookmarkStart w:id="8" w:name="bookmark8"/>
      <w:r>
        <w:rPr>
          <w:color w:val="000000"/>
          <w:spacing w:val="0"/>
          <w:w w:val="100"/>
          <w:position w:val="0"/>
        </w:rPr>
        <w:t>（</w:t>
      </w:r>
      <w:bookmarkEnd w:id="8"/>
      <w:r>
        <w:rPr>
          <w:color w:val="000000"/>
          <w:spacing w:val="0"/>
          <w:w w:val="100"/>
          <w:position w:val="0"/>
        </w:rPr>
        <w:t>一）</w:t>
        <w:tab/>
        <w:t>载有公司负责人、主管会计工作负责人、会计机构负责人签名并盖章的财务报表。</w:t>
      </w:r>
    </w:p>
    <w:p>
      <w:pPr>
        <w:pStyle w:val="Style13"/>
        <w:keepNext w:val="0"/>
        <w:keepLines w:val="0"/>
        <w:widowControl w:val="0"/>
        <w:shd w:val="clear" w:color="auto" w:fill="auto"/>
        <w:tabs>
          <w:tab w:pos="531" w:val="left"/>
        </w:tabs>
        <w:bidi w:val="0"/>
        <w:spacing w:before="0" w:after="120" w:line="240" w:lineRule="auto"/>
        <w:ind w:left="0" w:right="0" w:firstLine="0"/>
        <w:jc w:val="both"/>
      </w:pPr>
      <w:bookmarkStart w:id="9" w:name="bookmark9"/>
      <w:r>
        <w:rPr>
          <w:color w:val="000000"/>
          <w:spacing w:val="0"/>
          <w:w w:val="100"/>
          <w:position w:val="0"/>
        </w:rPr>
        <w:t>（</w:t>
      </w:r>
      <w:bookmarkEnd w:id="9"/>
      <w:r>
        <w:rPr>
          <w:color w:val="000000"/>
          <w:spacing w:val="0"/>
          <w:w w:val="100"/>
          <w:position w:val="0"/>
        </w:rPr>
        <w:t>二）</w:t>
        <w:tab/>
        <w:t>载有会计师事务所盖章、注册会计师签名并盖章的审计报告原件。</w:t>
      </w:r>
    </w:p>
    <w:p>
      <w:pPr>
        <w:pStyle w:val="Style13"/>
        <w:keepNext w:val="0"/>
        <w:keepLines w:val="0"/>
        <w:widowControl w:val="0"/>
        <w:shd w:val="clear" w:color="auto" w:fill="auto"/>
        <w:tabs>
          <w:tab w:pos="531" w:val="left"/>
        </w:tabs>
        <w:bidi w:val="0"/>
        <w:spacing w:before="0" w:after="700" w:line="240" w:lineRule="auto"/>
        <w:ind w:left="0" w:right="0" w:firstLine="0"/>
        <w:jc w:val="both"/>
      </w:pPr>
      <w:bookmarkStart w:id="10" w:name="bookmark10"/>
      <w:r>
        <w:rPr>
          <w:color w:val="000000"/>
          <w:spacing w:val="0"/>
          <w:w w:val="100"/>
          <w:position w:val="0"/>
        </w:rPr>
        <w:t>（</w:t>
      </w:r>
      <w:bookmarkEnd w:id="10"/>
      <w:r>
        <w:rPr>
          <w:color w:val="000000"/>
          <w:spacing w:val="0"/>
          <w:w w:val="100"/>
          <w:position w:val="0"/>
        </w:rPr>
        <w:t>三）</w:t>
        <w:tab/>
        <w:t>报告期内在《证券时报》及巨潮资讯网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上公开披露过的所有公司文件的正本及公告的原稿。</w:t>
      </w:r>
    </w:p>
    <w:p>
      <w:pPr>
        <w:pStyle w:val="Style13"/>
        <w:keepNext w:val="0"/>
        <w:keepLines w:val="0"/>
        <w:widowControl w:val="0"/>
        <w:shd w:val="clear" w:color="auto" w:fill="auto"/>
        <w:bidi w:val="0"/>
        <w:spacing w:before="0" w:after="400" w:line="312" w:lineRule="exact"/>
        <w:ind w:left="7060" w:right="0" w:firstLine="0"/>
        <w:jc w:val="right"/>
      </w:pPr>
      <w:r>
        <w:rPr>
          <w:color w:val="000000"/>
          <w:spacing w:val="0"/>
          <w:w w:val="100"/>
          <w:position w:val="0"/>
        </w:rPr>
        <w:t xml:space="preserve">神州数码信息服务股份有限公司 董事长：郭为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br w:type="page"/>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本公司、公司、神州信息、本集团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太光电信、</w:t>
            </w:r>
            <w:r>
              <w:rPr>
                <w:rFonts w:ascii="Times New Roman" w:eastAsia="Times New Roman" w:hAnsi="Times New Roman" w:cs="Times New Roman"/>
                <w:color w:val="000000"/>
                <w:spacing w:val="0"/>
                <w:w w:val="100"/>
                <w:position w:val="0"/>
              </w:rPr>
              <w:t>*ST</w:t>
            </w:r>
            <w:r>
              <w:rPr>
                <w:color w:val="000000"/>
                <w:spacing w:val="0"/>
                <w:w w:val="100"/>
                <w:position w:val="0"/>
              </w:rPr>
              <w:t>太光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深圳市太光电信股份有限公司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萍乡信锐、天津信锐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萍乡信锐企业管理合伙企业（有限合伙）（原名为天津信锐投资合 伙企业（有限合伙））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中新创投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中新苏州工业园区创业投资有限公司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华亿投资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Infinity I-China Investments </w:t>
            </w:r>
            <w:r>
              <w:rPr>
                <w:color w:val="000000"/>
                <w:spacing w:val="0"/>
                <w:w w:val="100"/>
                <w:position w:val="0"/>
              </w:rPr>
              <w:t>（</w:t>
            </w:r>
            <w:r>
              <w:rPr>
                <w:rFonts w:ascii="Times New Roman" w:eastAsia="Times New Roman" w:hAnsi="Times New Roman" w:cs="Times New Roman"/>
                <w:color w:val="000000"/>
                <w:spacing w:val="0"/>
                <w:w w:val="100"/>
                <w:position w:val="0"/>
              </w:rPr>
              <w:t>Israel</w:t>
            </w:r>
            <w:r>
              <w:rPr>
                <w:color w:val="000000"/>
                <w:spacing w:val="0"/>
                <w:w w:val="100"/>
                <w:position w:val="0"/>
              </w:rPr>
              <w:t>）</w:t>
            </w:r>
            <w:r>
              <w:rPr>
                <w:rFonts w:ascii="Times New Roman" w:eastAsia="Times New Roman" w:hAnsi="Times New Roman" w:cs="Times New Roman"/>
                <w:color w:val="000000"/>
                <w:spacing w:val="0"/>
                <w:w w:val="100"/>
                <w:position w:val="0"/>
              </w:rPr>
              <w:t>,L.P</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南京汇庆</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霍尔果斯汇庆天下股权投资管理合伙企业（有限合伙）（原名为南 京汇庆天下科技有限公司）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申昌科技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昆山市申昌科技有限公司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北京中农信达信息技术有限公司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华苏科技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旗硕科技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君信宜知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上海君信宜知网络科技有限公司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融信软件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融信云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《深圳证券交易所股票上市规则》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神州数码信息服务股份有限公司章程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神州数码信息服务股份有限公司股东大会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神州数码信息服务股份有限公司董事会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神州数码信息服务股份有限公司监事会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11" w:name="bookmark11"/>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bookmarkEnd w:id="11"/>
    </w:p>
    <w:p>
      <w:pPr>
        <w:pStyle w:val="Style25"/>
        <w:keepNext/>
        <w:keepLines/>
        <w:widowControl w:val="0"/>
        <w:shd w:val="clear" w:color="auto" w:fill="auto"/>
        <w:bidi w:val="0"/>
        <w:spacing w:before="0" w:line="240" w:lineRule="auto"/>
        <w:ind w:left="0" w:right="0" w:firstLine="240"/>
        <w:jc w:val="left"/>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482"/>
        <w:gridCol w:w="709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707" w:val="left"/>
                <w:tab w:pos="4877" w:val="left"/>
              </w:tabs>
              <w:bidi w:val="0"/>
              <w:spacing w:before="0" w:after="0" w:line="240" w:lineRule="auto"/>
              <w:ind w:left="0" w:right="0" w:firstLine="0"/>
              <w:jc w:val="left"/>
            </w:pPr>
            <w:r>
              <w:rPr>
                <w:color w:val="000000"/>
                <w:spacing w:val="0"/>
                <w:w w:val="100"/>
                <w:position w:val="0"/>
              </w:rPr>
              <w:t>神州信息</w:t>
              <w:tab/>
              <w:t>股票代码</w:t>
              <w:tab/>
            </w:r>
            <w:r>
              <w:rPr>
                <w:rFonts w:ascii="Times New Roman" w:eastAsia="Times New Roman" w:hAnsi="Times New Roman" w:cs="Times New Roman"/>
                <w:color w:val="000000"/>
                <w:spacing w:val="0"/>
                <w:w w:val="100"/>
                <w:position w:val="0"/>
              </w:rPr>
              <w:t>000555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Information Service Company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DCITS</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深圳市南山区科发路</w:t>
            </w:r>
            <w:r>
              <w:rPr>
                <w:rFonts w:ascii="Times New Roman" w:eastAsia="Times New Roman" w:hAnsi="Times New Roman" w:cs="Times New Roman"/>
                <w:color w:val="000000"/>
                <w:spacing w:val="0"/>
                <w:w w:val="100"/>
                <w:position w:val="0"/>
              </w:rPr>
              <w:t>8</w:t>
            </w:r>
            <w:r>
              <w:rPr>
                <w:color w:val="000000"/>
                <w:spacing w:val="0"/>
                <w:w w:val="100"/>
                <w:position w:val="0"/>
              </w:rPr>
              <w:t>号金融服务技术创新基地</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11B1</w:t>
            </w:r>
            <w:r>
              <w:rPr>
                <w:color w:val="000000"/>
                <w:spacing w:val="0"/>
                <w:w w:val="100"/>
                <w:position w:val="0"/>
              </w:rPr>
              <w:t>单元</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30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54"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月，公司注册地址由贵州省凯里市环城西路</w:t>
            </w:r>
            <w:r>
              <w:rPr>
                <w:rFonts w:ascii="Times New Roman" w:eastAsia="Times New Roman" w:hAnsi="Times New Roman" w:cs="Times New Roman"/>
                <w:color w:val="000000"/>
                <w:spacing w:val="0"/>
                <w:w w:val="100"/>
                <w:position w:val="0"/>
              </w:rPr>
              <w:t>92</w:t>
            </w:r>
            <w:r>
              <w:rPr>
                <w:color w:val="000000"/>
                <w:spacing w:val="0"/>
                <w:w w:val="100"/>
                <w:position w:val="0"/>
              </w:rPr>
              <w:t>号迁移变更为深圳市福田区 天安数码城天吉大厦四楼</w:t>
            </w:r>
            <w:r>
              <w:rPr>
                <w:rFonts w:ascii="Times New Roman" w:eastAsia="Times New Roman" w:hAnsi="Times New Roman" w:cs="Times New Roman"/>
                <w:color w:val="000000"/>
                <w:spacing w:val="0"/>
                <w:w w:val="100"/>
                <w:position w:val="0"/>
              </w:rPr>
              <w:t>A2</w:t>
            </w:r>
            <w:r>
              <w:rPr>
                <w:color w:val="000000"/>
                <w:spacing w:val="0"/>
                <w:w w:val="100"/>
                <w:position w:val="0"/>
              </w:rPr>
              <w:t>室。</w:t>
            </w:r>
          </w:p>
          <w:p>
            <w:pPr>
              <w:pStyle w:val="Style22"/>
              <w:keepNext w:val="0"/>
              <w:keepLines w:val="0"/>
              <w:widowControl w:val="0"/>
              <w:shd w:val="clear" w:color="auto" w:fill="auto"/>
              <w:tabs>
                <w:tab w:pos="269"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月，公司注册地址变更为深圳市福田区车公庙泰然工贸园</w:t>
            </w:r>
            <w:r>
              <w:rPr>
                <w:rFonts w:ascii="Times New Roman" w:eastAsia="Times New Roman" w:hAnsi="Times New Roman" w:cs="Times New Roman"/>
                <w:color w:val="000000"/>
                <w:spacing w:val="0"/>
                <w:w w:val="100"/>
                <w:position w:val="0"/>
              </w:rPr>
              <w:t>201</w:t>
            </w:r>
            <w:r>
              <w:rPr>
                <w:color w:val="000000"/>
                <w:spacing w:val="0"/>
                <w:w w:val="100"/>
                <w:position w:val="0"/>
              </w:rPr>
              <w:t>栋</w:t>
            </w:r>
            <w:r>
              <w:rPr>
                <w:rFonts w:ascii="Times New Roman" w:eastAsia="Times New Roman" w:hAnsi="Times New Roman" w:cs="Times New Roman"/>
                <w:color w:val="000000"/>
                <w:spacing w:val="0"/>
                <w:w w:val="100"/>
                <w:position w:val="0"/>
              </w:rPr>
              <w:t>2</w:t>
            </w:r>
            <w:r>
              <w:rPr>
                <w:color w:val="000000"/>
                <w:spacing w:val="0"/>
                <w:w w:val="100"/>
                <w:position w:val="0"/>
              </w:rPr>
              <w:t>楼。</w:t>
            </w:r>
          </w:p>
          <w:p>
            <w:pPr>
              <w:pStyle w:val="Style22"/>
              <w:keepNext w:val="0"/>
              <w:keepLines w:val="0"/>
              <w:widowControl w:val="0"/>
              <w:shd w:val="clear" w:color="auto" w:fill="auto"/>
              <w:tabs>
                <w:tab w:pos="259"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月，公司注册地址变更为深圳市福田区滨河路北与彩田路东联合广场</w:t>
            </w:r>
            <w:r>
              <w:rPr>
                <w:rFonts w:ascii="Times New Roman" w:eastAsia="Times New Roman" w:hAnsi="Times New Roman" w:cs="Times New Roman"/>
                <w:color w:val="000000"/>
                <w:spacing w:val="0"/>
                <w:w w:val="100"/>
                <w:position w:val="0"/>
              </w:rPr>
              <w:t>A</w:t>
            </w:r>
            <w:r>
              <w:rPr>
                <w:color w:val="000000"/>
                <w:spacing w:val="0"/>
                <w:w w:val="100"/>
                <w:position w:val="0"/>
              </w:rPr>
              <w:t xml:space="preserve">座 </w:t>
            </w:r>
            <w:r>
              <w:rPr>
                <w:rFonts w:ascii="Times New Roman" w:eastAsia="Times New Roman" w:hAnsi="Times New Roman" w:cs="Times New Roman"/>
                <w:color w:val="000000"/>
                <w:spacing w:val="0"/>
                <w:w w:val="100"/>
                <w:position w:val="0"/>
              </w:rPr>
              <w:t xml:space="preserve">3608 </w:t>
            </w:r>
            <w:r>
              <w:rPr>
                <w:color w:val="000000"/>
                <w:spacing w:val="0"/>
                <w:w w:val="100"/>
                <w:position w:val="0"/>
              </w:rPr>
              <w:t>室。</w:t>
            </w:r>
          </w:p>
          <w:p>
            <w:pPr>
              <w:pStyle w:val="Style22"/>
              <w:keepNext w:val="0"/>
              <w:keepLines w:val="0"/>
              <w:widowControl w:val="0"/>
              <w:shd w:val="clear" w:color="auto" w:fill="auto"/>
              <w:tabs>
                <w:tab w:pos="240"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月，公司注册地址变更为深圳市南山区科发路</w:t>
            </w:r>
            <w:r>
              <w:rPr>
                <w:rFonts w:ascii="Times New Roman" w:eastAsia="Times New Roman" w:hAnsi="Times New Roman" w:cs="Times New Roman"/>
                <w:color w:val="000000"/>
                <w:spacing w:val="0"/>
                <w:w w:val="100"/>
                <w:position w:val="0"/>
              </w:rPr>
              <w:t>8</w:t>
            </w:r>
            <w:r>
              <w:rPr>
                <w:color w:val="000000"/>
                <w:spacing w:val="0"/>
                <w:w w:val="100"/>
                <w:position w:val="0"/>
              </w:rPr>
              <w:t>号金融服务技术创新基地</w:t>
            </w:r>
            <w:r>
              <w:rPr>
                <w:rFonts w:ascii="Times New Roman" w:eastAsia="Times New Roman" w:hAnsi="Times New Roman" w:cs="Times New Roman"/>
                <w:color w:val="000000"/>
                <w:spacing w:val="0"/>
                <w:w w:val="100"/>
                <w:position w:val="0"/>
              </w:rPr>
              <w:t xml:space="preserve">1 </w:t>
            </w:r>
            <w:r>
              <w:rPr>
                <w:color w:val="000000"/>
                <w:spacing w:val="0"/>
                <w:w w:val="100"/>
                <w:position w:val="0"/>
              </w:rPr>
              <w:t>栋</w:t>
            </w:r>
            <w:r>
              <w:rPr>
                <w:rFonts w:ascii="Times New Roman" w:eastAsia="Times New Roman" w:hAnsi="Times New Roman" w:cs="Times New Roman"/>
                <w:color w:val="000000"/>
                <w:spacing w:val="0"/>
                <w:w w:val="100"/>
                <w:position w:val="0"/>
              </w:rPr>
              <w:t>3C5</w:t>
            </w:r>
            <w:r>
              <w:rPr>
                <w:color w:val="000000"/>
                <w:spacing w:val="0"/>
                <w:w w:val="100"/>
                <w:position w:val="0"/>
              </w:rPr>
              <w:t>单元。</w:t>
            </w:r>
          </w:p>
          <w:p>
            <w:pPr>
              <w:pStyle w:val="Style22"/>
              <w:keepNext w:val="0"/>
              <w:keepLines w:val="0"/>
              <w:widowControl w:val="0"/>
              <w:shd w:val="clear" w:color="auto" w:fill="auto"/>
              <w:tabs>
                <w:tab w:pos="230"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月，公司注册地址变更为深圳市南山区科发路</w:t>
            </w:r>
            <w:r>
              <w:rPr>
                <w:rFonts w:ascii="Times New Roman" w:eastAsia="Times New Roman" w:hAnsi="Times New Roman" w:cs="Times New Roman"/>
                <w:color w:val="000000"/>
                <w:spacing w:val="0"/>
                <w:w w:val="100"/>
                <w:position w:val="0"/>
              </w:rPr>
              <w:t>8</w:t>
            </w:r>
            <w:r>
              <w:rPr>
                <w:color w:val="000000"/>
                <w:spacing w:val="0"/>
                <w:w w:val="100"/>
                <w:position w:val="0"/>
              </w:rPr>
              <w:t>号金融服务技术创新基地</w:t>
            </w:r>
            <w:r>
              <w:rPr>
                <w:rFonts w:ascii="Times New Roman" w:eastAsia="Times New Roman" w:hAnsi="Times New Roman" w:cs="Times New Roman"/>
                <w:color w:val="000000"/>
                <w:spacing w:val="0"/>
                <w:w w:val="100"/>
                <w:position w:val="0"/>
              </w:rPr>
              <w:t xml:space="preserve">2 </w:t>
            </w:r>
            <w:r>
              <w:rPr>
                <w:color w:val="000000"/>
                <w:spacing w:val="0"/>
                <w:w w:val="100"/>
                <w:position w:val="0"/>
              </w:rPr>
              <w:t>栋</w:t>
            </w:r>
            <w:r>
              <w:rPr>
                <w:rFonts w:ascii="Times New Roman" w:eastAsia="Times New Roman" w:hAnsi="Times New Roman" w:cs="Times New Roman"/>
                <w:color w:val="000000"/>
                <w:spacing w:val="0"/>
                <w:w w:val="100"/>
                <w:position w:val="0"/>
              </w:rPr>
              <w:t>11B1</w:t>
            </w:r>
            <w:r>
              <w:rPr>
                <w:color w:val="000000"/>
                <w:spacing w:val="0"/>
                <w:w w:val="100"/>
                <w:position w:val="0"/>
              </w:rPr>
              <w:t>单元。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rPr>
              <w:t>10</w:t>
            </w:r>
            <w:r>
              <w:rPr>
                <w:color w:val="000000"/>
                <w:spacing w:val="0"/>
                <w:w w:val="100"/>
                <w:position w:val="0"/>
              </w:rPr>
              <w:t>号院东区</w:t>
            </w:r>
            <w:r>
              <w:rPr>
                <w:rFonts w:ascii="Times New Roman" w:eastAsia="Times New Roman" w:hAnsi="Times New Roman" w:cs="Times New Roman"/>
                <w:color w:val="000000"/>
                <w:spacing w:val="0"/>
                <w:w w:val="100"/>
                <w:position w:val="0"/>
              </w:rPr>
              <w:t>18</w:t>
            </w:r>
            <w:r>
              <w:rPr>
                <w:color w:val="000000"/>
                <w:spacing w:val="0"/>
                <w:w w:val="100"/>
                <w:position w:val="0"/>
              </w:rPr>
              <w:t>号楼神州信息大厦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"http://www.dcits.com" </w:instrText>
            </w:r>
            <w:r>
              <w:fldChar w:fldCharType="separate"/>
            </w:r>
            <w:r>
              <w:rPr>
                <w:rFonts w:ascii="Times New Roman" w:eastAsia="Times New Roman" w:hAnsi="Times New Roman" w:cs="Times New Roman"/>
                <w:color w:val="000000"/>
                <w:spacing w:val="0"/>
                <w:w w:val="100"/>
                <w:position w:val="0"/>
              </w:rPr>
              <w:t>www.dcits.com</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dcits-ir@dcits. com</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孙端阳</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rPr>
              <w:t>10</w:t>
            </w:r>
            <w:r>
              <w:rPr>
                <w:color w:val="000000"/>
                <w:spacing w:val="0"/>
                <w:w w:val="100"/>
                <w:position w:val="0"/>
              </w:rPr>
              <w:t xml:space="preserve">号院东区 </w:t>
            </w:r>
            <w:r>
              <w:rPr>
                <w:rFonts w:ascii="Times New Roman" w:eastAsia="Times New Roman" w:hAnsi="Times New Roman" w:cs="Times New Roman"/>
                <w:color w:val="000000"/>
                <w:spacing w:val="0"/>
                <w:w w:val="100"/>
                <w:position w:val="0"/>
              </w:rPr>
              <w:t>18</w:t>
            </w:r>
            <w:r>
              <w:rPr>
                <w:color w:val="000000"/>
                <w:spacing w:val="0"/>
                <w:w w:val="100"/>
                <w:position w:val="0"/>
              </w:rPr>
              <w:t>号楼神州信息大厦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rPr>
              <w:t>10</w:t>
            </w:r>
            <w:r>
              <w:rPr>
                <w:color w:val="000000"/>
                <w:spacing w:val="0"/>
                <w:w w:val="100"/>
                <w:position w:val="0"/>
              </w:rPr>
              <w:t xml:space="preserve">号院东区 </w:t>
            </w:r>
            <w:r>
              <w:rPr>
                <w:rFonts w:ascii="Times New Roman" w:eastAsia="Times New Roman" w:hAnsi="Times New Roman" w:cs="Times New Roman"/>
                <w:color w:val="000000"/>
                <w:spacing w:val="0"/>
                <w:w w:val="100"/>
                <w:position w:val="0"/>
              </w:rPr>
              <w:t>18</w:t>
            </w:r>
            <w:r>
              <w:rPr>
                <w:color w:val="000000"/>
                <w:spacing w:val="0"/>
                <w:w w:val="100"/>
                <w:position w:val="0"/>
              </w:rPr>
              <w:t>号楼神州信息大厦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010-61853676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010-61853676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010-62694810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010-62694810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dcits-ir@dcits. com</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"mailto:dcits-ir@dcits.com" </w:instrText>
            </w:r>
            <w:r>
              <w:fldChar w:fldCharType="separate"/>
            </w:r>
            <w:r>
              <w:rPr>
                <w:rFonts w:ascii="Times New Roman" w:eastAsia="Times New Roman" w:hAnsi="Times New Roman" w:cs="Times New Roman"/>
                <w:color w:val="000000"/>
                <w:spacing w:val="0"/>
                <w:w w:val="100"/>
                <w:position w:val="0"/>
              </w:rPr>
              <w:t>dcits-ir@dcits.com</w:t>
            </w:r>
            <w:r>
              <w:fldChar w:fldCharType="end"/>
            </w:r>
          </w:p>
        </w:tc>
      </w:tr>
    </w:tbl>
    <w:p>
      <w:pPr>
        <w:spacing w:lineRule="exact" w:line="1"/>
        <w:rPr>
          <w:sz w:val="2"/>
          <w:szCs w:val="2"/>
        </w:rPr>
      </w:pPr>
      <w:r>
        <w:br w:type="page"/>
      </w:r>
    </w:p>
    <w:p>
      <w:pPr>
        <w:pStyle w:val="Style25"/>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"http://www.szse" </w:instrText>
            </w:r>
            <w:r>
              <w:fldChar w:fldCharType="separate"/>
            </w:r>
            <w:r>
              <w:rPr>
                <w:rFonts w:ascii="Times New Roman" w:eastAsia="Times New Roman" w:hAnsi="Times New Roman" w:cs="Times New Roman"/>
                <w:color w:val="000000"/>
                <w:spacing w:val="0"/>
                <w:w w:val="100"/>
                <w:position w:val="0"/>
              </w:rPr>
              <w:t>http://www.szse</w:t>
            </w:r>
            <w:r>
              <w:fldChar w:fldCharType="end"/>
            </w:r>
            <w:r>
              <w:rPr>
                <w:rFonts w:ascii="Times New Roman" w:eastAsia="Times New Roman" w:hAnsi="Times New Roman" w:cs="Times New Roman"/>
                <w:color w:val="000000"/>
                <w:spacing w:val="0"/>
                <w:w w:val="100"/>
                <w:position w:val="0"/>
              </w:rPr>
              <w:t>. cn/</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rPr>
              <w:t>10</w:t>
            </w:r>
            <w:r>
              <w:rPr>
                <w:color w:val="000000"/>
                <w:spacing w:val="0"/>
                <w:w w:val="100"/>
                <w:position w:val="0"/>
              </w:rPr>
              <w:t>号院东区</w:t>
            </w:r>
            <w:r>
              <w:rPr>
                <w:rFonts w:ascii="Times New Roman" w:eastAsia="Times New Roman" w:hAnsi="Times New Roman" w:cs="Times New Roman"/>
                <w:color w:val="000000"/>
                <w:spacing w:val="0"/>
                <w:w w:val="100"/>
                <w:position w:val="0"/>
              </w:rPr>
              <w:t>18</w:t>
            </w:r>
            <w:r>
              <w:rPr>
                <w:color w:val="000000"/>
                <w:spacing w:val="0"/>
                <w:w w:val="100"/>
                <w:position w:val="0"/>
              </w:rPr>
              <w:t>号楼神州信息大厦六层</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、注册变更情况</w:t>
      </w:r>
      <w:bookmarkEnd w:id="26"/>
      <w:bookmarkEnd w:id="27"/>
      <w:bookmarkEnd w:id="29"/>
    </w:p>
    <w:tbl>
      <w:tblPr>
        <w:tblOverlap w:val="never"/>
        <w:jc w:val="center"/>
        <w:tblLayout w:type="fixed"/>
      </w:tblPr>
      <w:tblGrid>
        <w:gridCol w:w="2294"/>
        <w:gridCol w:w="72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91440300726198124D</w:t>
            </w:r>
          </w:p>
        </w:tc>
      </w:tr>
      <w:tr>
        <w:trPr>
          <w:trHeight w:val="625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 变化情况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6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公司上市以来经营范围为：涤纶化纤、织物印染、化纤原料。主要产品为涤纶长丝。</w:t>
            </w:r>
          </w:p>
          <w:p>
            <w:pPr>
              <w:pStyle w:val="Style22"/>
              <w:keepNext w:val="0"/>
              <w:keepLines w:val="0"/>
              <w:widowControl w:val="0"/>
              <w:shd w:val="clear" w:color="auto" w:fill="auto"/>
              <w:tabs>
                <w:tab w:pos="269"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日，公司经营范围变更为：涤纶化纤、织物印染、化纤原料；生产、销 售</w:t>
            </w:r>
            <w:r>
              <w:rPr>
                <w:rFonts w:ascii="Times New Roman" w:eastAsia="Times New Roman" w:hAnsi="Times New Roman" w:cs="Times New Roman"/>
                <w:color w:val="000000"/>
                <w:spacing w:val="0"/>
                <w:w w:val="100"/>
                <w:position w:val="0"/>
              </w:rPr>
              <w:t>TEC5200</w:t>
            </w:r>
            <w:r>
              <w:rPr>
                <w:color w:val="000000"/>
                <w:spacing w:val="0"/>
                <w:w w:val="100"/>
                <w:position w:val="0"/>
              </w:rPr>
              <w:t>综合业务接入网等通信设备；国内商业、物资供销业（不含专营、专控、专卖 商品）。</w:t>
            </w:r>
          </w:p>
          <w:p>
            <w:pPr>
              <w:pStyle w:val="Style22"/>
              <w:keepNext w:val="0"/>
              <w:keepLines w:val="0"/>
              <w:widowControl w:val="0"/>
              <w:shd w:val="clear" w:color="auto" w:fill="auto"/>
              <w:tabs>
                <w:tab w:pos="259"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日，公司的经营范围变更为：涤纶化纤、织物印染、化纤原料；生产、 销售</w:t>
            </w:r>
            <w:r>
              <w:rPr>
                <w:rFonts w:ascii="Times New Roman" w:eastAsia="Times New Roman" w:hAnsi="Times New Roman" w:cs="Times New Roman"/>
                <w:color w:val="000000"/>
                <w:spacing w:val="0"/>
                <w:w w:val="100"/>
                <w:position w:val="0"/>
              </w:rPr>
              <w:t>TEC5200</w:t>
            </w:r>
            <w:r>
              <w:rPr>
                <w:color w:val="000000"/>
                <w:spacing w:val="0"/>
                <w:w w:val="100"/>
                <w:position w:val="0"/>
              </w:rPr>
              <w:t>综合业务接入网等通信设备；国内商业、物资供销业（不含专营、专控、专 卖商品）。经营进出口业务。</w:t>
            </w:r>
          </w:p>
          <w:p>
            <w:pPr>
              <w:pStyle w:val="Style22"/>
              <w:keepNext w:val="0"/>
              <w:keepLines w:val="0"/>
              <w:widowControl w:val="0"/>
              <w:shd w:val="clear" w:color="auto" w:fill="auto"/>
              <w:tabs>
                <w:tab w:pos="250"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日，公司经营范围变更为：生产、销售</w:t>
            </w:r>
            <w:r>
              <w:rPr>
                <w:rFonts w:ascii="Times New Roman" w:eastAsia="Times New Roman" w:hAnsi="Times New Roman" w:cs="Times New Roman"/>
                <w:color w:val="000000"/>
                <w:spacing w:val="0"/>
                <w:w w:val="100"/>
                <w:position w:val="0"/>
              </w:rPr>
              <w:t>TEC5200</w:t>
            </w:r>
            <w:r>
              <w:rPr>
                <w:color w:val="000000"/>
                <w:spacing w:val="0"/>
                <w:w w:val="100"/>
                <w:position w:val="0"/>
              </w:rPr>
              <w:t>综合业务接入网等通信 设备；国内商业、物资供销业（不含专营、专控、专卖商品）。经营进出口业务。</w:t>
            </w:r>
          </w:p>
          <w:p>
            <w:pPr>
              <w:pStyle w:val="Style22"/>
              <w:keepNext w:val="0"/>
              <w:keepLines w:val="0"/>
              <w:widowControl w:val="0"/>
              <w:shd w:val="clear" w:color="auto" w:fill="auto"/>
              <w:tabs>
                <w:tab w:pos="259" w:val="left"/>
              </w:tabs>
              <w:bidi w:val="0"/>
              <w:spacing w:before="0" w:after="4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日，公司经营范围变更为：销售</w:t>
            </w:r>
            <w:r>
              <w:rPr>
                <w:rFonts w:ascii="Times New Roman" w:eastAsia="Times New Roman" w:hAnsi="Times New Roman" w:cs="Times New Roman"/>
                <w:color w:val="000000"/>
                <w:spacing w:val="0"/>
                <w:w w:val="100"/>
                <w:position w:val="0"/>
              </w:rPr>
              <w:t>TEC5200</w:t>
            </w:r>
            <w:r>
              <w:rPr>
                <w:color w:val="000000"/>
                <w:spacing w:val="0"/>
                <w:w w:val="100"/>
                <w:position w:val="0"/>
              </w:rPr>
              <w:t>综合业务接入网等通信设备； 国内商业、物资供销业（不含专营、专控、专卖商品）；经营进出口业务。</w:t>
            </w:r>
          </w:p>
          <w:p>
            <w:pPr>
              <w:pStyle w:val="Style22"/>
              <w:keepNext w:val="0"/>
              <w:keepLines w:val="0"/>
              <w:widowControl w:val="0"/>
              <w:shd w:val="clear" w:color="auto" w:fill="auto"/>
              <w:tabs>
                <w:tab w:pos="264" w:val="left"/>
              </w:tabs>
              <w:bidi w:val="0"/>
              <w:spacing w:before="0" w:after="40" w:line="319"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日，公司经营范围变更为：销售</w:t>
            </w:r>
            <w:r>
              <w:rPr>
                <w:rFonts w:ascii="Times New Roman" w:eastAsia="Times New Roman" w:hAnsi="Times New Roman" w:cs="Times New Roman"/>
                <w:color w:val="000000"/>
                <w:spacing w:val="0"/>
                <w:w w:val="100"/>
                <w:position w:val="0"/>
              </w:rPr>
              <w:t>TEC5200</w:t>
            </w:r>
            <w:r>
              <w:rPr>
                <w:color w:val="000000"/>
                <w:spacing w:val="0"/>
                <w:w w:val="100"/>
                <w:position w:val="0"/>
              </w:rPr>
              <w:t>综合业务接入网等通信设备； 经营进出口业务；电子产品的销售；房地产开发与投资；物业管理（法律、行政法规、国 务院决定禁止的项目除外，限制的项目须取得许可后方可经营）。</w:t>
            </w:r>
          </w:p>
          <w:p>
            <w:pPr>
              <w:pStyle w:val="Style22"/>
              <w:keepNext w:val="0"/>
              <w:keepLines w:val="0"/>
              <w:widowControl w:val="0"/>
              <w:shd w:val="clear" w:color="auto" w:fill="auto"/>
              <w:tabs>
                <w:tab w:pos="264"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日，经营范围进行了工商变更：研究、开发金融自助设备及相关应用软 件，销售本公司所研发产品并提供售后服务；提供信息技术及相关技术的咨询、开发、技 术服务；软件开发、信息系统的集成并提供售后服务；从事信息系统集成配套计算机硬件 及零件、网络设备、多媒体产品、电子信息产品及通讯产品、办公自动化设备、仪器仪表、 电器及印刷照排设备的批发、进出口及相关业务。</w:t>
            </w:r>
          </w:p>
        </w:tc>
      </w:tr>
      <w:tr>
        <w:trPr>
          <w:trHeight w:val="43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06" w:val="left"/>
              </w:tabs>
              <w:bidi w:val="0"/>
              <w:spacing w:before="0" w:after="40" w:line="32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公司上市以来，贵州省凯里涤纶厂持有本公司</w:t>
            </w:r>
            <w:r>
              <w:rPr>
                <w:rFonts w:ascii="Times New Roman" w:eastAsia="Times New Roman" w:hAnsi="Times New Roman" w:cs="Times New Roman"/>
                <w:color w:val="000000"/>
                <w:spacing w:val="0"/>
                <w:w w:val="100"/>
                <w:position w:val="0"/>
              </w:rPr>
              <w:t>32,412,428</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43.57%</w:t>
            </w:r>
            <w:r>
              <w:rPr>
                <w:color w:val="000000"/>
                <w:spacing w:val="0"/>
                <w:w w:val="100"/>
                <w:position w:val="0"/>
              </w:rPr>
              <w:t>， 成为本公司的控股股东。</w:t>
            </w:r>
          </w:p>
          <w:p>
            <w:pPr>
              <w:pStyle w:val="Style22"/>
              <w:keepNext w:val="0"/>
              <w:keepLines w:val="0"/>
              <w:widowControl w:val="0"/>
              <w:shd w:val="clear" w:color="auto" w:fill="auto"/>
              <w:tabs>
                <w:tab w:pos="269"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月及</w:t>
            </w:r>
            <w:r>
              <w:rPr>
                <w:rFonts w:ascii="Times New Roman" w:eastAsia="Times New Roman" w:hAnsi="Times New Roman" w:cs="Times New Roman"/>
                <w:color w:val="000000"/>
                <w:spacing w:val="0"/>
                <w:w w:val="100"/>
                <w:position w:val="0"/>
              </w:rPr>
              <w:t>11</w:t>
            </w:r>
            <w:r>
              <w:rPr>
                <w:color w:val="000000"/>
                <w:spacing w:val="0"/>
                <w:w w:val="100"/>
                <w:position w:val="0"/>
              </w:rPr>
              <w:t>月本公司原第一大股东贵州省凯里涤纶厂因逾期未能归还银行贷款遭 诉讼，其持本公司的股份被法院强行拍卖。</w:t>
            </w:r>
          </w:p>
          <w:p>
            <w:pPr>
              <w:pStyle w:val="Style22"/>
              <w:keepNext w:val="0"/>
              <w:keepLines w:val="0"/>
              <w:widowControl w:val="0"/>
              <w:shd w:val="clear" w:color="auto" w:fill="auto"/>
              <w:tabs>
                <w:tab w:pos="259"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日，深圳市太光科技有限公司与本公司原发起人股东广东金龙基企业有 限公司等八家股东达成协议，收购前述八家股东所持有本公司的股份</w:t>
            </w:r>
            <w:r>
              <w:rPr>
                <w:rFonts w:ascii="Times New Roman" w:eastAsia="Times New Roman" w:hAnsi="Times New Roman" w:cs="Times New Roman"/>
                <w:color w:val="000000"/>
                <w:spacing w:val="0"/>
                <w:w w:val="100"/>
                <w:position w:val="0"/>
              </w:rPr>
              <w:t>19,897,057</w:t>
            </w:r>
            <w:r>
              <w:rPr>
                <w:color w:val="000000"/>
                <w:spacing w:val="0"/>
                <w:w w:val="100"/>
                <w:position w:val="0"/>
              </w:rPr>
              <w:t>股，占本 公司总股本的</w:t>
            </w:r>
            <w:r>
              <w:rPr>
                <w:rFonts w:ascii="Times New Roman" w:eastAsia="Times New Roman" w:hAnsi="Times New Roman" w:cs="Times New Roman"/>
                <w:color w:val="000000"/>
                <w:spacing w:val="0"/>
                <w:w w:val="100"/>
                <w:position w:val="0"/>
              </w:rPr>
              <w:t>24.32%</w:t>
            </w:r>
            <w:r>
              <w:rPr>
                <w:color w:val="000000"/>
                <w:spacing w:val="0"/>
                <w:w w:val="100"/>
                <w:position w:val="0"/>
              </w:rPr>
              <w:t>，成为本公司控股股东。</w:t>
            </w:r>
          </w:p>
          <w:p>
            <w:pPr>
              <w:pStyle w:val="Style22"/>
              <w:keepNext w:val="0"/>
              <w:keepLines w:val="0"/>
              <w:widowControl w:val="0"/>
              <w:shd w:val="clear" w:color="auto" w:fill="auto"/>
              <w:tabs>
                <w:tab w:pos="269"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日，本公司第一大股东深圳市太光科技有限公司更名为深圳市申昌科技 有限公司，于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日更名为昆山市申昌科技有限公司。</w:t>
            </w:r>
          </w:p>
          <w:p>
            <w:pPr>
              <w:pStyle w:val="Style22"/>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日，公司第一大股东变更为神码软件，持有公司股份</w:t>
            </w:r>
            <w:r>
              <w:rPr>
                <w:rFonts w:ascii="Times New Roman" w:eastAsia="Times New Roman" w:hAnsi="Times New Roman" w:cs="Times New Roman"/>
                <w:color w:val="000000"/>
                <w:spacing w:val="0"/>
                <w:w w:val="100"/>
                <w:position w:val="0"/>
              </w:rPr>
              <w:t>194,770,055</w:t>
            </w:r>
            <w:r>
              <w:rPr>
                <w:color w:val="000000"/>
                <w:spacing w:val="0"/>
                <w:w w:val="100"/>
                <w:position w:val="0"/>
              </w:rPr>
              <w:t>股， 占公司总股本的</w:t>
            </w:r>
            <w:r>
              <w:rPr>
                <w:rFonts w:ascii="Times New Roman" w:eastAsia="Times New Roman" w:hAnsi="Times New Roman" w:cs="Times New Roman"/>
                <w:color w:val="000000"/>
                <w:spacing w:val="0"/>
                <w:w w:val="100"/>
                <w:position w:val="0"/>
              </w:rPr>
              <w:t>45.17%</w:t>
            </w:r>
            <w:r>
              <w:rPr>
                <w:color w:val="000000"/>
                <w:spacing w:val="0"/>
                <w:w w:val="100"/>
                <w:position w:val="0"/>
              </w:rPr>
              <w:t>。</w:t>
            </w:r>
          </w:p>
          <w:p>
            <w:pPr>
              <w:pStyle w:val="Style22"/>
              <w:keepNext w:val="0"/>
              <w:keepLines w:val="0"/>
              <w:widowControl w:val="0"/>
              <w:shd w:val="clear" w:color="auto" w:fill="auto"/>
              <w:tabs>
                <w:tab w:pos="264"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日，公司关于向特定对象发行股份购买资产并募集配套资金的资产重 组事项中的非公开发行股份</w:t>
            </w:r>
            <w:r>
              <w:rPr>
                <w:rFonts w:ascii="Times New Roman" w:eastAsia="Times New Roman" w:hAnsi="Times New Roman" w:cs="Times New Roman"/>
                <w:color w:val="000000"/>
                <w:spacing w:val="0"/>
                <w:w w:val="100"/>
                <w:position w:val="0"/>
              </w:rPr>
              <w:t>20,520,227</w:t>
            </w:r>
            <w:r>
              <w:rPr>
                <w:color w:val="000000"/>
                <w:spacing w:val="0"/>
                <w:w w:val="100"/>
                <w:position w:val="0"/>
              </w:rPr>
              <w:t>股上市流通，公司股本由</w:t>
            </w:r>
            <w:r>
              <w:rPr>
                <w:rFonts w:ascii="Times New Roman" w:eastAsia="Times New Roman" w:hAnsi="Times New Roman" w:cs="Times New Roman"/>
                <w:color w:val="000000"/>
                <w:spacing w:val="0"/>
                <w:w w:val="100"/>
                <w:position w:val="0"/>
              </w:rPr>
              <w:t>431,214,014</w:t>
            </w:r>
            <w:r>
              <w:rPr>
                <w:color w:val="000000"/>
                <w:spacing w:val="0"/>
                <w:w w:val="100"/>
                <w:position w:val="0"/>
              </w:rPr>
              <w:t>股增加为</w:t>
            </w:r>
          </w:p>
        </w:tc>
      </w:tr>
    </w:tbl>
    <w:p>
      <w:pPr>
        <w:spacing w:lineRule="exact" w:line="1"/>
        <w:rPr>
          <w:sz w:val="2"/>
          <w:szCs w:val="2"/>
        </w:rPr>
      </w:pPr>
      <w:r>
        <w:br w:type="page"/>
      </w:r>
    </w:p>
    <w:tbl>
      <w:tblPr>
        <w:tblOverlap w:val="never"/>
        <w:jc w:val="center"/>
        <w:tblLayout w:type="fixed"/>
      </w:tblPr>
      <w:tblGrid>
        <w:gridCol w:w="2294"/>
        <w:gridCol w:w="7286"/>
      </w:tblGrid>
      <w:tr>
        <w:trPr>
          <w:trHeight w:val="560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451,734,241</w:t>
            </w:r>
            <w:r>
              <w:rPr>
                <w:color w:val="000000"/>
                <w:spacing w:val="0"/>
                <w:w w:val="100"/>
                <w:position w:val="0"/>
              </w:rPr>
              <w:t>股，公司第一大股东仍为神码软件，持股比例降为</w:t>
            </w:r>
            <w:r>
              <w:rPr>
                <w:rFonts w:ascii="Times New Roman" w:eastAsia="Times New Roman" w:hAnsi="Times New Roman" w:cs="Times New Roman"/>
                <w:color w:val="000000"/>
                <w:spacing w:val="0"/>
                <w:w w:val="100"/>
                <w:position w:val="0"/>
              </w:rPr>
              <w:t>43.12%</w:t>
            </w:r>
            <w:r>
              <w:rPr>
                <w:color w:val="000000"/>
                <w:spacing w:val="0"/>
                <w:w w:val="100"/>
                <w:position w:val="0"/>
              </w:rPr>
              <w:t>。</w:t>
            </w:r>
          </w:p>
          <w:p>
            <w:pPr>
              <w:pStyle w:val="Style22"/>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日，公司关于向特定对象发行股份购买资产并募集配套资金的资产重组 事项中的配套募集股份</w:t>
            </w:r>
            <w:r>
              <w:rPr>
                <w:rFonts w:ascii="Times New Roman" w:eastAsia="Times New Roman" w:hAnsi="Times New Roman" w:cs="Times New Roman"/>
                <w:color w:val="000000"/>
                <w:spacing w:val="0"/>
                <w:w w:val="100"/>
                <w:position w:val="0"/>
              </w:rPr>
              <w:t>7,171,717</w:t>
            </w:r>
            <w:r>
              <w:rPr>
                <w:color w:val="000000"/>
                <w:spacing w:val="0"/>
                <w:w w:val="100"/>
                <w:position w:val="0"/>
              </w:rPr>
              <w:t>股上市流通，公司股本增加到</w:t>
            </w:r>
            <w:r>
              <w:rPr>
                <w:rFonts w:ascii="Times New Roman" w:eastAsia="Times New Roman" w:hAnsi="Times New Roman" w:cs="Times New Roman"/>
                <w:color w:val="000000"/>
                <w:spacing w:val="0"/>
                <w:w w:val="100"/>
                <w:position w:val="0"/>
              </w:rPr>
              <w:t>458,905,958</w:t>
            </w:r>
            <w:r>
              <w:rPr>
                <w:color w:val="000000"/>
                <w:spacing w:val="0"/>
                <w:w w:val="100"/>
                <w:position w:val="0"/>
              </w:rPr>
              <w:t>股，公司第一 大股东仍为神码软件，持股比例降为</w:t>
            </w:r>
            <w:r>
              <w:rPr>
                <w:rFonts w:ascii="Times New Roman" w:eastAsia="Times New Roman" w:hAnsi="Times New Roman" w:cs="Times New Roman"/>
                <w:color w:val="000000"/>
                <w:spacing w:val="0"/>
                <w:w w:val="100"/>
                <w:position w:val="0"/>
              </w:rPr>
              <w:t>42.44%</w:t>
            </w:r>
            <w:r>
              <w:rPr>
                <w:color w:val="000000"/>
                <w:spacing w:val="0"/>
                <w:w w:val="100"/>
                <w:position w:val="0"/>
              </w:rPr>
              <w:t>。</w:t>
            </w:r>
          </w:p>
          <w:p>
            <w:pPr>
              <w:pStyle w:val="Style22"/>
              <w:keepNext w:val="0"/>
              <w:keepLines w:val="0"/>
              <w:widowControl w:val="0"/>
              <w:shd w:val="clear" w:color="auto" w:fill="auto"/>
              <w:tabs>
                <w:tab w:pos="25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日，公司披露了《</w:t>
            </w:r>
            <w:r>
              <w:rPr>
                <w:rFonts w:ascii="Times New Roman" w:eastAsia="Times New Roman" w:hAnsi="Times New Roman" w:cs="Times New Roman"/>
                <w:color w:val="000000"/>
                <w:spacing w:val="0"/>
                <w:w w:val="100"/>
                <w:position w:val="0"/>
              </w:rPr>
              <w:t>2015</w:t>
            </w:r>
            <w:r>
              <w:rPr>
                <w:color w:val="000000"/>
                <w:spacing w:val="0"/>
                <w:w w:val="100"/>
                <w:position w:val="0"/>
              </w:rPr>
              <w:t>年半年度资本公积金转增股本实施公告》。</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半年度资本公积金转增股本方案实施完毕，公司总股本由 </w:t>
            </w:r>
            <w:r>
              <w:rPr>
                <w:rFonts w:ascii="Times New Roman" w:eastAsia="Times New Roman" w:hAnsi="Times New Roman" w:cs="Times New Roman"/>
                <w:color w:val="000000"/>
                <w:spacing w:val="0"/>
                <w:w w:val="100"/>
                <w:position w:val="0"/>
              </w:rPr>
              <w:t>458,905,958</w:t>
            </w:r>
            <w:r>
              <w:rPr>
                <w:color w:val="000000"/>
                <w:spacing w:val="0"/>
                <w:w w:val="100"/>
                <w:position w:val="0"/>
              </w:rPr>
              <w:t>股变更为</w:t>
            </w:r>
            <w:r>
              <w:rPr>
                <w:rFonts w:ascii="Times New Roman" w:eastAsia="Times New Roman" w:hAnsi="Times New Roman" w:cs="Times New Roman"/>
                <w:color w:val="000000"/>
                <w:spacing w:val="0"/>
                <w:w w:val="100"/>
                <w:position w:val="0"/>
              </w:rPr>
              <w:t>917,811,916</w:t>
            </w:r>
            <w:r>
              <w:rPr>
                <w:color w:val="000000"/>
                <w:spacing w:val="0"/>
                <w:w w:val="100"/>
                <w:position w:val="0"/>
              </w:rPr>
              <w:t>股。公司第一大股东仍为神码软件，持股比例仍为</w:t>
            </w:r>
            <w:r>
              <w:rPr>
                <w:rFonts w:ascii="Times New Roman" w:eastAsia="Times New Roman" w:hAnsi="Times New Roman" w:cs="Times New Roman"/>
                <w:color w:val="000000"/>
                <w:spacing w:val="0"/>
                <w:w w:val="100"/>
                <w:position w:val="0"/>
              </w:rPr>
              <w:t>42.44%</w:t>
            </w:r>
            <w:r>
              <w:rPr>
                <w:color w:val="000000"/>
                <w:spacing w:val="0"/>
                <w:w w:val="100"/>
                <w:position w:val="0"/>
              </w:rPr>
              <w:t>。</w:t>
            </w:r>
          </w:p>
          <w:p>
            <w:pPr>
              <w:pStyle w:val="Style22"/>
              <w:keepNext w:val="0"/>
              <w:keepLines w:val="0"/>
              <w:widowControl w:val="0"/>
              <w:shd w:val="clear" w:color="auto" w:fill="auto"/>
              <w:tabs>
                <w:tab w:pos="25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日，公司关于向程艳云等发行股份购买资产并募集配套资金的资产重 组事项中的新增股份</w:t>
            </w:r>
            <w:r>
              <w:rPr>
                <w:rFonts w:ascii="Times New Roman" w:eastAsia="Times New Roman" w:hAnsi="Times New Roman" w:cs="Times New Roman"/>
                <w:color w:val="000000"/>
                <w:spacing w:val="0"/>
                <w:w w:val="100"/>
                <w:position w:val="0"/>
              </w:rPr>
              <w:t>45,619,357</w:t>
            </w:r>
            <w:r>
              <w:rPr>
                <w:color w:val="000000"/>
                <w:spacing w:val="0"/>
                <w:w w:val="100"/>
                <w:position w:val="0"/>
              </w:rPr>
              <w:t>股上市流通，公司总股本由</w:t>
            </w:r>
            <w:r>
              <w:rPr>
                <w:rFonts w:ascii="Times New Roman" w:eastAsia="Times New Roman" w:hAnsi="Times New Roman" w:cs="Times New Roman"/>
                <w:color w:val="000000"/>
                <w:spacing w:val="0"/>
                <w:w w:val="100"/>
                <w:position w:val="0"/>
              </w:rPr>
              <w:t>917,811,916</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963,431,273</w:t>
            </w:r>
            <w:r>
              <w:rPr>
                <w:color w:val="000000"/>
                <w:spacing w:val="0"/>
                <w:w w:val="100"/>
                <w:position w:val="0"/>
              </w:rPr>
              <w:t>股，公司第一大股东仍为神码软件，持股比例为</w:t>
            </w:r>
            <w:r>
              <w:rPr>
                <w:rFonts w:ascii="Times New Roman" w:eastAsia="Times New Roman" w:hAnsi="Times New Roman" w:cs="Times New Roman"/>
                <w:color w:val="000000"/>
                <w:spacing w:val="0"/>
                <w:w w:val="100"/>
                <w:position w:val="0"/>
              </w:rPr>
              <w:t>40.43%</w:t>
            </w:r>
            <w:r>
              <w:rPr>
                <w:color w:val="000000"/>
                <w:spacing w:val="0"/>
                <w:w w:val="100"/>
                <w:position w:val="0"/>
              </w:rPr>
              <w:t>。</w:t>
            </w:r>
          </w:p>
          <w:p>
            <w:pPr>
              <w:pStyle w:val="Style22"/>
              <w:keepNext w:val="0"/>
              <w:keepLines w:val="0"/>
              <w:widowControl w:val="0"/>
              <w:shd w:val="clear" w:color="auto" w:fill="auto"/>
              <w:tabs>
                <w:tab w:pos="341"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年股票期权与限制性股票激励计划》中授予的限制性 股票上市，公司总股本由</w:t>
            </w:r>
            <w:r>
              <w:rPr>
                <w:rFonts w:ascii="Times New Roman" w:eastAsia="Times New Roman" w:hAnsi="Times New Roman" w:cs="Times New Roman"/>
                <w:color w:val="000000"/>
                <w:spacing w:val="0"/>
                <w:w w:val="100"/>
                <w:position w:val="0"/>
              </w:rPr>
              <w:t>963,431,273</w:t>
            </w:r>
            <w:r>
              <w:rPr>
                <w:color w:val="000000"/>
                <w:spacing w:val="0"/>
                <w:w w:val="100"/>
                <w:position w:val="0"/>
              </w:rPr>
              <w:t>股变更为</w:t>
            </w:r>
            <w:r>
              <w:rPr>
                <w:rFonts w:ascii="Times New Roman" w:eastAsia="Times New Roman" w:hAnsi="Times New Roman" w:cs="Times New Roman"/>
                <w:color w:val="000000"/>
                <w:spacing w:val="0"/>
                <w:w w:val="100"/>
                <w:position w:val="0"/>
              </w:rPr>
              <w:t>970,381,273</w:t>
            </w:r>
            <w:r>
              <w:rPr>
                <w:color w:val="000000"/>
                <w:spacing w:val="0"/>
                <w:w w:val="100"/>
                <w:position w:val="0"/>
              </w:rPr>
              <w:t>股。公司控股股东仍为神码软 件，持股比例为</w:t>
            </w:r>
            <w:r>
              <w:rPr>
                <w:rFonts w:ascii="Times New Roman" w:eastAsia="Times New Roman" w:hAnsi="Times New Roman" w:cs="Times New Roman"/>
                <w:color w:val="000000"/>
                <w:spacing w:val="0"/>
                <w:w w:val="100"/>
                <w:position w:val="0"/>
              </w:rPr>
              <w:t>40.14%</w:t>
            </w:r>
            <w:r>
              <w:rPr>
                <w:color w:val="000000"/>
                <w:spacing w:val="0"/>
                <w:w w:val="100"/>
                <w:position w:val="0"/>
              </w:rPr>
              <w:t>。</w:t>
            </w:r>
          </w:p>
          <w:p>
            <w:pPr>
              <w:pStyle w:val="Style22"/>
              <w:keepNext w:val="0"/>
              <w:keepLines w:val="0"/>
              <w:widowControl w:val="0"/>
              <w:shd w:val="clear" w:color="auto" w:fill="auto"/>
              <w:tabs>
                <w:tab w:pos="346"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w:t>
              <w:tab/>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w:t>
            </w:r>
            <w:r>
              <w:rPr>
                <w:rFonts w:ascii="Times New Roman" w:eastAsia="Times New Roman" w:hAnsi="Times New Roman" w:cs="Times New Roman"/>
                <w:color w:val="000000"/>
                <w:spacing w:val="0"/>
                <w:w w:val="100"/>
                <w:position w:val="0"/>
              </w:rPr>
              <w:t>2019</w:t>
            </w:r>
            <w:r>
              <w:rPr>
                <w:color w:val="000000"/>
                <w:spacing w:val="0"/>
                <w:w w:val="100"/>
                <w:position w:val="0"/>
              </w:rPr>
              <w:t>年授予的部分限制性股票回购注销、期权激励对象 行权，公司总股本变更为</w:t>
            </w:r>
            <w:r>
              <w:rPr>
                <w:rFonts w:ascii="Times New Roman" w:eastAsia="Times New Roman" w:hAnsi="Times New Roman" w:cs="Times New Roman"/>
                <w:color w:val="000000"/>
                <w:spacing w:val="0"/>
                <w:w w:val="100"/>
                <w:position w:val="0"/>
              </w:rPr>
              <w:t>975,768,827</w:t>
            </w:r>
            <w:r>
              <w:rPr>
                <w:color w:val="000000"/>
                <w:spacing w:val="0"/>
                <w:w w:val="100"/>
                <w:position w:val="0"/>
              </w:rPr>
              <w:t>股。公司控股股东仍为神码软件，持股比例为</w:t>
            </w:r>
            <w:r>
              <w:rPr>
                <w:rFonts w:ascii="Times New Roman" w:eastAsia="Times New Roman" w:hAnsi="Times New Roman" w:cs="Times New Roman"/>
                <w:color w:val="000000"/>
                <w:spacing w:val="0"/>
                <w:w w:val="100"/>
                <w:position w:val="0"/>
              </w:rPr>
              <w:t>39.92%</w:t>
            </w:r>
            <w:r>
              <w:rPr>
                <w:color w:val="000000"/>
                <w:spacing w:val="0"/>
                <w:w w:val="100"/>
                <w:position w:val="0"/>
              </w:rPr>
              <w:t>。</w:t>
            </w:r>
          </w:p>
          <w:p>
            <w:pPr>
              <w:pStyle w:val="Style22"/>
              <w:keepNext w:val="0"/>
              <w:keepLines w:val="0"/>
              <w:widowControl w:val="0"/>
              <w:shd w:val="clear" w:color="auto" w:fill="auto"/>
              <w:tabs>
                <w:tab w:pos="355"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日，因股票期权激励对象行权，公司总股本变更为</w:t>
            </w:r>
            <w:r>
              <w:rPr>
                <w:rFonts w:ascii="Times New Roman" w:eastAsia="Times New Roman" w:hAnsi="Times New Roman" w:cs="Times New Roman"/>
                <w:color w:val="000000"/>
                <w:spacing w:val="0"/>
                <w:w w:val="100"/>
                <w:position w:val="0"/>
              </w:rPr>
              <w:t xml:space="preserve">979,744,428 </w:t>
            </w:r>
            <w:r>
              <w:rPr>
                <w:color w:val="000000"/>
                <w:spacing w:val="0"/>
                <w:w w:val="100"/>
                <w:position w:val="0"/>
              </w:rPr>
              <w:t>股。公司控股股东仍为神码软件，持股比例为</w:t>
            </w:r>
            <w:r>
              <w:rPr>
                <w:rFonts w:ascii="Times New Roman" w:eastAsia="Times New Roman" w:hAnsi="Times New Roman" w:cs="Times New Roman"/>
                <w:color w:val="000000"/>
                <w:spacing w:val="0"/>
                <w:w w:val="100"/>
                <w:position w:val="0"/>
              </w:rPr>
              <w:t>39.76%</w:t>
            </w:r>
            <w:r>
              <w:rPr>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、其他有关资料</w:t>
      </w:r>
      <w:bookmarkEnd w:id="30"/>
      <w:bookmarkEnd w:id="31"/>
      <w:bookmarkEnd w:id="3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层</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唐炫、李丽华</w:t>
            </w:r>
          </w:p>
        </w:tc>
      </w:tr>
    </w:tbl>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注：鉴于原签字注册会计师唐静女士为公司提供审计服务已经连续满五年，根据中国证监会《关于证券期货审计业务签字 注册会计师定期轮换的规定》，本年度签字会计师变更为李丽华女士。</w:t>
      </w:r>
    </w:p>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公司聘请的报告期内履行持续督导职责的保荐机构</w:t>
      </w:r>
    </w:p>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公司聘请的报告期内履行持续督导职责的财务顾问</w:t>
      </w:r>
    </w:p>
    <w:p>
      <w:pPr>
        <w:pStyle w:val="Style13"/>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口适用”不适用</w:t>
      </w:r>
    </w:p>
    <w:p>
      <w:pPr>
        <w:pStyle w:val="Style25"/>
        <w:keepNext/>
        <w:keepLines/>
        <w:widowControl w:val="0"/>
        <w:shd w:val="clear" w:color="auto" w:fill="auto"/>
        <w:bidi w:val="0"/>
        <w:spacing w:before="0" w:after="2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、主要会计数据和财务指标</w:t>
      </w:r>
      <w:bookmarkEnd w:id="34"/>
      <w:bookmarkEnd w:id="35"/>
      <w:bookmarkEnd w:id="37"/>
    </w:p>
    <w:p>
      <w:pPr>
        <w:pStyle w:val="Style13"/>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3106"/>
        <w:gridCol w:w="1618"/>
        <w:gridCol w:w="1618"/>
        <w:gridCol w:w="1618"/>
        <w:gridCol w:w="162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11,355,684,728.55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10,685,976,832.00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10,146,008,170.91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376,182,779.04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475,673,930.78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375,607,752.77</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314,855,403.21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215,452,022.37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326,089,004.98</w:t>
            </w:r>
          </w:p>
        </w:tc>
      </w:tr>
    </w:tbl>
    <w:tbl>
      <w:tblPr>
        <w:tblOverlap w:val="never"/>
        <w:jc w:val="center"/>
        <w:tblLayout w:type="fixed"/>
      </w:tblPr>
      <w:tblGrid>
        <w:gridCol w:w="3106"/>
        <w:gridCol w:w="1618"/>
        <w:gridCol w:w="1618"/>
        <w:gridCol w:w="1618"/>
        <w:gridCol w:w="162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371,594,043.13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321,856,742.57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289,967,552.20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0.3862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0.4933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0.3860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0.4906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7.44%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 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12,421,706,003.16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12,051,862,835.52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10,755,502,029.77</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5,913,688,914.34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5,585,144,941.02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5,219,351,789.16</w:t>
            </w:r>
          </w:p>
        </w:tc>
      </w:tr>
    </w:tbl>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口是"否</w:t>
      </w:r>
    </w:p>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扣除非经常损益前后的净利润孰低者为负值</w:t>
      </w:r>
    </w:p>
    <w:p>
      <w:pPr>
        <w:pStyle w:val="Style1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口是"否</w:t>
      </w:r>
    </w:p>
    <w:p>
      <w:pPr>
        <w:pStyle w:val="Style25"/>
        <w:keepNext/>
        <w:keepLines/>
        <w:widowControl w:val="0"/>
        <w:shd w:val="clear" w:color="auto" w:fill="auto"/>
        <w:tabs>
          <w:tab w:pos="517"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29"/>
        <w:keepNext/>
        <w:keepLines/>
        <w:widowControl w:val="0"/>
        <w:shd w:val="clear" w:color="auto" w:fill="auto"/>
        <w:tabs>
          <w:tab w:pos="410" w:val="left"/>
        </w:tabs>
        <w:bidi w:val="0"/>
        <w:spacing w:before="0" w:after="26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10" w:val="left"/>
        </w:tabs>
        <w:bidi w:val="0"/>
        <w:spacing w:before="0" w:after="26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分季度主要财务指标</w:t>
      </w:r>
      <w:bookmarkEnd w:id="50"/>
      <w:bookmarkEnd w:id="51"/>
      <w:bookmarkEnd w:id="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2,042,023,405.74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2,887,767,841.27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2,161,820,870.90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4,264,072,610.64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39,109,718.48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136,953,904.23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21,591,971.98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178,527,184.35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34,949,200.28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130,239,972.89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5,653,513.27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144,012,716.77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-657,782,716.88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157,320,582.39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32,567,745.15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839,488,432.47</w:t>
            </w:r>
          </w:p>
        </w:tc>
      </w:tr>
    </w:tbl>
    <w:p>
      <w:pPr>
        <w:pStyle w:val="Style13"/>
        <w:keepNext w:val="0"/>
        <w:keepLines w:val="0"/>
        <w:widowControl w:val="0"/>
        <w:shd w:val="clear" w:color="auto" w:fill="auto"/>
        <w:bidi w:val="0"/>
        <w:spacing w:before="0" w:after="260" w:line="355" w:lineRule="exact"/>
        <w:ind w:left="0" w:right="0" w:firstLine="0"/>
        <w:jc w:val="left"/>
      </w:pPr>
      <w:bookmarkStart w:id="54" w:name="bookmark54"/>
      <w:r>
        <w:rPr>
          <w:color w:val="000000"/>
          <w:spacing w:val="0"/>
          <w:w w:val="100"/>
          <w:position w:val="0"/>
        </w:rPr>
        <w:t>上述财务指标或其加总数是否与公司已披露季度报告、半年度报告相关财务指标存在重大差异 口是"否</w:t>
      </w:r>
      <w:bookmarkEnd w:id="54"/>
      <w:r>
        <w:br w:type="page"/>
      </w:r>
    </w:p>
    <w:p>
      <w:pPr>
        <w:pStyle w:val="Style32"/>
        <w:keepNext w:val="0"/>
        <w:keepLines w:val="0"/>
        <w:widowControl w:val="0"/>
        <w:shd w:val="clear" w:color="auto" w:fill="auto"/>
        <w:bidi w:val="0"/>
        <w:spacing w:before="0" w:line="240" w:lineRule="auto"/>
        <w:ind w:left="0" w:right="0" w:firstLine="0"/>
        <w:jc w:val="both"/>
      </w:pPr>
      <w:bookmarkStart w:id="55" w:name="bookmark55"/>
      <w:r>
        <w:rPr>
          <w:color w:val="000000"/>
          <w:spacing w:val="0"/>
          <w:w w:val="100"/>
          <w:position w:val="0"/>
          <w:sz w:val="24"/>
          <w:szCs w:val="24"/>
        </w:rPr>
        <w:t>九</w:t>
      </w:r>
      <w:bookmarkEnd w:id="55"/>
      <w:r>
        <w:rPr>
          <w:color w:val="000000"/>
          <w:spacing w:val="0"/>
          <w:w w:val="100"/>
          <w:position w:val="0"/>
          <w:sz w:val="24"/>
          <w:szCs w:val="24"/>
        </w:rPr>
        <w:t>、非经常性损益项目及金额</w:t>
      </w:r>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1493"/>
        <w:gridCol w:w="1498"/>
        <w:gridCol w:w="1498"/>
        <w:gridCol w:w="96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非流动资产处置损益（包括已计提资产减值准备的 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-255,642.69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-757,899.02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-3,500,616.15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 切相关，符合国家政策规定、按照一定标准定额或 定量持续享受的政府补助除外）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35,615,795.23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35,021,787.53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38,356,416.45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 夕卜，持有交易性金融资产、交易性金融负债产生的 公允价值变动损益，以及处置交易性金融资产交易 性金融负债和可供出售金融资产取得的投资收益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7,306,039.74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-5,206,140.88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5,747,180.93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13,164,535.39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4,094,604.97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2,680,276.05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-6,009,581.25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12,537,866.46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-24,109,241.56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1,109,130.92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5,245,677.58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16,173,500.89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256,070,413.25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42,370,357.37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丧失控制权后，剩余股权按公允价值重新计量产生 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5,423,986.98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4,933,571.04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50,009,041.43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10,095,223.12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842,831.36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2,199,347.03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1,930,402.18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61,327,375.83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260,221,908.41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49,518,747.79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其他符合非经常性损益定义的损益项目的具体情况：</w:t>
      </w:r>
    </w:p>
    <w:p>
      <w:pPr>
        <w:pStyle w:val="Style1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口适用”不适用</w:t>
      </w:r>
    </w:p>
    <w:p>
      <w:pPr>
        <w:pStyle w:val="Style1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公司不存在其他符合非经常性损益定义的损益项目的具体情况。</w:t>
      </w:r>
    </w:p>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口适用”不适用</w:t>
      </w:r>
    </w:p>
    <w:p>
      <w:pPr>
        <w:pStyle w:val="Style13"/>
        <w:keepNext w:val="0"/>
        <w:keepLines w:val="0"/>
        <w:widowControl w:val="0"/>
        <w:shd w:val="clear" w:color="auto" w:fill="auto"/>
        <w:bidi w:val="0"/>
        <w:spacing w:before="0" w:after="0" w:line="307" w:lineRule="exact"/>
        <w:ind w:left="0" w:right="0" w:firstLine="0"/>
        <w:jc w:val="both"/>
        <w:sectPr>
          <w:footnotePr>
            <w:pos w:val="pageBottom"/>
            <w:numFmt w:val="decimal"/>
            <w:numRestart w:val="continuous"/>
          </w:footnotePr>
          <w:pgSz w:w="11900" w:h="16840"/>
          <w:pgMar w:top="1441" w:right="1116" w:bottom="1465" w:left="1103"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 性损益的项目的情形。</w:t>
      </w:r>
    </w:p>
    <w:p>
      <w:pPr>
        <w:pStyle w:val="Style10"/>
        <w:keepNext/>
        <w:keepLines/>
        <w:widowControl w:val="0"/>
        <w:shd w:val="clear" w:color="auto" w:fill="auto"/>
        <w:bidi w:val="0"/>
        <w:spacing w:before="540" w:after="520" w:line="240" w:lineRule="auto"/>
        <w:ind w:left="0" w:right="0" w:firstLine="0"/>
        <w:jc w:val="center"/>
      </w:pPr>
      <w:bookmarkStart w:id="56" w:name="bookmark56"/>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bookmarkEnd w:id="56"/>
    </w:p>
    <w:p>
      <w:pPr>
        <w:pStyle w:val="Style25"/>
        <w:keepNext/>
        <w:keepLines/>
        <w:widowControl w:val="0"/>
        <w:shd w:val="clear" w:color="auto" w:fill="auto"/>
        <w:tabs>
          <w:tab w:pos="480" w:val="left"/>
        </w:tabs>
        <w:bidi w:val="0"/>
        <w:spacing w:before="0" w:after="2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w:t>
        <w:tab/>
        <w:t>报告期内公司所处的行业情况</w:t>
      </w:r>
      <w:bookmarkEnd w:id="60"/>
      <w:bookmarkEnd w:id="61"/>
      <w:bookmarkEnd w:id="63"/>
    </w:p>
    <w:p>
      <w:pPr>
        <w:pStyle w:val="Style13"/>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3"/>
        <w:keepNext w:val="0"/>
        <w:keepLines w:val="0"/>
        <w:widowControl w:val="0"/>
        <w:shd w:val="clear" w:color="auto" w:fill="auto"/>
        <w:tabs>
          <w:tab w:pos="861" w:val="left"/>
        </w:tabs>
        <w:bidi w:val="0"/>
        <w:spacing w:before="0" w:after="40" w:line="313" w:lineRule="exact"/>
        <w:ind w:left="0" w:right="0"/>
        <w:jc w:val="both"/>
      </w:pPr>
      <w:bookmarkStart w:id="64" w:name="bookmark64"/>
      <w:r>
        <w:rPr>
          <w:b/>
          <w:bCs/>
          <w:color w:val="000000"/>
          <w:spacing w:val="0"/>
          <w:w w:val="100"/>
          <w:position w:val="0"/>
        </w:rPr>
        <w:t>（</w:t>
      </w:r>
      <w:bookmarkEnd w:id="64"/>
      <w:r>
        <w:rPr>
          <w:b/>
          <w:bCs/>
          <w:color w:val="000000"/>
          <w:spacing w:val="0"/>
          <w:w w:val="100"/>
          <w:position w:val="0"/>
        </w:rPr>
        <w:t>一）</w:t>
        <w:tab/>
        <w:t>金融科技发展趋势</w:t>
      </w:r>
    </w:p>
    <w:p>
      <w:pPr>
        <w:pStyle w:val="Style13"/>
        <w:keepNext w:val="0"/>
        <w:keepLines w:val="0"/>
        <w:widowControl w:val="0"/>
        <w:shd w:val="clear" w:color="auto" w:fill="auto"/>
        <w:bidi w:val="0"/>
        <w:spacing w:before="0" w:after="40" w:line="314" w:lineRule="exact"/>
        <w:ind w:left="0" w:right="0"/>
        <w:jc w:val="left"/>
      </w:pPr>
      <w:r>
        <w:rPr>
          <w:color w:val="000000"/>
          <w:spacing w:val="0"/>
          <w:w w:val="100"/>
          <w:position w:val="0"/>
        </w:rPr>
        <w:t>根据中国信通院《中国数字经济发展白皮书（</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年中国数字经济规模达到</w:t>
      </w:r>
      <w:r>
        <w:rPr>
          <w:rFonts w:ascii="Times New Roman" w:eastAsia="Times New Roman" w:hAnsi="Times New Roman" w:cs="Times New Roman"/>
          <w:color w:val="000000"/>
          <w:spacing w:val="0"/>
          <w:w w:val="100"/>
          <w:position w:val="0"/>
        </w:rPr>
        <w:t>39.2</w:t>
      </w:r>
      <w:r>
        <w:rPr>
          <w:color w:val="000000"/>
          <w:spacing w:val="0"/>
          <w:w w:val="100"/>
          <w:position w:val="0"/>
        </w:rPr>
        <w:t>万亿元，占</w:t>
      </w:r>
      <w:r>
        <w:rPr>
          <w:rFonts w:ascii="Times New Roman" w:eastAsia="Times New Roman" w:hAnsi="Times New Roman" w:cs="Times New Roman"/>
          <w:color w:val="000000"/>
          <w:spacing w:val="0"/>
          <w:w w:val="100"/>
          <w:position w:val="0"/>
        </w:rPr>
        <w:t>GDP</w:t>
      </w:r>
      <w:r>
        <w:rPr>
          <w:color w:val="000000"/>
          <w:spacing w:val="0"/>
          <w:w w:val="100"/>
          <w:position w:val="0"/>
        </w:rPr>
        <w:t xml:space="preserve">比重为 </w:t>
      </w:r>
      <w:r>
        <w:rPr>
          <w:rFonts w:ascii="Times New Roman" w:eastAsia="Times New Roman" w:hAnsi="Times New Roman" w:cs="Times New Roman"/>
          <w:color w:val="000000"/>
          <w:spacing w:val="0"/>
          <w:w w:val="100"/>
          <w:position w:val="0"/>
        </w:rPr>
        <w:t>38.6%</w:t>
      </w:r>
      <w:r>
        <w:rPr>
          <w:color w:val="000000"/>
          <w:spacing w:val="0"/>
          <w:w w:val="100"/>
          <w:position w:val="0"/>
        </w:rPr>
        <w:t>，同比名义增长</w:t>
      </w:r>
      <w:r>
        <w:rPr>
          <w:rFonts w:ascii="Times New Roman" w:eastAsia="Times New Roman" w:hAnsi="Times New Roman" w:cs="Times New Roman"/>
          <w:color w:val="000000"/>
          <w:spacing w:val="0"/>
          <w:w w:val="100"/>
          <w:position w:val="0"/>
        </w:rPr>
        <w:t>9.7%</w:t>
      </w:r>
      <w:r>
        <w:rPr>
          <w:color w:val="000000"/>
          <w:spacing w:val="0"/>
          <w:w w:val="100"/>
          <w:position w:val="0"/>
        </w:rPr>
        <w:t>。数字经济在逆势中加速腾飞，有效支撑疫情防控和经济社会发展，其产生的各种新业态也将成 为我国经济新的增长点。数字经济日益成为驱动经济又好又快增长的新引擎，作为重要金融基础设施的一部分，其快速壮大 将引领金融科技进入新的发展阶段。“十四五”规划明确将创新驱动作为发展方向，在加快数字化发展、建设数字中国的过 程中，金融机构数字化转型将显著加速。“十四五”期间，金融科技对于金融服务效率的提升和普惠效用的发挥至关重要， 数据将成为支持经营和资本转化、搭建新平台和生态场景、探索金融科技在绿色金融、普惠金融应用创新的重要支撑。</w:t>
      </w:r>
    </w:p>
    <w:p>
      <w:pPr>
        <w:pStyle w:val="Style13"/>
        <w:keepNext w:val="0"/>
        <w:keepLines w:val="0"/>
        <w:widowControl w:val="0"/>
        <w:shd w:val="clear" w:color="auto" w:fill="auto"/>
        <w:bidi w:val="0"/>
        <w:spacing w:before="0" w:after="4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年是央行《金融科技</w:t>
      </w:r>
      <w:r>
        <w:rPr>
          <w:color w:val="000000"/>
          <w:spacing w:val="0"/>
          <w:w w:val="100"/>
          <w:position w:val="0"/>
        </w:rPr>
        <w:t>（</w:t>
      </w:r>
      <w:r>
        <w:rPr>
          <w:rFonts w:ascii="Times New Roman" w:eastAsia="Times New Roman" w:hAnsi="Times New Roman" w:cs="Times New Roman"/>
          <w:color w:val="000000"/>
          <w:spacing w:val="0"/>
          <w:w w:val="100"/>
          <w:position w:val="0"/>
        </w:rPr>
        <w:t>FinTech</w:t>
      </w:r>
      <w:r>
        <w:rPr>
          <w:color w:val="000000"/>
          <w:spacing w:val="0"/>
          <w:w w:val="100"/>
          <w:position w:val="0"/>
        </w:rPr>
        <w:t>）</w:t>
      </w:r>
      <w:r>
        <w:rPr>
          <w:color w:val="000000"/>
          <w:spacing w:val="0"/>
          <w:w w:val="100"/>
          <w:position w:val="0"/>
        </w:rPr>
        <w:t>发展规划</w:t>
      </w:r>
      <w:r>
        <w:rPr>
          <w:color w:val="000000"/>
          <w:spacing w:val="0"/>
          <w:w w:val="100"/>
          <w:position w:val="0"/>
        </w:rPr>
        <w:t>（</w:t>
      </w:r>
      <w:r>
        <w:rPr>
          <w:rFonts w:ascii="Times New Roman" w:eastAsia="Times New Roman" w:hAnsi="Times New Roman" w:cs="Times New Roman"/>
          <w:color w:val="000000"/>
          <w:spacing w:val="0"/>
          <w:w w:val="100"/>
          <w:position w:val="0"/>
        </w:rPr>
        <w:t>2019-2021</w:t>
      </w:r>
      <w:r>
        <w:rPr>
          <w:color w:val="000000"/>
          <w:spacing w:val="0"/>
          <w:w w:val="100"/>
          <w:position w:val="0"/>
        </w:rPr>
        <w:t>年）》的收官之年，过去三年，中国金融科技建设成果显 著，金融机构的科技实践战略从“科技赋能”升级至“科技引领”，以银行为代表的金融机构技术投入增速显著提升，将推 动未来几年金融科技的持续创新。央行《金融科技发展规划</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w:t>
      </w:r>
      <w:r>
        <w:rPr>
          <w:rFonts w:ascii="Times New Roman" w:eastAsia="Times New Roman" w:hAnsi="Times New Roman" w:cs="Times New Roman"/>
          <w:color w:val="000000"/>
          <w:spacing w:val="0"/>
          <w:w w:val="100"/>
          <w:position w:val="0"/>
        </w:rPr>
        <w:t>2025</w:t>
      </w:r>
      <w:r>
        <w:rPr>
          <w:color w:val="000000"/>
          <w:spacing w:val="0"/>
          <w:w w:val="100"/>
          <w:position w:val="0"/>
        </w:rPr>
        <w:t>年）》提出在新的历史进程和政策背景下，我国 金融科技总体定位从“立柱架梁”全面迈入“积厚成势”新阶段，“以加快推进金融机构数字化转型为主线”，从治理结构、 发展战略、数据要素、敏捷创新、中台建设、风控机制、智能营销、智慧服务等多个层面全方位服务金融机构数字化转型。 今天，数字货币、绿色金融、普惠金融等已经成为全球金融科技发展热点，大型科技公司在数字支付、数字投资等领域持续 强化布局，传统金融机构通过金融科技赋能自身的主动性也明显增强。赛迪顾问《</w:t>
      </w:r>
      <w:r>
        <w:rPr>
          <w:rFonts w:ascii="Times New Roman" w:eastAsia="Times New Roman" w:hAnsi="Times New Roman" w:cs="Times New Roman"/>
          <w:color w:val="000000"/>
          <w:spacing w:val="0"/>
          <w:w w:val="100"/>
          <w:position w:val="0"/>
        </w:rPr>
        <w:t>2021</w:t>
      </w:r>
      <w:r>
        <w:rPr>
          <w:color w:val="000000"/>
          <w:spacing w:val="0"/>
          <w:w w:val="100"/>
          <w:position w:val="0"/>
        </w:rPr>
        <w:t xml:space="preserve">金融数字技术服务白皮书》指出， </w:t>
      </w:r>
      <w:r>
        <w:rPr>
          <w:rFonts w:ascii="Times New Roman" w:eastAsia="Times New Roman" w:hAnsi="Times New Roman" w:cs="Times New Roman"/>
          <w:color w:val="000000"/>
          <w:spacing w:val="0"/>
          <w:w w:val="100"/>
          <w:position w:val="0"/>
        </w:rPr>
        <w:t>2020</w:t>
      </w:r>
      <w:r>
        <w:rPr>
          <w:color w:val="000000"/>
          <w:spacing w:val="0"/>
          <w:w w:val="100"/>
          <w:position w:val="0"/>
        </w:rPr>
        <w:t>年中国金融行业以分布式架构转型与信创作为新支点，引发新一轮软硬件等</w:t>
      </w:r>
      <w:r>
        <w:rPr>
          <w:rFonts w:ascii="Times New Roman" w:eastAsia="Times New Roman" w:hAnsi="Times New Roman" w:cs="Times New Roman"/>
          <w:color w:val="000000"/>
          <w:spacing w:val="0"/>
          <w:w w:val="100"/>
          <w:position w:val="0"/>
        </w:rPr>
        <w:t>IT</w:t>
      </w:r>
      <w:r>
        <w:rPr>
          <w:color w:val="000000"/>
          <w:spacing w:val="0"/>
          <w:w w:val="100"/>
          <w:position w:val="0"/>
        </w:rPr>
        <w:t>基础设施的升级与重塑，从而带动中国 金融行业</w:t>
      </w:r>
      <w:r>
        <w:rPr>
          <w:rFonts w:ascii="Times New Roman" w:eastAsia="Times New Roman" w:hAnsi="Times New Roman" w:cs="Times New Roman"/>
          <w:color w:val="000000"/>
          <w:spacing w:val="0"/>
          <w:w w:val="100"/>
          <w:position w:val="0"/>
        </w:rPr>
        <w:t>IT</w:t>
      </w:r>
      <w:r>
        <w:rPr>
          <w:color w:val="000000"/>
          <w:spacing w:val="0"/>
          <w:w w:val="100"/>
          <w:position w:val="0"/>
        </w:rPr>
        <w:t>投资大幅度增长。</w:t>
      </w:r>
      <w:r>
        <w:rPr>
          <w:rFonts w:ascii="Times New Roman" w:eastAsia="Times New Roman" w:hAnsi="Times New Roman" w:cs="Times New Roman"/>
          <w:color w:val="000000"/>
          <w:spacing w:val="0"/>
          <w:w w:val="100"/>
          <w:position w:val="0"/>
        </w:rPr>
        <w:t>2020</w:t>
      </w:r>
      <w:r>
        <w:rPr>
          <w:color w:val="000000"/>
          <w:spacing w:val="0"/>
          <w:w w:val="100"/>
          <w:position w:val="0"/>
        </w:rPr>
        <w:t>年度中国银行业整体</w:t>
      </w:r>
      <w:r>
        <w:rPr>
          <w:rFonts w:ascii="Times New Roman" w:eastAsia="Times New Roman" w:hAnsi="Times New Roman" w:cs="Times New Roman"/>
          <w:color w:val="000000"/>
          <w:spacing w:val="0"/>
          <w:w w:val="100"/>
          <w:position w:val="0"/>
        </w:rPr>
        <w:t>IT</w:t>
      </w:r>
      <w:r>
        <w:rPr>
          <w:color w:val="000000"/>
          <w:spacing w:val="0"/>
          <w:w w:val="100"/>
          <w:position w:val="0"/>
        </w:rPr>
        <w:t>投资规模达到</w:t>
      </w:r>
      <w:r>
        <w:rPr>
          <w:rFonts w:ascii="Times New Roman" w:eastAsia="Times New Roman" w:hAnsi="Times New Roman" w:cs="Times New Roman"/>
          <w:color w:val="000000"/>
          <w:spacing w:val="0"/>
          <w:w w:val="100"/>
          <w:position w:val="0"/>
        </w:rPr>
        <w:t>1,906.35</w:t>
      </w:r>
      <w:r>
        <w:rPr>
          <w:color w:val="000000"/>
          <w:spacing w:val="0"/>
          <w:w w:val="100"/>
          <w:position w:val="0"/>
        </w:rPr>
        <w:t>亿元，再次创下近十年来的增长幅度新 高。预计到</w:t>
      </w:r>
      <w:r>
        <w:rPr>
          <w:rFonts w:ascii="Times New Roman" w:eastAsia="Times New Roman" w:hAnsi="Times New Roman" w:cs="Times New Roman"/>
          <w:color w:val="000000"/>
          <w:spacing w:val="0"/>
          <w:w w:val="100"/>
          <w:position w:val="0"/>
        </w:rPr>
        <w:t>2025</w:t>
      </w:r>
      <w:r>
        <w:rPr>
          <w:color w:val="000000"/>
          <w:spacing w:val="0"/>
          <w:w w:val="100"/>
          <w:position w:val="0"/>
        </w:rPr>
        <w:t>年，中国银行业整体</w:t>
      </w:r>
      <w:r>
        <w:rPr>
          <w:rFonts w:ascii="Times New Roman" w:eastAsia="Times New Roman" w:hAnsi="Times New Roman" w:cs="Times New Roman"/>
          <w:color w:val="000000"/>
          <w:spacing w:val="0"/>
          <w:w w:val="100"/>
          <w:position w:val="0"/>
        </w:rPr>
        <w:t>IT</w:t>
      </w:r>
      <w:r>
        <w:rPr>
          <w:color w:val="000000"/>
          <w:spacing w:val="0"/>
          <w:w w:val="100"/>
          <w:position w:val="0"/>
        </w:rPr>
        <w:t>投入将达到</w:t>
      </w:r>
      <w:r>
        <w:rPr>
          <w:rFonts w:ascii="Times New Roman" w:eastAsia="Times New Roman" w:hAnsi="Times New Roman" w:cs="Times New Roman"/>
          <w:color w:val="000000"/>
          <w:spacing w:val="0"/>
          <w:w w:val="100"/>
          <w:position w:val="0"/>
        </w:rPr>
        <w:t>4,637.84</w:t>
      </w:r>
      <w:r>
        <w:rPr>
          <w:color w:val="000000"/>
          <w:spacing w:val="0"/>
          <w:w w:val="100"/>
          <w:position w:val="0"/>
        </w:rPr>
        <w:t>亿元，</w:t>
      </w:r>
      <w:r>
        <w:rPr>
          <w:rFonts w:ascii="Times New Roman" w:eastAsia="Times New Roman" w:hAnsi="Times New Roman" w:cs="Times New Roman"/>
          <w:color w:val="000000"/>
          <w:spacing w:val="0"/>
          <w:w w:val="100"/>
          <w:position w:val="0"/>
        </w:rPr>
        <w:t>2021</w:t>
      </w: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年的年均复合增长率达到</w:t>
      </w:r>
      <w:r>
        <w:rPr>
          <w:rFonts w:ascii="Times New Roman" w:eastAsia="Times New Roman" w:hAnsi="Times New Roman" w:cs="Times New Roman"/>
          <w:color w:val="000000"/>
          <w:spacing w:val="0"/>
          <w:w w:val="100"/>
          <w:position w:val="0"/>
        </w:rPr>
        <w:t>17.84%</w:t>
      </w:r>
      <w:r>
        <w:rPr>
          <w:color w:val="000000"/>
          <w:spacing w:val="0"/>
          <w:w w:val="100"/>
          <w:position w:val="0"/>
        </w:rPr>
        <w:t>。</w:t>
      </w:r>
    </w:p>
    <w:p>
      <w:pPr>
        <w:pStyle w:val="Style13"/>
        <w:keepNext w:val="0"/>
        <w:keepLines w:val="0"/>
        <w:widowControl w:val="0"/>
        <w:shd w:val="clear" w:color="auto" w:fill="auto"/>
        <w:tabs>
          <w:tab w:pos="861" w:val="left"/>
        </w:tabs>
        <w:bidi w:val="0"/>
        <w:spacing w:before="0" w:after="40" w:line="313" w:lineRule="exact"/>
        <w:ind w:left="0" w:right="0"/>
        <w:jc w:val="both"/>
      </w:pPr>
      <w:bookmarkStart w:id="65" w:name="bookmark65"/>
      <w:r>
        <w:rPr>
          <w:b/>
          <w:bCs/>
          <w:color w:val="000000"/>
          <w:spacing w:val="0"/>
          <w:w w:val="100"/>
          <w:position w:val="0"/>
        </w:rPr>
        <w:t>（</w:t>
      </w:r>
      <w:bookmarkEnd w:id="65"/>
      <w:r>
        <w:rPr>
          <w:b/>
          <w:bCs/>
          <w:color w:val="000000"/>
          <w:spacing w:val="0"/>
          <w:w w:val="100"/>
          <w:position w:val="0"/>
        </w:rPr>
        <w:t>二）</w:t>
        <w:tab/>
        <w:t>行业地位与市场影响力</w:t>
      </w:r>
    </w:p>
    <w:p>
      <w:pPr>
        <w:pStyle w:val="Style13"/>
        <w:keepNext w:val="0"/>
        <w:keepLines w:val="0"/>
        <w:widowControl w:val="0"/>
        <w:shd w:val="clear" w:color="auto" w:fill="auto"/>
        <w:bidi w:val="0"/>
        <w:spacing w:before="0" w:after="40" w:line="313" w:lineRule="exact"/>
        <w:ind w:left="0" w:right="0"/>
        <w:jc w:val="both"/>
      </w:pPr>
      <w:r>
        <w:rPr>
          <w:color w:val="000000"/>
          <w:spacing w:val="0"/>
          <w:w w:val="100"/>
          <w:position w:val="0"/>
        </w:rPr>
        <w:t>公司在金融科技领域的前沿创新与实践获得业界高度认可。在</w:t>
      </w:r>
      <w:r>
        <w:rPr>
          <w:rFonts w:ascii="Times New Roman" w:eastAsia="Times New Roman" w:hAnsi="Times New Roman" w:cs="Times New Roman"/>
          <w:color w:val="000000"/>
          <w:spacing w:val="0"/>
          <w:w w:val="100"/>
          <w:position w:val="0"/>
        </w:rPr>
        <w:t>IDC</w:t>
      </w:r>
      <w:r>
        <w:rPr>
          <w:color w:val="000000"/>
          <w:spacing w:val="0"/>
          <w:w w:val="100"/>
          <w:position w:val="0"/>
        </w:rPr>
        <w:t>发布的</w:t>
      </w:r>
      <w:r>
        <w:rPr>
          <w:rFonts w:ascii="Times New Roman" w:eastAsia="Times New Roman" w:hAnsi="Times New Roman" w:cs="Times New Roman"/>
          <w:color w:val="000000"/>
          <w:spacing w:val="0"/>
          <w:w w:val="100"/>
          <w:position w:val="0"/>
        </w:rPr>
        <w:t>2021</w:t>
      </w:r>
      <w:r>
        <w:rPr>
          <w:color w:val="000000"/>
          <w:spacing w:val="0"/>
          <w:w w:val="100"/>
          <w:position w:val="0"/>
        </w:rPr>
        <w:t>年度全球金融科技百强排行榜中，神州 信息排名第</w:t>
      </w:r>
      <w:r>
        <w:rPr>
          <w:rFonts w:ascii="Times New Roman" w:eastAsia="Times New Roman" w:hAnsi="Times New Roman" w:cs="Times New Roman"/>
          <w:color w:val="000000"/>
          <w:spacing w:val="0"/>
          <w:w w:val="100"/>
          <w:position w:val="0"/>
        </w:rPr>
        <w:t>34</w:t>
      </w:r>
      <w:r>
        <w:rPr>
          <w:color w:val="000000"/>
          <w:spacing w:val="0"/>
          <w:w w:val="100"/>
          <w:position w:val="0"/>
        </w:rPr>
        <w:t>位，较上一年上升</w:t>
      </w:r>
      <w:r>
        <w:rPr>
          <w:rFonts w:ascii="Times New Roman" w:eastAsia="Times New Roman" w:hAnsi="Times New Roman" w:cs="Times New Roman"/>
          <w:color w:val="000000"/>
          <w:spacing w:val="0"/>
          <w:w w:val="100"/>
          <w:position w:val="0"/>
        </w:rPr>
        <w:t>5</w:t>
      </w:r>
      <w:r>
        <w:rPr>
          <w:color w:val="000000"/>
          <w:spacing w:val="0"/>
          <w:w w:val="100"/>
          <w:position w:val="0"/>
        </w:rPr>
        <w:t>位，三年蝉联中国上榜企业第一。在</w:t>
      </w:r>
      <w:r>
        <w:rPr>
          <w:rFonts w:ascii="Times New Roman" w:eastAsia="Times New Roman" w:hAnsi="Times New Roman" w:cs="Times New Roman"/>
          <w:color w:val="000000"/>
          <w:spacing w:val="0"/>
          <w:w w:val="100"/>
          <w:position w:val="0"/>
        </w:rPr>
        <w:t>IDC</w:t>
      </w:r>
      <w:r>
        <w:rPr>
          <w:color w:val="000000"/>
          <w:spacing w:val="0"/>
          <w:w w:val="100"/>
          <w:position w:val="0"/>
        </w:rPr>
        <w:t>同期发布的《中国银行业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解决方案市场份 额，</w:t>
      </w:r>
      <w:r>
        <w:rPr>
          <w:rFonts w:ascii="Times New Roman" w:eastAsia="Times New Roman" w:hAnsi="Times New Roman" w:cs="Times New Roman"/>
          <w:color w:val="000000"/>
          <w:spacing w:val="0"/>
          <w:w w:val="100"/>
          <w:position w:val="0"/>
        </w:rPr>
        <w:t>2020</w:t>
      </w:r>
      <w:r>
        <w:rPr>
          <w:color w:val="000000"/>
          <w:spacing w:val="0"/>
          <w:w w:val="100"/>
          <w:position w:val="0"/>
        </w:rPr>
        <w:t>》报告中，公司斩获基础业务类解决方案、核心业务解决方案、开放银行解决方案及渠道管理解决方案四项排名第 一，其中核心业务解决方案、渠道管理解决方案已连续</w:t>
      </w:r>
      <w:r>
        <w:rPr>
          <w:rFonts w:ascii="Times New Roman" w:eastAsia="Times New Roman" w:hAnsi="Times New Roman" w:cs="Times New Roman"/>
          <w:color w:val="000000"/>
          <w:spacing w:val="0"/>
          <w:w w:val="100"/>
          <w:position w:val="0"/>
        </w:rPr>
        <w:t>9</w:t>
      </w:r>
      <w:r>
        <w:rPr>
          <w:color w:val="000000"/>
          <w:spacing w:val="0"/>
          <w:w w:val="100"/>
          <w:position w:val="0"/>
        </w:rPr>
        <w:t>年排名第一，持续领跑中国银行业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解决方案市场。同时，公司 获评</w:t>
      </w:r>
      <w:r>
        <w:rPr>
          <w:rFonts w:ascii="Times New Roman" w:eastAsia="Times New Roman" w:hAnsi="Times New Roman" w:cs="Times New Roman"/>
          <w:color w:val="000000"/>
          <w:spacing w:val="0"/>
          <w:w w:val="100"/>
          <w:position w:val="0"/>
        </w:rPr>
        <w:t>2021</w:t>
      </w:r>
      <w:r>
        <w:rPr>
          <w:color w:val="000000"/>
          <w:spacing w:val="0"/>
          <w:w w:val="100"/>
          <w:position w:val="0"/>
        </w:rPr>
        <w:t>中国软件和信息服务业务十大领军企业、</w:t>
      </w:r>
      <w:r>
        <w:rPr>
          <w:rFonts w:ascii="Times New Roman" w:eastAsia="Times New Roman" w:hAnsi="Times New Roman" w:cs="Times New Roman"/>
          <w:color w:val="000000"/>
          <w:spacing w:val="0"/>
          <w:w w:val="100"/>
          <w:position w:val="0"/>
        </w:rPr>
        <w:t>2021</w:t>
      </w:r>
      <w:r>
        <w:rPr>
          <w:color w:val="000000"/>
          <w:spacing w:val="0"/>
          <w:w w:val="100"/>
          <w:position w:val="0"/>
        </w:rPr>
        <w:t>福布斯中国最具创新力企业、</w:t>
      </w:r>
      <w:r>
        <w:rPr>
          <w:rFonts w:ascii="Times New Roman" w:eastAsia="Times New Roman" w:hAnsi="Times New Roman" w:cs="Times New Roman"/>
          <w:color w:val="000000"/>
          <w:spacing w:val="0"/>
          <w:w w:val="100"/>
          <w:position w:val="0"/>
        </w:rPr>
        <w:t>2021</w:t>
      </w:r>
      <w:r>
        <w:rPr>
          <w:color w:val="000000"/>
          <w:spacing w:val="0"/>
          <w:w w:val="100"/>
          <w:position w:val="0"/>
        </w:rPr>
        <w:t>卓越竞争力金融科技影响力企业， 荣登毕马威中国</w:t>
      </w:r>
      <w:r>
        <w:rPr>
          <w:rFonts w:ascii="Times New Roman" w:eastAsia="Times New Roman" w:hAnsi="Times New Roman" w:cs="Times New Roman"/>
          <w:color w:val="000000"/>
          <w:spacing w:val="0"/>
          <w:w w:val="100"/>
          <w:position w:val="0"/>
        </w:rPr>
        <w:t>2021</w:t>
      </w:r>
      <w:r>
        <w:rPr>
          <w:color w:val="000000"/>
          <w:spacing w:val="0"/>
          <w:w w:val="100"/>
          <w:position w:val="0"/>
        </w:rPr>
        <w:t>领先金融科技</w:t>
      </w:r>
      <w:r>
        <w:rPr>
          <w:rFonts w:ascii="Times New Roman" w:eastAsia="Times New Roman" w:hAnsi="Times New Roman" w:cs="Times New Roman"/>
          <w:color w:val="000000"/>
          <w:spacing w:val="0"/>
          <w:w w:val="100"/>
          <w:position w:val="0"/>
        </w:rPr>
        <w:t>50</w:t>
      </w:r>
      <w:r>
        <w:rPr>
          <w:color w:val="000000"/>
          <w:spacing w:val="0"/>
          <w:w w:val="100"/>
          <w:position w:val="0"/>
        </w:rPr>
        <w:t>强、</w:t>
      </w:r>
      <w:r>
        <w:rPr>
          <w:rFonts w:ascii="Times New Roman" w:eastAsia="Times New Roman" w:hAnsi="Times New Roman" w:cs="Times New Roman"/>
          <w:color w:val="000000"/>
          <w:spacing w:val="0"/>
          <w:w w:val="100"/>
          <w:position w:val="0"/>
        </w:rPr>
        <w:t>IDC</w:t>
      </w:r>
      <w:r>
        <w:rPr>
          <w:color w:val="000000"/>
          <w:spacing w:val="0"/>
          <w:w w:val="100"/>
          <w:position w:val="0"/>
        </w:rPr>
        <w:t>中国</w:t>
      </w:r>
      <w:r>
        <w:rPr>
          <w:rFonts w:ascii="Times New Roman" w:eastAsia="Times New Roman" w:hAnsi="Times New Roman" w:cs="Times New Roman"/>
          <w:color w:val="000000"/>
          <w:spacing w:val="0"/>
          <w:w w:val="100"/>
          <w:position w:val="0"/>
        </w:rPr>
        <w:t>Fintech50</w:t>
      </w:r>
      <w:r>
        <w:rPr>
          <w:color w:val="000000"/>
          <w:spacing w:val="0"/>
          <w:w w:val="100"/>
          <w:position w:val="0"/>
        </w:rPr>
        <w:t>、</w:t>
      </w:r>
      <w:r>
        <w:rPr>
          <w:color w:val="000000"/>
          <w:spacing w:val="0"/>
          <w:w w:val="100"/>
          <w:position w:val="0"/>
        </w:rPr>
        <w:t>赛迪</w:t>
      </w:r>
      <w:r>
        <w:rPr>
          <w:rFonts w:ascii="Times New Roman" w:eastAsia="Times New Roman" w:hAnsi="Times New Roman" w:cs="Times New Roman"/>
          <w:color w:val="000000"/>
          <w:spacing w:val="0"/>
          <w:w w:val="100"/>
          <w:position w:val="0"/>
        </w:rPr>
        <w:t>2021</w:t>
      </w:r>
      <w:r>
        <w:rPr>
          <w:color w:val="000000"/>
          <w:spacing w:val="0"/>
          <w:w w:val="100"/>
          <w:position w:val="0"/>
        </w:rPr>
        <w:t>中国金融数字化转型先锋企业</w:t>
      </w:r>
      <w:r>
        <w:rPr>
          <w:rFonts w:ascii="Times New Roman" w:eastAsia="Times New Roman" w:hAnsi="Times New Roman" w:cs="Times New Roman"/>
          <w:color w:val="000000"/>
          <w:spacing w:val="0"/>
          <w:w w:val="100"/>
          <w:position w:val="0"/>
        </w:rPr>
        <w:t>Top50</w:t>
      </w:r>
      <w:r>
        <w:rPr>
          <w:color w:val="000000"/>
          <w:spacing w:val="0"/>
          <w:w w:val="100"/>
          <w:position w:val="0"/>
        </w:rPr>
        <w:t>等榜单，获 得证券时报中国上市公司价值评选</w:t>
      </w:r>
      <w:r>
        <w:rPr>
          <w:rFonts w:ascii="Times New Roman" w:eastAsia="Times New Roman" w:hAnsi="Times New Roman" w:cs="Times New Roman"/>
          <w:color w:val="000000"/>
          <w:spacing w:val="0"/>
          <w:w w:val="100"/>
          <w:position w:val="0"/>
        </w:rPr>
        <w:t>“A</w:t>
      </w:r>
      <w:r>
        <w:rPr>
          <w:color w:val="000000"/>
          <w:spacing w:val="0"/>
          <w:w w:val="100"/>
          <w:position w:val="0"/>
        </w:rPr>
        <w:t>股上市公司社会责任奖</w:t>
      </w:r>
      <w:r>
        <w:rPr>
          <w:rFonts w:ascii="Times New Roman" w:eastAsia="Times New Roman" w:hAnsi="Times New Roman" w:cs="Times New Roman"/>
          <w:color w:val="000000"/>
          <w:spacing w:val="0"/>
          <w:w w:val="100"/>
          <w:position w:val="0"/>
        </w:rPr>
        <w:t>”</w:t>
      </w:r>
      <w:r>
        <w:rPr>
          <w:color w:val="000000"/>
          <w:spacing w:val="0"/>
          <w:w w:val="100"/>
          <w:position w:val="0"/>
        </w:rPr>
        <w:t>、高质量发展上市公司奖、</w:t>
      </w:r>
      <w:r>
        <w:rPr>
          <w:rFonts w:ascii="Times New Roman" w:eastAsia="Times New Roman" w:hAnsi="Times New Roman" w:cs="Times New Roman"/>
          <w:color w:val="000000"/>
          <w:spacing w:val="0"/>
          <w:w w:val="100"/>
          <w:position w:val="0"/>
        </w:rPr>
        <w:t>IDC</w:t>
      </w:r>
      <w:r>
        <w:rPr>
          <w:color w:val="000000"/>
          <w:spacing w:val="0"/>
          <w:w w:val="100"/>
          <w:position w:val="0"/>
        </w:rPr>
        <w:t>中国金融行业技术应用场景创 新奖（金融新基建和监管科技）、亚洲银行家中国奖项计划（中国最佳核心银行技术项目和中国最佳数字化转型项目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360" w:line="317" w:lineRule="exact"/>
        <w:ind w:left="0" w:right="0"/>
        <w:jc w:val="both"/>
      </w:pPr>
      <w:r>
        <w:rPr>
          <w:color w:val="000000"/>
          <w:spacing w:val="0"/>
          <w:w w:val="100"/>
          <w:position w:val="0"/>
        </w:rPr>
        <w:t>公司还在</w:t>
      </w:r>
      <w:r>
        <w:rPr>
          <w:rFonts w:ascii="Times New Roman" w:eastAsia="Times New Roman" w:hAnsi="Times New Roman" w:cs="Times New Roman"/>
          <w:color w:val="000000"/>
          <w:spacing w:val="0"/>
          <w:w w:val="100"/>
          <w:position w:val="0"/>
        </w:rPr>
        <w:t>2021</w:t>
      </w:r>
      <w:r>
        <w:rPr>
          <w:color w:val="000000"/>
          <w:spacing w:val="0"/>
          <w:w w:val="100"/>
          <w:position w:val="0"/>
        </w:rPr>
        <w:t>年参与了《中国金融科技运行报告（</w:t>
      </w:r>
      <w:r>
        <w:rPr>
          <w:rFonts w:ascii="Times New Roman" w:eastAsia="Times New Roman" w:hAnsi="Times New Roman" w:cs="Times New Roman"/>
          <w:color w:val="000000"/>
          <w:spacing w:val="0"/>
          <w:w w:val="100"/>
          <w:position w:val="0"/>
        </w:rPr>
        <w:t>2021</w:t>
      </w:r>
      <w:r>
        <w:rPr>
          <w:color w:val="000000"/>
          <w:spacing w:val="0"/>
          <w:w w:val="100"/>
          <w:position w:val="0"/>
        </w:rPr>
        <w:t>）》、《数字经济</w:t>
      </w:r>
      <w:r>
        <w:rPr>
          <w:rFonts w:ascii="Times New Roman" w:eastAsia="Times New Roman" w:hAnsi="Times New Roman" w:cs="Times New Roman"/>
          <w:color w:val="000000"/>
          <w:spacing w:val="0"/>
          <w:w w:val="100"/>
          <w:position w:val="0"/>
        </w:rPr>
        <w:t>+</w:t>
      </w:r>
      <w:r>
        <w:rPr>
          <w:color w:val="000000"/>
          <w:spacing w:val="0"/>
          <w:w w:val="100"/>
          <w:position w:val="0"/>
        </w:rPr>
        <w:t>科技向善：金融科技创新实践</w:t>
      </w:r>
      <w:r>
        <w:rPr>
          <w:rFonts w:ascii="Times New Roman" w:eastAsia="Times New Roman" w:hAnsi="Times New Roman" w:cs="Times New Roman"/>
          <w:color w:val="000000"/>
          <w:spacing w:val="0"/>
          <w:w w:val="100"/>
          <w:position w:val="0"/>
        </w:rPr>
        <w:t>2021</w:t>
      </w:r>
      <w:r>
        <w:rPr>
          <w:color w:val="000000"/>
          <w:spacing w:val="0"/>
          <w:w w:val="100"/>
          <w:position w:val="0"/>
        </w:rPr>
        <w:t>》、《中 国监管科技发展报告（</w:t>
      </w:r>
      <w:r>
        <w:rPr>
          <w:rFonts w:ascii="Times New Roman" w:eastAsia="Times New Roman" w:hAnsi="Times New Roman" w:cs="Times New Roman"/>
          <w:color w:val="000000"/>
          <w:spacing w:val="0"/>
          <w:w w:val="100"/>
          <w:position w:val="0"/>
        </w:rPr>
        <w:t>2021</w:t>
      </w:r>
      <w:r>
        <w:rPr>
          <w:color w:val="000000"/>
          <w:spacing w:val="0"/>
          <w:w w:val="100"/>
          <w:position w:val="0"/>
        </w:rPr>
        <w:t>）》、《中国金融科技发展报告（</w:t>
      </w:r>
      <w:r>
        <w:rPr>
          <w:rFonts w:ascii="Times New Roman" w:eastAsia="Times New Roman" w:hAnsi="Times New Roman" w:cs="Times New Roman"/>
          <w:color w:val="000000"/>
          <w:spacing w:val="0"/>
          <w:w w:val="100"/>
          <w:position w:val="0"/>
        </w:rPr>
        <w:t>2021</w:t>
      </w:r>
      <w:r>
        <w:rPr>
          <w:color w:val="000000"/>
          <w:spacing w:val="0"/>
          <w:w w:val="100"/>
          <w:position w:val="0"/>
        </w:rPr>
        <w:t>）》和《中国区块链发展报告（</w:t>
      </w:r>
      <w:r>
        <w:rPr>
          <w:rFonts w:ascii="Times New Roman" w:eastAsia="Times New Roman" w:hAnsi="Times New Roman" w:cs="Times New Roman"/>
          <w:color w:val="000000"/>
          <w:spacing w:val="0"/>
          <w:w w:val="100"/>
          <w:position w:val="0"/>
        </w:rPr>
        <w:t>2021</w:t>
      </w:r>
      <w:r>
        <w:rPr>
          <w:color w:val="000000"/>
          <w:spacing w:val="0"/>
          <w:w w:val="100"/>
          <w:position w:val="0"/>
        </w:rPr>
        <w:t>）》等五部年度蓝皮 书的编写与案例呈现，在分布式技术及其应用、反洗钱领域的应用、大数据应用和人工智能应用等章节中，以前沿视角与专 业观点为行业发展提供价值蓝本。</w:t>
      </w:r>
    </w:p>
    <w:p>
      <w:pPr>
        <w:pStyle w:val="Style25"/>
        <w:keepNext/>
        <w:keepLines/>
        <w:widowControl w:val="0"/>
        <w:shd w:val="clear" w:color="auto" w:fill="auto"/>
        <w:tabs>
          <w:tab w:pos="480" w:val="left"/>
        </w:tabs>
        <w:bidi w:val="0"/>
        <w:spacing w:before="0" w:after="26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w:t>
        <w:tab/>
        <w:t>报告期内公司从事的主要业务</w:t>
      </w:r>
      <w:bookmarkEnd w:id="66"/>
      <w:bookmarkEnd w:id="67"/>
      <w:bookmarkEnd w:id="69"/>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神州信息拥有超过三十年向金融机构提供科技服务的经验，在数字化、智能化融合发展的趋势下坚持自主创新的发展思 路。近年来，公司持续聚焦金融科技战略，以大数据、人工智能、区块链等数字技术融合应用为支撑，运用“科技</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场景”模式创新，发力金融信创、场景金融等核心业务，赋能金融及各行业数字化转型，服务实体经济，实现普惠金融。公 </w:t>
      </w:r>
      <w:r>
        <w:rPr>
          <w:color w:val="000000"/>
          <w:spacing w:val="0"/>
          <w:w w:val="100"/>
          <w:position w:val="0"/>
        </w:rPr>
        <w:t>司主要业务如下：</w:t>
      </w:r>
    </w:p>
    <w:p>
      <w:pPr>
        <w:pStyle w:val="Style13"/>
        <w:keepNext w:val="0"/>
        <w:keepLines w:val="0"/>
        <w:widowControl w:val="0"/>
        <w:shd w:val="clear" w:color="auto" w:fill="auto"/>
        <w:tabs>
          <w:tab w:pos="639" w:val="left"/>
        </w:tabs>
        <w:bidi w:val="0"/>
        <w:spacing w:before="0" w:after="0" w:line="312" w:lineRule="exact"/>
        <w:ind w:left="0" w:right="0" w:firstLine="360"/>
        <w:jc w:val="both"/>
      </w:pPr>
      <w:bookmarkStart w:id="70" w:name="bookmark70"/>
      <w:r>
        <w:rPr>
          <w:rFonts w:ascii="Times New Roman" w:eastAsia="Times New Roman" w:hAnsi="Times New Roman" w:cs="Times New Roman"/>
          <w:b/>
          <w:bCs/>
          <w:color w:val="000000"/>
          <w:spacing w:val="0"/>
          <w:w w:val="100"/>
          <w:position w:val="0"/>
        </w:rPr>
        <w:t>1</w:t>
      </w:r>
      <w:bookmarkEnd w:id="70"/>
      <w:r>
        <w:rPr>
          <w:b/>
          <w:bCs/>
          <w:color w:val="000000"/>
          <w:spacing w:val="0"/>
          <w:w w:val="100"/>
          <w:position w:val="0"/>
        </w:rPr>
        <w:t>、</w:t>
        <w:tab/>
        <w:t>数字技术驱动的金融科技产品与解决方案</w:t>
      </w:r>
    </w:p>
    <w:p>
      <w:pPr>
        <w:pStyle w:val="Style1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神州信息拥有行业全面的金融科技产品和解决方案谱系。公司构建了以分布式核心、微服务平台为核心的产品和解决方 案体系，已经形成包括核心应用、云计算、数据智能、智能银行、开放金融、风险管理、移动互联、科技监管和咨询服务在 内的“八大产品族</w:t>
      </w:r>
      <w:r>
        <w:rPr>
          <w:rFonts w:ascii="Times New Roman" w:eastAsia="Times New Roman" w:hAnsi="Times New Roman" w:cs="Times New Roman"/>
          <w:color w:val="000000"/>
          <w:spacing w:val="0"/>
          <w:w w:val="100"/>
          <w:position w:val="0"/>
        </w:rPr>
        <w:t>+</w:t>
      </w:r>
      <w:r>
        <w:rPr>
          <w:color w:val="000000"/>
          <w:spacing w:val="0"/>
          <w:w w:val="100"/>
          <w:position w:val="0"/>
        </w:rPr>
        <w:t>咨询服务”，可以全面支撑银行客户对关键业务进行高效能处理，搭建弹性与云化的微服务架构，建设 数据驱动的金融服务体系，实现网点与泛网点自主化和智能化转型，建设线上业务与场景业务平台，构建全方位风险管理体 系与合规监管服务体系。</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核心应用落地方面，公司分布式核心系统业务市场份额持续保持行业领先。公司推出的新一代分布式核心业务系统 </w:t>
      </w:r>
      <w:r>
        <w:rPr>
          <w:rFonts w:ascii="Times New Roman" w:eastAsia="Times New Roman" w:hAnsi="Times New Roman" w:cs="Times New Roman"/>
          <w:color w:val="000000"/>
          <w:spacing w:val="0"/>
          <w:w w:val="100"/>
          <w:position w:val="0"/>
        </w:rPr>
        <w:t>Sm@rtEnsemble</w:t>
      </w:r>
      <w:r>
        <w:rPr>
          <w:color w:val="000000"/>
          <w:spacing w:val="0"/>
          <w:w w:val="100"/>
          <w:position w:val="0"/>
        </w:rPr>
        <w:t>具有“分布式</w:t>
      </w:r>
      <w:r>
        <w:rPr>
          <w:rFonts w:ascii="Times New Roman" w:eastAsia="Times New Roman" w:hAnsi="Times New Roman" w:cs="Times New Roman"/>
          <w:color w:val="000000"/>
          <w:spacing w:val="0"/>
          <w:w w:val="100"/>
          <w:position w:val="0"/>
        </w:rPr>
        <w:t>+</w:t>
      </w:r>
      <w:r>
        <w:rPr>
          <w:color w:val="000000"/>
          <w:spacing w:val="0"/>
          <w:w w:val="100"/>
          <w:position w:val="0"/>
        </w:rPr>
        <w:t>微服务</w:t>
      </w:r>
      <w:r>
        <w:rPr>
          <w:rFonts w:ascii="Times New Roman" w:eastAsia="Times New Roman" w:hAnsi="Times New Roman" w:cs="Times New Roman"/>
          <w:color w:val="000000"/>
          <w:spacing w:val="0"/>
          <w:w w:val="100"/>
          <w:position w:val="0"/>
        </w:rPr>
        <w:t>+</w:t>
      </w:r>
      <w:r>
        <w:rPr>
          <w:color w:val="000000"/>
          <w:spacing w:val="0"/>
          <w:w w:val="100"/>
          <w:position w:val="0"/>
        </w:rPr>
        <w:t>云原生”特点，既可以帮助银行实现向分布式应用转型，满足互联网创新业务开展， 又能顺应自主创新的发展要求，构建安全的业务系统基座，符合银行</w:t>
      </w:r>
      <w:r>
        <w:rPr>
          <w:rFonts w:ascii="Times New Roman" w:eastAsia="Times New Roman" w:hAnsi="Times New Roman" w:cs="Times New Roman"/>
          <w:color w:val="000000"/>
          <w:spacing w:val="0"/>
          <w:w w:val="100"/>
          <w:position w:val="0"/>
        </w:rPr>
        <w:t>IT</w:t>
      </w:r>
      <w:r>
        <w:rPr>
          <w:color w:val="000000"/>
          <w:spacing w:val="0"/>
          <w:w w:val="100"/>
          <w:position w:val="0"/>
        </w:rPr>
        <w:t>应用上云的发展趋势，助力银行全面提升核心业务 系统的能力，在激烈的市场竞争和行业变革中处于领先地位。企业级微服务平台及企业服务总线</w:t>
      </w:r>
      <w:r>
        <w:rPr>
          <w:color w:val="000000"/>
          <w:spacing w:val="0"/>
          <w:w w:val="100"/>
          <w:position w:val="0"/>
        </w:rPr>
        <w:t>（</w:t>
      </w:r>
      <w:r>
        <w:rPr>
          <w:rFonts w:ascii="Times New Roman" w:eastAsia="Times New Roman" w:hAnsi="Times New Roman" w:cs="Times New Roman"/>
          <w:color w:val="000000"/>
          <w:spacing w:val="0"/>
          <w:w w:val="100"/>
          <w:position w:val="0"/>
        </w:rPr>
        <w:t>ESB</w:t>
      </w:r>
      <w:r>
        <w:rPr>
          <w:color w:val="000000"/>
          <w:spacing w:val="0"/>
          <w:w w:val="100"/>
          <w:position w:val="0"/>
        </w:rPr>
        <w:t>）</w:t>
      </w:r>
      <w:r>
        <w:rPr>
          <w:color w:val="000000"/>
          <w:spacing w:val="0"/>
          <w:w w:val="100"/>
          <w:position w:val="0"/>
        </w:rPr>
        <w:t>采用微服务的设计 理念和分布式、开放式的技术体系，实现客户全行级架构微服务化。公司数字金融以用户体验为中心，以开放的理念、敏捷 的组织、数字化流程、智能化工具全面提升面向客户和市场的快速反应能力，通过内外用户视角，打造极致体验、高效运转 的数字化银行。数据业务方面，公司以大数据驱动业务创新为目标，凭借国际领先的数据建模及数据治理能力，打造以数据 中台为核心的产品体系，为客户提供金融数据治理、数据建模、数据开发、数据分析、数据服务等自主研发的一系列服务与 组件，以释放数据价值，助推金融业务发展。风险管理产品族结合新技术与实际应用场景，提供覆盖全面风险管理体系的综 合解决方案，打造基于巴塞尔协议的市场风险资本计量体系。</w:t>
      </w:r>
    </w:p>
    <w:p>
      <w:pPr>
        <w:pStyle w:val="Style13"/>
        <w:keepNext w:val="0"/>
        <w:keepLines w:val="0"/>
        <w:widowControl w:val="0"/>
        <w:shd w:val="clear" w:color="auto" w:fill="auto"/>
        <w:tabs>
          <w:tab w:pos="654" w:val="left"/>
        </w:tabs>
        <w:bidi w:val="0"/>
        <w:spacing w:before="0" w:after="0" w:line="312" w:lineRule="exact"/>
        <w:ind w:left="0" w:right="0" w:firstLine="360"/>
        <w:jc w:val="both"/>
      </w:pPr>
      <w:bookmarkStart w:id="71" w:name="bookmark71"/>
      <w:r>
        <w:rPr>
          <w:rFonts w:ascii="Times New Roman" w:eastAsia="Times New Roman" w:hAnsi="Times New Roman" w:cs="Times New Roman"/>
          <w:b/>
          <w:bCs/>
          <w:color w:val="000000"/>
          <w:spacing w:val="0"/>
          <w:w w:val="100"/>
          <w:position w:val="0"/>
        </w:rPr>
        <w:t>2</w:t>
      </w:r>
      <w:bookmarkEnd w:id="71"/>
      <w:r>
        <w:rPr>
          <w:b/>
          <w:bCs/>
          <w:color w:val="000000"/>
          <w:spacing w:val="0"/>
          <w:w w:val="100"/>
          <w:position w:val="0"/>
        </w:rPr>
        <w:t>、</w:t>
        <w:tab/>
        <w:t>金融行业信息技术应用创新</w:t>
      </w:r>
    </w:p>
    <w:p>
      <w:pPr>
        <w:pStyle w:val="Style13"/>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金融是信创的重点行业之一。</w:t>
      </w:r>
      <w:r>
        <w:rPr>
          <w:rFonts w:ascii="Times New Roman" w:eastAsia="Times New Roman" w:hAnsi="Times New Roman" w:cs="Times New Roman"/>
          <w:color w:val="000000"/>
          <w:spacing w:val="0"/>
          <w:w w:val="100"/>
          <w:position w:val="0"/>
        </w:rPr>
        <w:t>2020</w:t>
      </w:r>
      <w:r>
        <w:rPr>
          <w:color w:val="000000"/>
          <w:spacing w:val="0"/>
          <w:w w:val="100"/>
          <w:position w:val="0"/>
        </w:rPr>
        <w:t>年以来，从国有大行、股份制银行到城商行，从主机、核心业务系统到外围系统， 都开启了向国产自主研发基础设施体系迁移的实践。分布式技术的普及和应用可以全面解绑“集中式”架构，为国产数据库、 服务器和操作系统的使用创造了有利的条件，在不影响金融系统的稳定运行、确保金融业务的连续性和安全性的前提下实现 国产化替代，为全面金融信创夯实了基础。</w:t>
      </w:r>
    </w:p>
    <w:p>
      <w:pPr>
        <w:pStyle w:val="Style1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公司金融信创业务已经形成信创架构规划及设计、银行系统信创解决方案、信创全适配服务、信创云和分布式基础设施、 信创集成和运维服务五大业务体系，覆盖最广泛的金融行业客户，拥有从金融基础设施到金融行业应用全栈金融服务能力， 以及从金融级分布式架构到分布式平台再到分布式核心全栈产品体系，具备金融信创实现全栈领域落地的能力。至今，公司 基于分布式核心应用系统，已陆续完成与华为、曙光、中芯、中标麒麟、腾讯云等国产厂商的产品认证测试，相关性能指标 完全满足金融机构对可靠性、安全性的要求。同时，公司通过布局金融新基建、量子通信、“神州信创云”等领域，积极推 动云原生数字化安全底座的打造，加快建设信息网络，推进云网协同和算网融合发展，有序推进基础设施智能升级。</w:t>
      </w:r>
    </w:p>
    <w:p>
      <w:pPr>
        <w:pStyle w:val="Style13"/>
        <w:keepNext w:val="0"/>
        <w:keepLines w:val="0"/>
        <w:widowControl w:val="0"/>
        <w:shd w:val="clear" w:color="auto" w:fill="auto"/>
        <w:tabs>
          <w:tab w:pos="654" w:val="left"/>
        </w:tabs>
        <w:bidi w:val="0"/>
        <w:spacing w:before="0" w:after="0" w:line="312" w:lineRule="exact"/>
        <w:ind w:left="0" w:right="0" w:firstLine="360"/>
        <w:jc w:val="both"/>
      </w:pPr>
      <w:bookmarkStart w:id="72" w:name="bookmark72"/>
      <w:r>
        <w:rPr>
          <w:rFonts w:ascii="Times New Roman" w:eastAsia="Times New Roman" w:hAnsi="Times New Roman" w:cs="Times New Roman"/>
          <w:b/>
          <w:bCs/>
          <w:color w:val="000000"/>
          <w:spacing w:val="0"/>
          <w:w w:val="100"/>
          <w:position w:val="0"/>
        </w:rPr>
        <w:t>3</w:t>
      </w:r>
      <w:bookmarkEnd w:id="72"/>
      <w:r>
        <w:rPr>
          <w:b/>
          <w:bCs/>
          <w:color w:val="000000"/>
          <w:spacing w:val="0"/>
          <w:w w:val="100"/>
          <w:position w:val="0"/>
        </w:rPr>
        <w:t>、</w:t>
        <w:tab/>
        <w:t>面向行业融合的场景金融</w:t>
      </w:r>
    </w:p>
    <w:p>
      <w:pPr>
        <w:pStyle w:val="Style13"/>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神州信息依托领先市场的区块链底层技术平台</w:t>
      </w:r>
      <w:r>
        <w:rPr>
          <w:rFonts w:ascii="Times New Roman" w:eastAsia="Times New Roman" w:hAnsi="Times New Roman" w:cs="Times New Roman"/>
          <w:color w:val="000000"/>
          <w:spacing w:val="0"/>
          <w:w w:val="100"/>
          <w:position w:val="0"/>
        </w:rPr>
        <w:t>Sm@rtGAS</w:t>
      </w:r>
      <w:r>
        <w:rPr>
          <w:color w:val="000000"/>
          <w:spacing w:val="0"/>
          <w:w w:val="100"/>
          <w:position w:val="0"/>
        </w:rPr>
        <w:t>，</w:t>
      </w:r>
      <w:r>
        <w:rPr>
          <w:color w:val="000000"/>
          <w:spacing w:val="0"/>
          <w:w w:val="100"/>
          <w:position w:val="0"/>
        </w:rPr>
        <w:t>自主研发打造出一套涵盖互联互通平台、数字人民币软钱 包、企业钱包客户端、商户收单模块、硬件钱包智能模块的完整数字人民币解决方案一数字人民币综合服务平台，帮助银行 积极布局数字人民币生态体系。公司结合国家进一步加强中小微金融服务的政策指导，助力金融机构打造中小微企业场景金 融产品，服务实体经济。公司赋能数字农业农村建设，提供“平台</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服务” 一体化解决方案，并通过“搭场景、建平 台、做服务”促进三农金融发展，已形成“单品大数据平台”等解决方案以及“银农直连”、“农保直连”等创新业务形态， 服务乡村振兴战略。</w:t>
      </w:r>
    </w:p>
    <w:p>
      <w:pPr>
        <w:pStyle w:val="Style25"/>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13"/>
        <w:keepNext w:val="0"/>
        <w:keepLines w:val="0"/>
        <w:widowControl w:val="0"/>
        <w:shd w:val="clear" w:color="auto" w:fill="auto"/>
        <w:bidi w:val="0"/>
        <w:spacing w:before="0" w:after="0" w:line="312" w:lineRule="exact"/>
        <w:ind w:left="0" w:right="0" w:firstLine="360"/>
        <w:jc w:val="both"/>
      </w:pPr>
      <w:bookmarkStart w:id="77" w:name="bookmark77"/>
      <w:r>
        <w:rPr>
          <w:rFonts w:ascii="Times New Roman" w:eastAsia="Times New Roman" w:hAnsi="Times New Roman" w:cs="Times New Roman"/>
          <w:b/>
          <w:bCs/>
          <w:color w:val="000000"/>
          <w:spacing w:val="0"/>
          <w:w w:val="100"/>
          <w:position w:val="0"/>
        </w:rPr>
        <w:t>1</w:t>
      </w:r>
      <w:bookmarkEnd w:id="77"/>
      <w:r>
        <w:rPr>
          <w:b/>
          <w:bCs/>
          <w:color w:val="000000"/>
          <w:spacing w:val="0"/>
          <w:w w:val="100"/>
          <w:position w:val="0"/>
        </w:rPr>
        <w:t>、持续的研发体系建设，构建了领先的行业竞争力</w:t>
      </w:r>
    </w:p>
    <w:p>
      <w:pPr>
        <w:pStyle w:val="Style13"/>
        <w:keepNext w:val="0"/>
        <w:keepLines w:val="0"/>
        <w:widowControl w:val="0"/>
        <w:shd w:val="clear" w:color="auto" w:fill="auto"/>
        <w:bidi w:val="0"/>
        <w:spacing w:before="0" w:after="120" w:line="309" w:lineRule="exact"/>
        <w:ind w:left="0" w:right="0" w:firstLine="360"/>
        <w:jc w:val="both"/>
      </w:pPr>
      <w:r>
        <w:rPr>
          <w:color w:val="000000"/>
          <w:spacing w:val="0"/>
          <w:w w:val="100"/>
          <w:position w:val="0"/>
        </w:rPr>
        <w:t>神州信息作为领先的金融科技公司，不断加强专业技术人才的引进和培养，构建了完善的研发和产品体系，坚持走自主 研发、自主可控的道路。在西安、北京、成都、合肥、广州等地设立多个研发中心，其中，西安研发中心是国内金融行业成 立最早、规模最大的软件开发基地之一。公司形成了完善的研发体系，基础研发覆盖包括数据治理、数据建模、数据服务、 数据可视化、物联网感知与连接平台、分布式量子</w:t>
      </w:r>
      <w:r>
        <w:rPr>
          <w:rFonts w:ascii="Times New Roman" w:eastAsia="Times New Roman" w:hAnsi="Times New Roman" w:cs="Times New Roman"/>
          <w:color w:val="000000"/>
          <w:spacing w:val="0"/>
          <w:w w:val="100"/>
          <w:position w:val="0"/>
        </w:rPr>
        <w:t>SaaS</w:t>
      </w:r>
      <w:r>
        <w:rPr>
          <w:color w:val="000000"/>
          <w:spacing w:val="0"/>
          <w:w w:val="100"/>
          <w:position w:val="0"/>
        </w:rPr>
        <w:t xml:space="preserve">平台、金融知识图谱产品等研发模块，构成公司研发体系的底层架 </w:t>
      </w:r>
      <w:r>
        <w:rPr>
          <w:color w:val="000000"/>
          <w:spacing w:val="0"/>
          <w:w w:val="100"/>
          <w:position w:val="0"/>
        </w:rPr>
        <w:t>构。前端应用研发以客户需求与业务结构为导向，分为信创、解决方案、服务、数字人民币、农业与政企等模块，以持续升 级银行核心、业务系统</w:t>
      </w:r>
      <w:r>
        <w:rPr>
          <w:rFonts w:ascii="Times New Roman" w:eastAsia="Times New Roman" w:hAnsi="Times New Roman" w:cs="Times New Roman"/>
          <w:color w:val="000000"/>
          <w:spacing w:val="0"/>
          <w:w w:val="100"/>
          <w:position w:val="0"/>
        </w:rPr>
        <w:t>AI</w:t>
      </w:r>
      <w:r>
        <w:rPr>
          <w:color w:val="000000"/>
          <w:spacing w:val="0"/>
          <w:w w:val="100"/>
          <w:position w:val="0"/>
        </w:rPr>
        <w:t>智能化产品、金融人机交互产品等相应的产品与解决方案体系。研发体系的持续建设不仅引领公 司各产品与解决方案的不断发展完善升级，也形成了全面的研发能力和深厚的研发积累。截至</w:t>
      </w:r>
      <w:r>
        <w:rPr>
          <w:rFonts w:ascii="Times New Roman" w:eastAsia="Times New Roman" w:hAnsi="Times New Roman" w:cs="Times New Roman"/>
          <w:color w:val="000000"/>
          <w:spacing w:val="0"/>
          <w:w w:val="100"/>
          <w:position w:val="0"/>
        </w:rPr>
        <w:t>2021</w:t>
      </w:r>
      <w:r>
        <w:rPr>
          <w:color w:val="000000"/>
          <w:spacing w:val="0"/>
          <w:w w:val="100"/>
          <w:position w:val="0"/>
        </w:rPr>
        <w:t>年底，公司软件著作权 及专利已累计达</w:t>
      </w:r>
      <w:r>
        <w:rPr>
          <w:rFonts w:ascii="Times New Roman" w:eastAsia="Times New Roman" w:hAnsi="Times New Roman" w:cs="Times New Roman"/>
          <w:color w:val="000000"/>
          <w:spacing w:val="0"/>
          <w:w w:val="100"/>
          <w:position w:val="0"/>
        </w:rPr>
        <w:t>1,602</w:t>
      </w:r>
      <w:r>
        <w:rPr>
          <w:color w:val="000000"/>
          <w:spacing w:val="0"/>
          <w:w w:val="100"/>
          <w:position w:val="0"/>
        </w:rPr>
        <w:t>项，拥有从平台底层到应用层的全部源代码和自主知识产权。</w:t>
      </w:r>
    </w:p>
    <w:p>
      <w:pPr>
        <w:pStyle w:val="Style13"/>
        <w:keepNext w:val="0"/>
        <w:keepLines w:val="0"/>
        <w:widowControl w:val="0"/>
        <w:shd w:val="clear" w:color="auto" w:fill="auto"/>
        <w:tabs>
          <w:tab w:pos="674" w:val="left"/>
        </w:tabs>
        <w:bidi w:val="0"/>
        <w:spacing w:before="0" w:after="0"/>
        <w:ind w:left="0" w:right="0"/>
        <w:jc w:val="both"/>
      </w:pPr>
      <w:bookmarkStart w:id="78" w:name="bookmark78"/>
      <w:r>
        <w:rPr>
          <w:rFonts w:ascii="Times New Roman" w:eastAsia="Times New Roman" w:hAnsi="Times New Roman" w:cs="Times New Roman"/>
          <w:b/>
          <w:bCs/>
          <w:color w:val="000000"/>
          <w:spacing w:val="0"/>
          <w:w w:val="100"/>
          <w:position w:val="0"/>
        </w:rPr>
        <w:t>2</w:t>
      </w:r>
      <w:bookmarkEnd w:id="78"/>
      <w:r>
        <w:rPr>
          <w:b/>
          <w:bCs/>
          <w:color w:val="000000"/>
          <w:spacing w:val="0"/>
          <w:w w:val="100"/>
          <w:position w:val="0"/>
        </w:rPr>
        <w:t>、</w:t>
        <w:tab/>
        <w:t>具备全栈金融信创服务能力</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金融安全是国家安全。复杂国际环境下，伴随金融机构数字化转型步伐提速，我国金融信创逐步进入全面推广阶段。神 州信息作为领先的金融科技企业，以一站式金融信创服务能力，帮助金融监管、政策性银行、股份制、城商行、保险证券等 各类金融机构推进信创实践，助力金融行业打造高质量发展的安全底座。</w:t>
      </w:r>
    </w:p>
    <w:p>
      <w:pPr>
        <w:pStyle w:val="Style13"/>
        <w:keepNext w:val="0"/>
        <w:keepLines w:val="0"/>
        <w:widowControl w:val="0"/>
        <w:shd w:val="clear" w:color="auto" w:fill="auto"/>
        <w:bidi w:val="0"/>
        <w:spacing w:before="0" w:after="120" w:line="312" w:lineRule="exact"/>
        <w:ind w:left="0" w:right="0"/>
        <w:jc w:val="both"/>
      </w:pPr>
      <w:r>
        <w:rPr>
          <w:color w:val="000000"/>
          <w:spacing w:val="0"/>
          <w:w w:val="100"/>
          <w:position w:val="0"/>
        </w:rPr>
        <w:t>公司具备分布式核心系统部署的先发优势，积累了聚合产业生态资源的丰富经验，可为客户提供全适配整体服务，已实 现全栈信创率先落地。凭借行业标杆项目储备和丰富的实施经验，公司帮助金融机构实现信创发展战略与金融科技发展战略 的协同推进，信创整体规划、分阶段推进计划与客户的总体发展战略相匹配，同时建立适合客户情况的信创改造技术路线， 逐步扩大信创产品的使用范围，实现从核心技术到一般应用的自主可控，并在信创规划咨询、项目管理及风险把控等方面获 得专业支持。公司有充分的潜力不断满足客户需求，将与时俱进，持续扩充和优化端到端的全栈式金融信创解决方案，形成 可持续的竞争优势与发展潜力。</w:t>
      </w:r>
    </w:p>
    <w:p>
      <w:pPr>
        <w:pStyle w:val="Style13"/>
        <w:keepNext w:val="0"/>
        <w:keepLines w:val="0"/>
        <w:widowControl w:val="0"/>
        <w:shd w:val="clear" w:color="auto" w:fill="auto"/>
        <w:tabs>
          <w:tab w:pos="674" w:val="left"/>
        </w:tabs>
        <w:bidi w:val="0"/>
        <w:spacing w:before="0" w:after="0"/>
        <w:ind w:left="0" w:right="0"/>
        <w:jc w:val="both"/>
      </w:pPr>
      <w:bookmarkStart w:id="79" w:name="bookmark79"/>
      <w:r>
        <w:rPr>
          <w:rFonts w:ascii="Times New Roman" w:eastAsia="Times New Roman" w:hAnsi="Times New Roman" w:cs="Times New Roman"/>
          <w:b/>
          <w:bCs/>
          <w:color w:val="000000"/>
          <w:spacing w:val="0"/>
          <w:w w:val="100"/>
          <w:position w:val="0"/>
        </w:rPr>
        <w:t>3</w:t>
      </w:r>
      <w:bookmarkEnd w:id="79"/>
      <w:r>
        <w:rPr>
          <w:b/>
          <w:bCs/>
          <w:color w:val="000000"/>
          <w:spacing w:val="0"/>
          <w:w w:val="100"/>
          <w:position w:val="0"/>
        </w:rPr>
        <w:t>、</w:t>
        <w:tab/>
        <w:t>依托丰富的客户、厂商资源，打造行业生态共同体</w:t>
      </w:r>
    </w:p>
    <w:p>
      <w:pPr>
        <w:pStyle w:val="Style13"/>
        <w:keepNext w:val="0"/>
        <w:keepLines w:val="0"/>
        <w:widowControl w:val="0"/>
        <w:shd w:val="clear" w:color="auto" w:fill="auto"/>
        <w:bidi w:val="0"/>
        <w:spacing w:before="0" w:after="120" w:line="312" w:lineRule="exact"/>
        <w:ind w:left="0" w:right="0"/>
        <w:jc w:val="both"/>
      </w:pPr>
      <w:r>
        <w:rPr>
          <w:color w:val="000000"/>
          <w:spacing w:val="0"/>
          <w:w w:val="100"/>
          <w:position w:val="0"/>
        </w:rPr>
        <w:t>多年来，公司与客户、行业伙伴、学术研究机构和金融科技有关行业协会等保持长期良好的合作与互信。公司已经服务 超过</w:t>
      </w:r>
      <w:r>
        <w:rPr>
          <w:rFonts w:ascii="Times New Roman" w:eastAsia="Times New Roman" w:hAnsi="Times New Roman" w:cs="Times New Roman"/>
          <w:color w:val="000000"/>
          <w:spacing w:val="0"/>
          <w:w w:val="100"/>
          <w:position w:val="0"/>
        </w:rPr>
        <w:t>1,200</w:t>
      </w:r>
      <w:r>
        <w:rPr>
          <w:color w:val="000000"/>
          <w:spacing w:val="0"/>
          <w:w w:val="100"/>
          <w:position w:val="0"/>
        </w:rPr>
        <w:t>家金融客户，包括央行及</w:t>
      </w:r>
      <w:r>
        <w:rPr>
          <w:rFonts w:ascii="Times New Roman" w:eastAsia="Times New Roman" w:hAnsi="Times New Roman" w:cs="Times New Roman"/>
          <w:color w:val="000000"/>
          <w:spacing w:val="0"/>
          <w:w w:val="100"/>
          <w:position w:val="0"/>
        </w:rPr>
        <w:t>3</w:t>
      </w:r>
      <w:r>
        <w:rPr>
          <w:color w:val="000000"/>
          <w:spacing w:val="0"/>
          <w:w w:val="100"/>
          <w:position w:val="0"/>
        </w:rPr>
        <w:t>家政策性银行、</w:t>
      </w:r>
      <w:r>
        <w:rPr>
          <w:rFonts w:ascii="Times New Roman" w:eastAsia="Times New Roman" w:hAnsi="Times New Roman" w:cs="Times New Roman"/>
          <w:color w:val="000000"/>
          <w:spacing w:val="0"/>
          <w:w w:val="100"/>
          <w:position w:val="0"/>
        </w:rPr>
        <w:t>6</w:t>
      </w:r>
      <w:r>
        <w:rPr>
          <w:color w:val="000000"/>
          <w:spacing w:val="0"/>
          <w:w w:val="100"/>
          <w:position w:val="0"/>
        </w:rPr>
        <w:t>家国有商业银行、</w:t>
      </w:r>
      <w:r>
        <w:rPr>
          <w:rFonts w:ascii="Times New Roman" w:eastAsia="Times New Roman" w:hAnsi="Times New Roman" w:cs="Times New Roman"/>
          <w:color w:val="000000"/>
          <w:spacing w:val="0"/>
          <w:w w:val="100"/>
          <w:position w:val="0"/>
        </w:rPr>
        <w:t>12</w:t>
      </w:r>
      <w:r>
        <w:rPr>
          <w:color w:val="000000"/>
          <w:spacing w:val="0"/>
          <w:w w:val="100"/>
          <w:position w:val="0"/>
        </w:rPr>
        <w:t>家股份制商业银行、</w:t>
      </w:r>
      <w:r>
        <w:rPr>
          <w:rFonts w:ascii="Times New Roman" w:eastAsia="Times New Roman" w:hAnsi="Times New Roman" w:cs="Times New Roman"/>
          <w:color w:val="000000"/>
          <w:spacing w:val="0"/>
          <w:w w:val="100"/>
          <w:position w:val="0"/>
        </w:rPr>
        <w:t>16</w:t>
      </w:r>
      <w:r>
        <w:rPr>
          <w:color w:val="000000"/>
          <w:spacing w:val="0"/>
          <w:w w:val="100"/>
          <w:position w:val="0"/>
        </w:rPr>
        <w:t xml:space="preserve">家民营银行及直销银行， </w:t>
      </w:r>
      <w:r>
        <w:rPr>
          <w:rFonts w:ascii="Times New Roman" w:eastAsia="Times New Roman" w:hAnsi="Times New Roman" w:cs="Times New Roman"/>
          <w:color w:val="000000"/>
          <w:spacing w:val="0"/>
          <w:w w:val="100"/>
          <w:position w:val="0"/>
        </w:rPr>
        <w:t>33</w:t>
      </w:r>
      <w:r>
        <w:rPr>
          <w:color w:val="000000"/>
          <w:spacing w:val="0"/>
          <w:w w:val="100"/>
          <w:position w:val="0"/>
        </w:rPr>
        <w:t>家外资银行、</w:t>
      </w:r>
      <w:r>
        <w:rPr>
          <w:rFonts w:ascii="Times New Roman" w:eastAsia="Times New Roman" w:hAnsi="Times New Roman" w:cs="Times New Roman"/>
          <w:color w:val="000000"/>
          <w:spacing w:val="0"/>
          <w:w w:val="100"/>
          <w:position w:val="0"/>
        </w:rPr>
        <w:t>140</w:t>
      </w:r>
      <w:r>
        <w:rPr>
          <w:color w:val="000000"/>
          <w:spacing w:val="0"/>
          <w:w w:val="100"/>
          <w:position w:val="0"/>
        </w:rPr>
        <w:t>余家城市商业银行、</w:t>
      </w:r>
      <w:r>
        <w:rPr>
          <w:rFonts w:ascii="Times New Roman" w:eastAsia="Times New Roman" w:hAnsi="Times New Roman" w:cs="Times New Roman"/>
          <w:color w:val="000000"/>
          <w:spacing w:val="0"/>
          <w:w w:val="100"/>
          <w:position w:val="0"/>
        </w:rPr>
        <w:t>200</w:t>
      </w:r>
      <w:r>
        <w:rPr>
          <w:color w:val="000000"/>
          <w:spacing w:val="0"/>
          <w:w w:val="100"/>
          <w:position w:val="0"/>
        </w:rPr>
        <w:t>余家农商行及农信社、</w:t>
      </w:r>
      <w:r>
        <w:rPr>
          <w:rFonts w:ascii="Times New Roman" w:eastAsia="Times New Roman" w:hAnsi="Times New Roman" w:cs="Times New Roman"/>
          <w:color w:val="000000"/>
          <w:spacing w:val="0"/>
          <w:w w:val="100"/>
          <w:position w:val="0"/>
        </w:rPr>
        <w:t>300</w:t>
      </w:r>
      <w:r>
        <w:rPr>
          <w:color w:val="000000"/>
          <w:spacing w:val="0"/>
          <w:w w:val="100"/>
          <w:position w:val="0"/>
        </w:rPr>
        <w:t>余家村镇银行，同时覆盖证券交易所、保险公司、 证券公司、财务公司等各类金融机构，在业内具有较高的声誉。公司同国家开发银行、兰州银行、晋商银行、华瑞银行、乌 鲁木齐银行等客户建立联合实验室，共同探索技术的创新应用。目前，公司已经构建了金融业规模最大的信创生态体系，入 驻了多个国家级、省级信创园区及示范基地，形成信创联盟和战略伙伴关系。公司基于自身金融应用软件的优势，在服务器、 操作系统、数据库、中间件等领域与主流生态伙伴开发端到端的解决方案。公司还与国家金融与发展实验室、中国信息通信 研究院云计算与大数据研究所、清华大学五道口金融学院、鹏城实验室、中科大国际金融研究院、北京航空航天大学、西南 财经大学等院校、国家级实验室深度合作，打造前瞻研究生态。在此基础上，公司通过战略合作、共同研发、共谱生态等方 式将业务向外延伸，增加服务维度，增厚客户价值，探索新的业务机遇。</w:t>
      </w:r>
    </w:p>
    <w:p>
      <w:pPr>
        <w:pStyle w:val="Style13"/>
        <w:keepNext w:val="0"/>
        <w:keepLines w:val="0"/>
        <w:widowControl w:val="0"/>
        <w:shd w:val="clear" w:color="auto" w:fill="auto"/>
        <w:tabs>
          <w:tab w:pos="674" w:val="left"/>
        </w:tabs>
        <w:bidi w:val="0"/>
        <w:spacing w:before="0" w:after="0"/>
        <w:ind w:left="0" w:right="0"/>
        <w:jc w:val="both"/>
      </w:pPr>
      <w:bookmarkStart w:id="80" w:name="bookmark80"/>
      <w:r>
        <w:rPr>
          <w:rFonts w:ascii="Times New Roman" w:eastAsia="Times New Roman" w:hAnsi="Times New Roman" w:cs="Times New Roman"/>
          <w:b/>
          <w:bCs/>
          <w:color w:val="000000"/>
          <w:spacing w:val="0"/>
          <w:w w:val="100"/>
          <w:position w:val="0"/>
        </w:rPr>
        <w:t>4</w:t>
      </w:r>
      <w:bookmarkEnd w:id="80"/>
      <w:r>
        <w:rPr>
          <w:b/>
          <w:bCs/>
          <w:color w:val="000000"/>
          <w:spacing w:val="0"/>
          <w:w w:val="100"/>
          <w:position w:val="0"/>
        </w:rPr>
        <w:t>、</w:t>
        <w:tab/>
        <w:t>深耕多元金融业务场景，全力助推金融机构数字化转型</w:t>
      </w:r>
    </w:p>
    <w:p>
      <w:pPr>
        <w:pStyle w:val="Style13"/>
        <w:keepNext w:val="0"/>
        <w:keepLines w:val="0"/>
        <w:widowControl w:val="0"/>
        <w:shd w:val="clear" w:color="auto" w:fill="auto"/>
        <w:bidi w:val="0"/>
        <w:spacing w:before="0" w:after="120" w:line="311" w:lineRule="exact"/>
        <w:ind w:left="0" w:right="0"/>
        <w:jc w:val="both"/>
      </w:pPr>
      <w:r>
        <w:rPr>
          <w:color w:val="000000"/>
          <w:spacing w:val="0"/>
          <w:w w:val="100"/>
          <w:position w:val="0"/>
        </w:rPr>
        <w:t>公司在区块链及数字人民币、消费金融、金融监管、智能合约、手机银行、网络银行等众多细分赛道形成了依托场景、 有竞争力的金融服务与解决方案，联合金融机构、税务部门、农业部门、互联网企业等各方机构共同探索普惠金融的破解之 道，助力资金流向金融基础设施欠发达的地区和产业，解决三农、中小微企业融资“最后一公里”的难题，为公司在场景金 融领域的业务创新提供广阔的空间。神州信息是业内较早探索数字人民币领域的公司，成立了专门的子公司北京神州数码方 圆科技有限公司布局区块链和数字人民币相关业务。公司在农业农村数字化运营、数据资产化、数据基础设施建设等多领域 释放三农数据要素价值，与银行、保险机构联合健全农业农村金融服务体系，进一步加速农业农村数字化转型。</w:t>
      </w:r>
    </w:p>
    <w:p>
      <w:pPr>
        <w:pStyle w:val="Style13"/>
        <w:keepNext w:val="0"/>
        <w:keepLines w:val="0"/>
        <w:widowControl w:val="0"/>
        <w:shd w:val="clear" w:color="auto" w:fill="auto"/>
        <w:tabs>
          <w:tab w:pos="674" w:val="left"/>
        </w:tabs>
        <w:bidi w:val="0"/>
        <w:spacing w:before="0" w:after="0"/>
        <w:ind w:left="0" w:right="0"/>
        <w:jc w:val="both"/>
      </w:pPr>
      <w:bookmarkStart w:id="81" w:name="bookmark81"/>
      <w:r>
        <w:rPr>
          <w:rFonts w:ascii="Times New Roman" w:eastAsia="Times New Roman" w:hAnsi="Times New Roman" w:cs="Times New Roman"/>
          <w:b/>
          <w:bCs/>
          <w:color w:val="000000"/>
          <w:spacing w:val="0"/>
          <w:w w:val="100"/>
          <w:position w:val="0"/>
        </w:rPr>
        <w:t>5</w:t>
      </w:r>
      <w:bookmarkEnd w:id="81"/>
      <w:r>
        <w:rPr>
          <w:b/>
          <w:bCs/>
          <w:color w:val="000000"/>
          <w:spacing w:val="0"/>
          <w:w w:val="100"/>
          <w:position w:val="0"/>
        </w:rPr>
        <w:t>、</w:t>
        <w:tab/>
        <w:t>参与制定行业标准，引领金融科技风向</w:t>
      </w:r>
    </w:p>
    <w:p>
      <w:pPr>
        <w:pStyle w:val="Style13"/>
        <w:keepNext w:val="0"/>
        <w:keepLines w:val="0"/>
        <w:widowControl w:val="0"/>
        <w:shd w:val="clear" w:color="auto" w:fill="auto"/>
        <w:bidi w:val="0"/>
        <w:spacing w:before="0" w:after="120" w:line="312" w:lineRule="exact"/>
        <w:ind w:left="0" w:right="0"/>
        <w:jc w:val="both"/>
      </w:pPr>
      <w:r>
        <w:rPr>
          <w:color w:val="000000"/>
          <w:spacing w:val="0"/>
          <w:w w:val="100"/>
          <w:position w:val="0"/>
        </w:rPr>
        <w:t>公司以多年信息化建设经验为基础，通过技术研发与客户积累，在金融、税务、农业等行业积累了较深的行业洞察和研 发能力，并通过主导和参与标准的制定引领行业发展。公司聚焦金融科技战略，主导、参与编制了《商业银行分布式联机交 易系统技术规范》、《商业银行应用程序接口共享平台技术要求》、《商业银行互联网开放平台架构规范》等</w:t>
      </w:r>
      <w:r>
        <w:rPr>
          <w:rFonts w:ascii="Times New Roman" w:eastAsia="Times New Roman" w:hAnsi="Times New Roman" w:cs="Times New Roman"/>
          <w:color w:val="000000"/>
          <w:spacing w:val="0"/>
          <w:w w:val="100"/>
          <w:position w:val="0"/>
        </w:rPr>
        <w:t>11</w:t>
      </w:r>
      <w:r>
        <w:rPr>
          <w:color w:val="000000"/>
          <w:spacing w:val="0"/>
          <w:w w:val="100"/>
          <w:position w:val="0"/>
        </w:rPr>
        <w:t>项金融行 业和团体标准，其中，公司为建设银行落地实施的“基于区块链的供应链金融企业应收账款融资系统”应用案例被选中并编 入国际标准</w:t>
      </w:r>
      <w:r>
        <w:rPr>
          <w:rFonts w:ascii="Times New Roman" w:eastAsia="Times New Roman" w:hAnsi="Times New Roman" w:cs="Times New Roman"/>
          <w:color w:val="000000"/>
          <w:spacing w:val="0"/>
          <w:w w:val="100"/>
          <w:position w:val="0"/>
        </w:rPr>
        <w:t xml:space="preserve">ISO/DTR </w:t>
      </w:r>
      <w:r>
        <w:rPr>
          <w:rFonts w:ascii="Times New Roman" w:eastAsia="Times New Roman" w:hAnsi="Times New Roman" w:cs="Times New Roman"/>
          <w:color w:val="000000"/>
          <w:spacing w:val="0"/>
          <w:w w:val="100"/>
          <w:position w:val="0"/>
        </w:rPr>
        <w:t>3242</w:t>
      </w:r>
      <w:r>
        <w:rPr>
          <w:color w:val="000000"/>
          <w:spacing w:val="0"/>
          <w:w w:val="100"/>
          <w:position w:val="0"/>
        </w:rPr>
        <w:t>《区块链与分布式账本技术用例》，为核心系统、开放银行等相关领域的行业标准建设提供了重 要参考依据。作为全国信标委</w:t>
      </w:r>
      <w:r>
        <w:rPr>
          <w:rFonts w:ascii="Times New Roman" w:eastAsia="Times New Roman" w:hAnsi="Times New Roman" w:cs="Times New Roman"/>
          <w:color w:val="000000"/>
          <w:spacing w:val="0"/>
          <w:w w:val="100"/>
          <w:position w:val="0"/>
        </w:rPr>
        <w:t>IT</w:t>
      </w:r>
      <w:r>
        <w:rPr>
          <w:color w:val="000000"/>
          <w:spacing w:val="0"/>
          <w:w w:val="100"/>
          <w:position w:val="0"/>
        </w:rPr>
        <w:t>服务分委会副秘书长单位，公司还主导编制了《信息技术服务运行维护第</w:t>
      </w:r>
      <w:r>
        <w:rPr>
          <w:rFonts w:ascii="Times New Roman" w:eastAsia="Times New Roman" w:hAnsi="Times New Roman" w:cs="Times New Roman"/>
          <w:color w:val="000000"/>
          <w:spacing w:val="0"/>
          <w:w w:val="100"/>
          <w:position w:val="0"/>
        </w:rPr>
        <w:t>1</w:t>
      </w:r>
      <w:r>
        <w:rPr>
          <w:color w:val="000000"/>
          <w:spacing w:val="0"/>
          <w:w w:val="100"/>
          <w:position w:val="0"/>
        </w:rPr>
        <w:t>部分：通用要 求》、《信息技术服务数据中心业务连续性等级评价准则》等</w:t>
      </w:r>
      <w:r>
        <w:rPr>
          <w:rFonts w:ascii="Times New Roman" w:eastAsia="Times New Roman" w:hAnsi="Times New Roman" w:cs="Times New Roman"/>
          <w:color w:val="000000"/>
          <w:spacing w:val="0"/>
          <w:w w:val="100"/>
          <w:position w:val="0"/>
        </w:rPr>
        <w:t>4</w:t>
      </w:r>
      <w:r>
        <w:rPr>
          <w:color w:val="000000"/>
          <w:spacing w:val="0"/>
          <w:w w:val="100"/>
          <w:position w:val="0"/>
        </w:rPr>
        <w:t>项国家标准，为行业提供了良好的借鉴作用。</w:t>
      </w:r>
      <w:r>
        <w:rPr>
          <w:rFonts w:ascii="Times New Roman" w:eastAsia="Times New Roman" w:hAnsi="Times New Roman" w:cs="Times New Roman"/>
          <w:color w:val="000000"/>
          <w:spacing w:val="0"/>
          <w:w w:val="100"/>
          <w:position w:val="0"/>
        </w:rPr>
        <w:t>2021</w:t>
      </w:r>
      <w:r>
        <w:rPr>
          <w:color w:val="000000"/>
          <w:spacing w:val="0"/>
          <w:w w:val="100"/>
          <w:position w:val="0"/>
        </w:rPr>
        <w:t>年，公 司获批发布了《信息化服务开放平台通用技术要求》、《分布式平台联机事务处理通用技术要求》、《人工智能算法金融应 用评价规范》和《软件能力成熟度模型》等</w:t>
      </w:r>
      <w:r>
        <w:rPr>
          <w:rFonts w:ascii="Times New Roman" w:eastAsia="Times New Roman" w:hAnsi="Times New Roman" w:cs="Times New Roman"/>
          <w:color w:val="000000"/>
          <w:spacing w:val="0"/>
          <w:w w:val="100"/>
          <w:position w:val="0"/>
        </w:rPr>
        <w:t>4</w:t>
      </w:r>
      <w:r>
        <w:rPr>
          <w:color w:val="000000"/>
          <w:spacing w:val="0"/>
          <w:w w:val="100"/>
          <w:position w:val="0"/>
        </w:rPr>
        <w:t>项主导和参与制定的标准，将自主研发的核心技术及最佳实践输出为标准成果， 进一步推动了行业的规范发展。</w:t>
      </w:r>
    </w:p>
    <w:p>
      <w:pPr>
        <w:pStyle w:val="Style25"/>
        <w:keepNext/>
        <w:keepLines/>
        <w:widowControl w:val="0"/>
        <w:shd w:val="clear" w:color="auto" w:fill="auto"/>
        <w:bidi w:val="0"/>
        <w:spacing w:before="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四</w:t>
      </w:r>
      <w:bookmarkEnd w:id="84"/>
      <w:r>
        <w:rPr>
          <w:color w:val="000000"/>
          <w:spacing w:val="0"/>
          <w:w w:val="100"/>
          <w:position w:val="0"/>
          <w:sz w:val="24"/>
          <w:szCs w:val="24"/>
        </w:rPr>
        <w:t>、主营业务分析</w:t>
      </w:r>
      <w:bookmarkEnd w:id="82"/>
      <w:bookmarkEnd w:id="83"/>
      <w:bookmarkEnd w:id="85"/>
    </w:p>
    <w:p>
      <w:pPr>
        <w:pStyle w:val="Style29"/>
        <w:keepNext/>
        <w:keepLines/>
        <w:widowControl w:val="0"/>
        <w:shd w:val="clear" w:color="auto" w:fill="auto"/>
        <w:bidi w:val="0"/>
        <w:spacing w:before="0" w:after="26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1</w:t>
      </w:r>
      <w:bookmarkEnd w:id="88"/>
      <w:r>
        <w:rPr>
          <w:color w:val="000000"/>
          <w:spacing w:val="0"/>
          <w:w w:val="100"/>
          <w:position w:val="0"/>
        </w:rPr>
        <w:t>、概述</w:t>
      </w:r>
      <w:bookmarkEnd w:id="86"/>
      <w:bookmarkEnd w:id="87"/>
      <w:bookmarkEnd w:id="89"/>
    </w:p>
    <w:p>
      <w:pPr>
        <w:pStyle w:val="Style13"/>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年，尽管面临着新冠疫情给公司业务扩张、投标推进、交付执行等带来的不利影响，以及国内外经济发展环境的 不利因素，受益于国家顶层设计对数字驱动金融机构转型的重要部署和金融科技在金融机构应用的不断深入，公司整体业务 逆势增长，为金融科技战略的长远发展积累了深厚的基础。公司</w:t>
      </w:r>
      <w:r>
        <w:rPr>
          <w:rFonts w:ascii="Times New Roman" w:eastAsia="Times New Roman" w:hAnsi="Times New Roman" w:cs="Times New Roman"/>
          <w:color w:val="000000"/>
          <w:spacing w:val="0"/>
          <w:w w:val="100"/>
          <w:position w:val="0"/>
        </w:rPr>
        <w:t>2021</w:t>
      </w:r>
      <w:r>
        <w:rPr>
          <w:color w:val="000000"/>
          <w:spacing w:val="0"/>
          <w:w w:val="100"/>
          <w:position w:val="0"/>
        </w:rPr>
        <w:t>年持续执行加大研发投入的策略，全年研发费用</w:t>
      </w:r>
      <w:r>
        <w:rPr>
          <w:rFonts w:ascii="Times New Roman" w:eastAsia="Times New Roman" w:hAnsi="Times New Roman" w:cs="Times New Roman"/>
          <w:color w:val="000000"/>
          <w:spacing w:val="0"/>
          <w:w w:val="100"/>
          <w:position w:val="0"/>
        </w:rPr>
        <w:t xml:space="preserve">5.75 </w:t>
      </w:r>
      <w:r>
        <w:rPr>
          <w:color w:val="000000"/>
          <w:spacing w:val="0"/>
          <w:w w:val="100"/>
          <w:position w:val="0"/>
        </w:rPr>
        <w:t>亿元，较上年增长</w:t>
      </w:r>
      <w:r>
        <w:rPr>
          <w:rFonts w:ascii="Times New Roman" w:eastAsia="Times New Roman" w:hAnsi="Times New Roman" w:cs="Times New Roman"/>
          <w:color w:val="000000"/>
          <w:spacing w:val="0"/>
          <w:w w:val="100"/>
          <w:position w:val="0"/>
        </w:rPr>
        <w:t>12.66%</w:t>
      </w:r>
      <w:r>
        <w:rPr>
          <w:color w:val="000000"/>
          <w:spacing w:val="0"/>
          <w:w w:val="100"/>
          <w:position w:val="0"/>
        </w:rPr>
        <w:t xml:space="preserve">，对公司各项产品与解决方案的推出、迭代和升级提供了稳定的支撑。报告期内，公司发布了 </w:t>
      </w:r>
      <w:r>
        <w:rPr>
          <w:rFonts w:ascii="Times New Roman" w:eastAsia="Times New Roman" w:hAnsi="Times New Roman" w:cs="Times New Roman"/>
          <w:color w:val="000000"/>
          <w:spacing w:val="0"/>
          <w:w w:val="100"/>
          <w:position w:val="0"/>
        </w:rPr>
        <w:t>ModelB@nk5.0</w:t>
      </w:r>
      <w:r>
        <w:rPr>
          <w:color w:val="000000"/>
          <w:spacing w:val="0"/>
          <w:w w:val="100"/>
          <w:position w:val="0"/>
        </w:rPr>
        <w:t>银行架构指引，引领面向数字时代的银行</w:t>
      </w:r>
      <w:r>
        <w:rPr>
          <w:rFonts w:ascii="Times New Roman" w:eastAsia="Times New Roman" w:hAnsi="Times New Roman" w:cs="Times New Roman"/>
          <w:color w:val="000000"/>
          <w:spacing w:val="0"/>
          <w:w w:val="100"/>
          <w:position w:val="0"/>
        </w:rPr>
        <w:t>IT</w:t>
      </w:r>
      <w:r>
        <w:rPr>
          <w:color w:val="000000"/>
          <w:spacing w:val="0"/>
          <w:w w:val="100"/>
          <w:position w:val="0"/>
        </w:rPr>
        <w:t>架构的规划与发展，推出了基于云原生等数字技术的全栈技术 自主可控数字化安全平台神州信创云，发布了金融</w:t>
      </w:r>
      <w:r>
        <w:rPr>
          <w:rFonts w:ascii="Times New Roman" w:eastAsia="Times New Roman" w:hAnsi="Times New Roman" w:cs="Times New Roman"/>
          <w:color w:val="000000"/>
          <w:spacing w:val="0"/>
          <w:w w:val="100"/>
          <w:position w:val="0"/>
        </w:rPr>
        <w:t>AI</w:t>
      </w:r>
      <w:r>
        <w:rPr>
          <w:color w:val="000000"/>
          <w:spacing w:val="0"/>
          <w:w w:val="100"/>
          <w:position w:val="0"/>
        </w:rPr>
        <w:t>中台解决方案</w:t>
      </w:r>
      <w:r>
        <w:rPr>
          <w:rFonts w:ascii="Times New Roman" w:eastAsia="Times New Roman" w:hAnsi="Times New Roman" w:cs="Times New Roman"/>
          <w:color w:val="000000"/>
          <w:spacing w:val="0"/>
          <w:w w:val="100"/>
          <w:position w:val="0"/>
        </w:rPr>
        <w:t>“</w:t>
      </w:r>
      <w:r>
        <w:rPr>
          <w:color w:val="000000"/>
          <w:spacing w:val="0"/>
          <w:w w:val="100"/>
          <w:position w:val="0"/>
        </w:rPr>
        <w:t>金融超脑</w:t>
      </w:r>
      <w:r>
        <w:rPr>
          <w:rFonts w:ascii="Times New Roman" w:eastAsia="Times New Roman" w:hAnsi="Times New Roman" w:cs="Times New Roman"/>
          <w:color w:val="000000"/>
          <w:spacing w:val="0"/>
          <w:w w:val="100"/>
          <w:position w:val="0"/>
        </w:rPr>
        <w:t>”</w:t>
      </w:r>
      <w:r>
        <w:rPr>
          <w:color w:val="000000"/>
          <w:spacing w:val="0"/>
          <w:w w:val="100"/>
          <w:position w:val="0"/>
        </w:rPr>
        <w:t>和金融业务数据治理产品</w:t>
      </w:r>
      <w:r>
        <w:rPr>
          <w:rFonts w:ascii="Times New Roman" w:eastAsia="Times New Roman" w:hAnsi="Times New Roman" w:cs="Times New Roman"/>
          <w:color w:val="000000"/>
          <w:spacing w:val="0"/>
          <w:w w:val="100"/>
          <w:position w:val="0"/>
        </w:rPr>
        <w:t>“</w:t>
      </w:r>
      <w:r>
        <w:rPr>
          <w:color w:val="000000"/>
          <w:spacing w:val="0"/>
          <w:w w:val="100"/>
          <w:position w:val="0"/>
        </w:rPr>
        <w:t>数据中台七此外， 公司还推出了包括多源异构数据整合共享平台、一站式金融信创联合解决方案、云原生数字化安全底座、智能园区体解决方 案、智能锐行云测试管理平台等诸多金融科技产品与解决方案，为金融科技业务的中长期增长做出了全面布局与探索。</w:t>
      </w:r>
    </w:p>
    <w:p>
      <w:pPr>
        <w:pStyle w:val="Style13"/>
        <w:keepNext w:val="0"/>
        <w:keepLines w:val="0"/>
        <w:widowControl w:val="0"/>
        <w:shd w:val="clear" w:color="auto" w:fill="auto"/>
        <w:tabs>
          <w:tab w:pos="861" w:val="left"/>
        </w:tabs>
        <w:bidi w:val="0"/>
        <w:spacing w:before="0" w:after="0" w:line="313" w:lineRule="exact"/>
        <w:ind w:left="0" w:right="0"/>
        <w:jc w:val="both"/>
      </w:pPr>
      <w:bookmarkStart w:id="90" w:name="bookmark90"/>
      <w:r>
        <w:rPr>
          <w:b/>
          <w:bCs/>
          <w:color w:val="000000"/>
          <w:spacing w:val="0"/>
          <w:w w:val="100"/>
          <w:position w:val="0"/>
        </w:rPr>
        <w:t>（</w:t>
      </w:r>
      <w:bookmarkEnd w:id="90"/>
      <w:r>
        <w:rPr>
          <w:b/>
          <w:bCs/>
          <w:color w:val="000000"/>
          <w:spacing w:val="0"/>
          <w:w w:val="100"/>
          <w:position w:val="0"/>
        </w:rPr>
        <w:t>一）</w:t>
        <w:tab/>
        <w:t>签约与收入逆势增长，业务表现稳健</w:t>
      </w:r>
    </w:p>
    <w:p>
      <w:pPr>
        <w:pStyle w:val="Style13"/>
        <w:keepNext w:val="0"/>
        <w:keepLines w:val="0"/>
        <w:widowControl w:val="0"/>
        <w:shd w:val="clear" w:color="auto" w:fill="auto"/>
        <w:bidi w:val="0"/>
        <w:spacing w:before="0" w:after="0" w:line="310" w:lineRule="exact"/>
        <w:ind w:left="0" w:right="0"/>
        <w:jc w:val="both"/>
      </w:pPr>
      <w:r>
        <w:rPr>
          <w:color w:val="000000"/>
          <w:spacing w:val="0"/>
          <w:w w:val="100"/>
          <w:position w:val="0"/>
        </w:rPr>
        <w:t>尽管新冠疫情持续蔓延，全球宏观经济走弱，报告期内，公司业务规模逆势增长，全年签约额再创新高，达到</w:t>
      </w:r>
      <w:r>
        <w:rPr>
          <w:rFonts w:ascii="Times New Roman" w:eastAsia="Times New Roman" w:hAnsi="Times New Roman" w:cs="Times New Roman"/>
          <w:color w:val="000000"/>
          <w:spacing w:val="0"/>
          <w:w w:val="100"/>
          <w:position w:val="0"/>
        </w:rPr>
        <w:t xml:space="preserve">119.97 </w:t>
      </w:r>
      <w:r>
        <w:rPr>
          <w:color w:val="000000"/>
          <w:spacing w:val="0"/>
          <w:w w:val="100"/>
          <w:position w:val="0"/>
        </w:rPr>
        <w:t>亿元，同比增长</w:t>
      </w:r>
      <w:r>
        <w:rPr>
          <w:rFonts w:ascii="Times New Roman" w:eastAsia="Times New Roman" w:hAnsi="Times New Roman" w:cs="Times New Roman"/>
          <w:color w:val="000000"/>
          <w:spacing w:val="0"/>
          <w:w w:val="100"/>
          <w:position w:val="0"/>
        </w:rPr>
        <w:t>4.88%</w:t>
      </w:r>
      <w:r>
        <w:rPr>
          <w:color w:val="000000"/>
          <w:spacing w:val="0"/>
          <w:w w:val="100"/>
          <w:position w:val="0"/>
        </w:rPr>
        <w:t>，实现营业收入</w:t>
      </w:r>
      <w:r>
        <w:rPr>
          <w:rFonts w:ascii="Times New Roman" w:eastAsia="Times New Roman" w:hAnsi="Times New Roman" w:cs="Times New Roman"/>
          <w:color w:val="000000"/>
          <w:spacing w:val="0"/>
          <w:w w:val="100"/>
          <w:position w:val="0"/>
        </w:rPr>
        <w:t>113.56</w:t>
      </w:r>
      <w:r>
        <w:rPr>
          <w:color w:val="000000"/>
          <w:spacing w:val="0"/>
          <w:w w:val="100"/>
          <w:position w:val="0"/>
        </w:rPr>
        <w:t>亿元，同比增长</w:t>
      </w:r>
      <w:r>
        <w:rPr>
          <w:rFonts w:ascii="Times New Roman" w:eastAsia="Times New Roman" w:hAnsi="Times New Roman" w:cs="Times New Roman"/>
          <w:color w:val="000000"/>
          <w:spacing w:val="0"/>
          <w:w w:val="100"/>
          <w:position w:val="0"/>
        </w:rPr>
        <w:t>6.27%</w:t>
      </w:r>
      <w:r>
        <w:rPr>
          <w:color w:val="000000"/>
          <w:spacing w:val="0"/>
          <w:w w:val="100"/>
          <w:position w:val="0"/>
        </w:rPr>
        <w:t>，其中软件开发和技术服务收入</w:t>
      </w:r>
      <w:r>
        <w:rPr>
          <w:rFonts w:ascii="Times New Roman" w:eastAsia="Times New Roman" w:hAnsi="Times New Roman" w:cs="Times New Roman"/>
          <w:color w:val="000000"/>
          <w:spacing w:val="0"/>
          <w:w w:val="100"/>
          <w:position w:val="0"/>
        </w:rPr>
        <w:t>53.17</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15.63%</w:t>
      </w:r>
      <w:r>
        <w:rPr>
          <w:color w:val="000000"/>
          <w:spacing w:val="0"/>
          <w:w w:val="100"/>
          <w:position w:val="0"/>
        </w:rPr>
        <w:t>，毛利率</w:t>
      </w:r>
      <w:r>
        <w:rPr>
          <w:rFonts w:ascii="Times New Roman" w:eastAsia="Times New Roman" w:hAnsi="Times New Roman" w:cs="Times New Roman"/>
          <w:color w:val="000000"/>
          <w:spacing w:val="0"/>
          <w:w w:val="100"/>
          <w:position w:val="0"/>
        </w:rPr>
        <w:t>24.62%</w:t>
      </w:r>
      <w:r>
        <w:rPr>
          <w:color w:val="000000"/>
          <w:spacing w:val="0"/>
          <w:w w:val="100"/>
          <w:position w:val="0"/>
        </w:rPr>
        <w:t>，同比增长</w:t>
      </w:r>
      <w:r>
        <w:rPr>
          <w:rFonts w:ascii="Times New Roman" w:eastAsia="Times New Roman" w:hAnsi="Times New Roman" w:cs="Times New Roman"/>
          <w:color w:val="000000"/>
          <w:spacing w:val="0"/>
          <w:w w:val="100"/>
          <w:position w:val="0"/>
        </w:rPr>
        <w:t>0.82</w:t>
      </w:r>
      <w:r>
        <w:rPr>
          <w:color w:val="000000"/>
          <w:spacing w:val="0"/>
          <w:w w:val="100"/>
          <w:position w:val="0"/>
        </w:rPr>
        <w:t>个百分点。实现归属于上市公司股东的净利润</w:t>
      </w:r>
      <w:r>
        <w:rPr>
          <w:rFonts w:ascii="Times New Roman" w:eastAsia="Times New Roman" w:hAnsi="Times New Roman" w:cs="Times New Roman"/>
          <w:color w:val="000000"/>
          <w:spacing w:val="0"/>
          <w:w w:val="100"/>
          <w:position w:val="0"/>
        </w:rPr>
        <w:t>3.76</w:t>
      </w:r>
      <w:r>
        <w:rPr>
          <w:color w:val="000000"/>
          <w:spacing w:val="0"/>
          <w:w w:val="100"/>
          <w:position w:val="0"/>
        </w:rPr>
        <w:t>亿元，归属于上市公司股东的扣 除非经常性损益后的净利润</w:t>
      </w:r>
      <w:r>
        <w:rPr>
          <w:rFonts w:ascii="Times New Roman" w:eastAsia="Times New Roman" w:hAnsi="Times New Roman" w:cs="Times New Roman"/>
          <w:color w:val="000000"/>
          <w:spacing w:val="0"/>
          <w:w w:val="100"/>
          <w:position w:val="0"/>
        </w:rPr>
        <w:t>3.15</w:t>
      </w:r>
      <w:r>
        <w:rPr>
          <w:color w:val="000000"/>
          <w:spacing w:val="0"/>
          <w:w w:val="100"/>
          <w:position w:val="0"/>
        </w:rPr>
        <w:t>亿元，扣非归母净利润同比增长</w:t>
      </w:r>
      <w:r>
        <w:rPr>
          <w:rFonts w:ascii="Times New Roman" w:eastAsia="Times New Roman" w:hAnsi="Times New Roman" w:cs="Times New Roman"/>
          <w:color w:val="000000"/>
          <w:spacing w:val="0"/>
          <w:w w:val="100"/>
          <w:position w:val="0"/>
        </w:rPr>
        <w:t>46.14%</w:t>
      </w:r>
      <w:r>
        <w:rPr>
          <w:color w:val="000000"/>
          <w:spacing w:val="0"/>
          <w:w w:val="100"/>
          <w:position w:val="0"/>
        </w:rPr>
        <w:t>。报告期末，公司经营性现金流量净额</w:t>
      </w:r>
      <w:r>
        <w:rPr>
          <w:rFonts w:ascii="Times New Roman" w:eastAsia="Times New Roman" w:hAnsi="Times New Roman" w:cs="Times New Roman"/>
          <w:color w:val="000000"/>
          <w:spacing w:val="0"/>
          <w:w w:val="100"/>
          <w:position w:val="0"/>
        </w:rPr>
        <w:t>3.72</w:t>
      </w:r>
      <w:r>
        <w:rPr>
          <w:color w:val="000000"/>
          <w:spacing w:val="0"/>
          <w:w w:val="100"/>
          <w:position w:val="0"/>
        </w:rPr>
        <w:t>亿元， 同比增长</w:t>
      </w:r>
      <w:r>
        <w:rPr>
          <w:rFonts w:ascii="Times New Roman" w:eastAsia="Times New Roman" w:hAnsi="Times New Roman" w:cs="Times New Roman"/>
          <w:color w:val="000000"/>
          <w:spacing w:val="0"/>
          <w:w w:val="100"/>
          <w:position w:val="0"/>
        </w:rPr>
        <w:t>15.45%</w:t>
      </w:r>
      <w:r>
        <w:rPr>
          <w:color w:val="000000"/>
          <w:spacing w:val="0"/>
          <w:w w:val="100"/>
          <w:position w:val="0"/>
        </w:rPr>
        <w:t>。</w:t>
      </w:r>
    </w:p>
    <w:p>
      <w:pPr>
        <w:pStyle w:val="Style13"/>
        <w:keepNext w:val="0"/>
        <w:keepLines w:val="0"/>
        <w:widowControl w:val="0"/>
        <w:shd w:val="clear" w:color="auto" w:fill="auto"/>
        <w:tabs>
          <w:tab w:pos="861" w:val="left"/>
        </w:tabs>
        <w:bidi w:val="0"/>
        <w:spacing w:before="0" w:after="0" w:line="313" w:lineRule="exact"/>
        <w:ind w:left="0" w:right="0"/>
        <w:jc w:val="both"/>
      </w:pPr>
      <w:bookmarkStart w:id="91" w:name="bookmark91"/>
      <w:r>
        <w:rPr>
          <w:b/>
          <w:bCs/>
          <w:color w:val="000000"/>
          <w:spacing w:val="0"/>
          <w:w w:val="100"/>
          <w:position w:val="0"/>
        </w:rPr>
        <w:t>（</w:t>
      </w:r>
      <w:bookmarkEnd w:id="91"/>
      <w:r>
        <w:rPr>
          <w:b/>
          <w:bCs/>
          <w:color w:val="000000"/>
          <w:spacing w:val="0"/>
          <w:w w:val="100"/>
          <w:position w:val="0"/>
        </w:rPr>
        <w:t>二）</w:t>
        <w:tab/>
        <w:t>金融科技战略取得显著突破</w:t>
      </w:r>
    </w:p>
    <w:p>
      <w:pPr>
        <w:pStyle w:val="Style13"/>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报告期内，公司金融科技板块签约额再创新高，达到</w:t>
      </w:r>
      <w:r>
        <w:rPr>
          <w:rFonts w:ascii="Times New Roman" w:eastAsia="Times New Roman" w:hAnsi="Times New Roman" w:cs="Times New Roman"/>
          <w:color w:val="000000"/>
          <w:spacing w:val="0"/>
          <w:w w:val="100"/>
          <w:position w:val="0"/>
        </w:rPr>
        <w:t>59.25</w:t>
      </w:r>
      <w:r>
        <w:rPr>
          <w:color w:val="000000"/>
          <w:spacing w:val="0"/>
          <w:w w:val="100"/>
          <w:position w:val="0"/>
        </w:rPr>
        <w:t>亿元，同比增长</w:t>
      </w:r>
      <w:r>
        <w:rPr>
          <w:rFonts w:ascii="Times New Roman" w:eastAsia="Times New Roman" w:hAnsi="Times New Roman" w:cs="Times New Roman"/>
          <w:color w:val="000000"/>
          <w:spacing w:val="0"/>
          <w:w w:val="100"/>
          <w:position w:val="0"/>
        </w:rPr>
        <w:t>10.4%</w:t>
      </w:r>
      <w:r>
        <w:rPr>
          <w:color w:val="000000"/>
          <w:spacing w:val="0"/>
          <w:w w:val="100"/>
          <w:position w:val="0"/>
        </w:rPr>
        <w:t>，收入</w:t>
      </w:r>
      <w:r>
        <w:rPr>
          <w:rFonts w:ascii="Times New Roman" w:eastAsia="Times New Roman" w:hAnsi="Times New Roman" w:cs="Times New Roman"/>
          <w:color w:val="000000"/>
          <w:spacing w:val="0"/>
          <w:w w:val="100"/>
          <w:position w:val="0"/>
        </w:rPr>
        <w:t>54.72</w:t>
      </w:r>
      <w:r>
        <w:rPr>
          <w:color w:val="000000"/>
          <w:spacing w:val="0"/>
          <w:w w:val="100"/>
          <w:position w:val="0"/>
        </w:rPr>
        <w:t>亿元，同比增长</w:t>
      </w:r>
      <w:r>
        <w:rPr>
          <w:rFonts w:ascii="Times New Roman" w:eastAsia="Times New Roman" w:hAnsi="Times New Roman" w:cs="Times New Roman"/>
          <w:color w:val="000000"/>
          <w:spacing w:val="0"/>
          <w:w w:val="100"/>
          <w:position w:val="0"/>
        </w:rPr>
        <w:t>16.81%</w:t>
      </w:r>
      <w:r>
        <w:rPr>
          <w:color w:val="000000"/>
          <w:spacing w:val="0"/>
          <w:w w:val="100"/>
          <w:position w:val="0"/>
        </w:rPr>
        <w:t>， 包括为金融机构提供的软件开发和技术服务、系统集成业务收入，以及作为金融场景创新基础领域的相关业务收入。金融行 业营业收入实现</w:t>
      </w:r>
      <w:r>
        <w:rPr>
          <w:rFonts w:ascii="Times New Roman" w:eastAsia="Times New Roman" w:hAnsi="Times New Roman" w:cs="Times New Roman"/>
          <w:color w:val="000000"/>
          <w:spacing w:val="0"/>
          <w:w w:val="100"/>
          <w:position w:val="0"/>
        </w:rPr>
        <w:t>50.22</w:t>
      </w:r>
      <w:r>
        <w:rPr>
          <w:color w:val="000000"/>
          <w:spacing w:val="0"/>
          <w:w w:val="100"/>
          <w:position w:val="0"/>
        </w:rPr>
        <w:t>亿元，同比增长</w:t>
      </w:r>
      <w:r>
        <w:rPr>
          <w:rFonts w:ascii="Times New Roman" w:eastAsia="Times New Roman" w:hAnsi="Times New Roman" w:cs="Times New Roman"/>
          <w:color w:val="000000"/>
          <w:spacing w:val="0"/>
          <w:w w:val="100"/>
          <w:position w:val="0"/>
        </w:rPr>
        <w:t>18.35%</w:t>
      </w:r>
      <w:r>
        <w:rPr>
          <w:color w:val="000000"/>
          <w:spacing w:val="0"/>
          <w:w w:val="100"/>
          <w:position w:val="0"/>
        </w:rPr>
        <w:t>，其中系统集成业务收入</w:t>
      </w:r>
      <w:r>
        <w:rPr>
          <w:rFonts w:ascii="Times New Roman" w:eastAsia="Times New Roman" w:hAnsi="Times New Roman" w:cs="Times New Roman"/>
          <w:color w:val="000000"/>
          <w:spacing w:val="0"/>
          <w:w w:val="100"/>
          <w:position w:val="0"/>
        </w:rPr>
        <w:t>25.02</w:t>
      </w:r>
      <w:r>
        <w:rPr>
          <w:color w:val="000000"/>
          <w:spacing w:val="0"/>
          <w:w w:val="100"/>
          <w:position w:val="0"/>
        </w:rPr>
        <w:t>亿元，同比增长</w:t>
      </w:r>
      <w:r>
        <w:rPr>
          <w:rFonts w:ascii="Times New Roman" w:eastAsia="Times New Roman" w:hAnsi="Times New Roman" w:cs="Times New Roman"/>
          <w:color w:val="000000"/>
          <w:spacing w:val="0"/>
          <w:w w:val="100"/>
          <w:position w:val="0"/>
        </w:rPr>
        <w:t>10.97%</w:t>
      </w:r>
      <w:r>
        <w:rPr>
          <w:color w:val="000000"/>
          <w:spacing w:val="0"/>
          <w:w w:val="100"/>
          <w:position w:val="0"/>
        </w:rPr>
        <w:t>；软件开发和技术服 务业务收入</w:t>
      </w:r>
      <w:r>
        <w:rPr>
          <w:rFonts w:ascii="Times New Roman" w:eastAsia="Times New Roman" w:hAnsi="Times New Roman" w:cs="Times New Roman"/>
          <w:color w:val="000000"/>
          <w:spacing w:val="0"/>
          <w:w w:val="100"/>
          <w:position w:val="0"/>
        </w:rPr>
        <w:t>25.2</w:t>
      </w:r>
      <w:r>
        <w:rPr>
          <w:color w:val="000000"/>
          <w:spacing w:val="0"/>
          <w:w w:val="100"/>
          <w:position w:val="0"/>
        </w:rPr>
        <w:t>亿元，同比增长</w:t>
      </w:r>
      <w:r>
        <w:rPr>
          <w:rFonts w:ascii="Times New Roman" w:eastAsia="Times New Roman" w:hAnsi="Times New Roman" w:cs="Times New Roman"/>
          <w:color w:val="000000"/>
          <w:spacing w:val="0"/>
          <w:w w:val="100"/>
          <w:position w:val="0"/>
        </w:rPr>
        <w:t>26.7%</w:t>
      </w:r>
      <w:r>
        <w:rPr>
          <w:color w:val="000000"/>
          <w:spacing w:val="0"/>
          <w:w w:val="100"/>
          <w:position w:val="0"/>
        </w:rPr>
        <w:t>，毛利率</w:t>
      </w:r>
      <w:r>
        <w:rPr>
          <w:rFonts w:ascii="Times New Roman" w:eastAsia="Times New Roman" w:hAnsi="Times New Roman" w:cs="Times New Roman"/>
          <w:color w:val="000000"/>
          <w:spacing w:val="0"/>
          <w:w w:val="100"/>
          <w:position w:val="0"/>
        </w:rPr>
        <w:t>27.14%</w:t>
      </w:r>
      <w:r>
        <w:rPr>
          <w:color w:val="000000"/>
          <w:spacing w:val="0"/>
          <w:w w:val="100"/>
          <w:position w:val="0"/>
        </w:rPr>
        <w:t>，同比增长</w:t>
      </w:r>
      <w:r>
        <w:rPr>
          <w:rFonts w:ascii="Times New Roman" w:eastAsia="Times New Roman" w:hAnsi="Times New Roman" w:cs="Times New Roman"/>
          <w:color w:val="000000"/>
          <w:spacing w:val="0"/>
          <w:w w:val="100"/>
          <w:position w:val="0"/>
        </w:rPr>
        <w:t>0.21</w:t>
      </w:r>
      <w:r>
        <w:rPr>
          <w:color w:val="000000"/>
          <w:spacing w:val="0"/>
          <w:w w:val="100"/>
          <w:position w:val="0"/>
        </w:rPr>
        <w:t>个百分点。大客户方面，公司</w:t>
      </w:r>
      <w:r>
        <w:rPr>
          <w:rFonts w:ascii="Times New Roman" w:eastAsia="Times New Roman" w:hAnsi="Times New Roman" w:cs="Times New Roman"/>
          <w:color w:val="000000"/>
          <w:spacing w:val="0"/>
          <w:w w:val="100"/>
          <w:position w:val="0"/>
        </w:rPr>
        <w:t>2021</w:t>
      </w:r>
      <w:r>
        <w:rPr>
          <w:color w:val="000000"/>
          <w:spacing w:val="0"/>
          <w:w w:val="100"/>
          <w:position w:val="0"/>
        </w:rPr>
        <w:t>年在金融软件 业务签约总额</w:t>
      </w:r>
      <w:r>
        <w:rPr>
          <w:rFonts w:ascii="Times New Roman" w:eastAsia="Times New Roman" w:hAnsi="Times New Roman" w:cs="Times New Roman"/>
          <w:color w:val="000000"/>
          <w:spacing w:val="0"/>
          <w:w w:val="100"/>
          <w:position w:val="0"/>
        </w:rPr>
        <w:t>5,000</w:t>
      </w:r>
      <w:r>
        <w:rPr>
          <w:color w:val="000000"/>
          <w:spacing w:val="0"/>
          <w:w w:val="100"/>
          <w:position w:val="0"/>
        </w:rPr>
        <w:t>万元以上的客户达到</w:t>
      </w:r>
      <w:r>
        <w:rPr>
          <w:rFonts w:ascii="Times New Roman" w:eastAsia="Times New Roman" w:hAnsi="Times New Roman" w:cs="Times New Roman"/>
          <w:color w:val="000000"/>
          <w:spacing w:val="0"/>
          <w:w w:val="100"/>
          <w:position w:val="0"/>
        </w:rPr>
        <w:t>11</w:t>
      </w:r>
      <w:r>
        <w:rPr>
          <w:color w:val="000000"/>
          <w:spacing w:val="0"/>
          <w:w w:val="100"/>
          <w:position w:val="0"/>
        </w:rPr>
        <w:t>家，金融集成业务签约总额</w:t>
      </w:r>
      <w:r>
        <w:rPr>
          <w:rFonts w:ascii="Times New Roman" w:eastAsia="Times New Roman" w:hAnsi="Times New Roman" w:cs="Times New Roman"/>
          <w:color w:val="000000"/>
          <w:spacing w:val="0"/>
          <w:w w:val="100"/>
          <w:position w:val="0"/>
        </w:rPr>
        <w:t>2,000</w:t>
      </w:r>
      <w:r>
        <w:rPr>
          <w:color w:val="000000"/>
          <w:spacing w:val="0"/>
          <w:w w:val="100"/>
          <w:position w:val="0"/>
        </w:rPr>
        <w:t>万元以上的客户达到</w:t>
      </w:r>
      <w:r>
        <w:rPr>
          <w:rFonts w:ascii="Times New Roman" w:eastAsia="Times New Roman" w:hAnsi="Times New Roman" w:cs="Times New Roman"/>
          <w:color w:val="000000"/>
          <w:spacing w:val="0"/>
          <w:w w:val="100"/>
          <w:position w:val="0"/>
        </w:rPr>
        <w:t>20</w:t>
      </w:r>
      <w:r>
        <w:rPr>
          <w:color w:val="000000"/>
          <w:spacing w:val="0"/>
          <w:w w:val="100"/>
          <w:position w:val="0"/>
        </w:rPr>
        <w:t>家。目前公司金融软 件开发和技术服务业务在手订单充足，报告期内已签未销</w:t>
      </w:r>
      <w:r>
        <w:rPr>
          <w:rFonts w:ascii="Times New Roman" w:eastAsia="Times New Roman" w:hAnsi="Times New Roman" w:cs="Times New Roman"/>
          <w:color w:val="000000"/>
          <w:spacing w:val="0"/>
          <w:w w:val="100"/>
          <w:position w:val="0"/>
        </w:rPr>
        <w:t>13.81</w:t>
      </w:r>
      <w:r>
        <w:rPr>
          <w:color w:val="000000"/>
          <w:spacing w:val="0"/>
          <w:w w:val="100"/>
          <w:position w:val="0"/>
        </w:rPr>
        <w:t>亿元，同比增长</w:t>
      </w:r>
      <w:r>
        <w:rPr>
          <w:rFonts w:ascii="Times New Roman" w:eastAsia="Times New Roman" w:hAnsi="Times New Roman" w:cs="Times New Roman"/>
          <w:color w:val="000000"/>
          <w:spacing w:val="0"/>
          <w:w w:val="100"/>
          <w:position w:val="0"/>
        </w:rPr>
        <w:t>8.08%</w:t>
      </w:r>
      <w:r>
        <w:rPr>
          <w:color w:val="000000"/>
          <w:spacing w:val="0"/>
          <w:w w:val="100"/>
          <w:position w:val="0"/>
        </w:rPr>
        <w:t>，将对公司金融科技业务长期、稳定 且扎实的增长形成有力支撑。</w:t>
      </w:r>
    </w:p>
    <w:p>
      <w:pPr>
        <w:pStyle w:val="Style13"/>
        <w:keepNext w:val="0"/>
        <w:keepLines w:val="0"/>
        <w:widowControl w:val="0"/>
        <w:shd w:val="clear" w:color="auto" w:fill="auto"/>
        <w:bidi w:val="0"/>
        <w:spacing w:before="0" w:after="0" w:line="313" w:lineRule="exact"/>
        <w:ind w:left="0" w:right="0"/>
        <w:jc w:val="both"/>
      </w:pPr>
      <w:bookmarkStart w:id="92" w:name="bookmark92"/>
      <w:r>
        <w:rPr>
          <w:rFonts w:ascii="Times New Roman" w:eastAsia="Times New Roman" w:hAnsi="Times New Roman" w:cs="Times New Roman"/>
          <w:b/>
          <w:bCs/>
          <w:color w:val="000000"/>
          <w:spacing w:val="0"/>
          <w:w w:val="100"/>
          <w:position w:val="0"/>
        </w:rPr>
        <w:t>1</w:t>
      </w:r>
      <w:bookmarkEnd w:id="92"/>
      <w:r>
        <w:rPr>
          <w:b/>
          <w:bCs/>
          <w:color w:val="000000"/>
          <w:spacing w:val="0"/>
          <w:w w:val="100"/>
          <w:position w:val="0"/>
        </w:rPr>
        <w:t>、金融科技产品与解决方案业务持续引领市场</w:t>
      </w:r>
    </w:p>
    <w:p>
      <w:pPr>
        <w:pStyle w:val="Style13"/>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报告期内，公司金融科技业务产品与解决方案体系持续扩充，形成“八大解决方案</w:t>
      </w:r>
      <w:r>
        <w:rPr>
          <w:rFonts w:ascii="Times New Roman" w:eastAsia="Times New Roman" w:hAnsi="Times New Roman" w:cs="Times New Roman"/>
          <w:color w:val="000000"/>
          <w:spacing w:val="0"/>
          <w:w w:val="100"/>
          <w:position w:val="0"/>
        </w:rPr>
        <w:t>+</w:t>
      </w:r>
      <w:r>
        <w:rPr>
          <w:color w:val="000000"/>
          <w:spacing w:val="0"/>
          <w:w w:val="100"/>
          <w:position w:val="0"/>
        </w:rPr>
        <w:t>咨询服务”产品与解决方案矩阵， 并结合新技术对产品功能进行迭代，为客户提供更加完善全面的数字金融服务，持续巩固公司在支柱解决方案市场领先的地 位。</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报告期内，公司新一代核心系统大行案例持续落地，签约邮储银行新一代核心实施业务总体管控项目二期，承担产品装 配及差异化定价的设计及开发工作；持续参与中国银行的分布式平台建设，并为后续中国银行核心下移的整体实施打下坚实 基础。签约广发银行、北京银行、吉林银行、天津银行、辽沈银行、华兴银行等</w:t>
      </w:r>
      <w:r>
        <w:rPr>
          <w:rFonts w:ascii="Times New Roman" w:eastAsia="Times New Roman" w:hAnsi="Times New Roman" w:cs="Times New Roman"/>
          <w:color w:val="000000"/>
          <w:spacing w:val="0"/>
          <w:w w:val="100"/>
          <w:position w:val="0"/>
        </w:rPr>
        <w:t>13</w:t>
      </w:r>
      <w:r>
        <w:rPr>
          <w:color w:val="000000"/>
          <w:spacing w:val="0"/>
          <w:w w:val="100"/>
          <w:position w:val="0"/>
        </w:rPr>
        <w:t>家银行的核心系统建设项目。同时，业 务前端的跨越式增长也牵引公司核心项目交付能力的快速跃升，目前已形成可以同时支撑</w:t>
      </w:r>
      <w:r>
        <w:rPr>
          <w:rFonts w:ascii="Times New Roman" w:eastAsia="Times New Roman" w:hAnsi="Times New Roman" w:cs="Times New Roman"/>
          <w:color w:val="000000"/>
          <w:spacing w:val="0"/>
          <w:w w:val="100"/>
          <w:position w:val="0"/>
        </w:rPr>
        <w:t>14</w:t>
      </w:r>
      <w:r>
        <w:rPr>
          <w:color w:val="000000"/>
          <w:spacing w:val="0"/>
          <w:w w:val="100"/>
          <w:position w:val="0"/>
        </w:rPr>
        <w:t>家核心项目的交付能力，为公 司核心业务保持市场竞争力提供稳定支撑。</w:t>
      </w:r>
    </w:p>
    <w:p>
      <w:pPr>
        <w:pStyle w:val="Style13"/>
        <w:keepNext w:val="0"/>
        <w:keepLines w:val="0"/>
        <w:widowControl w:val="0"/>
        <w:shd w:val="clear" w:color="auto" w:fill="auto"/>
        <w:bidi w:val="0"/>
        <w:spacing w:before="0" w:after="0" w:line="313" w:lineRule="exact"/>
        <w:ind w:left="0" w:right="0"/>
        <w:jc w:val="both"/>
      </w:pPr>
      <w:r>
        <w:rPr>
          <w:color w:val="000000"/>
          <w:spacing w:val="0"/>
          <w:w w:val="100"/>
          <w:position w:val="0"/>
        </w:rPr>
        <w:t>报告期内，企业级微服务平台及企业服务总线</w:t>
      </w:r>
      <w:r>
        <w:rPr>
          <w:color w:val="000000"/>
          <w:spacing w:val="0"/>
          <w:w w:val="100"/>
          <w:position w:val="0"/>
        </w:rPr>
        <w:t>（</w:t>
      </w:r>
      <w:r>
        <w:rPr>
          <w:rFonts w:ascii="Times New Roman" w:eastAsia="Times New Roman" w:hAnsi="Times New Roman" w:cs="Times New Roman"/>
          <w:color w:val="000000"/>
          <w:spacing w:val="0"/>
          <w:w w:val="100"/>
          <w:position w:val="0"/>
        </w:rPr>
        <w:t>ESB</w:t>
      </w:r>
      <w:r>
        <w:rPr>
          <w:color w:val="000000"/>
          <w:spacing w:val="0"/>
          <w:w w:val="100"/>
          <w:position w:val="0"/>
        </w:rPr>
        <w:t>）</w:t>
      </w:r>
      <w:r>
        <w:rPr>
          <w:color w:val="000000"/>
          <w:spacing w:val="0"/>
          <w:w w:val="100"/>
          <w:position w:val="0"/>
        </w:rPr>
        <w:t>持续保持市场领先地位，新客户拓展</w:t>
      </w:r>
      <w:r>
        <w:rPr>
          <w:rFonts w:ascii="Times New Roman" w:eastAsia="Times New Roman" w:hAnsi="Times New Roman" w:cs="Times New Roman"/>
          <w:color w:val="000000"/>
          <w:spacing w:val="0"/>
          <w:w w:val="100"/>
          <w:position w:val="0"/>
        </w:rPr>
        <w:t>15</w:t>
      </w:r>
      <w:r>
        <w:rPr>
          <w:color w:val="000000"/>
          <w:spacing w:val="0"/>
          <w:w w:val="100"/>
          <w:position w:val="0"/>
        </w:rPr>
        <w:t>家，存量客户微服务升 级</w:t>
      </w:r>
      <w:r>
        <w:rPr>
          <w:rFonts w:ascii="Times New Roman" w:eastAsia="Times New Roman" w:hAnsi="Times New Roman" w:cs="Times New Roman"/>
          <w:color w:val="000000"/>
          <w:spacing w:val="0"/>
          <w:w w:val="100"/>
          <w:position w:val="0"/>
        </w:rPr>
        <w:t>11</w:t>
      </w:r>
      <w:r>
        <w:rPr>
          <w:color w:val="000000"/>
          <w:spacing w:val="0"/>
          <w:w w:val="100"/>
          <w:position w:val="0"/>
        </w:rPr>
        <w:t>家，中标、签约光大银行、华夏银行信用卡中心、上海银行、吉林银行、甘肃农信等。公司数字金融业务取得新突破， 形成了从电子渠道到业务中台的完整产品线，签约平安银行、光大银行、兴业银行、四川银行、宁波银行、中原银行、徽商 银行、法兴银行等数十家客户。数据智能产品族中标邮储银行、兴业银行、南京银行、广州银行、成都农商等</w:t>
      </w:r>
      <w:r>
        <w:rPr>
          <w:rFonts w:ascii="Times New Roman" w:eastAsia="Times New Roman" w:hAnsi="Times New Roman" w:cs="Times New Roman"/>
          <w:color w:val="000000"/>
          <w:spacing w:val="0"/>
          <w:w w:val="100"/>
          <w:position w:val="0"/>
        </w:rPr>
        <w:t>20</w:t>
      </w:r>
      <w:r>
        <w:rPr>
          <w:color w:val="000000"/>
          <w:spacing w:val="0"/>
          <w:w w:val="100"/>
          <w:position w:val="0"/>
        </w:rPr>
        <w:t>余家银行 客户，其中数据资产运营平台和客户画像两款产品获得邮储银行、渤海银行、南京银行、上海银行等四家资产规模万亿以上 银行采购。报告期内，风险管理产品族中标、签约中信银行、广发银行、光大银行、东莞银行和华融湘江银行等客户，风险 计量引擎应用获得银行风险管理细分领域的突破，通过将人工智能知识图谱引入场景金融和开放银行，在智能营销、智能风 控等领域进一步加强开放银行的竞争力。</w:t>
      </w:r>
    </w:p>
    <w:p>
      <w:pPr>
        <w:pStyle w:val="Style13"/>
        <w:keepNext w:val="0"/>
        <w:keepLines w:val="0"/>
        <w:widowControl w:val="0"/>
        <w:shd w:val="clear" w:color="auto" w:fill="auto"/>
        <w:tabs>
          <w:tab w:pos="674" w:val="left"/>
        </w:tabs>
        <w:bidi w:val="0"/>
        <w:spacing w:before="0" w:after="0" w:line="313" w:lineRule="exact"/>
        <w:ind w:left="0" w:right="0"/>
        <w:jc w:val="both"/>
      </w:pPr>
      <w:bookmarkStart w:id="93" w:name="bookmark93"/>
      <w:r>
        <w:rPr>
          <w:rFonts w:ascii="Times New Roman" w:eastAsia="Times New Roman" w:hAnsi="Times New Roman" w:cs="Times New Roman"/>
          <w:b/>
          <w:bCs/>
          <w:color w:val="000000"/>
          <w:spacing w:val="0"/>
          <w:w w:val="100"/>
          <w:position w:val="0"/>
        </w:rPr>
        <w:t>2</w:t>
      </w:r>
      <w:bookmarkEnd w:id="93"/>
      <w:r>
        <w:rPr>
          <w:b/>
          <w:bCs/>
          <w:color w:val="000000"/>
          <w:spacing w:val="0"/>
          <w:w w:val="100"/>
          <w:position w:val="0"/>
        </w:rPr>
        <w:t>、</w:t>
        <w:tab/>
        <w:t>金融行业信息技术应用创新保持领先优势</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报告期内，公司金融信创业务签约</w:t>
      </w:r>
      <w:r>
        <w:rPr>
          <w:rFonts w:ascii="Times New Roman" w:eastAsia="Times New Roman" w:hAnsi="Times New Roman" w:cs="Times New Roman"/>
          <w:color w:val="000000"/>
          <w:spacing w:val="0"/>
          <w:w w:val="100"/>
          <w:position w:val="0"/>
        </w:rPr>
        <w:t>8.4</w:t>
      </w:r>
      <w:r>
        <w:rPr>
          <w:color w:val="000000"/>
          <w:spacing w:val="0"/>
          <w:w w:val="100"/>
          <w:position w:val="0"/>
        </w:rPr>
        <w:t>亿元，持续保持行业领先，新增监管机构、政策性银行、国有大行、股份制银行 等金融信创行业标杆案例</w:t>
      </w:r>
      <w:r>
        <w:rPr>
          <w:rFonts w:ascii="Times New Roman" w:eastAsia="Times New Roman" w:hAnsi="Times New Roman" w:cs="Times New Roman"/>
          <w:color w:val="000000"/>
          <w:spacing w:val="0"/>
          <w:w w:val="100"/>
          <w:position w:val="0"/>
        </w:rPr>
        <w:t>20</w:t>
      </w:r>
      <w:r>
        <w:rPr>
          <w:color w:val="000000"/>
          <w:spacing w:val="0"/>
          <w:w w:val="100"/>
          <w:position w:val="0"/>
        </w:rPr>
        <w:t>余个。参与银行、保险、证券等</w:t>
      </w:r>
      <w:r>
        <w:rPr>
          <w:rFonts w:ascii="Times New Roman" w:eastAsia="Times New Roman" w:hAnsi="Times New Roman" w:cs="Times New Roman"/>
          <w:color w:val="000000"/>
          <w:spacing w:val="0"/>
          <w:w w:val="100"/>
          <w:position w:val="0"/>
        </w:rPr>
        <w:t>20</w:t>
      </w:r>
      <w:r>
        <w:rPr>
          <w:color w:val="000000"/>
          <w:spacing w:val="0"/>
          <w:w w:val="100"/>
          <w:position w:val="0"/>
        </w:rPr>
        <w:t>余家试点金融机构的信创规划咨询，通过可执行、可落地的 成熟信创咨询方法论，以“咨询</w:t>
      </w:r>
      <w:r>
        <w:rPr>
          <w:rFonts w:ascii="Times New Roman" w:eastAsia="Times New Roman" w:hAnsi="Times New Roman" w:cs="Times New Roman"/>
          <w:color w:val="000000"/>
          <w:spacing w:val="0"/>
          <w:w w:val="100"/>
          <w:position w:val="0"/>
        </w:rPr>
        <w:t>+</w:t>
      </w:r>
      <w:r>
        <w:rPr>
          <w:color w:val="000000"/>
          <w:spacing w:val="0"/>
          <w:w w:val="100"/>
          <w:position w:val="0"/>
        </w:rPr>
        <w:t>建设” 一体化服务能力，服务金融机构的数字化转型和信创实践落地。在信创生态方面， 公司联合华为、腾讯、浪潮等生态伙伴，发布面向金融行业的信创解决方案。同时，公司与央行“金融信创生态实验室”开 展战略合作，参与并共同发布《金融信创咨询指引》，完成金融科技产业联盟“核心业务系统不同信创技术路线下的适配与 验证”课题，将自身一站式信创能力转化为金融行业可规模化落地的参考标准。</w:t>
      </w:r>
    </w:p>
    <w:p>
      <w:pPr>
        <w:pStyle w:val="Style13"/>
        <w:keepNext w:val="0"/>
        <w:keepLines w:val="0"/>
        <w:widowControl w:val="0"/>
        <w:shd w:val="clear" w:color="auto" w:fill="auto"/>
        <w:tabs>
          <w:tab w:pos="674" w:val="left"/>
        </w:tabs>
        <w:bidi w:val="0"/>
        <w:spacing w:before="0" w:after="100" w:line="313" w:lineRule="exact"/>
        <w:ind w:left="0" w:right="0"/>
        <w:jc w:val="both"/>
      </w:pPr>
      <w:bookmarkStart w:id="94" w:name="bookmark94"/>
      <w:r>
        <w:rPr>
          <w:rFonts w:ascii="Times New Roman" w:eastAsia="Times New Roman" w:hAnsi="Times New Roman" w:cs="Times New Roman"/>
          <w:b/>
          <w:bCs/>
          <w:color w:val="000000"/>
          <w:spacing w:val="0"/>
          <w:w w:val="100"/>
          <w:position w:val="0"/>
        </w:rPr>
        <w:t>3</w:t>
      </w:r>
      <w:bookmarkEnd w:id="94"/>
      <w:r>
        <w:rPr>
          <w:b/>
          <w:bCs/>
          <w:color w:val="000000"/>
          <w:spacing w:val="0"/>
          <w:w w:val="100"/>
          <w:position w:val="0"/>
        </w:rPr>
        <w:t>、</w:t>
        <w:tab/>
        <w:t>金融科技场景业务持续获得应用落地与规模增长</w:t>
      </w:r>
    </w:p>
    <w:p>
      <w:pPr>
        <w:pStyle w:val="Style13"/>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rPr>
        <w:t>3.1</w:t>
      </w:r>
      <w:r>
        <w:rPr>
          <w:b/>
          <w:bCs/>
          <w:color w:val="000000"/>
          <w:spacing w:val="0"/>
          <w:w w:val="100"/>
          <w:position w:val="0"/>
        </w:rPr>
        <w:t>三农场景</w:t>
      </w:r>
    </w:p>
    <w:p>
      <w:pPr>
        <w:pStyle w:val="Style13"/>
        <w:keepNext w:val="0"/>
        <w:keepLines w:val="0"/>
        <w:widowControl w:val="0"/>
        <w:shd w:val="clear" w:color="auto" w:fill="auto"/>
        <w:bidi w:val="0"/>
        <w:spacing w:before="0" w:after="100" w:line="314" w:lineRule="exact"/>
        <w:ind w:left="0" w:right="0"/>
        <w:jc w:val="both"/>
      </w:pPr>
      <w:r>
        <w:rPr>
          <w:color w:val="000000"/>
          <w:spacing w:val="0"/>
          <w:w w:val="100"/>
          <w:position w:val="0"/>
        </w:rPr>
        <w:t>报告期内，银农直连业务签约</w:t>
      </w:r>
      <w:r>
        <w:rPr>
          <w:rFonts w:ascii="Times New Roman" w:eastAsia="Times New Roman" w:hAnsi="Times New Roman" w:cs="Times New Roman"/>
          <w:color w:val="000000"/>
          <w:spacing w:val="0"/>
          <w:w w:val="100"/>
          <w:position w:val="0"/>
        </w:rPr>
        <w:t>2.82</w:t>
      </w:r>
      <w:r>
        <w:rPr>
          <w:color w:val="000000"/>
          <w:spacing w:val="0"/>
          <w:w w:val="100"/>
          <w:position w:val="0"/>
        </w:rPr>
        <w:t>亿元，同比增长</w:t>
      </w:r>
      <w:r>
        <w:rPr>
          <w:rFonts w:ascii="Times New Roman" w:eastAsia="Times New Roman" w:hAnsi="Times New Roman" w:cs="Times New Roman"/>
          <w:color w:val="000000"/>
          <w:spacing w:val="0"/>
          <w:w w:val="100"/>
          <w:position w:val="0"/>
        </w:rPr>
        <w:t>46.39%</w:t>
      </w:r>
      <w:r>
        <w:rPr>
          <w:color w:val="000000"/>
          <w:spacing w:val="0"/>
          <w:w w:val="100"/>
          <w:position w:val="0"/>
        </w:rPr>
        <w:t>，新签项目覆盖</w:t>
      </w:r>
      <w:r>
        <w:rPr>
          <w:rFonts w:ascii="Times New Roman" w:eastAsia="Times New Roman" w:hAnsi="Times New Roman" w:cs="Times New Roman"/>
          <w:color w:val="000000"/>
          <w:spacing w:val="0"/>
          <w:w w:val="100"/>
          <w:position w:val="0"/>
        </w:rPr>
        <w:t>28</w:t>
      </w:r>
      <w:r>
        <w:rPr>
          <w:color w:val="000000"/>
          <w:spacing w:val="0"/>
          <w:w w:val="100"/>
          <w:position w:val="0"/>
        </w:rPr>
        <w:t>省份的</w:t>
      </w:r>
      <w:r>
        <w:rPr>
          <w:rFonts w:ascii="Times New Roman" w:eastAsia="Times New Roman" w:hAnsi="Times New Roman" w:cs="Times New Roman"/>
          <w:color w:val="000000"/>
          <w:spacing w:val="0"/>
          <w:w w:val="100"/>
          <w:position w:val="0"/>
        </w:rPr>
        <w:t>300</w:t>
      </w:r>
      <w:r>
        <w:rPr>
          <w:color w:val="000000"/>
          <w:spacing w:val="0"/>
          <w:w w:val="100"/>
          <w:position w:val="0"/>
        </w:rPr>
        <w:t>余区县。公司签约中国农业 银行天津分行、中原银行等银农直连项目，协助陕西省农信社、青海省农信社建设三资三化及银农直连管理平台。三农大数 据业务共签约</w:t>
      </w:r>
      <w:r>
        <w:rPr>
          <w:rFonts w:ascii="Times New Roman" w:eastAsia="Times New Roman" w:hAnsi="Times New Roman" w:cs="Times New Roman"/>
          <w:color w:val="000000"/>
          <w:spacing w:val="0"/>
          <w:w w:val="100"/>
          <w:position w:val="0"/>
        </w:rPr>
        <w:t>6,402</w:t>
      </w:r>
      <w:r>
        <w:rPr>
          <w:color w:val="000000"/>
          <w:spacing w:val="0"/>
          <w:w w:val="100"/>
          <w:position w:val="0"/>
        </w:rPr>
        <w:t>万元，其中农业农村大数据业务中标辽宁省凌源市国家数字农业创新应用基地建设、山东淄博和陕西铜 川等农业农村大数据项目，单品大数据业务中标兴隆咖啡全产业链大数据、“宿有千香</w:t>
      </w:r>
      <w:r>
        <w:rPr>
          <w:rFonts w:ascii="Times New Roman" w:eastAsia="Times New Roman" w:hAnsi="Times New Roman" w:cs="Times New Roman"/>
          <w:color w:val="000000"/>
          <w:spacing w:val="0"/>
          <w:w w:val="100"/>
          <w:position w:val="0"/>
        </w:rPr>
        <w:t>-</w:t>
      </w:r>
      <w:r>
        <w:rPr>
          <w:color w:val="000000"/>
          <w:spacing w:val="0"/>
          <w:w w:val="100"/>
          <w:position w:val="0"/>
        </w:rPr>
        <w:t>霸王蟹”可视化追溯系统等项目， 新增全国畜牧总站畜禽种业大数据和国农（重庆）生猪大数据产业发展有限公司数字畜禽管理综合平台两个国家级项目。截 至报告期末，公司已累计建设农业单品大数据平台</w:t>
      </w:r>
      <w:r>
        <w:rPr>
          <w:rFonts w:ascii="Times New Roman" w:eastAsia="Times New Roman" w:hAnsi="Times New Roman" w:cs="Times New Roman"/>
          <w:color w:val="000000"/>
          <w:spacing w:val="0"/>
          <w:w w:val="100"/>
          <w:position w:val="0"/>
        </w:rPr>
        <w:t>23</w:t>
      </w:r>
      <w:r>
        <w:rPr>
          <w:color w:val="000000"/>
          <w:spacing w:val="0"/>
          <w:w w:val="100"/>
          <w:position w:val="0"/>
        </w:rPr>
        <w:t>个，包括苹果、茶叶、橡胶、油料、生猪、香蕉、畜禽种业、重点农 产品在内的</w:t>
      </w:r>
      <w:r>
        <w:rPr>
          <w:rFonts w:ascii="Times New Roman" w:eastAsia="Times New Roman" w:hAnsi="Times New Roman" w:cs="Times New Roman"/>
          <w:color w:val="000000"/>
          <w:spacing w:val="0"/>
          <w:w w:val="100"/>
          <w:position w:val="0"/>
        </w:rPr>
        <w:t>8</w:t>
      </w:r>
      <w:r>
        <w:rPr>
          <w:color w:val="000000"/>
          <w:spacing w:val="0"/>
          <w:w w:val="100"/>
          <w:position w:val="0"/>
        </w:rPr>
        <w:t>个国家级单品大数据平台和</w:t>
      </w:r>
      <w:r>
        <w:rPr>
          <w:rFonts w:ascii="Times New Roman" w:eastAsia="Times New Roman" w:hAnsi="Times New Roman" w:cs="Times New Roman"/>
          <w:color w:val="000000"/>
          <w:spacing w:val="0"/>
          <w:w w:val="100"/>
          <w:position w:val="0"/>
        </w:rPr>
        <w:t>15</w:t>
      </w:r>
      <w:r>
        <w:rPr>
          <w:color w:val="000000"/>
          <w:spacing w:val="0"/>
          <w:w w:val="100"/>
          <w:position w:val="0"/>
        </w:rPr>
        <w:t>个区域单品大数据平台，打通了农业单品全产业链关键环节，从管理决策、科 学生产、数字服务、品牌营销等维度构建起单品全产业链数字化生态。目前公司三农服务范围已达全国</w:t>
      </w:r>
      <w:r>
        <w:rPr>
          <w:rFonts w:ascii="Times New Roman" w:eastAsia="Times New Roman" w:hAnsi="Times New Roman" w:cs="Times New Roman"/>
          <w:color w:val="000000"/>
          <w:spacing w:val="0"/>
          <w:w w:val="100"/>
          <w:position w:val="0"/>
        </w:rPr>
        <w:t>31</w:t>
      </w:r>
      <w:r>
        <w:rPr>
          <w:color w:val="000000"/>
          <w:spacing w:val="0"/>
          <w:w w:val="100"/>
          <w:position w:val="0"/>
        </w:rPr>
        <w:t>省份</w:t>
      </w:r>
      <w:r>
        <w:rPr>
          <w:rFonts w:ascii="Times New Roman" w:eastAsia="Times New Roman" w:hAnsi="Times New Roman" w:cs="Times New Roman"/>
          <w:color w:val="000000"/>
          <w:spacing w:val="0"/>
          <w:w w:val="100"/>
          <w:position w:val="0"/>
        </w:rPr>
        <w:t>2,000</w:t>
      </w:r>
      <w:r>
        <w:rPr>
          <w:color w:val="000000"/>
          <w:spacing w:val="0"/>
          <w:w w:val="100"/>
          <w:position w:val="0"/>
        </w:rPr>
        <w:t>个区 县，覆盖</w:t>
      </w:r>
      <w:r>
        <w:rPr>
          <w:rFonts w:ascii="Times New Roman" w:eastAsia="Times New Roman" w:hAnsi="Times New Roman" w:cs="Times New Roman"/>
          <w:color w:val="000000"/>
          <w:spacing w:val="0"/>
          <w:w w:val="100"/>
          <w:position w:val="0"/>
        </w:rPr>
        <w:t>80</w:t>
      </w:r>
      <w:r>
        <w:rPr>
          <w:color w:val="000000"/>
          <w:spacing w:val="0"/>
          <w:w w:val="100"/>
          <w:position w:val="0"/>
        </w:rPr>
        <w:t>多万用户群体，服务了中国银行、建设银行、邮储银行、工商银行、农业银行等</w:t>
      </w:r>
      <w:r>
        <w:rPr>
          <w:rFonts w:ascii="Times New Roman" w:eastAsia="Times New Roman" w:hAnsi="Times New Roman" w:cs="Times New Roman"/>
          <w:color w:val="000000"/>
          <w:spacing w:val="0"/>
          <w:w w:val="100"/>
          <w:position w:val="0"/>
        </w:rPr>
        <w:t>640</w:t>
      </w:r>
      <w:r>
        <w:rPr>
          <w:color w:val="000000"/>
          <w:spacing w:val="0"/>
          <w:w w:val="100"/>
          <w:position w:val="0"/>
        </w:rPr>
        <w:t>余家大行及区域性商业银 行。</w:t>
      </w:r>
    </w:p>
    <w:p>
      <w:pPr>
        <w:pStyle w:val="Style13"/>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rPr>
        <w:t>3.2</w:t>
      </w:r>
      <w:r>
        <w:rPr>
          <w:b/>
          <w:bCs/>
          <w:color w:val="000000"/>
          <w:spacing w:val="0"/>
          <w:w w:val="100"/>
          <w:position w:val="0"/>
        </w:rPr>
        <w:t>中小微企业场景</w:t>
      </w:r>
    </w:p>
    <w:p>
      <w:pPr>
        <w:pStyle w:val="Style13"/>
        <w:keepNext w:val="0"/>
        <w:keepLines w:val="0"/>
        <w:widowControl w:val="0"/>
        <w:shd w:val="clear" w:color="auto" w:fill="auto"/>
        <w:bidi w:val="0"/>
        <w:spacing w:before="0" w:after="100" w:line="313" w:lineRule="exact"/>
        <w:ind w:left="0" w:right="0"/>
        <w:jc w:val="both"/>
      </w:pPr>
      <w:r>
        <w:rPr>
          <w:color w:val="000000"/>
          <w:spacing w:val="0"/>
          <w:w w:val="100"/>
          <w:position w:val="0"/>
        </w:rPr>
        <w:t>报告期内，在原有银税直连的基础上，公司自主研发了 “信贷一体化服务平台”，提供获客、数据、企业标准、智能风 控、外部增信一体化解决方案，包含银税</w:t>
      </w:r>
      <w:r>
        <w:rPr>
          <w:rFonts w:ascii="Times New Roman" w:eastAsia="Times New Roman" w:hAnsi="Times New Roman" w:cs="Times New Roman"/>
          <w:color w:val="000000"/>
          <w:spacing w:val="0"/>
          <w:w w:val="100"/>
          <w:position w:val="0"/>
        </w:rPr>
        <w:t>SaaS</w:t>
      </w:r>
      <w:r>
        <w:rPr>
          <w:color w:val="000000"/>
          <w:spacing w:val="0"/>
          <w:w w:val="100"/>
          <w:position w:val="0"/>
        </w:rPr>
        <w:t>数据、风控一体化和资金资产对接等三类业务模式，帮助银行、企业征信公 司、贷款公司等完善中小微企业信用画像，构建中小微评估体系。业务合作模式在客户端持续落地，签约富民银行、苏宁银 行、百信银行、亿联银行等多家互联网和民营银行。此外，公司参与邮储银行、浦发银行、广发银行等</w:t>
      </w:r>
      <w:r>
        <w:rPr>
          <w:rFonts w:ascii="Times New Roman" w:eastAsia="Times New Roman" w:hAnsi="Times New Roman" w:cs="Times New Roman"/>
          <w:color w:val="000000"/>
          <w:spacing w:val="0"/>
          <w:w w:val="100"/>
          <w:position w:val="0"/>
        </w:rPr>
        <w:t>20</w:t>
      </w:r>
      <w:r>
        <w:rPr>
          <w:color w:val="000000"/>
          <w:spacing w:val="0"/>
          <w:w w:val="100"/>
          <w:position w:val="0"/>
        </w:rPr>
        <w:t>余家金融机构银 税场景落地，目前已覆盖北京、浙江、上海、山东、江苏、广东、深圳、山西、河北等全国</w:t>
      </w:r>
      <w:r>
        <w:rPr>
          <w:rFonts w:ascii="Times New Roman" w:eastAsia="Times New Roman" w:hAnsi="Times New Roman" w:cs="Times New Roman"/>
          <w:color w:val="000000"/>
          <w:spacing w:val="0"/>
          <w:w w:val="100"/>
          <w:position w:val="0"/>
        </w:rPr>
        <w:t>31</w:t>
      </w:r>
      <w:r>
        <w:rPr>
          <w:color w:val="000000"/>
          <w:spacing w:val="0"/>
          <w:w w:val="100"/>
          <w:position w:val="0"/>
        </w:rPr>
        <w:t>个主要省市。</w:t>
      </w:r>
    </w:p>
    <w:p>
      <w:pPr>
        <w:pStyle w:val="Style13"/>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rPr>
        <w:t>3.3</w:t>
      </w:r>
      <w:r>
        <w:rPr>
          <w:b/>
          <w:bCs/>
          <w:color w:val="000000"/>
          <w:spacing w:val="0"/>
          <w:w w:val="100"/>
          <w:position w:val="0"/>
        </w:rPr>
        <w:t>数字人民币应用场景</w:t>
      </w:r>
    </w:p>
    <w:p>
      <w:pPr>
        <w:pStyle w:val="Style13"/>
        <w:keepNext w:val="0"/>
        <w:keepLines w:val="0"/>
        <w:widowControl w:val="0"/>
        <w:shd w:val="clear" w:color="auto" w:fill="auto"/>
        <w:bidi w:val="0"/>
        <w:spacing w:before="0" w:after="0" w:line="314" w:lineRule="exact"/>
        <w:ind w:left="0" w:right="0"/>
        <w:jc w:val="both"/>
      </w:pPr>
      <w:r>
        <w:rPr>
          <w:color w:val="000000"/>
          <w:spacing w:val="0"/>
          <w:w w:val="100"/>
          <w:position w:val="0"/>
        </w:rPr>
        <w:t>根据人民银行发布的数据，截至</w:t>
      </w:r>
      <w:r>
        <w:rPr>
          <w:rFonts w:ascii="Times New Roman" w:eastAsia="Times New Roman" w:hAnsi="Times New Roman" w:cs="Times New Roman"/>
          <w:color w:val="000000"/>
          <w:spacing w:val="0"/>
          <w:w w:val="100"/>
          <w:position w:val="0"/>
        </w:rPr>
        <w:t>2021</w:t>
      </w:r>
      <w:r>
        <w:rPr>
          <w:color w:val="000000"/>
          <w:spacing w:val="0"/>
          <w:w w:val="100"/>
          <w:position w:val="0"/>
        </w:rPr>
        <w:t>年底，数字人民币试点场景已超过</w:t>
      </w:r>
      <w:r>
        <w:rPr>
          <w:rFonts w:ascii="Times New Roman" w:eastAsia="Times New Roman" w:hAnsi="Times New Roman" w:cs="Times New Roman"/>
          <w:color w:val="000000"/>
          <w:spacing w:val="0"/>
          <w:w w:val="100"/>
          <w:position w:val="0"/>
        </w:rPr>
        <w:t>808.51</w:t>
      </w:r>
      <w:r>
        <w:rPr>
          <w:color w:val="000000"/>
          <w:spacing w:val="0"/>
          <w:w w:val="100"/>
          <w:position w:val="0"/>
        </w:rPr>
        <w:t>万个，个人钱包累计开立</w:t>
      </w:r>
      <w:r>
        <w:rPr>
          <w:rFonts w:ascii="Times New Roman" w:eastAsia="Times New Roman" w:hAnsi="Times New Roman" w:cs="Times New Roman"/>
          <w:color w:val="000000"/>
          <w:spacing w:val="0"/>
          <w:w w:val="100"/>
          <w:position w:val="0"/>
        </w:rPr>
        <w:t>2.61</w:t>
      </w:r>
      <w:r>
        <w:rPr>
          <w:color w:val="000000"/>
          <w:spacing w:val="0"/>
          <w:w w:val="100"/>
          <w:position w:val="0"/>
        </w:rPr>
        <w:t>亿个，交 易金额</w:t>
      </w:r>
      <w:r>
        <w:rPr>
          <w:rFonts w:ascii="Times New Roman" w:eastAsia="Times New Roman" w:hAnsi="Times New Roman" w:cs="Times New Roman"/>
          <w:color w:val="000000"/>
          <w:spacing w:val="0"/>
          <w:w w:val="100"/>
          <w:position w:val="0"/>
        </w:rPr>
        <w:t>875.65</w:t>
      </w:r>
      <w:r>
        <w:rPr>
          <w:color w:val="000000"/>
          <w:spacing w:val="0"/>
          <w:w w:val="100"/>
          <w:position w:val="0"/>
        </w:rPr>
        <w:t>亿元，数字人民币的交易规模有望得到极大提升。报告期内，公司数字人民币解决方案已在建设银行、广发 银行、北京银行等近</w:t>
      </w:r>
      <w:r>
        <w:rPr>
          <w:rFonts w:ascii="Times New Roman" w:eastAsia="Times New Roman" w:hAnsi="Times New Roman" w:cs="Times New Roman"/>
          <w:color w:val="000000"/>
          <w:spacing w:val="0"/>
          <w:w w:val="100"/>
          <w:position w:val="0"/>
        </w:rPr>
        <w:t>20</w:t>
      </w:r>
      <w:r>
        <w:rPr>
          <w:color w:val="000000"/>
          <w:spacing w:val="0"/>
          <w:w w:val="100"/>
          <w:position w:val="0"/>
        </w:rPr>
        <w:t>家银行实现落地建设。报告期内，公司数字人民币业务帮助北京市东城区税务局成功实现了全市首 笔数字人民币缴纳委托代征税款业务。凭借数字人民币的法定性、可追溯、零费率、高便利等特点，公司积极探索数字人民 币在预付费卡、物流、供应链金融等多场景创新应用，推出“数字预付式消费服务平台”试点，丰富了日常消费场景应用， 还利用智能合约进行资金可信管理，从而实现供应链金融场景上下游企业之间的资金安全交易。</w:t>
      </w:r>
    </w:p>
    <w:p>
      <w:pPr>
        <w:pStyle w:val="Style13"/>
        <w:keepNext w:val="0"/>
        <w:keepLines w:val="0"/>
        <w:widowControl w:val="0"/>
        <w:shd w:val="clear" w:color="auto" w:fill="auto"/>
        <w:bidi w:val="0"/>
        <w:spacing w:before="0" w:after="0" w:line="313" w:lineRule="exact"/>
        <w:ind w:left="0" w:right="0"/>
        <w:jc w:val="both"/>
      </w:pPr>
      <w:bookmarkStart w:id="95" w:name="bookmark95"/>
      <w:r>
        <w:rPr>
          <w:b/>
          <w:bCs/>
          <w:color w:val="000000"/>
          <w:spacing w:val="0"/>
          <w:w w:val="100"/>
          <w:position w:val="0"/>
        </w:rPr>
        <w:t>（</w:t>
      </w:r>
      <w:bookmarkEnd w:id="95"/>
      <w:r>
        <w:rPr>
          <w:b/>
          <w:bCs/>
          <w:color w:val="000000"/>
          <w:spacing w:val="0"/>
          <w:w w:val="100"/>
          <w:position w:val="0"/>
        </w:rPr>
        <w:t>三）行业数字化业务稳中有升</w:t>
      </w:r>
    </w:p>
    <w:p>
      <w:pPr>
        <w:pStyle w:val="Style13"/>
        <w:keepNext w:val="0"/>
        <w:keepLines w:val="0"/>
        <w:widowControl w:val="0"/>
        <w:shd w:val="clear" w:color="auto" w:fill="auto"/>
        <w:bidi w:val="0"/>
        <w:spacing w:before="0" w:after="60" w:line="313" w:lineRule="exact"/>
        <w:ind w:left="0" w:right="0"/>
        <w:jc w:val="both"/>
      </w:pPr>
      <w:r>
        <w:rPr>
          <w:color w:val="000000"/>
          <w:spacing w:val="0"/>
          <w:w w:val="100"/>
          <w:position w:val="0"/>
        </w:rPr>
        <w:t>报告期内，公司政企业务实现收入</w:t>
      </w:r>
      <w:r>
        <w:rPr>
          <w:rFonts w:ascii="Times New Roman" w:eastAsia="Times New Roman" w:hAnsi="Times New Roman" w:cs="Times New Roman"/>
          <w:color w:val="000000"/>
          <w:spacing w:val="0"/>
          <w:w w:val="100"/>
          <w:position w:val="0"/>
        </w:rPr>
        <w:t>37.32</w:t>
      </w:r>
      <w:r>
        <w:rPr>
          <w:color w:val="000000"/>
          <w:spacing w:val="0"/>
          <w:w w:val="100"/>
          <w:position w:val="0"/>
        </w:rPr>
        <w:t>亿元，同比增长</w:t>
      </w:r>
      <w:r>
        <w:rPr>
          <w:rFonts w:ascii="Times New Roman" w:eastAsia="Times New Roman" w:hAnsi="Times New Roman" w:cs="Times New Roman"/>
          <w:color w:val="000000"/>
          <w:spacing w:val="0"/>
          <w:w w:val="100"/>
          <w:position w:val="0"/>
        </w:rPr>
        <w:t>5.87%</w:t>
      </w:r>
      <w:r>
        <w:rPr>
          <w:color w:val="000000"/>
          <w:spacing w:val="0"/>
          <w:w w:val="100"/>
          <w:position w:val="0"/>
        </w:rPr>
        <w:t>，毛利率</w:t>
      </w:r>
      <w:r>
        <w:rPr>
          <w:rFonts w:ascii="Times New Roman" w:eastAsia="Times New Roman" w:hAnsi="Times New Roman" w:cs="Times New Roman"/>
          <w:color w:val="000000"/>
          <w:spacing w:val="0"/>
          <w:w w:val="100"/>
          <w:position w:val="0"/>
        </w:rPr>
        <w:t>15.71%</w:t>
      </w:r>
      <w:r>
        <w:rPr>
          <w:color w:val="000000"/>
          <w:spacing w:val="0"/>
          <w:w w:val="100"/>
          <w:position w:val="0"/>
        </w:rPr>
        <w:t>。其中软件和服务业务实现收入</w:t>
      </w:r>
      <w:r>
        <w:rPr>
          <w:rFonts w:ascii="Times New Roman" w:eastAsia="Times New Roman" w:hAnsi="Times New Roman" w:cs="Times New Roman"/>
          <w:color w:val="000000"/>
          <w:spacing w:val="0"/>
          <w:w w:val="100"/>
          <w:position w:val="0"/>
        </w:rPr>
        <w:t xml:space="preserve">10.01 </w:t>
      </w:r>
      <w:r>
        <w:rPr>
          <w:color w:val="000000"/>
          <w:spacing w:val="0"/>
          <w:w w:val="100"/>
          <w:position w:val="0"/>
        </w:rPr>
        <w:t>亿元，同比增长</w:t>
      </w:r>
      <w:r>
        <w:rPr>
          <w:rFonts w:ascii="Times New Roman" w:eastAsia="Times New Roman" w:hAnsi="Times New Roman" w:cs="Times New Roman"/>
          <w:color w:val="000000"/>
          <w:spacing w:val="0"/>
          <w:w w:val="100"/>
          <w:position w:val="0"/>
        </w:rPr>
        <w:t>15.92%</w:t>
      </w:r>
      <w:r>
        <w:rPr>
          <w:color w:val="000000"/>
          <w:spacing w:val="0"/>
          <w:w w:val="100"/>
          <w:position w:val="0"/>
        </w:rPr>
        <w:t>，毛利率</w:t>
      </w:r>
      <w:r>
        <w:rPr>
          <w:rFonts w:ascii="Times New Roman" w:eastAsia="Times New Roman" w:hAnsi="Times New Roman" w:cs="Times New Roman"/>
          <w:color w:val="000000"/>
          <w:spacing w:val="0"/>
          <w:w w:val="100"/>
          <w:position w:val="0"/>
        </w:rPr>
        <w:t>27.2%</w:t>
      </w:r>
      <w:r>
        <w:rPr>
          <w:color w:val="000000"/>
          <w:spacing w:val="0"/>
          <w:w w:val="100"/>
          <w:position w:val="0"/>
        </w:rPr>
        <w:t>，同比增长</w:t>
      </w:r>
      <w:r>
        <w:rPr>
          <w:rFonts w:ascii="Times New Roman" w:eastAsia="Times New Roman" w:hAnsi="Times New Roman" w:cs="Times New Roman"/>
          <w:color w:val="000000"/>
          <w:spacing w:val="0"/>
          <w:w w:val="100"/>
          <w:position w:val="0"/>
        </w:rPr>
        <w:t>1.78</w:t>
      </w:r>
      <w:r>
        <w:rPr>
          <w:color w:val="000000"/>
          <w:spacing w:val="0"/>
          <w:w w:val="100"/>
          <w:position w:val="0"/>
        </w:rPr>
        <w:t>个百分点。党政信创领域，公司在部委及北京、浙江、内蒙古、青 海、福建等重点区域形成持续签约，帮助多省市建设了信创云、政务云办公平台等项目。税务领域，公司成功签约金税四期 业务，帮助海南、四川、江苏、河南等税局建设大数据系统，为海南税务局搭建发票风险模型。量子通信领域，公司先后签 约北京、蚌埠等城域网项目、量子保密通信骨干网络项目、量子网络平台网管软件等十余个项目，业务规模进一步扩大。报 告期内，公司运营商业务实现收入</w:t>
      </w:r>
      <w:r>
        <w:rPr>
          <w:rFonts w:ascii="Times New Roman" w:eastAsia="Times New Roman" w:hAnsi="Times New Roman" w:cs="Times New Roman"/>
          <w:color w:val="000000"/>
          <w:spacing w:val="0"/>
          <w:w w:val="100"/>
          <w:position w:val="0"/>
        </w:rPr>
        <w:t>23.07</w:t>
      </w:r>
      <w:r>
        <w:rPr>
          <w:color w:val="000000"/>
          <w:spacing w:val="0"/>
          <w:w w:val="100"/>
          <w:position w:val="0"/>
        </w:rPr>
        <w:t>亿元，其中软件和服务业务收入</w:t>
      </w:r>
      <w:r>
        <w:rPr>
          <w:rFonts w:ascii="Times New Roman" w:eastAsia="Times New Roman" w:hAnsi="Times New Roman" w:cs="Times New Roman"/>
          <w:color w:val="000000"/>
          <w:spacing w:val="0"/>
          <w:w w:val="100"/>
          <w:position w:val="0"/>
        </w:rPr>
        <w:t>15.87</w:t>
      </w:r>
      <w:r>
        <w:rPr>
          <w:color w:val="000000"/>
          <w:spacing w:val="0"/>
          <w:w w:val="100"/>
          <w:position w:val="0"/>
        </w:rPr>
        <w:t>亿元，同比增长</w:t>
      </w:r>
      <w:r>
        <w:rPr>
          <w:rFonts w:ascii="Times New Roman" w:eastAsia="Times New Roman" w:hAnsi="Times New Roman" w:cs="Times New Roman"/>
          <w:color w:val="000000"/>
          <w:spacing w:val="0"/>
          <w:w w:val="100"/>
          <w:position w:val="0"/>
        </w:rPr>
        <w:t>5.78%</w:t>
      </w:r>
      <w:r>
        <w:rPr>
          <w:color w:val="000000"/>
          <w:spacing w:val="0"/>
          <w:w w:val="100"/>
          <w:position w:val="0"/>
        </w:rPr>
        <w:t>。公司作为国内领先 的第三方网络优化厂商之一，积极参与全国</w:t>
      </w:r>
      <w:r>
        <w:rPr>
          <w:rFonts w:ascii="Times New Roman" w:eastAsia="Times New Roman" w:hAnsi="Times New Roman" w:cs="Times New Roman"/>
          <w:color w:val="000000"/>
          <w:spacing w:val="0"/>
          <w:w w:val="100"/>
          <w:position w:val="0"/>
        </w:rPr>
        <w:t>5G</w:t>
      </w:r>
      <w:r>
        <w:rPr>
          <w:color w:val="000000"/>
          <w:spacing w:val="0"/>
          <w:w w:val="100"/>
          <w:position w:val="0"/>
        </w:rPr>
        <w:t>建设，保障</w:t>
      </w:r>
      <w:r>
        <w:rPr>
          <w:rFonts w:ascii="Times New Roman" w:eastAsia="Times New Roman" w:hAnsi="Times New Roman" w:cs="Times New Roman"/>
          <w:color w:val="000000"/>
          <w:spacing w:val="0"/>
          <w:w w:val="100"/>
          <w:position w:val="0"/>
        </w:rPr>
        <w:t>5G</w:t>
      </w:r>
      <w:r>
        <w:rPr>
          <w:color w:val="000000"/>
          <w:spacing w:val="0"/>
          <w:w w:val="100"/>
          <w:position w:val="0"/>
        </w:rPr>
        <w:t>网络成功部署，通信服务业务稳定发展。</w:t>
      </w:r>
      <w:r>
        <w:br w:type="page"/>
      </w:r>
    </w:p>
    <w:p>
      <w:pPr>
        <w:pStyle w:val="Style29"/>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8"/>
      <w:r>
        <w:rPr>
          <w:color w:val="000000"/>
          <w:spacing w:val="0"/>
          <w:w w:val="100"/>
          <w:position w:val="0"/>
        </w:rPr>
        <w:t>、收入与成本</w:t>
      </w:r>
      <w:bookmarkEnd w:id="96"/>
      <w:bookmarkEnd w:id="97"/>
      <w:bookmarkEnd w:id="99"/>
    </w:p>
    <w:p>
      <w:pPr>
        <w:pStyle w:val="Style37"/>
        <w:keepNext/>
        <w:keepLines/>
        <w:widowControl w:val="0"/>
        <w:numPr>
          <w:ilvl w:val="0"/>
          <w:numId w:val="1"/>
        </w:numPr>
        <w:shd w:val="clear" w:color="auto" w:fill="auto"/>
        <w:bidi w:val="0"/>
        <w:spacing w:before="0" w:after="360" w:line="240" w:lineRule="auto"/>
        <w:ind w:left="0" w:right="0" w:firstLine="0"/>
        <w:jc w:val="left"/>
      </w:pPr>
      <w:bookmarkStart w:id="100" w:name="bookmark100"/>
      <w:bookmarkStart w:id="101" w:name="bookmark101"/>
      <w:bookmarkStart w:id="102" w:name="bookmark102"/>
      <w:bookmarkStart w:id="103" w:name="bookmark103"/>
      <w:bookmarkEnd w:id="102"/>
      <w:r>
        <w:rPr>
          <w:color w:val="000000"/>
          <w:spacing w:val="0"/>
          <w:w w:val="100"/>
          <w:position w:val="0"/>
        </w:rPr>
        <w:t>营业收入构成</w:t>
      </w:r>
      <w:bookmarkEnd w:id="100"/>
      <w:bookmarkEnd w:id="101"/>
      <w:bookmarkEnd w:id="103"/>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848"/>
        <w:gridCol w:w="1531"/>
        <w:gridCol w:w="1709"/>
        <w:gridCol w:w="1550"/>
        <w:gridCol w:w="109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11,355,684,728.55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10,685,976,832.00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6.27%</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5,022,385,238.40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4,243,847,549.86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3,732,039,807.62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3,525,238,962.48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2,307,168,316.34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2,483,716,545.79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294,091,366.19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433,173,773.87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6,032,670,338.10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6,081,206,555.56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5,317,412,163.36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4,598,778,258.38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5,602,227.09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5,992,018.06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-6.51%</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11,304,046,314.89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10,555,957,619.70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7.09%</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51,638,413.66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130,019,212.30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-60.28%</w:t>
            </w:r>
          </w:p>
        </w:tc>
      </w:tr>
    </w:tbl>
    <w:p>
      <w:pPr>
        <w:sectPr>
          <w:footnotePr>
            <w:pos w:val="pageBottom"/>
            <w:numFmt w:val="decimal"/>
            <w:numRestart w:val="continuous"/>
          </w:footnotePr>
          <w:pgSz w:w="11900" w:h="16840"/>
          <w:pgMar w:top="1378" w:right="1031" w:bottom="1656" w:left="1086" w:header="0" w:footer="3" w:gutter="0"/>
          <w:cols w:space="720"/>
          <w:noEndnote/>
          <w:rtlGutter w:val="0"/>
          <w:docGrid w:linePitch="360"/>
        </w:sectPr>
      </w:pP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7"/>
        <w:keepNext w:val="0"/>
        <w:keepLines w:val="0"/>
        <w:widowControl w:val="0"/>
        <w:shd w:val="clear" w:color="auto" w:fill="auto"/>
        <w:bidi w:val="0"/>
        <w:spacing w:before="0" w:after="0" w:line="240" w:lineRule="auto"/>
        <w:ind w:left="13330" w:right="0" w:firstLine="0"/>
        <w:jc w:val="left"/>
      </w:pPr>
      <w:r>
        <w:rPr>
          <w:color w:val="000000"/>
          <w:spacing w:val="0"/>
          <w:w w:val="100"/>
          <w:position w:val="0"/>
        </w:rPr>
        <w:t>单位：元</w:t>
      </w:r>
    </w:p>
    <w:tbl>
      <w:tblPr>
        <w:tblOverlap w:val="never"/>
        <w:jc w:val="center"/>
        <w:tblLayout w:type="fixed"/>
      </w:tblPr>
      <w:tblGrid>
        <w:gridCol w:w="2635"/>
        <w:gridCol w:w="1402"/>
        <w:gridCol w:w="1445"/>
        <w:gridCol w:w="1445"/>
        <w:gridCol w:w="1450"/>
        <w:gridCol w:w="1445"/>
        <w:gridCol w:w="1445"/>
        <w:gridCol w:w="1445"/>
        <w:gridCol w:w="1459"/>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1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2,042,023,405.74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2,887,767,841.27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2,161,820,870.90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4,264,072,610.64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2,123,304,206.17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2,251,072,873.03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2,385,948,742.50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3,925,651,010.30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39,109,718.48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136,953,904.23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21,591,971.98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178,527,184.35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29,464,993.65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127,235,879.31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61,960,293.61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257,012,764.21</w:t>
            </w:r>
          </w:p>
        </w:tc>
      </w:tr>
    </w:tbl>
    <w:p>
      <w:pPr>
        <w:pStyle w:val="Style27"/>
        <w:keepNext w:val="0"/>
        <w:keepLines w:val="0"/>
        <w:widowControl w:val="0"/>
        <w:shd w:val="clear" w:color="auto" w:fill="auto"/>
        <w:bidi w:val="0"/>
        <w:spacing w:before="0" w:after="0" w:line="240" w:lineRule="auto"/>
        <w:ind w:left="91" w:right="0" w:firstLine="0"/>
        <w:jc w:val="left"/>
      </w:pPr>
      <w:r>
        <w:rPr>
          <w:color w:val="000000"/>
          <w:spacing w:val="0"/>
          <w:w w:val="100"/>
          <w:position w:val="0"/>
        </w:rPr>
        <w:t>说明经营季节性（或周期性）发生的原因及波动风险</w:t>
      </w:r>
    </w:p>
    <w:p>
      <w:pPr>
        <w:pStyle w:val="Style13"/>
        <w:keepNext w:val="0"/>
        <w:keepLines w:val="0"/>
        <w:widowControl w:val="0"/>
        <w:shd w:val="clear" w:color="auto" w:fill="auto"/>
        <w:bidi w:val="0"/>
        <w:spacing w:before="0" w:after="360" w:line="317" w:lineRule="exact"/>
        <w:ind w:left="0" w:right="0" w:firstLine="460"/>
        <w:jc w:val="left"/>
      </w:pPr>
      <w:r>
        <w:rPr>
          <w:color w:val="000000"/>
          <w:spacing w:val="0"/>
          <w:w w:val="100"/>
          <w:position w:val="0"/>
        </w:rPr>
        <w:t>公司季度性经营活动波动主要与公司行业周期特点与客户需求节奏相关。由于公司主要客户为银行、政企、运营商等行业用户，客户通常在一季度启动全年采购计划及履行申 请、审批等程序，二、三季度陆续进行项目的招标、谈判、签约、实施等，三、四季度完成交付并付款，因此相对前三季度，公司第四季度产品交付、验收、确认收入较为集中。</w:t>
      </w:r>
    </w:p>
    <w:p>
      <w:pPr>
        <w:pStyle w:val="Style37"/>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4"/>
      <w:bookmarkEnd w:id="105"/>
      <w:bookmarkEnd w:id="107"/>
    </w:p>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1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7"/>
        <w:keepNext w:val="0"/>
        <w:keepLines w:val="0"/>
        <w:widowControl w:val="0"/>
        <w:shd w:val="clear" w:color="auto" w:fill="auto"/>
        <w:bidi w:val="0"/>
        <w:spacing w:before="0" w:after="0" w:line="240" w:lineRule="auto"/>
        <w:ind w:left="13330" w:right="0" w:firstLine="0"/>
        <w:jc w:val="left"/>
      </w:pPr>
      <w:r>
        <w:rPr>
          <w:color w:val="000000"/>
          <w:spacing w:val="0"/>
          <w:w w:val="100"/>
          <w:position w:val="0"/>
        </w:rPr>
        <w:t>单位：元</w:t>
      </w:r>
    </w:p>
    <w:tbl>
      <w:tblPr>
        <w:tblOverlap w:val="never"/>
        <w:jc w:val="center"/>
        <w:tblLayout w:type="fixed"/>
      </w:tblPr>
      <w:tblGrid>
        <w:gridCol w:w="2021"/>
        <w:gridCol w:w="2011"/>
        <w:gridCol w:w="2016"/>
        <w:gridCol w:w="1195"/>
        <w:gridCol w:w="2462"/>
        <w:gridCol w:w="2390"/>
        <w:gridCol w:w="2074"/>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营业收入比上年同期增减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营业成本比上年同期增减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毛利率比上年同期增减</w:t>
            </w:r>
          </w:p>
        </w:tc>
      </w:tr>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5,022,385,238.40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4,115,670,982.25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3,732,039,807.62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3,145,683,589.24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1.14%</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2,307,168,316.34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1,923,173,937.34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0.95%</w:t>
            </w:r>
          </w:p>
        </w:tc>
      </w:tr>
      <w:tr>
        <w:trPr>
          <w:trHeight w:val="41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6,032,670,338.10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5,405,926,288.53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5,317,412,163.36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4,008,449,549.62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0.82%</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tbl>
      <w:tblPr>
        <w:tblOverlap w:val="never"/>
        <w:jc w:val="center"/>
        <w:tblLayout w:type="fixed"/>
      </w:tblPr>
      <w:tblGrid>
        <w:gridCol w:w="2021"/>
        <w:gridCol w:w="2011"/>
        <w:gridCol w:w="2016"/>
        <w:gridCol w:w="1195"/>
        <w:gridCol w:w="2462"/>
        <w:gridCol w:w="2390"/>
        <w:gridCol w:w="2074"/>
      </w:tblGrid>
      <w:tr>
        <w:trPr>
          <w:trHeight w:val="4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11,304,046,314.89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9,382,067,368.14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bl>
    <w:p>
      <w:pPr>
        <w:pStyle w:val="Style13"/>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口适用”不适用</w:t>
      </w:r>
    </w:p>
    <w:p>
      <w:pPr>
        <w:pStyle w:val="Style37"/>
        <w:keepNext/>
        <w:keepLines/>
        <w:widowControl w:val="0"/>
        <w:numPr>
          <w:ilvl w:val="0"/>
          <w:numId w:val="3"/>
        </w:numPr>
        <w:shd w:val="clear" w:color="auto" w:fill="auto"/>
        <w:tabs>
          <w:tab w:pos="488" w:val="left"/>
        </w:tabs>
        <w:bidi w:val="0"/>
        <w:spacing w:before="0" w:after="24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公司实物销售收入是否大于劳务收入</w:t>
      </w:r>
      <w:bookmarkEnd w:id="108"/>
      <w:bookmarkEnd w:id="109"/>
      <w:bookmarkEnd w:id="111"/>
    </w:p>
    <w:p>
      <w:pPr>
        <w:pStyle w:val="Style13"/>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口是"否</w:t>
      </w:r>
    </w:p>
    <w:p>
      <w:pPr>
        <w:pStyle w:val="Style37"/>
        <w:keepNext/>
        <w:keepLines/>
        <w:widowControl w:val="0"/>
        <w:numPr>
          <w:ilvl w:val="0"/>
          <w:numId w:val="3"/>
        </w:numPr>
        <w:shd w:val="clear" w:color="auto" w:fill="auto"/>
        <w:tabs>
          <w:tab w:pos="488" w:val="left"/>
        </w:tabs>
        <w:bidi w:val="0"/>
        <w:spacing w:before="0" w:after="24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公司已签订的重大销售合同、重大采购合同截至本报告期的履行情况</w:t>
      </w:r>
      <w:bookmarkEnd w:id="112"/>
      <w:bookmarkEnd w:id="113"/>
      <w:bookmarkEnd w:id="115"/>
    </w:p>
    <w:p>
      <w:pPr>
        <w:pStyle w:val="Style13"/>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口适用”不适用</w:t>
      </w:r>
    </w:p>
    <w:p>
      <w:pPr>
        <w:pStyle w:val="Style37"/>
        <w:keepNext/>
        <w:keepLines/>
        <w:widowControl w:val="0"/>
        <w:numPr>
          <w:ilvl w:val="0"/>
          <w:numId w:val="3"/>
        </w:numPr>
        <w:shd w:val="clear" w:color="auto" w:fill="auto"/>
        <w:tabs>
          <w:tab w:pos="488" w:val="left"/>
        </w:tabs>
        <w:bidi w:val="0"/>
        <w:spacing w:before="0" w:after="24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营业成本构成</w:t>
      </w:r>
      <w:bookmarkEnd w:id="116"/>
      <w:bookmarkEnd w:id="117"/>
      <w:bookmarkEnd w:id="119"/>
    </w:p>
    <w:p>
      <w:pPr>
        <w:pStyle w:val="Style13"/>
        <w:keepNext w:val="0"/>
        <w:keepLines w:val="0"/>
        <w:widowControl w:val="0"/>
        <w:shd w:val="clear" w:color="auto" w:fill="auto"/>
        <w:bidi w:val="0"/>
        <w:spacing w:before="0" w:after="140" w:line="365" w:lineRule="exact"/>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after="0" w:line="240" w:lineRule="auto"/>
        <w:ind w:left="13334" w:right="0" w:firstLine="0"/>
        <w:jc w:val="left"/>
      </w:pPr>
      <w:r>
        <w:rPr>
          <w:color w:val="000000"/>
          <w:spacing w:val="0"/>
          <w:w w:val="100"/>
          <w:position w:val="0"/>
        </w:rPr>
        <w:t>单位：元</w:t>
      </w:r>
    </w:p>
    <w:tbl>
      <w:tblPr>
        <w:tblOverlap w:val="never"/>
        <w:jc w:val="center"/>
        <w:tblLayout w:type="fixed"/>
      </w:tblPr>
      <w:tblGrid>
        <w:gridCol w:w="2030"/>
        <w:gridCol w:w="2026"/>
        <w:gridCol w:w="2026"/>
        <w:gridCol w:w="2021"/>
        <w:gridCol w:w="2026"/>
        <w:gridCol w:w="2026"/>
        <w:gridCol w:w="2030"/>
      </w:tblGrid>
      <w:tr>
        <w:trPr>
          <w:trHeight w:val="42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5,405,926,288.53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5,354,798,896.07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4,008,449,549.62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3,504,433,233.86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w:t>
            </w:r>
          </w:p>
        </w:tc>
      </w:tr>
      <w:tr>
        <w:trPr>
          <w:trHeight w:val="4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96" w:right="0" w:firstLine="0"/>
        <w:jc w:val="left"/>
        <w:sectPr>
          <w:footnotePr>
            <w:pos w:val="pageBottom"/>
            <w:numFmt w:val="decimal"/>
            <w:numRestart w:val="continuous"/>
          </w:footnotePr>
          <w:pgSz w:w="16840" w:h="11900" w:orient="landscape"/>
          <w:pgMar w:top="1140" w:right="1331" w:bottom="1750" w:left="1324" w:header="0" w:footer="3" w:gutter="0"/>
          <w:cols w:space="720"/>
          <w:noEndnote/>
          <w:rtlGutter w:val="0"/>
          <w:docGrid w:linePitch="360"/>
        </w:sectPr>
      </w:pPr>
      <w:r>
        <w:rPr>
          <w:color w:val="000000"/>
          <w:spacing w:val="0"/>
          <w:w w:val="100"/>
          <w:position w:val="0"/>
        </w:rPr>
        <w:t>说明：无</w:t>
      </w:r>
    </w:p>
    <w:p>
      <w:pPr>
        <w:pStyle w:val="Style13"/>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 主营业务成本构成</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设备类采购款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5,009,732,881.84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5,213,004,316.53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人工及技术协作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3,951,467,109.54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3,491,635,786.71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13.17%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453,547,297.45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154,963,477.37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192.68%</w:t>
            </w:r>
          </w:p>
        </w:tc>
      </w:tr>
    </w:tbl>
    <w:p>
      <w:pPr>
        <w:widowControl w:val="0"/>
        <w:spacing w:after="27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0"/>
      <w:bookmarkEnd w:id="121"/>
      <w:bookmarkEnd w:id="123"/>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w:t>
      </w:r>
    </w:p>
    <w:p>
      <w:pPr>
        <w:pStyle w:val="Style13"/>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本集团合并财务报表范围包括本公司、神州数码系统集成服务有限公司、神州数码信息系统有限公司等</w:t>
      </w:r>
      <w:r>
        <w:rPr>
          <w:color w:val="000000"/>
          <w:spacing w:val="0"/>
          <w:w w:val="100"/>
          <w:position w:val="0"/>
        </w:rPr>
        <w:t>47</w:t>
      </w:r>
      <w:r>
        <w:rPr>
          <w:color w:val="000000"/>
          <w:spacing w:val="0"/>
          <w:w w:val="100"/>
          <w:position w:val="0"/>
        </w:rPr>
        <w:t>家公司。与上 年相比，本年因注销减少南京神州金信电子科技有限公司、广州神州金信电子科技有限公司。</w:t>
      </w:r>
    </w:p>
    <w:p>
      <w:pPr>
        <w:pStyle w:val="Style37"/>
        <w:keepNext/>
        <w:keepLines/>
        <w:widowControl w:val="0"/>
        <w:shd w:val="clear" w:color="auto" w:fill="auto"/>
        <w:tabs>
          <w:tab w:pos="493" w:val="left"/>
        </w:tabs>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4"/>
      <w:bookmarkEnd w:id="125"/>
      <w:bookmarkEnd w:id="127"/>
    </w:p>
    <w:p>
      <w:pPr>
        <w:pStyle w:val="Style1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37"/>
        <w:keepNext/>
        <w:keepLines/>
        <w:widowControl w:val="0"/>
        <w:shd w:val="clear" w:color="auto" w:fill="auto"/>
        <w:tabs>
          <w:tab w:pos="493" w:val="left"/>
        </w:tabs>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8"/>
      <w:bookmarkEnd w:id="129"/>
      <w:bookmarkEnd w:id="131"/>
    </w:p>
    <w:p>
      <w:pPr>
        <w:pStyle w:val="Style1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747"/>
        <w:gridCol w:w="48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1,814,698,671.00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459,841,650.00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412,364,257.62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377,423,023.13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322,901,405.11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242,168,335.14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2.13%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1,814,698,671.00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w:t>
            </w:r>
          </w:p>
        </w:tc>
      </w:tr>
    </w:tbl>
    <w:p>
      <w:pPr>
        <w:pStyle w:val="Style13"/>
        <w:keepNext w:val="0"/>
        <w:keepLines w:val="0"/>
        <w:widowControl w:val="0"/>
        <w:shd w:val="clear" w:color="auto" w:fill="auto"/>
        <w:bidi w:val="0"/>
        <w:spacing w:before="0" w:after="80" w:line="350"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738"/>
        <w:gridCol w:w="484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2,748,284,529.57</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34.03%</w:t>
            </w:r>
          </w:p>
        </w:tc>
      </w:tr>
    </w:tbl>
    <w:p>
      <w:pPr>
        <w:spacing w:lineRule="exact" w:line="1"/>
        <w:rPr>
          <w:sz w:val="2"/>
          <w:szCs w:val="2"/>
        </w:rPr>
      </w:pPr>
      <w:r>
        <w:br w:type="page"/>
      </w:r>
    </w:p>
    <w:tbl>
      <w:tblPr>
        <w:tblOverlap w:val="never"/>
        <w:jc w:val="center"/>
        <w:tblLayout w:type="fixed"/>
      </w:tblPr>
      <w:tblGrid>
        <w:gridCol w:w="4738"/>
        <w:gridCol w:w="484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39" w:line="1" w:lineRule="exact"/>
      </w:pP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1,181,471,296.53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717,012,298.56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8.88%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517,870,278.18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6.41%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204,190,495.11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127,740,161.19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1.58%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2,748,284,529.57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34.03%</w:t>
            </w:r>
          </w:p>
        </w:tc>
      </w:tr>
    </w:tbl>
    <w:p>
      <w:pPr>
        <w:pStyle w:val="Style1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主要供应商其他情况说明 口适用”不适用</w:t>
      </w:r>
    </w:p>
    <w:p>
      <w:pPr>
        <w:pStyle w:val="Style29"/>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、费用</w:t>
      </w:r>
      <w:bookmarkEnd w:id="132"/>
      <w:bookmarkEnd w:id="133"/>
      <w:bookmarkEnd w:id="1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1608"/>
        <w:gridCol w:w="1608"/>
        <w:gridCol w:w="984"/>
        <w:gridCol w:w="389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491,388,747.66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450,067,152.97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292,261,145.09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287,022,794.82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45,296,976.82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38,596,004.87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主要变动原因是本期执行新租赁准则导致利息 费用增加所致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575,467,994.51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510,818,151.26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主要变动原因是本期增加了对研发的投入所致</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4</w:t>
      </w:r>
      <w:bookmarkEnd w:id="138"/>
      <w:r>
        <w:rPr>
          <w:color w:val="000000"/>
          <w:spacing w:val="0"/>
          <w:w w:val="100"/>
          <w:position w:val="0"/>
        </w:rPr>
        <w:t>、研发投入</w:t>
      </w:r>
      <w:bookmarkEnd w:id="136"/>
      <w:bookmarkEnd w:id="137"/>
      <w:bookmarkEnd w:id="139"/>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998"/>
        <w:gridCol w:w="2496"/>
        <w:gridCol w:w="869"/>
        <w:gridCol w:w="3019"/>
        <w:gridCol w:w="222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主要研发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项目进 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预计对公司未来发展的影 响</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数据开发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、统一数据开发管理；</w:t>
            </w:r>
            <w:r>
              <w:rPr>
                <w:rFonts w:ascii="Times New Roman" w:eastAsia="Times New Roman" w:hAnsi="Times New Roman" w:cs="Times New Roman"/>
                <w:color w:val="000000"/>
                <w:spacing w:val="0"/>
                <w:w w:val="100"/>
                <w:position w:val="0"/>
              </w:rPr>
              <w:t>2</w:t>
            </w:r>
            <w:r>
              <w:rPr>
                <w:color w:val="000000"/>
                <w:spacing w:val="0"/>
                <w:w w:val="100"/>
                <w:position w:val="0"/>
              </w:rPr>
              <w:t>、实 现数据价值挖掘；</w:t>
            </w:r>
            <w:r>
              <w:rPr>
                <w:rFonts w:ascii="Times New Roman" w:eastAsia="Times New Roman" w:hAnsi="Times New Roman" w:cs="Times New Roman"/>
                <w:color w:val="000000"/>
                <w:spacing w:val="0"/>
                <w:w w:val="100"/>
                <w:position w:val="0"/>
              </w:rPr>
              <w:t>3</w:t>
            </w:r>
            <w:r>
              <w:rPr>
                <w:color w:val="000000"/>
                <w:spacing w:val="0"/>
                <w:w w:val="100"/>
                <w:position w:val="0"/>
              </w:rPr>
              <w:t xml:space="preserve">、可扩展 性强，设置多种数据源接口； </w:t>
            </w:r>
            <w:r>
              <w:rPr>
                <w:rFonts w:ascii="Times New Roman" w:eastAsia="Times New Roman" w:hAnsi="Times New Roman" w:cs="Times New Roman"/>
                <w:color w:val="000000"/>
                <w:spacing w:val="0"/>
                <w:w w:val="100"/>
                <w:position w:val="0"/>
              </w:rPr>
              <w:t>4</w:t>
            </w:r>
            <w:r>
              <w:rPr>
                <w:color w:val="000000"/>
                <w:spacing w:val="0"/>
                <w:w w:val="100"/>
                <w:position w:val="0"/>
              </w:rPr>
              <w:t>、操控简洁，降低数据开发 门槛。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提供给数据应用需求人员、模型设计 人员、模型开发人员、数仓实施人员、 运维监控人员、数据管理各个角色一 体化平台，目前实现功能:系统管理、 任务管理、数据查询、数据开发。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为数据中台建设提供了方 法论指导以及工具支撑。</w:t>
            </w:r>
          </w:p>
        </w:tc>
      </w:tr>
      <w:tr>
        <w:trPr>
          <w:trHeight w:val="227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数据交换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对现有交换产品进行技术架 构升级，基于高性能、高可靠 数据传输技术，支持大数据场 景下数据交换与清洗加工。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、立足现有产品，继续提升产品成 熟度；</w:t>
            </w:r>
            <w:r>
              <w:rPr>
                <w:rFonts w:ascii="Times New Roman" w:eastAsia="Times New Roman" w:hAnsi="Times New Roman" w:cs="Times New Roman"/>
                <w:color w:val="000000"/>
                <w:spacing w:val="0"/>
                <w:w w:val="100"/>
                <w:position w:val="0"/>
              </w:rPr>
              <w:t>2</w:t>
            </w:r>
            <w:r>
              <w:rPr>
                <w:color w:val="000000"/>
                <w:spacing w:val="0"/>
                <w:w w:val="100"/>
                <w:position w:val="0"/>
              </w:rPr>
              <w:t>、打造大数据集成能力平台， 形成完整生态。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、与公司现有数据类产品 进行整合</w:t>
            </w:r>
            <w:r>
              <w:rPr>
                <w:rFonts w:ascii="Times New Roman" w:eastAsia="Times New Roman" w:hAnsi="Times New Roman" w:cs="Times New Roman"/>
                <w:color w:val="000000"/>
                <w:spacing w:val="0"/>
                <w:w w:val="100"/>
                <w:position w:val="0"/>
              </w:rPr>
              <w:t>,</w:t>
            </w:r>
            <w:r>
              <w:rPr>
                <w:color w:val="000000"/>
                <w:spacing w:val="0"/>
                <w:w w:val="100"/>
                <w:position w:val="0"/>
              </w:rPr>
              <w:t>形成完整的大 数据产品解决方案；</w:t>
            </w:r>
            <w:r>
              <w:rPr>
                <w:rFonts w:ascii="Times New Roman" w:eastAsia="Times New Roman" w:hAnsi="Times New Roman" w:cs="Times New Roman"/>
                <w:color w:val="000000"/>
                <w:spacing w:val="0"/>
                <w:w w:val="100"/>
                <w:position w:val="0"/>
              </w:rPr>
              <w:t>2</w:t>
            </w:r>
            <w:r>
              <w:rPr>
                <w:color w:val="000000"/>
                <w:spacing w:val="0"/>
                <w:w w:val="100"/>
                <w:position w:val="0"/>
              </w:rPr>
              <w:t>、与 大数据、人工智能技术进 行融合，为海量数据场景 中的数据采集、转换、加 载等提供解决方案。</w:t>
            </w:r>
          </w:p>
        </w:tc>
      </w:tr>
    </w:tbl>
    <w:p>
      <w:pPr>
        <w:spacing w:lineRule="exact" w:line="1"/>
        <w:rPr>
          <w:sz w:val="2"/>
          <w:szCs w:val="2"/>
        </w:rPr>
      </w:pPr>
      <w:r>
        <w:br w:type="page"/>
      </w:r>
    </w:p>
    <w:tbl>
      <w:tblPr>
        <w:tblOverlap w:val="never"/>
        <w:jc w:val="center"/>
        <w:tblLayout w:type="fixed"/>
      </w:tblPr>
      <w:tblGrid>
        <w:gridCol w:w="998"/>
        <w:gridCol w:w="2496"/>
        <w:gridCol w:w="869"/>
        <w:gridCol w:w="3019"/>
        <w:gridCol w:w="2222"/>
      </w:tblGrid>
      <w:tr>
        <w:trPr>
          <w:trHeight w:val="196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数据建模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工具产品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、完成数据建模工具从无到 有的开发，覆盖基本使用场 景；</w:t>
            </w:r>
            <w:r>
              <w:rPr>
                <w:rFonts w:ascii="Times New Roman" w:eastAsia="Times New Roman" w:hAnsi="Times New Roman" w:cs="Times New Roman"/>
                <w:color w:val="000000"/>
                <w:spacing w:val="0"/>
                <w:w w:val="100"/>
                <w:position w:val="0"/>
              </w:rPr>
              <w:t>2</w:t>
            </w:r>
            <w:r>
              <w:rPr>
                <w:color w:val="000000"/>
                <w:spacing w:val="0"/>
                <w:w w:val="100"/>
                <w:position w:val="0"/>
              </w:rPr>
              <w:t>、在数据治理过程中为 数据建模的规范定义和开发 实施提供工具支持，解决在数 据建模上对国外软件的依赖。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完成数据建模工具应具备的基础功 能，并做符合国人使用习惯的优化， 逐步缩小与国外产品功能上的差距， 最终替代国外产品。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在数据治理领域，有助于 使公司拥有完全自助知识 产权的数据建模工具，在 存在不确定性的国际市场 环境中，提高市场份额。</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SmartloT</w:t>
            </w:r>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Link</w:t>
            </w:r>
            <w:r>
              <w:rPr>
                <w:color w:val="000000"/>
                <w:spacing w:val="0"/>
                <w:w w:val="100"/>
                <w:position w:val="0"/>
              </w:rPr>
              <w:t>物联 网连接管 理平台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物联服务底座，物联设备联接 与管控服务的技术底座。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智能设备快速化接入、智能设备场景 化管控、物联数据标准化解析。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AIoT</w:t>
            </w:r>
            <w:r>
              <w:rPr>
                <w:color w:val="000000"/>
                <w:spacing w:val="0"/>
                <w:w w:val="100"/>
                <w:position w:val="0"/>
              </w:rPr>
              <w:t>万物互联有助于赋 能产业数智化。</w:t>
            </w:r>
          </w:p>
        </w:tc>
      </w:tr>
      <w:tr>
        <w:trPr>
          <w:trHeight w:val="3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物联网感 知平台 </w:t>
            </w:r>
            <w:r>
              <w:rPr>
                <w:color w:val="000000"/>
                <w:spacing w:val="0"/>
                <w:w w:val="100"/>
                <w:position w:val="0"/>
              </w:rPr>
              <w:t>（</w:t>
            </w:r>
            <w:r>
              <w:rPr>
                <w:rFonts w:ascii="Times New Roman" w:eastAsia="Times New Roman" w:hAnsi="Times New Roman" w:cs="Times New Roman"/>
                <w:color w:val="000000"/>
                <w:spacing w:val="0"/>
                <w:w w:val="100"/>
                <w:position w:val="0"/>
              </w:rPr>
              <w:t>IOE</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神州信息 </w:t>
            </w:r>
            <w:r>
              <w:rPr>
                <w:rFonts w:ascii="Times New Roman" w:eastAsia="Times New Roman" w:hAnsi="Times New Roman" w:cs="Times New Roman"/>
                <w:color w:val="000000"/>
                <w:spacing w:val="0"/>
                <w:w w:val="100"/>
                <w:position w:val="0"/>
              </w:rPr>
              <w:t xml:space="preserve">SmartIOE </w:t>
            </w:r>
            <w:r>
              <w:rPr>
                <w:color w:val="000000"/>
                <w:spacing w:val="0"/>
                <w:w w:val="100"/>
                <w:position w:val="0"/>
              </w:rPr>
              <w:t>物联网 感知平台为神州信息完全自 主知识产权产品，融合互联 网、大数据、物联网、人工智 能等先进技术，致力于实现金 融科技和产业园区的全面智 慧化，基于最新的微服务架构 打造金融科技和智慧园区物 联网行业开箱即用的物联网 感知数字平台，提升金融科技 和智慧产业园区的全数据融 合、共享协同、业务创新能力。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、支撑金融科技业务创新和银行数 字化转型，实现物联网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金融，赋能 金融网点智能化管理；智能感知设备 </w:t>
            </w:r>
            <w:r>
              <w:rPr>
                <w:rFonts w:ascii="Times New Roman" w:eastAsia="Times New Roman" w:hAnsi="Times New Roman" w:cs="Times New Roman"/>
                <w:color w:val="000000"/>
                <w:spacing w:val="0"/>
                <w:w w:val="100"/>
                <w:position w:val="0"/>
              </w:rPr>
              <w:t>+</w:t>
            </w:r>
            <w:r>
              <w:rPr>
                <w:color w:val="000000"/>
                <w:spacing w:val="0"/>
                <w:w w:val="100"/>
                <w:position w:val="0"/>
              </w:rPr>
              <w:t>行业场景</w:t>
            </w:r>
            <w:r>
              <w:rPr>
                <w:rFonts w:ascii="Times New Roman" w:eastAsia="Times New Roman" w:hAnsi="Times New Roman" w:cs="Times New Roman"/>
                <w:color w:val="000000"/>
                <w:spacing w:val="0"/>
                <w:w w:val="100"/>
                <w:position w:val="0"/>
              </w:rPr>
              <w:t>+</w:t>
            </w:r>
            <w:r>
              <w:rPr>
                <w:color w:val="000000"/>
                <w:spacing w:val="0"/>
                <w:w w:val="100"/>
                <w:position w:val="0"/>
              </w:rPr>
              <w:t>开放银行，探索解决三 农和小微企业融资难题；</w:t>
            </w:r>
            <w:r>
              <w:rPr>
                <w:rFonts w:ascii="Times New Roman" w:eastAsia="Times New Roman" w:hAnsi="Times New Roman" w:cs="Times New Roman"/>
                <w:color w:val="000000"/>
                <w:spacing w:val="0"/>
                <w:w w:val="100"/>
                <w:position w:val="0"/>
              </w:rPr>
              <w:t>2</w:t>
            </w:r>
            <w:r>
              <w:rPr>
                <w:color w:val="000000"/>
                <w:spacing w:val="0"/>
                <w:w w:val="100"/>
                <w:position w:val="0"/>
              </w:rPr>
              <w:t>、打造物 联、数联、智联的物联网一体化开发 工具产品链，积累智慧园区通用业务 场景和业务数据模型，打造智慧城市 和智慧园区物联网行业内开箱即用 的物联网感知平台产品。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有助于推进物联网数字化 建设，促进产业发展，拓 展物联网</w:t>
            </w:r>
            <w:r>
              <w:rPr>
                <w:rFonts w:ascii="Times New Roman" w:eastAsia="Times New Roman" w:hAnsi="Times New Roman" w:cs="Times New Roman"/>
                <w:color w:val="000000"/>
                <w:spacing w:val="0"/>
                <w:w w:val="100"/>
                <w:position w:val="0"/>
              </w:rPr>
              <w:t>+</w:t>
            </w:r>
            <w:r>
              <w:rPr>
                <w:color w:val="000000"/>
                <w:spacing w:val="0"/>
                <w:w w:val="100"/>
                <w:position w:val="0"/>
              </w:rPr>
              <w:t>金融业务，助力 金融科技战略落地。</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金融超脑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金融超脑项目主要是聚焦金 融场景，构建</w:t>
            </w:r>
            <w:r>
              <w:rPr>
                <w:rFonts w:ascii="Times New Roman" w:eastAsia="Times New Roman" w:hAnsi="Times New Roman" w:cs="Times New Roman"/>
                <w:color w:val="000000"/>
                <w:spacing w:val="0"/>
                <w:w w:val="100"/>
                <w:position w:val="0"/>
              </w:rPr>
              <w:t>AI</w:t>
            </w:r>
            <w:r>
              <w:rPr>
                <w:color w:val="000000"/>
                <w:spacing w:val="0"/>
                <w:w w:val="100"/>
                <w:position w:val="0"/>
              </w:rPr>
              <w:t>全场景解决 方案，提供基于数据加载、 数据标注、模型训练、模型部 署等一站式</w:t>
            </w:r>
            <w:r>
              <w:rPr>
                <w:rFonts w:ascii="Times New Roman" w:eastAsia="Times New Roman" w:hAnsi="Times New Roman" w:cs="Times New Roman"/>
                <w:color w:val="000000"/>
                <w:spacing w:val="0"/>
                <w:w w:val="100"/>
                <w:position w:val="0"/>
              </w:rPr>
              <w:t>AI</w:t>
            </w:r>
            <w:r>
              <w:rPr>
                <w:color w:val="000000"/>
                <w:spacing w:val="0"/>
                <w:w w:val="100"/>
                <w:position w:val="0"/>
              </w:rPr>
              <w:t>开发平台，缩 短</w:t>
            </w:r>
            <w:r>
              <w:rPr>
                <w:rFonts w:ascii="Times New Roman" w:eastAsia="Times New Roman" w:hAnsi="Times New Roman" w:cs="Times New Roman"/>
                <w:color w:val="000000"/>
                <w:spacing w:val="0"/>
                <w:w w:val="100"/>
                <w:position w:val="0"/>
              </w:rPr>
              <w:t>AI</w:t>
            </w:r>
            <w:r>
              <w:rPr>
                <w:color w:val="000000"/>
                <w:spacing w:val="0"/>
                <w:w w:val="100"/>
                <w:position w:val="0"/>
              </w:rPr>
              <w:t>开发周期，快速</w:t>
            </w:r>
            <w:r>
              <w:rPr>
                <w:rFonts w:ascii="Times New Roman" w:eastAsia="Times New Roman" w:hAnsi="Times New Roman" w:cs="Times New Roman"/>
                <w:color w:val="000000"/>
                <w:spacing w:val="0"/>
                <w:w w:val="100"/>
                <w:position w:val="0"/>
              </w:rPr>
              <w:t>AI</w:t>
            </w:r>
            <w:r>
              <w:rPr>
                <w:color w:val="000000"/>
                <w:spacing w:val="0"/>
                <w:w w:val="100"/>
                <w:position w:val="0"/>
              </w:rPr>
              <w:t>场景 落地。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、基于微服务框架，搭载</w:t>
            </w:r>
            <w:r>
              <w:rPr>
                <w:rFonts w:ascii="Times New Roman" w:eastAsia="Times New Roman" w:hAnsi="Times New Roman" w:cs="Times New Roman"/>
                <w:color w:val="000000"/>
                <w:spacing w:val="0"/>
                <w:w w:val="100"/>
                <w:position w:val="0"/>
              </w:rPr>
              <w:t>K8S</w:t>
            </w:r>
            <w:r>
              <w:rPr>
                <w:color w:val="000000"/>
                <w:spacing w:val="0"/>
                <w:w w:val="100"/>
                <w:position w:val="0"/>
              </w:rPr>
              <w:t>资源 调度，完成项目资源的隔离，有效完 成资源的合理利用;</w:t>
            </w:r>
            <w:r>
              <w:rPr>
                <w:rFonts w:ascii="Times New Roman" w:eastAsia="Times New Roman" w:hAnsi="Times New Roman" w:cs="Times New Roman"/>
                <w:color w:val="000000"/>
                <w:spacing w:val="0"/>
                <w:w w:val="100"/>
                <w:position w:val="0"/>
              </w:rPr>
              <w:t>2</w:t>
            </w:r>
            <w:r>
              <w:rPr>
                <w:color w:val="000000"/>
                <w:spacing w:val="0"/>
                <w:w w:val="100"/>
                <w:position w:val="0"/>
              </w:rPr>
              <w:t>、基于</w:t>
            </w:r>
            <w:r>
              <w:rPr>
                <w:rFonts w:ascii="Times New Roman" w:eastAsia="Times New Roman" w:hAnsi="Times New Roman" w:cs="Times New Roman"/>
                <w:color w:val="000000"/>
                <w:spacing w:val="0"/>
                <w:w w:val="100"/>
                <w:position w:val="0"/>
              </w:rPr>
              <w:t xml:space="preserve">kubeflow </w:t>
            </w:r>
            <w:r>
              <w:rPr>
                <w:color w:val="000000"/>
                <w:spacing w:val="0"/>
                <w:w w:val="100"/>
                <w:position w:val="0"/>
              </w:rPr>
              <w:t>的开源的开发环境，和自研的拖拽式 建模方式，完成交互和可视化建模， 灵活满足算法人员研发需求。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有助于推动公司现有传统 业务与</w:t>
            </w:r>
            <w:r>
              <w:rPr>
                <w:rFonts w:ascii="Times New Roman" w:eastAsia="Times New Roman" w:hAnsi="Times New Roman" w:cs="Times New Roman"/>
                <w:color w:val="000000"/>
                <w:spacing w:val="0"/>
                <w:w w:val="100"/>
                <w:position w:val="0"/>
              </w:rPr>
              <w:t>AI</w:t>
            </w:r>
            <w:r>
              <w:rPr>
                <w:color w:val="000000"/>
                <w:spacing w:val="0"/>
                <w:w w:val="100"/>
                <w:position w:val="0"/>
              </w:rPr>
              <w:t>融合，形成</w:t>
            </w:r>
            <w:r>
              <w:rPr>
                <w:rFonts w:ascii="Times New Roman" w:eastAsia="Times New Roman" w:hAnsi="Times New Roman" w:cs="Times New Roman"/>
                <w:color w:val="000000"/>
                <w:spacing w:val="0"/>
                <w:w w:val="100"/>
                <w:position w:val="0"/>
              </w:rPr>
              <w:t xml:space="preserve">AI </w:t>
            </w:r>
            <w:r>
              <w:rPr>
                <w:color w:val="000000"/>
                <w:spacing w:val="0"/>
                <w:w w:val="100"/>
                <w:position w:val="0"/>
              </w:rPr>
              <w:t>能力沉淀，快速行成</w:t>
            </w:r>
            <w:r>
              <w:rPr>
                <w:rFonts w:ascii="Times New Roman" w:eastAsia="Times New Roman" w:hAnsi="Times New Roman" w:cs="Times New Roman"/>
                <w:color w:val="000000"/>
                <w:spacing w:val="0"/>
                <w:w w:val="100"/>
                <w:position w:val="0"/>
              </w:rPr>
              <w:t xml:space="preserve">AI </w:t>
            </w:r>
            <w:r>
              <w:rPr>
                <w:color w:val="000000"/>
                <w:spacing w:val="0"/>
                <w:w w:val="100"/>
                <w:position w:val="0"/>
              </w:rPr>
              <w:t>解决方案，快速复制</w:t>
            </w:r>
            <w:r>
              <w:rPr>
                <w:rFonts w:ascii="Times New Roman" w:eastAsia="Times New Roman" w:hAnsi="Times New Roman" w:cs="Times New Roman"/>
                <w:color w:val="000000"/>
                <w:spacing w:val="0"/>
                <w:w w:val="100"/>
                <w:position w:val="0"/>
              </w:rPr>
              <w:t xml:space="preserve">AI </w:t>
            </w:r>
            <w:r>
              <w:rPr>
                <w:color w:val="000000"/>
                <w:spacing w:val="0"/>
                <w:w w:val="100"/>
                <w:position w:val="0"/>
              </w:rPr>
              <w:t>能力及相关项目落地。</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金融知识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图谱产品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该项目是提升公司在金融认 知能力方面的自研能力和核 心技术竞争力。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实现领域知识图谱构建底层核心技 术能力构建，实现图谱从数据导入、 知识建模、知识抽取、图谱构建、图 谱应用、图谱可视化一站式构建平 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有助于开拓公司在金融 </w:t>
            </w:r>
            <w:r>
              <w:rPr>
                <w:rFonts w:ascii="Times New Roman" w:eastAsia="Times New Roman" w:hAnsi="Times New Roman" w:cs="Times New Roman"/>
                <w:color w:val="000000"/>
                <w:spacing w:val="0"/>
                <w:w w:val="100"/>
                <w:position w:val="0"/>
              </w:rPr>
              <w:t>AI</w:t>
            </w:r>
            <w:r>
              <w:rPr>
                <w:color w:val="000000"/>
                <w:spacing w:val="0"/>
                <w:w w:val="100"/>
                <w:position w:val="0"/>
              </w:rPr>
              <w:t>认知领域的发展，实现 快速与现有金融产品业务 结合的能力，提升产品的 核心竞争力。</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金融人机</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交互产品</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构建对话机器人开发平台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、构建了人机对话系统平台，可以 支持客户自主构建对话机器人，应对 客服、业务咨询、知识学习场景；</w:t>
            </w:r>
            <w:r>
              <w:rPr>
                <w:rFonts w:ascii="Times New Roman" w:eastAsia="Times New Roman" w:hAnsi="Times New Roman" w:cs="Times New Roman"/>
                <w:color w:val="000000"/>
                <w:spacing w:val="0"/>
                <w:w w:val="100"/>
                <w:position w:val="0"/>
              </w:rPr>
              <w:t>2</w:t>
            </w:r>
            <w:r>
              <w:rPr>
                <w:color w:val="000000"/>
                <w:spacing w:val="0"/>
                <w:w w:val="100"/>
                <w:position w:val="0"/>
              </w:rPr>
              <w:t>、 平台提供低代码开发的环境，集成语 义理解模型，和文本生成模型，降低 开发成本。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有助于公司开拓智能对话 业务市场，提高在面向银 行终端客户的用户体验。</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分布式应 用平台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单元化架构版本研发，应对股 份制、国有大行单元化核心的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已完成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并发布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为应对市场变化，及时调整产品研发 目标，持续迭代产品新功能。保证产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分布式和云原生底座，为 产品与解决方案提供技术</w:t>
            </w:r>
          </w:p>
        </w:tc>
      </w:tr>
    </w:tbl>
    <w:p>
      <w:pPr>
        <w:spacing w:lineRule="exact" w:line="1"/>
        <w:rPr>
          <w:sz w:val="2"/>
          <w:szCs w:val="2"/>
        </w:rPr>
      </w:pPr>
      <w:r>
        <w:br w:type="page"/>
      </w:r>
    </w:p>
    <w:tbl>
      <w:tblPr>
        <w:tblOverlap w:val="never"/>
        <w:jc w:val="center"/>
        <w:tblLayout w:type="fixed"/>
      </w:tblPr>
      <w:tblGrid>
        <w:gridCol w:w="998"/>
        <w:gridCol w:w="2496"/>
        <w:gridCol w:w="869"/>
        <w:gridCol w:w="3019"/>
        <w:gridCol w:w="2222"/>
      </w:tblGrid>
      <w:tr>
        <w:trPr>
          <w:trHeight w:val="254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Galaxy</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建设；优化微服务管控平台管 理端，解决平台易用性问题； 云原生架构技术预研及服务 网格产品研发，紧随技术发展 趋势保持产品技术领先优势。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了年度 版本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品顺利交付的同时，不断的提升产品 竞争力。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支撑和保障；云原生架构 研发有助于维持技术领先 地位；单元化架构有助于 更灵活的支撑上层业务应 用架构落地；丰富管理端 功能、统一 </w:t>
            </w:r>
            <w:r>
              <w:rPr>
                <w:rFonts w:ascii="Times New Roman" w:eastAsia="Times New Roman" w:hAnsi="Times New Roman" w:cs="Times New Roman"/>
                <w:color w:val="000000"/>
                <w:spacing w:val="0"/>
                <w:w w:val="100"/>
                <w:position w:val="0"/>
              </w:rPr>
              <w:t>UI</w:t>
            </w:r>
            <w:r>
              <w:rPr>
                <w:color w:val="000000"/>
                <w:spacing w:val="0"/>
                <w:w w:val="100"/>
                <w:position w:val="0"/>
              </w:rPr>
              <w:t>设计风格， 有助于优化用户交互设计 提升产品竞争力。</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容器云研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帮助客户采用云原生技术加 快数字化转型与上云改造，实 现</w:t>
            </w:r>
            <w:r>
              <w:rPr>
                <w:rFonts w:ascii="Times New Roman" w:eastAsia="Times New Roman" w:hAnsi="Times New Roman" w:cs="Times New Roman"/>
                <w:color w:val="000000"/>
                <w:spacing w:val="0"/>
                <w:w w:val="100"/>
                <w:position w:val="0"/>
              </w:rPr>
              <w:t>IT</w:t>
            </w:r>
            <w:r>
              <w:rPr>
                <w:color w:val="000000"/>
                <w:spacing w:val="0"/>
                <w:w w:val="100"/>
                <w:position w:val="0"/>
              </w:rPr>
              <w:t>架构升级和业务创新； 同时作为</w:t>
            </w:r>
            <w:r>
              <w:rPr>
                <w:rFonts w:ascii="Times New Roman" w:eastAsia="Times New Roman" w:hAnsi="Times New Roman" w:cs="Times New Roman"/>
                <w:color w:val="000000"/>
                <w:spacing w:val="0"/>
                <w:w w:val="100"/>
                <w:position w:val="0"/>
              </w:rPr>
              <w:t>ModelBank5</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战 略中核心底座。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、实现产品发版</w:t>
            </w:r>
            <w:r>
              <w:rPr>
                <w:rFonts w:ascii="Times New Roman" w:eastAsia="Times New Roman" w:hAnsi="Times New Roman" w:cs="Times New Roman"/>
                <w:color w:val="000000"/>
                <w:spacing w:val="0"/>
                <w:w w:val="100"/>
                <w:position w:val="0"/>
              </w:rPr>
              <w:t>2</w:t>
            </w:r>
            <w:r>
              <w:rPr>
                <w:color w:val="000000"/>
                <w:spacing w:val="0"/>
                <w:w w:val="100"/>
                <w:position w:val="0"/>
              </w:rPr>
              <w:t>次；</w:t>
            </w:r>
            <w:r>
              <w:rPr>
                <w:rFonts w:ascii="Times New Roman" w:eastAsia="Times New Roman" w:hAnsi="Times New Roman" w:cs="Times New Roman"/>
                <w:color w:val="000000"/>
                <w:spacing w:val="0"/>
                <w:w w:val="100"/>
                <w:position w:val="0"/>
              </w:rPr>
              <w:t>2</w:t>
            </w:r>
            <w:r>
              <w:rPr>
                <w:color w:val="000000"/>
                <w:spacing w:val="0"/>
                <w:w w:val="100"/>
                <w:position w:val="0"/>
              </w:rPr>
              <w:t>、多集群管 理能力具备；</w:t>
            </w:r>
            <w:r>
              <w:rPr>
                <w:rFonts w:ascii="Times New Roman" w:eastAsia="Times New Roman" w:hAnsi="Times New Roman" w:cs="Times New Roman"/>
                <w:color w:val="000000"/>
                <w:spacing w:val="0"/>
                <w:w w:val="100"/>
                <w:position w:val="0"/>
              </w:rPr>
              <w:t>3</w:t>
            </w:r>
            <w:r>
              <w:rPr>
                <w:color w:val="000000"/>
                <w:spacing w:val="0"/>
                <w:w w:val="100"/>
                <w:position w:val="0"/>
              </w:rPr>
              <w:t>、管理端全新操作体 验；</w:t>
            </w:r>
            <w:r>
              <w:rPr>
                <w:rFonts w:ascii="Times New Roman" w:eastAsia="Times New Roman" w:hAnsi="Times New Roman" w:cs="Times New Roman"/>
                <w:color w:val="000000"/>
                <w:spacing w:val="0"/>
                <w:w w:val="100"/>
                <w:position w:val="0"/>
              </w:rPr>
              <w:t>4</w:t>
            </w:r>
            <w:r>
              <w:rPr>
                <w:color w:val="000000"/>
                <w:spacing w:val="0"/>
                <w:w w:val="100"/>
                <w:position w:val="0"/>
              </w:rPr>
              <w:t>、实现离线一键式部署。</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有助于与公司现有产品整 合，提供一站式金融科技 解决方案，提高竞争优势。</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核心标准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版本项目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核心业务系统标准版本项目 是以现有微服务版本 </w:t>
            </w:r>
            <w:r>
              <w:rPr>
                <w:rFonts w:ascii="Times New Roman" w:eastAsia="Times New Roman" w:hAnsi="Times New Roman" w:cs="Times New Roman"/>
                <w:color w:val="000000"/>
                <w:spacing w:val="0"/>
                <w:w w:val="100"/>
                <w:position w:val="0"/>
              </w:rPr>
              <w:t>Ensemble16</w:t>
            </w:r>
            <w:r>
              <w:rPr>
                <w:color w:val="000000"/>
                <w:spacing w:val="0"/>
                <w:w w:val="100"/>
                <w:position w:val="0"/>
              </w:rPr>
              <w:t>为基础，进行各 类规范标准化落地，补充完善 设计文档，优化服务接口，丰 富系统功能，形成用于项目实 施交付的标准版本。实现提升 交付效率，降低实施项目交付 成本的目标。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、开发设计规范落地：制订数据字 典、数据模型、服务接口规范；数据 字典、数据接口、服务接口规范落地； 开发规范落地；</w:t>
            </w:r>
            <w:r>
              <w:rPr>
                <w:rFonts w:ascii="Times New Roman" w:eastAsia="Times New Roman" w:hAnsi="Times New Roman" w:cs="Times New Roman"/>
                <w:color w:val="000000"/>
                <w:spacing w:val="0"/>
                <w:w w:val="100"/>
                <w:position w:val="0"/>
              </w:rPr>
              <w:t>2</w:t>
            </w:r>
            <w:r>
              <w:rPr>
                <w:color w:val="000000"/>
                <w:spacing w:val="0"/>
                <w:w w:val="100"/>
                <w:position w:val="0"/>
              </w:rPr>
              <w:t>、功能优化完善： 功能实现方案优化提升；新增业务功 能；</w:t>
            </w:r>
            <w:r>
              <w:rPr>
                <w:rFonts w:ascii="Times New Roman" w:eastAsia="Times New Roman" w:hAnsi="Times New Roman" w:cs="Times New Roman"/>
                <w:color w:val="000000"/>
                <w:spacing w:val="0"/>
                <w:w w:val="100"/>
                <w:position w:val="0"/>
              </w:rPr>
              <w:t>3</w:t>
            </w:r>
            <w:r>
              <w:rPr>
                <w:color w:val="000000"/>
                <w:spacing w:val="0"/>
                <w:w w:val="100"/>
                <w:position w:val="0"/>
              </w:rPr>
              <w:t>、技术平台升级：技术平台升 级，解决已发现的平台问题，平台功 能优化提升；</w:t>
            </w:r>
            <w:r>
              <w:rPr>
                <w:rFonts w:ascii="Times New Roman" w:eastAsia="Times New Roman" w:hAnsi="Times New Roman" w:cs="Times New Roman"/>
                <w:color w:val="000000"/>
                <w:spacing w:val="0"/>
                <w:w w:val="100"/>
                <w:position w:val="0"/>
              </w:rPr>
              <w:t>4</w:t>
            </w:r>
            <w:r>
              <w:rPr>
                <w:color w:val="000000"/>
                <w:spacing w:val="0"/>
                <w:w w:val="100"/>
                <w:position w:val="0"/>
              </w:rPr>
              <w:t>、文档完善：业务专 题、设计专题编写；产品设计文档 完善；开发手册、部署手册编写； 产品培训材料；</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IDE</w:t>
            </w:r>
            <w:r>
              <w:rPr>
                <w:color w:val="000000"/>
                <w:spacing w:val="0"/>
                <w:w w:val="100"/>
                <w:position w:val="0"/>
              </w:rPr>
              <w:t>工具升级。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有助于进一步提升产品竞 争力，巩固产品的市场地 位；降低产品实施交付成 本，提升产品盈利能力。</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场景支付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、应对行业趋势研发商户集 中管理平台、多法人等业务能 力，在此过程中同步实现向 </w:t>
            </w:r>
            <w:r>
              <w:rPr>
                <w:rFonts w:ascii="Times New Roman" w:eastAsia="Times New Roman" w:hAnsi="Times New Roman" w:cs="Times New Roman"/>
                <w:color w:val="000000"/>
                <w:spacing w:val="0"/>
                <w:w w:val="100"/>
                <w:position w:val="0"/>
              </w:rPr>
              <w:t>Galaxy3</w:t>
            </w:r>
            <w:r>
              <w:rPr>
                <w:color w:val="000000"/>
                <w:spacing w:val="0"/>
                <w:w w:val="100"/>
                <w:position w:val="0"/>
              </w:rPr>
              <w:t>的升级；</w:t>
            </w:r>
            <w:r>
              <w:rPr>
                <w:rFonts w:ascii="Times New Roman" w:eastAsia="Times New Roman" w:hAnsi="Times New Roman" w:cs="Times New Roman"/>
                <w:color w:val="000000"/>
                <w:spacing w:val="0"/>
                <w:w w:val="100"/>
                <w:position w:val="0"/>
              </w:rPr>
              <w:t>2</w:t>
            </w:r>
            <w:r>
              <w:rPr>
                <w:color w:val="000000"/>
                <w:spacing w:val="0"/>
                <w:w w:val="100"/>
                <w:position w:val="0"/>
              </w:rPr>
              <w:t>、应对大行 及银行现有支付体系痛点，规 划支付中台解决方案，解决原 有支付系统竖井式建设的痛 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 并发布 了年度 版本，其 中支付 中台发 布了通 讯总线 模块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形成集中商户管理平台独立解决方 案；形成支付中台产品。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为公司统一支付产品进行 升级换代，在银行新老客 户进行统一支付升级改造 的商机中，进行支付中台 的落地和替换。</w:t>
            </w:r>
          </w:p>
        </w:tc>
      </w:tr>
      <w:tr>
        <w:trPr>
          <w:trHeight w:val="25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权益营销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7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实现营销领域的客户经理 线下营销考核，事件式营销处 理，解决客户经理线下营销任 务分派与过程跟踪问题，帮助 营销运营部门的精细化管理。</w:t>
            </w:r>
          </w:p>
          <w:p>
            <w:pPr>
              <w:pStyle w:val="Style2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在权益引擎方面增加规则 树模型，实现更为灵活且复杂 的营销规则。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实现线上与线下全员式的自动化事 件营销，为营销服务提供抓手服务。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有助于增加市场份额，提</w:t>
            </w:r>
          </w:p>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高产品竞争力，</w:t>
            </w:r>
          </w:p>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保持技术领先地位，保持 业务先进性。</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微服务平 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建立行内统一技术规范体系； 解决行内异构系统间集成问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新版本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部分功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构建规范化、标准化、敏捷化、智能 化；完善老版本存在监控全面；自动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有助于维持客户规模，推 动老客户全面升级，完成</w:t>
            </w:r>
          </w:p>
        </w:tc>
      </w:tr>
    </w:tbl>
    <w:p>
      <w:pPr>
        <w:spacing w:lineRule="exact" w:line="1"/>
        <w:rPr>
          <w:sz w:val="2"/>
          <w:szCs w:val="2"/>
        </w:rPr>
      </w:pPr>
      <w:r>
        <w:br w:type="page"/>
      </w:r>
    </w:p>
    <w:tbl>
      <w:tblPr>
        <w:tblOverlap w:val="never"/>
        <w:jc w:val="center"/>
        <w:tblLayout w:type="fixed"/>
      </w:tblPr>
      <w:tblGrid>
        <w:gridCol w:w="998"/>
        <w:gridCol w:w="2496"/>
        <w:gridCol w:w="869"/>
        <w:gridCol w:w="3019"/>
        <w:gridCol w:w="2222"/>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题；实现一站式的云原生微服 务应用的全生命周期管理、微 服务应用架构治理、“稳态” “敏态”混合架构集成和数据 化运营。帮助企业向高弹性、 高韧性、高可用的云原生架 构、微服务架构等方面转型。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能持续</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完善中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化开发模块不完善问题;结合市场反 馈，增加视图开发能力。</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规模扩张。</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开放平台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本项目主要是对根据市场客 户的反馈以及竞争对手的了 解对开放平台功能进行优化， 并对衍生产品公众号小程序 平台、互联网文件传输进行进 一步的功能研发，保持住互联 网开放银行建设领域我们产 品的优势地位，促进产品签约 额进一步增长。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完成了 相关的 需求梳 理以及 需求分 析，以及 系统设 计，进一 步开发 编码阶 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开放平台运营模块能够实现互联网 运营管理一体化目标；公众号小程序 平台能够实现互联网渠道的安全管 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有助于帮助银行客户建立 与外部建立连接的连接 器，保障银行安全连接、 可靠认证、万能连接，同 时保障银行引入外部服 务，丰富自营渠道场景金 融服务。</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架构管理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建立行内架构规范和管控机 制；解决架构资产线下化管理 带来的各种弊端，有效提升架 构阶段的整体效能。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 并发布 年度版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、实现架构资产的线上化管理，提 供多维度的架构资产视图；</w:t>
            </w:r>
            <w:r>
              <w:rPr>
                <w:rFonts w:ascii="Times New Roman" w:eastAsia="Times New Roman" w:hAnsi="Times New Roman" w:cs="Times New Roman"/>
                <w:color w:val="000000"/>
                <w:spacing w:val="0"/>
                <w:w w:val="100"/>
                <w:position w:val="0"/>
              </w:rPr>
              <w:t>2</w:t>
            </w:r>
            <w:r>
              <w:rPr>
                <w:color w:val="000000"/>
                <w:spacing w:val="0"/>
                <w:w w:val="100"/>
                <w:position w:val="0"/>
              </w:rPr>
              <w:t>、具备 领域建模能力，实现低代码产出；</w:t>
            </w:r>
            <w:r>
              <w:rPr>
                <w:rFonts w:ascii="Times New Roman" w:eastAsia="Times New Roman" w:hAnsi="Times New Roman" w:cs="Times New Roman"/>
                <w:color w:val="000000"/>
                <w:spacing w:val="0"/>
                <w:w w:val="100"/>
                <w:position w:val="0"/>
              </w:rPr>
              <w:t>3</w:t>
            </w:r>
            <w:r>
              <w:rPr>
                <w:color w:val="000000"/>
                <w:spacing w:val="0"/>
                <w:w w:val="100"/>
                <w:position w:val="0"/>
              </w:rPr>
              <w:t>、 融合人工智能技术，提供智能化的架 构资产关系分析。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创新产品的研发有助于市 场拓展。</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监管报送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为满足银行高质量、快速、及 时的进行数据报送，符合监管 合规要求，构建的监管报送平 台。同时根据当前市场及行业 需求，基于微服务架构作为技 术平台，满足当前分布式部署 和横向扩展及国产化信创要 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 并发布 年度版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经过该平台研发，确立监管报送平台 产品基础，并且初步形成监管报送行 业产品化服务的基础。监管产品是市 场开拓的敲门砖，也是该业务的基 础。通过基于微服务框架和技术平 台，使得该产品在同行业竞争中技术 方面处于领先的地位。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有助于促进监管报送业务 稳步快速发展。</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流动性头 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初步形成统一头寸的产品理 念以及数字化转型，提升多渠 道端数字化管控能力。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 并发布 年度版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提升产品的创新性，完善产品不足， 提出统一头寸的理念，通过全面的头 寸管理模式和智能化体系的建设</w:t>
            </w:r>
            <w:r>
              <w:rPr>
                <w:color w:val="000000"/>
                <w:spacing w:val="0"/>
                <w:w w:val="100"/>
                <w:position w:val="0"/>
              </w:rPr>
              <w:t>，</w:t>
            </w:r>
            <w:r>
              <w:rPr>
                <w:color w:val="000000"/>
                <w:spacing w:val="0"/>
                <w:w w:val="100"/>
                <w:position w:val="0"/>
              </w:rPr>
              <w:t>进 一步提升产品的领先性。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有助于保持市场领先，提 升产品竞争力。</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智能柜面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本项目主要为银行线下渠道 提供统一的人机交互平台，提 供跨平台、全渠道协同服务能 力，助力银行网点转型和支撑 全渠道运营。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为网点及其延伸渠道的客户服务、业 务运营提供能力支撑的技术平台，以 线下渠道服务及运营为目标，形成可 合力销售的产品套件，提高市场占有 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有助于提升用户体验，适 应于现代金融业务发展的 需求。完善了公司 </w:t>
            </w:r>
            <w:r>
              <w:rPr>
                <w:rFonts w:ascii="Times New Roman" w:eastAsia="Times New Roman" w:hAnsi="Times New Roman" w:cs="Times New Roman"/>
                <w:color w:val="000000"/>
                <w:spacing w:val="0"/>
                <w:w w:val="100"/>
                <w:position w:val="0"/>
              </w:rPr>
              <w:t xml:space="preserve">ModelBank5.0 </w:t>
            </w:r>
            <w:r>
              <w:rPr>
                <w:color w:val="000000"/>
                <w:spacing w:val="0"/>
                <w:w w:val="100"/>
                <w:position w:val="0"/>
              </w:rPr>
              <w:t>体系，有助 于提高核心产品系的竞争 力和影响力。</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银税互动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基于税银直连场景，为银行提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完成客群模型、产业、行业模型的开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产品深挖税务数据价值，</w:t>
            </w:r>
          </w:p>
        </w:tc>
      </w:tr>
    </w:tbl>
    <w:p>
      <w:pPr>
        <w:spacing w:lineRule="exact" w:line="1"/>
        <w:rPr>
          <w:sz w:val="2"/>
          <w:szCs w:val="2"/>
        </w:rPr>
      </w:pPr>
      <w:r>
        <w:br w:type="page"/>
      </w:r>
    </w:p>
    <w:tbl>
      <w:tblPr>
        <w:tblOverlap w:val="never"/>
        <w:jc w:val="center"/>
        <w:tblLayout w:type="fixed"/>
      </w:tblPr>
      <w:tblGrid>
        <w:gridCol w:w="998"/>
        <w:gridCol w:w="2496"/>
        <w:gridCol w:w="869"/>
        <w:gridCol w:w="3019"/>
        <w:gridCol w:w="2222"/>
      </w:tblGrid>
      <w:tr>
        <w:trPr>
          <w:trHeight w:val="161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风控模型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供配套的数据解析，指标加 工，风控模型服务，帮助银行 等金融机构在企业线上信贷 风控环节提供大数据决策支 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并发布</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发，为银行提供配套的数据解析，指 标加工，风控模型服务。</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w:t>
            </w:r>
            <w:r>
              <w:rPr>
                <w:rFonts w:ascii="Times New Roman" w:eastAsia="Times New Roman" w:hAnsi="Times New Roman" w:cs="Times New Roman"/>
                <w:color w:val="000000"/>
                <w:spacing w:val="0"/>
                <w:w w:val="100"/>
                <w:position w:val="0"/>
              </w:rPr>
              <w:t>ITS</w:t>
            </w:r>
            <w:r>
              <w:rPr>
                <w:color w:val="000000"/>
                <w:spacing w:val="0"/>
                <w:w w:val="100"/>
                <w:position w:val="0"/>
              </w:rPr>
              <w:t>场景金融目标，提 供面向银行端的一体化解 决方案提供更多更细化的 业务场景支持。</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数据服务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平台研发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、解决业务与数据紧耦合， 竖井结构，开发效率低，无法 复用的问题；</w:t>
            </w:r>
            <w:r>
              <w:rPr>
                <w:rFonts w:ascii="Times New Roman" w:eastAsia="Times New Roman" w:hAnsi="Times New Roman" w:cs="Times New Roman"/>
                <w:color w:val="000000"/>
                <w:spacing w:val="0"/>
                <w:w w:val="100"/>
                <w:position w:val="0"/>
              </w:rPr>
              <w:t>2</w:t>
            </w:r>
            <w:r>
              <w:rPr>
                <w:color w:val="000000"/>
                <w:spacing w:val="0"/>
                <w:w w:val="100"/>
                <w:position w:val="0"/>
              </w:rPr>
              <w:t>、解决数据分 散，异主异构异地，数据标准 不统一；</w:t>
            </w:r>
            <w:r>
              <w:rPr>
                <w:rFonts w:ascii="Times New Roman" w:eastAsia="Times New Roman" w:hAnsi="Times New Roman" w:cs="Times New Roman"/>
                <w:color w:val="000000"/>
                <w:spacing w:val="0"/>
                <w:w w:val="100"/>
                <w:position w:val="0"/>
              </w:rPr>
              <w:t>3</w:t>
            </w:r>
            <w:r>
              <w:rPr>
                <w:color w:val="000000"/>
                <w:spacing w:val="0"/>
                <w:w w:val="100"/>
                <w:position w:val="0"/>
              </w:rPr>
              <w:t>、解决数据开发效 率低，开发周期长，使用不方 便；</w:t>
            </w:r>
            <w:r>
              <w:rPr>
                <w:rFonts w:ascii="Times New Roman" w:eastAsia="Times New Roman" w:hAnsi="Times New Roman" w:cs="Times New Roman"/>
                <w:color w:val="000000"/>
                <w:spacing w:val="0"/>
                <w:w w:val="100"/>
                <w:position w:val="0"/>
              </w:rPr>
              <w:t>4</w:t>
            </w:r>
            <w:r>
              <w:rPr>
                <w:color w:val="000000"/>
                <w:spacing w:val="0"/>
                <w:w w:val="100"/>
                <w:position w:val="0"/>
              </w:rPr>
              <w:t>、解决数据的安全使用， 数据监控、管控无法进行；</w:t>
            </w:r>
            <w:r>
              <w:rPr>
                <w:rFonts w:ascii="Times New Roman" w:eastAsia="Times New Roman" w:hAnsi="Times New Roman" w:cs="Times New Roman"/>
                <w:color w:val="000000"/>
                <w:spacing w:val="0"/>
                <w:w w:val="100"/>
                <w:position w:val="0"/>
              </w:rPr>
              <w:t>5</w:t>
            </w:r>
            <w:r>
              <w:rPr>
                <w:color w:val="000000"/>
                <w:spacing w:val="0"/>
                <w:w w:val="100"/>
                <w:position w:val="0"/>
              </w:rPr>
              <w:t>、 解决数据使用形式多样，成本 高昂的问题；</w:t>
            </w:r>
            <w:r>
              <w:rPr>
                <w:rFonts w:ascii="Times New Roman" w:eastAsia="Times New Roman" w:hAnsi="Times New Roman" w:cs="Times New Roman"/>
                <w:color w:val="000000"/>
                <w:spacing w:val="0"/>
                <w:w w:val="100"/>
                <w:position w:val="0"/>
              </w:rPr>
              <w:t>6</w:t>
            </w:r>
            <w:r>
              <w:rPr>
                <w:color w:val="000000"/>
                <w:spacing w:val="0"/>
                <w:w w:val="100"/>
                <w:position w:val="0"/>
              </w:rPr>
              <w:t>、拥有的数据 很多，却无法赋能业务，不能 实现资产变现。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、完成异步服务，文件服务开发；</w:t>
            </w:r>
            <w:r>
              <w:rPr>
                <w:rFonts w:ascii="Times New Roman" w:eastAsia="Times New Roman" w:hAnsi="Times New Roman" w:cs="Times New Roman"/>
                <w:color w:val="000000"/>
                <w:spacing w:val="0"/>
                <w:w w:val="100"/>
                <w:position w:val="0"/>
              </w:rPr>
              <w:t>2</w:t>
            </w:r>
            <w:r>
              <w:rPr>
                <w:color w:val="000000"/>
                <w:spacing w:val="0"/>
                <w:w w:val="100"/>
                <w:position w:val="0"/>
              </w:rPr>
              <w:t>、 支持关系型，非关系型，接口型数据 源；</w:t>
            </w:r>
            <w:r>
              <w:rPr>
                <w:rFonts w:ascii="Times New Roman" w:eastAsia="Times New Roman" w:hAnsi="Times New Roman" w:cs="Times New Roman"/>
                <w:color w:val="000000"/>
                <w:spacing w:val="0"/>
                <w:w w:val="100"/>
                <w:position w:val="0"/>
              </w:rPr>
              <w:t>3</w:t>
            </w:r>
            <w:r>
              <w:rPr>
                <w:color w:val="000000"/>
                <w:spacing w:val="0"/>
                <w:w w:val="100"/>
                <w:position w:val="0"/>
              </w:rPr>
              <w:t>、支持数据源导入导出；支持 组合服务编排，导出，发布；</w:t>
            </w:r>
            <w:r>
              <w:rPr>
                <w:rFonts w:ascii="Times New Roman" w:eastAsia="Times New Roman" w:hAnsi="Times New Roman" w:cs="Times New Roman"/>
                <w:color w:val="000000"/>
                <w:spacing w:val="0"/>
                <w:w w:val="100"/>
                <w:position w:val="0"/>
              </w:rPr>
              <w:t>4</w:t>
            </w:r>
            <w:r>
              <w:rPr>
                <w:color w:val="000000"/>
                <w:spacing w:val="0"/>
                <w:w w:val="100"/>
                <w:position w:val="0"/>
              </w:rPr>
              <w:t>、登 录平台密码规则配置；</w:t>
            </w:r>
            <w:r>
              <w:rPr>
                <w:rFonts w:ascii="Times New Roman" w:eastAsia="Times New Roman" w:hAnsi="Times New Roman" w:cs="Times New Roman"/>
                <w:color w:val="000000"/>
                <w:spacing w:val="0"/>
                <w:w w:val="100"/>
                <w:position w:val="0"/>
              </w:rPr>
              <w:t>5</w:t>
            </w:r>
            <w:r>
              <w:rPr>
                <w:color w:val="000000"/>
                <w:spacing w:val="0"/>
                <w:w w:val="100"/>
                <w:position w:val="0"/>
              </w:rPr>
              <w:t>、服务认证 及权限管理；</w:t>
            </w:r>
            <w:r>
              <w:rPr>
                <w:rFonts w:ascii="Times New Roman" w:eastAsia="Times New Roman" w:hAnsi="Times New Roman" w:cs="Times New Roman"/>
                <w:color w:val="000000"/>
                <w:spacing w:val="0"/>
                <w:w w:val="100"/>
                <w:position w:val="0"/>
              </w:rPr>
              <w:t>6</w:t>
            </w:r>
            <w:r>
              <w:rPr>
                <w:color w:val="000000"/>
                <w:spacing w:val="0"/>
                <w:w w:val="100"/>
                <w:position w:val="0"/>
              </w:rPr>
              <w:t>、服务多版本管理；</w:t>
            </w:r>
            <w:r>
              <w:rPr>
                <w:rFonts w:ascii="Times New Roman" w:eastAsia="Times New Roman" w:hAnsi="Times New Roman" w:cs="Times New Roman"/>
                <w:color w:val="000000"/>
                <w:spacing w:val="0"/>
                <w:w w:val="100"/>
                <w:position w:val="0"/>
              </w:rPr>
              <w:t>7</w:t>
            </w:r>
            <w:r>
              <w:rPr>
                <w:color w:val="000000"/>
                <w:spacing w:val="0"/>
                <w:w w:val="100"/>
                <w:position w:val="0"/>
              </w:rPr>
              <w:t>、 路由策略管理；</w:t>
            </w:r>
            <w:r>
              <w:rPr>
                <w:rFonts w:ascii="Times New Roman" w:eastAsia="Times New Roman" w:hAnsi="Times New Roman" w:cs="Times New Roman"/>
                <w:color w:val="000000"/>
                <w:spacing w:val="0"/>
                <w:w w:val="100"/>
                <w:position w:val="0"/>
              </w:rPr>
              <w:t>8</w:t>
            </w:r>
            <w:r>
              <w:rPr>
                <w:color w:val="000000"/>
                <w:spacing w:val="0"/>
                <w:w w:val="100"/>
                <w:position w:val="0"/>
              </w:rPr>
              <w:t>、服务熔断降级管 理；</w:t>
            </w:r>
            <w:r>
              <w:rPr>
                <w:rFonts w:ascii="Times New Roman" w:eastAsia="Times New Roman" w:hAnsi="Times New Roman" w:cs="Times New Roman"/>
                <w:color w:val="000000"/>
                <w:spacing w:val="0"/>
                <w:w w:val="100"/>
                <w:position w:val="0"/>
              </w:rPr>
              <w:t>9</w:t>
            </w:r>
            <w:r>
              <w:rPr>
                <w:color w:val="000000"/>
                <w:spacing w:val="0"/>
                <w:w w:val="100"/>
                <w:position w:val="0"/>
              </w:rPr>
              <w:t>、服务有效期管理；</w:t>
            </w:r>
            <w:r>
              <w:rPr>
                <w:rFonts w:ascii="Times New Roman" w:eastAsia="Times New Roman" w:hAnsi="Times New Roman" w:cs="Times New Roman"/>
                <w:color w:val="000000"/>
                <w:spacing w:val="0"/>
                <w:w w:val="100"/>
                <w:position w:val="0"/>
              </w:rPr>
              <w:t>10</w:t>
            </w:r>
            <w:r>
              <w:rPr>
                <w:color w:val="000000"/>
                <w:spacing w:val="0"/>
                <w:w w:val="100"/>
                <w:position w:val="0"/>
              </w:rPr>
              <w:t>、服务 限流；</w:t>
            </w:r>
            <w:r>
              <w:rPr>
                <w:rFonts w:ascii="Times New Roman" w:eastAsia="Times New Roman" w:hAnsi="Times New Roman" w:cs="Times New Roman"/>
                <w:color w:val="000000"/>
                <w:spacing w:val="0"/>
                <w:w w:val="100"/>
                <w:position w:val="0"/>
              </w:rPr>
              <w:t>11</w:t>
            </w:r>
            <w:r>
              <w:rPr>
                <w:color w:val="000000"/>
                <w:spacing w:val="0"/>
                <w:w w:val="100"/>
                <w:position w:val="0"/>
              </w:rPr>
              <w:t>、集群部署。</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有助于稳定拓展金融行业 市场份额，开拓证券、税 务、保险等市场，巩固研 发技术领先地位，提商产 品竞争力，更高效便捷地 支撑上层业务应用。</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数据可视</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化平台产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、将数据看板，报表，多维 分析以及平台基础设施集成 在一起，提供一站式数据可视 化服务平台。</w:t>
            </w:r>
            <w:r>
              <w:rPr>
                <w:rFonts w:ascii="Times New Roman" w:eastAsia="Times New Roman" w:hAnsi="Times New Roman" w:cs="Times New Roman"/>
                <w:color w:val="000000"/>
                <w:spacing w:val="0"/>
                <w:w w:val="100"/>
                <w:position w:val="0"/>
              </w:rPr>
              <w:t>2</w:t>
            </w:r>
            <w:r>
              <w:rPr>
                <w:color w:val="000000"/>
                <w:spacing w:val="0"/>
                <w:w w:val="100"/>
                <w:position w:val="0"/>
              </w:rPr>
              <w:t>、在可视化平 台基础上，开发基于业务解决 方案的两款端对端应用平台。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 并发布 了年度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、基于分布式理念设计使平台易于 融入已有</w:t>
            </w:r>
            <w:r>
              <w:rPr>
                <w:rFonts w:ascii="Times New Roman" w:eastAsia="Times New Roman" w:hAnsi="Times New Roman" w:cs="Times New Roman"/>
                <w:color w:val="000000"/>
                <w:spacing w:val="0"/>
                <w:w w:val="100"/>
                <w:position w:val="0"/>
              </w:rPr>
              <w:t>IT</w:t>
            </w:r>
            <w:r>
              <w:rPr>
                <w:color w:val="000000"/>
                <w:spacing w:val="0"/>
                <w:w w:val="100"/>
                <w:position w:val="0"/>
              </w:rPr>
              <w:t>架构。便于水平扩展， 适应多种应用场景部署。</w:t>
            </w:r>
            <w:r>
              <w:rPr>
                <w:rFonts w:ascii="Times New Roman" w:eastAsia="Times New Roman" w:hAnsi="Times New Roman" w:cs="Times New Roman"/>
                <w:color w:val="000000"/>
                <w:spacing w:val="0"/>
                <w:w w:val="100"/>
                <w:position w:val="0"/>
              </w:rPr>
              <w:t>2</w:t>
            </w:r>
            <w:r>
              <w:rPr>
                <w:color w:val="000000"/>
                <w:spacing w:val="0"/>
                <w:w w:val="100"/>
                <w:position w:val="0"/>
              </w:rPr>
              <w:t>、完成自 助查询分析平台、数据补录平台的开 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有助于快速响应项目需 求，降低开发成本，快速 形成解决方案。</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总账系统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、扩充总账业务功能，包括： 平盘、机构、增值税、业务核 验、分户核对、减值、报表优 化等；</w:t>
            </w:r>
            <w:r>
              <w:rPr>
                <w:rFonts w:ascii="Times New Roman" w:eastAsia="Times New Roman" w:hAnsi="Times New Roman" w:cs="Times New Roman"/>
                <w:color w:val="000000"/>
                <w:spacing w:val="0"/>
                <w:w w:val="100"/>
                <w:position w:val="0"/>
              </w:rPr>
              <w:t>2</w:t>
            </w:r>
            <w:r>
              <w:rPr>
                <w:color w:val="000000"/>
                <w:spacing w:val="0"/>
                <w:w w:val="100"/>
                <w:position w:val="0"/>
              </w:rPr>
              <w:t>、丰富总账配套功能， 包括:交易模拟器、分录试算、 文件模拟；</w:t>
            </w:r>
            <w:r>
              <w:rPr>
                <w:rFonts w:ascii="Times New Roman" w:eastAsia="Times New Roman" w:hAnsi="Times New Roman" w:cs="Times New Roman"/>
                <w:color w:val="000000"/>
                <w:spacing w:val="0"/>
                <w:w w:val="100"/>
                <w:position w:val="0"/>
              </w:rPr>
              <w:t>3</w:t>
            </w:r>
            <w:r>
              <w:rPr>
                <w:color w:val="000000"/>
                <w:spacing w:val="0"/>
                <w:w w:val="100"/>
                <w:position w:val="0"/>
              </w:rPr>
              <w:t>、简化总账技术 架构，包括：去</w:t>
            </w:r>
            <w:r>
              <w:rPr>
                <w:rFonts w:ascii="Times New Roman" w:eastAsia="Times New Roman" w:hAnsi="Times New Roman" w:cs="Times New Roman"/>
                <w:color w:val="000000"/>
                <w:spacing w:val="0"/>
                <w:w w:val="100"/>
                <w:position w:val="0"/>
              </w:rPr>
              <w:t>IDE</w:t>
            </w:r>
            <w:r>
              <w:rPr>
                <w:color w:val="000000"/>
                <w:spacing w:val="0"/>
                <w:w w:val="100"/>
                <w:position w:val="0"/>
              </w:rPr>
              <w:t>依赖， 业务内聚与技术细节分离。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已完成， 并发布 三季度 版本、一 个年度 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提供功能强大、配套齐全、业务内聚， 平台无依赖的交易级总账产品。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有助于提升产品竞争力及 客户满意度，提高项目实 施的便利度。</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一体化信 贷系统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一体化信贷产品以分布式技 术平台为基础，微服务架构体 系为设计理念，搭建信贷业务 中台，支持信贷业务贷款核 算，是实现线上线下业务一体 化，信贷管理与核算一体化的 完整解决方案。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both"/>
            </w:pPr>
            <w:r>
              <w:rPr>
                <w:color w:val="000000"/>
                <w:spacing w:val="0"/>
                <w:w w:val="100"/>
                <w:position w:val="0"/>
              </w:rPr>
              <w:t>部分完 成并发 布了年 度版本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以一体化信贷为研发目标，在现有线 上功能基础上补充传统信贷业务功 能，同时将网贷与传统核心贷款核算 进行集成，形成信贷业务管理加贷款 核心一体化版本。同时也支持版本分 拆和独立销售。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新产品研发有助于开拓信 贷系统市场。</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市场风险 系统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实现自主研发市场风险产品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 并发布 年度版 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提升商业银行市场风险管理能力，满 足新的监管要求下的风险管理。</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有助于完善公司产品线， 扩大市场份额。</w:t>
            </w:r>
          </w:p>
        </w:tc>
      </w:tr>
    </w:tbl>
    <w:p>
      <w:pPr>
        <w:spacing w:lineRule="exact" w:line="1"/>
        <w:rPr>
          <w:sz w:val="2"/>
          <w:szCs w:val="2"/>
        </w:rPr>
      </w:pPr>
      <w:r>
        <w:br w:type="page"/>
      </w:r>
    </w:p>
    <w:tbl>
      <w:tblPr>
        <w:tblOverlap w:val="never"/>
        <w:jc w:val="center"/>
        <w:tblLayout w:type="fixed"/>
      </w:tblPr>
      <w:tblGrid>
        <w:gridCol w:w="998"/>
        <w:gridCol w:w="2496"/>
        <w:gridCol w:w="869"/>
        <w:gridCol w:w="3019"/>
        <w:gridCol w:w="2222"/>
      </w:tblGrid>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农业农村</w:t>
            </w:r>
          </w:p>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大数据平 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本项目是对既有产品进行功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能升级完善，提高产品适应性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 并发布 年度版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产品技术框架版本升级，完成产品采 集、数据监控功能优化，结合项目需 求增加产品功能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有助于提高数据处理效 率，降低交付成本，助力 农业农村大数据市场范围 提升。</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县域农业 农村大数 据平台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面向县域政府用户，为用户搭 建农业数据资源中心，为用户 收集县域农业数据，通过海量 数据的收集为用户提供基于 数据的决策分析以及数据挖 掘，为用户建立一个可以基于 数据的交换共享中心。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 并发布 年度版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帮助客户采集涉农相关数据；提高客 户数据治理能力；协助客户打造数据 分析挖掘能力；通过数据作为支撑完 善客户的决策分析能力。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有助于增强公司在县域农 业领域的竞争力，获取农 业相关数据为后续推广农 业金融提供有力抓手。</w:t>
            </w:r>
          </w:p>
        </w:tc>
      </w:tr>
      <w:tr>
        <w:trPr>
          <w:trHeight w:val="227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云管理平 台研发项 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满足当前客户和潜在客户的 需求，进一步优化产品的易 用性和友好性，针对行业客户 的特定面向行业特点的改进， 前瞻性的技术框架和功能的 扩展满足未来的技术发展趋 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 并发布 年度版 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开发当前客户的特定需求，优化界面 及管理方式，整合行业客户的方案， 一些技术创新，提升的产品的功能， 技术前瞻性，性能，，可靠性，扩展 性，易用性。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有助于满足客户需求，增 加市场份额，保持技术领 先地位，提高产品竞争力 及行业客户的聚焦，行业 客户方案的整合。</w:t>
            </w:r>
          </w:p>
        </w:tc>
      </w:tr>
    </w:tbl>
    <w:p>
      <w:pPr>
        <w:widowControl w:val="0"/>
        <w:spacing w:after="41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-0.18%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9.74%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29.55%</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082"/>
        <w:gridCol w:w="2165"/>
        <w:gridCol w:w="2165"/>
        <w:gridCol w:w="21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625,060,414.26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549,788,222.72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49,592,419.75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38,970,071.46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w:t>
            </w:r>
          </w:p>
        </w:tc>
      </w:tr>
    </w:tbl>
    <w:p>
      <w:pPr>
        <w:spacing w:lineRule="exact" w:line="1"/>
        <w:rPr>
          <w:sz w:val="2"/>
          <w:szCs w:val="2"/>
        </w:rPr>
      </w:pPr>
      <w:r>
        <w:br w:type="page"/>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公司研发人员构成发生重大变化的原因及影响</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18"/>
        <w:gridCol w:w="1282"/>
        <w:gridCol w:w="6322"/>
        <w:gridCol w:w="859"/>
      </w:tblGrid>
      <w:tr>
        <w:trPr>
          <w:trHeight w:val="7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研发资本化</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实施进 度</w:t>
            </w:r>
          </w:p>
        </w:tc>
      </w:tr>
      <w:tr>
        <w:trPr>
          <w:trHeight w:val="21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金融科技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人工智能</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16,872,559.13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项目主要包括金融超脑、金融人机交互产品和金融知识图谱。</w:t>
            </w:r>
            <w:r>
              <w:rPr>
                <w:color w:val="000000"/>
                <w:spacing w:val="0"/>
                <w:w w:val="100"/>
                <w:position w:val="0"/>
              </w:rPr>
              <w:t>1</w:t>
            </w:r>
            <w:r>
              <w:rPr>
                <w:color w:val="000000"/>
                <w:spacing w:val="0"/>
                <w:w w:val="100"/>
                <w:position w:val="0"/>
              </w:rPr>
              <w:t>、金融超脑项 目主要是聚焦金融场景，构建</w:t>
            </w:r>
            <w:r>
              <w:rPr>
                <w:color w:val="000000"/>
                <w:spacing w:val="0"/>
                <w:w w:val="100"/>
                <w:position w:val="0"/>
              </w:rPr>
              <w:t>AI</w:t>
            </w:r>
            <w:r>
              <w:rPr>
                <w:color w:val="000000"/>
                <w:spacing w:val="0"/>
                <w:w w:val="100"/>
                <w:position w:val="0"/>
              </w:rPr>
              <w:t>全场景解决方案，提供一站式</w:t>
            </w:r>
            <w:r>
              <w:rPr>
                <w:color w:val="000000"/>
                <w:spacing w:val="0"/>
                <w:w w:val="100"/>
                <w:position w:val="0"/>
              </w:rPr>
              <w:t>AI</w:t>
            </w:r>
            <w:r>
              <w:rPr>
                <w:color w:val="000000"/>
                <w:spacing w:val="0"/>
                <w:w w:val="100"/>
                <w:position w:val="0"/>
              </w:rPr>
              <w:t>开发平台； 基于微服务框架，搭载</w:t>
            </w:r>
            <w:r>
              <w:rPr>
                <w:color w:val="000000"/>
                <w:spacing w:val="0"/>
                <w:w w:val="100"/>
                <w:position w:val="0"/>
              </w:rPr>
              <w:t>K8S</w:t>
            </w:r>
            <w:r>
              <w:rPr>
                <w:color w:val="000000"/>
                <w:spacing w:val="0"/>
                <w:w w:val="100"/>
                <w:position w:val="0"/>
              </w:rPr>
              <w:t>资源调度，完成项目资源的隔离；基于</w:t>
            </w:r>
            <w:r>
              <w:rPr>
                <w:color w:val="000000"/>
                <w:spacing w:val="0"/>
                <w:w w:val="100"/>
                <w:position w:val="0"/>
              </w:rPr>
              <w:t>kubeflow</w:t>
            </w:r>
            <w:r>
              <w:rPr>
                <w:color w:val="000000"/>
                <w:spacing w:val="0"/>
                <w:w w:val="100"/>
                <w:position w:val="0"/>
              </w:rPr>
              <w:t>的 开源的开发环境和自研的拖拽式建模方式，完成交互和可视化建模；</w:t>
            </w:r>
            <w:r>
              <w:rPr>
                <w:color w:val="000000"/>
                <w:spacing w:val="0"/>
                <w:w w:val="100"/>
                <w:position w:val="0"/>
              </w:rPr>
              <w:t>2</w:t>
            </w:r>
            <w:r>
              <w:rPr>
                <w:color w:val="000000"/>
                <w:spacing w:val="0"/>
                <w:w w:val="100"/>
                <w:position w:val="0"/>
              </w:rPr>
              <w:t>、金融 人机交互产品构建了人机对话系统平台；</w:t>
            </w:r>
            <w:r>
              <w:rPr>
                <w:color w:val="000000"/>
                <w:spacing w:val="0"/>
                <w:w w:val="100"/>
                <w:position w:val="0"/>
              </w:rPr>
              <w:t>3</w:t>
            </w:r>
            <w:r>
              <w:rPr>
                <w:color w:val="000000"/>
                <w:spacing w:val="0"/>
                <w:w w:val="100"/>
                <w:position w:val="0"/>
              </w:rPr>
              <w:t>、金融知识图谱产品是实现图谱从 数据导入、知识建模、知识抽取、图谱构建、图谱应用、图谱可视化一站式构 建平台。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收尾阶 段</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9,868,252.64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项目主要包括核心业务系统标准版本和场景支付。</w:t>
            </w:r>
            <w:r>
              <w:rPr>
                <w:color w:val="000000"/>
                <w:spacing w:val="0"/>
                <w:w w:val="100"/>
                <w:position w:val="0"/>
              </w:rPr>
              <w:t>1</w:t>
            </w:r>
            <w:r>
              <w:rPr>
                <w:color w:val="000000"/>
                <w:spacing w:val="0"/>
                <w:w w:val="100"/>
                <w:position w:val="0"/>
              </w:rPr>
              <w:t>、核心业务系统标准版本 项目是以现有微服务版本</w:t>
            </w:r>
            <w:r>
              <w:rPr>
                <w:color w:val="000000"/>
                <w:spacing w:val="0"/>
                <w:w w:val="100"/>
                <w:position w:val="0"/>
              </w:rPr>
              <w:t>Ensemble16</w:t>
            </w:r>
            <w:r>
              <w:rPr>
                <w:color w:val="000000"/>
                <w:spacing w:val="0"/>
                <w:w w:val="100"/>
                <w:position w:val="0"/>
              </w:rPr>
              <w:t>为基础，形成用于项目实施交付的标准版 本。主要的目标是开发设计规范落地、功能优化完善、技术平台升级、文档完 善和</w:t>
            </w:r>
            <w:r>
              <w:rPr>
                <w:color w:val="000000"/>
                <w:spacing w:val="0"/>
                <w:w w:val="100"/>
                <w:position w:val="0"/>
              </w:rPr>
              <w:t>IDE</w:t>
            </w:r>
            <w:r>
              <w:rPr>
                <w:color w:val="000000"/>
                <w:spacing w:val="0"/>
                <w:w w:val="100"/>
                <w:position w:val="0"/>
              </w:rPr>
              <w:t>工具升级；</w:t>
            </w:r>
            <w:r>
              <w:rPr>
                <w:color w:val="000000"/>
                <w:spacing w:val="0"/>
                <w:w w:val="100"/>
                <w:position w:val="0"/>
              </w:rPr>
              <w:t>2</w:t>
            </w:r>
            <w:r>
              <w:rPr>
                <w:color w:val="000000"/>
                <w:spacing w:val="0"/>
                <w:w w:val="100"/>
                <w:position w:val="0"/>
              </w:rPr>
              <w:t>、场景支付是形成集中商户管理平台独立解决方案和形成 支付中台产品。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收尾阶 段</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9,240,615.72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项目主要包括分布式应用平台和容器云。</w:t>
            </w:r>
            <w:r>
              <w:rPr>
                <w:color w:val="000000"/>
                <w:spacing w:val="0"/>
                <w:w w:val="100"/>
                <w:position w:val="0"/>
              </w:rPr>
              <w:t>1</w:t>
            </w:r>
            <w:r>
              <w:rPr>
                <w:color w:val="000000"/>
                <w:spacing w:val="0"/>
                <w:w w:val="100"/>
                <w:position w:val="0"/>
              </w:rPr>
              <w:t>、分布式应用平台的主要内容是单 元化架构版本研发、优化微服务管控平台管理端、云原生架构技术预研及服务 网格产品研发；</w:t>
            </w:r>
            <w:r>
              <w:rPr>
                <w:color w:val="000000"/>
                <w:spacing w:val="0"/>
                <w:w w:val="100"/>
                <w:position w:val="0"/>
              </w:rPr>
              <w:t>2</w:t>
            </w:r>
            <w:r>
              <w:rPr>
                <w:color w:val="000000"/>
                <w:spacing w:val="0"/>
                <w:w w:val="100"/>
                <w:position w:val="0"/>
              </w:rPr>
              <w:t>、容器云项目的主要内容是帮助客户采用云原生技术加快数 字化转型与上云改造，实现</w:t>
            </w:r>
            <w:r>
              <w:rPr>
                <w:color w:val="000000"/>
                <w:spacing w:val="0"/>
                <w:w w:val="100"/>
                <w:position w:val="0"/>
              </w:rPr>
              <w:t>IT</w:t>
            </w:r>
            <w:r>
              <w:rPr>
                <w:color w:val="000000"/>
                <w:spacing w:val="0"/>
                <w:w w:val="100"/>
                <w:position w:val="0"/>
              </w:rPr>
              <w:t>架构升级和业务创新；同时作为</w:t>
            </w:r>
            <w:r>
              <w:rPr>
                <w:color w:val="000000"/>
                <w:spacing w:val="0"/>
                <w:w w:val="100"/>
                <w:position w:val="0"/>
              </w:rPr>
              <w:t>ModelBank5</w:t>
            </w:r>
            <w:r>
              <w:rPr>
                <w:color w:val="000000"/>
                <w:spacing w:val="0"/>
                <w:w w:val="100"/>
                <w:position w:val="0"/>
              </w:rPr>
              <w:t>、</w:t>
            </w:r>
            <w:r>
              <w:rPr>
                <w:color w:val="000000"/>
                <w:spacing w:val="0"/>
                <w:w w:val="100"/>
                <w:position w:val="0"/>
              </w:rPr>
              <w:t xml:space="preserve">0 </w:t>
            </w:r>
            <w:r>
              <w:rPr>
                <w:color w:val="000000"/>
                <w:spacing w:val="0"/>
                <w:w w:val="100"/>
                <w:position w:val="0"/>
              </w:rPr>
              <w:t>战略中核心底座。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收尾阶 段</w:t>
            </w:r>
          </w:p>
        </w:tc>
      </w:tr>
      <w:tr>
        <w:trPr>
          <w:trHeight w:val="25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金融科技 大数据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6,365,100.19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项目主要包括数据开发平台、智能柜面、数据交换和数据建模工具产品。</w:t>
            </w:r>
            <w:r>
              <w:rPr>
                <w:color w:val="000000"/>
                <w:spacing w:val="0"/>
                <w:w w:val="100"/>
                <w:position w:val="0"/>
              </w:rPr>
              <w:t>1</w:t>
            </w:r>
            <w:r>
              <w:rPr>
                <w:color w:val="000000"/>
                <w:spacing w:val="0"/>
                <w:w w:val="100"/>
                <w:position w:val="0"/>
              </w:rPr>
              <w:t>、 数据开发平台是各个角色一体化平台，目前实现功能：系统管理、任务管理、 数据查询、数据开发；</w:t>
            </w:r>
            <w:r>
              <w:rPr>
                <w:color w:val="000000"/>
                <w:spacing w:val="0"/>
                <w:w w:val="100"/>
                <w:position w:val="0"/>
              </w:rPr>
              <w:t>2</w:t>
            </w:r>
            <w:r>
              <w:rPr>
                <w:color w:val="000000"/>
                <w:spacing w:val="0"/>
                <w:w w:val="100"/>
                <w:position w:val="0"/>
              </w:rPr>
              <w:t>、智能柜面主要为银行线下渠道提供统一的人机交互 平台，提供跨平台、全渠道协同服务能力，助力银行网点转型和支撑全渠道运 营</w:t>
            </w:r>
            <w:r>
              <w:rPr>
                <w:color w:val="000000"/>
                <w:spacing w:val="0"/>
                <w:w w:val="100"/>
                <w:position w:val="0"/>
              </w:rPr>
              <w:t>;3</w:t>
            </w:r>
            <w:r>
              <w:rPr>
                <w:color w:val="000000"/>
                <w:spacing w:val="0"/>
                <w:w w:val="100"/>
                <w:position w:val="0"/>
              </w:rPr>
              <w:t>、数据交换是对现有交换产品进行技术架构升级，打造大数据集成能力平 台，形成完整生态；</w:t>
            </w:r>
            <w:r>
              <w:rPr>
                <w:color w:val="000000"/>
                <w:spacing w:val="0"/>
                <w:w w:val="100"/>
                <w:position w:val="0"/>
              </w:rPr>
              <w:t>4</w:t>
            </w:r>
            <w:r>
              <w:rPr>
                <w:color w:val="000000"/>
                <w:spacing w:val="0"/>
                <w:w w:val="100"/>
                <w:position w:val="0"/>
              </w:rPr>
              <w:t>、数据建模工具产品主要是为了完成数据建模工具应具 备的基础功能，并做符合国人使用习惯的优化，解决在数据建模上对国外软件 的依赖。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收尾阶 段</w:t>
            </w:r>
          </w:p>
        </w:tc>
      </w:tr>
      <w:tr>
        <w:trPr>
          <w:trHeight w:val="25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物联网产 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3,846,253.00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项目主要包括</w:t>
            </w:r>
            <w:r>
              <w:rPr>
                <w:color w:val="000000"/>
                <w:spacing w:val="0"/>
                <w:w w:val="100"/>
                <w:position w:val="0"/>
              </w:rPr>
              <w:t>SmartIoTLink</w:t>
            </w:r>
            <w:r>
              <w:rPr>
                <w:color w:val="000000"/>
                <w:spacing w:val="0"/>
                <w:w w:val="100"/>
                <w:position w:val="0"/>
              </w:rPr>
              <w:t>物联网连接管理平台和物联网感知平台</w:t>
            </w:r>
            <w:r>
              <w:rPr>
                <w:color w:val="000000"/>
                <w:spacing w:val="0"/>
                <w:w w:val="100"/>
                <w:position w:val="0"/>
              </w:rPr>
              <w:t>(I0E)</w:t>
            </w:r>
            <w:r>
              <w:rPr>
                <w:color w:val="000000"/>
                <w:spacing w:val="0"/>
                <w:w w:val="100"/>
                <w:position w:val="0"/>
              </w:rPr>
              <w:t>。</w:t>
            </w:r>
            <w:r>
              <w:rPr>
                <w:color w:val="000000"/>
                <w:spacing w:val="0"/>
                <w:w w:val="100"/>
                <w:position w:val="0"/>
              </w:rPr>
              <w:t>1</w:t>
            </w:r>
            <w:r>
              <w:rPr>
                <w:color w:val="000000"/>
                <w:spacing w:val="0"/>
                <w:w w:val="100"/>
                <w:position w:val="0"/>
              </w:rPr>
              <w:t xml:space="preserve">、 </w:t>
            </w:r>
            <w:r>
              <w:rPr>
                <w:color w:val="000000"/>
                <w:spacing w:val="0"/>
                <w:w w:val="100"/>
                <w:position w:val="0"/>
              </w:rPr>
              <w:t>SmartIoTLink</w:t>
            </w:r>
            <w:r>
              <w:rPr>
                <w:color w:val="000000"/>
                <w:spacing w:val="0"/>
                <w:w w:val="100"/>
                <w:position w:val="0"/>
              </w:rPr>
              <w:t>物联网连接管理平台是物联服务的底座，物联设备联接与管控服 务的技术底座，最终实现智能设备快速化接入、智能设备场景化管控和物联数 据标准化解析；</w:t>
            </w:r>
            <w:r>
              <w:rPr>
                <w:color w:val="000000"/>
                <w:spacing w:val="0"/>
                <w:w w:val="100"/>
                <w:position w:val="0"/>
              </w:rPr>
              <w:t>2</w:t>
            </w:r>
            <w:r>
              <w:rPr>
                <w:color w:val="000000"/>
                <w:spacing w:val="0"/>
                <w:w w:val="100"/>
                <w:position w:val="0"/>
              </w:rPr>
              <w:t>、物联网感知平台</w:t>
            </w:r>
            <w:r>
              <w:rPr>
                <w:color w:val="000000"/>
                <w:spacing w:val="0"/>
                <w:w w:val="100"/>
                <w:position w:val="0"/>
              </w:rPr>
              <w:t>(I0E)</w:t>
            </w:r>
            <w:r>
              <w:rPr>
                <w:color w:val="000000"/>
                <w:spacing w:val="0"/>
                <w:w w:val="100"/>
                <w:position w:val="0"/>
              </w:rPr>
              <w:t>支撑金融科技业务创新和银行数字 化转型，实现物联网+金融，赋能金融网点智能化管理；智能感知设备+行业场 景+开放银行，探索解决三农和小微企业融资难题；打造物联、数联、智联的 物联网一体化开发工具产品链，积累智慧园区通用业务场景和业务数据模型， 打造智慧城市和智慧园区物联网行业内开箱即用的物联网感知平台产品。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收尾阶 段</w:t>
            </w:r>
          </w:p>
        </w:tc>
      </w:tr>
    </w:tbl>
    <w:p>
      <w:pPr>
        <w:spacing w:lineRule="exact" w:line="1"/>
        <w:rPr>
          <w:sz w:val="2"/>
          <w:szCs w:val="2"/>
        </w:rPr>
      </w:pPr>
      <w:r>
        <w:br w:type="page"/>
      </w:r>
    </w:p>
    <w:tbl>
      <w:tblPr>
        <w:tblOverlap w:val="never"/>
        <w:jc w:val="center"/>
        <w:tblLayout w:type="fixed"/>
      </w:tblPr>
      <w:tblGrid>
        <w:gridCol w:w="1118"/>
        <w:gridCol w:w="1282"/>
        <w:gridCol w:w="6322"/>
        <w:gridCol w:w="859"/>
      </w:tblGrid>
      <w:tr>
        <w:trPr>
          <w:trHeight w:val="9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基础研究 与行业软 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3,399,639.07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主要涉及分布式、区块链、大数据、微服务、云计算、移动互联、金融基础架 构、人工智能、量子信息技术、智能运维等领域。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项目进 行中</w:t>
            </w:r>
          </w:p>
        </w:tc>
      </w:tr>
    </w:tbl>
    <w:p>
      <w:pPr>
        <w:pStyle w:val="Style13"/>
        <w:keepNext w:val="0"/>
        <w:keepLines w:val="0"/>
        <w:widowControl w:val="0"/>
        <w:shd w:val="clear" w:color="auto" w:fill="auto"/>
        <w:bidi w:val="0"/>
        <w:spacing w:before="0" w:after="360" w:line="314" w:lineRule="exact"/>
        <w:ind w:left="0" w:right="0"/>
        <w:jc w:val="both"/>
      </w:pPr>
      <w:r>
        <w:rPr>
          <w:color w:val="000000"/>
          <w:spacing w:val="0"/>
          <w:w w:val="100"/>
          <w:position w:val="0"/>
        </w:rPr>
        <w:t>公司制定了《资本化研发项目管理办法》，对申报条件要求、评审流程及办法、组织职责、管理机制及财务核算原则等 进行了详细规定。上述资本化项目的立项评审、研发过程监控、变更控制及知识产权管理等，均按照《资本化研发项目管理 办法》实施，并按季度进行审核。公司在研发支出资本化方面有效执行相关制度，保证研发支出计量和确认的准确性、一致 性，公司研发支出资本化的处理符合《企业会计准则》的相关规定。</w:t>
      </w:r>
    </w:p>
    <w:p>
      <w:pPr>
        <w:pStyle w:val="Style29"/>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5</w:t>
      </w:r>
      <w:bookmarkEnd w:id="142"/>
      <w:r>
        <w:rPr>
          <w:color w:val="000000"/>
          <w:spacing w:val="0"/>
          <w:w w:val="100"/>
          <w:position w:val="0"/>
        </w:rPr>
        <w:t>、现金流</w:t>
      </w:r>
      <w:bookmarkEnd w:id="140"/>
      <w:bookmarkEnd w:id="141"/>
      <w:bookmarkEnd w:id="1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2304"/>
        <w:gridCol w:w="2304"/>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12,128,553,321.24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11,382,775,270.98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11,756,959,278.11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11,060,918,528.41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371,594,043.13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321,856,742.57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11,904,581,807.50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12,366,204,506.53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11,885,848,016.81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11,834,006,518.17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0.44%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18,733,790.69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532,197,988.36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-96.48%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588,968,723.83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1,101,414,075.90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-46.53%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1,274,389,801.82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1,523,610,574.46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-16.36%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-685,421,077.99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-422,196,498.56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-62.35%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-295,386,652.77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429,668,119.40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-168.75%</w:t>
            </w:r>
          </w:p>
        </w:tc>
      </w:tr>
    </w:tbl>
    <w:p>
      <w:pPr>
        <w:widowControl w:val="0"/>
        <w:spacing w:after="299" w:line="1" w:lineRule="exact"/>
      </w:pPr>
    </w:p>
    <w:p>
      <w:pPr>
        <w:pStyle w:val="Style13"/>
        <w:keepNext w:val="0"/>
        <w:keepLines w:val="0"/>
        <w:widowControl w:val="0"/>
        <w:shd w:val="clear" w:color="auto" w:fill="auto"/>
        <w:bidi w:val="0"/>
        <w:spacing w:before="0" w:after="0" w:line="346" w:lineRule="exact"/>
        <w:ind w:left="0" w:right="0" w:firstLine="0"/>
        <w:jc w:val="left"/>
      </w:pPr>
      <w:r>
        <w:rPr>
          <w:color w:val="000000"/>
          <w:spacing w:val="0"/>
          <w:w w:val="100"/>
          <w:position w:val="0"/>
        </w:rPr>
        <w:t>相关数据同比发生重大变动的主要影响因素说明</w:t>
      </w:r>
    </w:p>
    <w:p>
      <w:pPr>
        <w:pStyle w:val="Style13"/>
        <w:keepNext w:val="0"/>
        <w:keepLines w:val="0"/>
        <w:widowControl w:val="0"/>
        <w:shd w:val="clear" w:color="auto" w:fill="auto"/>
        <w:bidi w:val="0"/>
        <w:spacing w:before="0" w:after="120" w:line="346" w:lineRule="exact"/>
        <w:ind w:left="0" w:right="0" w:firstLine="0"/>
        <w:jc w:val="left"/>
      </w:pPr>
      <w:r>
        <w:rPr>
          <w:color w:val="000000"/>
          <w:spacing w:val="0"/>
          <w:w w:val="100"/>
          <w:position w:val="0"/>
        </w:rPr>
        <w:t>”适用口不适用</w:t>
      </w:r>
    </w:p>
    <w:p>
      <w:pPr>
        <w:pStyle w:val="Style13"/>
        <w:keepNext w:val="0"/>
        <w:keepLines w:val="0"/>
        <w:widowControl w:val="0"/>
        <w:shd w:val="clear" w:color="auto" w:fill="auto"/>
        <w:tabs>
          <w:tab w:pos="334" w:val="left"/>
        </w:tabs>
        <w:bidi w:val="0"/>
        <w:spacing w:before="0" w:after="120" w:line="240" w:lineRule="auto"/>
        <w:ind w:left="0" w:right="0" w:firstLine="0"/>
        <w:jc w:val="left"/>
      </w:pPr>
      <w:bookmarkStart w:id="144" w:name="bookmark144"/>
      <w:r>
        <w:rPr>
          <w:color w:val="000000"/>
          <w:spacing w:val="0"/>
          <w:w w:val="100"/>
          <w:position w:val="0"/>
        </w:rPr>
        <w:t>1</w:t>
      </w:r>
      <w:bookmarkEnd w:id="144"/>
      <w:r>
        <w:rPr>
          <w:color w:val="000000"/>
          <w:spacing w:val="0"/>
          <w:w w:val="100"/>
          <w:position w:val="0"/>
        </w:rPr>
        <w:t>、</w:t>
        <w:tab/>
        <w:t>投资活动产生的现金流量净额较上年同期减少</w:t>
      </w:r>
      <w:r>
        <w:rPr>
          <w:rFonts w:ascii="Times New Roman" w:eastAsia="Times New Roman" w:hAnsi="Times New Roman" w:cs="Times New Roman"/>
          <w:color w:val="000000"/>
          <w:spacing w:val="0"/>
          <w:w w:val="100"/>
          <w:position w:val="0"/>
        </w:rPr>
        <w:t>96.48%</w:t>
      </w:r>
      <w:r>
        <w:rPr>
          <w:color w:val="000000"/>
          <w:spacing w:val="0"/>
          <w:w w:val="100"/>
          <w:position w:val="0"/>
        </w:rPr>
        <w:t>，主要原因是报告期内收回对外投资减少所致;</w:t>
      </w:r>
    </w:p>
    <w:p>
      <w:pPr>
        <w:pStyle w:val="Style13"/>
        <w:keepNext w:val="0"/>
        <w:keepLines w:val="0"/>
        <w:widowControl w:val="0"/>
        <w:shd w:val="clear" w:color="auto" w:fill="auto"/>
        <w:tabs>
          <w:tab w:pos="344" w:val="left"/>
        </w:tabs>
        <w:bidi w:val="0"/>
        <w:spacing w:before="0" w:after="300" w:line="240" w:lineRule="auto"/>
        <w:ind w:left="0" w:right="0" w:firstLine="0"/>
        <w:jc w:val="left"/>
      </w:pPr>
      <w:bookmarkStart w:id="145" w:name="bookmark145"/>
      <w:r>
        <w:rPr>
          <w:color w:val="000000"/>
          <w:spacing w:val="0"/>
          <w:w w:val="100"/>
          <w:position w:val="0"/>
        </w:rPr>
        <w:t>2</w:t>
      </w:r>
      <w:bookmarkEnd w:id="145"/>
      <w:r>
        <w:rPr>
          <w:color w:val="000000"/>
          <w:spacing w:val="0"/>
          <w:w w:val="100"/>
          <w:position w:val="0"/>
        </w:rPr>
        <w:t>、</w:t>
        <w:tab/>
        <w:t>筹资活动产生的现金流量净额较上年同期减少</w:t>
      </w:r>
      <w:r>
        <w:rPr>
          <w:rFonts w:ascii="Times New Roman" w:eastAsia="Times New Roman" w:hAnsi="Times New Roman" w:cs="Times New Roman"/>
          <w:color w:val="000000"/>
          <w:spacing w:val="0"/>
          <w:w w:val="100"/>
          <w:position w:val="0"/>
        </w:rPr>
        <w:t>62.35%</w:t>
      </w:r>
      <w:r>
        <w:rPr>
          <w:color w:val="000000"/>
          <w:spacing w:val="0"/>
          <w:w w:val="100"/>
          <w:position w:val="0"/>
        </w:rPr>
        <w:t>，主要原因是报告期内取得贷款减少所致。</w:t>
      </w:r>
    </w:p>
    <w:p>
      <w:pPr>
        <w:pStyle w:val="Style1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报告期内公司经营活动产生的现金净流量与本年度净利润存在重大差异的原因说明 口适用”不适用</w:t>
      </w:r>
    </w:p>
    <w:p>
      <w:pPr>
        <w:pStyle w:val="Style25"/>
        <w:keepNext/>
        <w:keepLines/>
        <w:widowControl w:val="0"/>
        <w:shd w:val="clear" w:color="auto" w:fill="auto"/>
        <w:bidi w:val="0"/>
        <w:spacing w:before="0" w:after="22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sz w:val="24"/>
          <w:szCs w:val="24"/>
        </w:rPr>
        <w:t>五</w:t>
      </w:r>
      <w:bookmarkEnd w:id="148"/>
      <w:r>
        <w:rPr>
          <w:color w:val="000000"/>
          <w:spacing w:val="0"/>
          <w:w w:val="100"/>
          <w:position w:val="0"/>
          <w:sz w:val="24"/>
          <w:szCs w:val="24"/>
        </w:rPr>
        <w:t>、非主营业务分析</w:t>
      </w:r>
      <w:bookmarkEnd w:id="146"/>
      <w:bookmarkEnd w:id="147"/>
      <w:bookmarkEnd w:id="149"/>
    </w:p>
    <w:p>
      <w:pPr>
        <w:pStyle w:val="Style13"/>
        <w:keepNext w:val="0"/>
        <w:keepLines w:val="0"/>
        <w:widowControl w:val="0"/>
        <w:shd w:val="clear" w:color="auto" w:fill="auto"/>
        <w:bidi w:val="0"/>
        <w:spacing w:before="0" w:after="120" w:line="346" w:lineRule="exact"/>
        <w:ind w:left="0" w:right="0" w:firstLine="0"/>
        <w:jc w:val="left"/>
      </w:pPr>
      <w:r>
        <w:rPr>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57"/>
        <w:gridCol w:w="1498"/>
        <w:gridCol w:w="1526"/>
        <w:gridCol w:w="2726"/>
        <w:gridCol w:w="207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10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55,587,849.98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处置长期股权投资及交易性金 融资产取得的投资收益、权益法 核算的长期股权投资收益等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处置长期股权投资及交</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易性金融资产取得的投</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资收益不具有可持续性</w:t>
            </w:r>
          </w:p>
        </w:tc>
      </w:tr>
    </w:tbl>
    <w:p>
      <w:pPr>
        <w:spacing w:lineRule="exact" w:line="1"/>
        <w:rPr>
          <w:sz w:val="2"/>
          <w:szCs w:val="2"/>
        </w:rPr>
      </w:pPr>
      <w:r>
        <w:br w:type="page"/>
      </w:r>
    </w:p>
    <w:tbl>
      <w:tblPr>
        <w:tblOverlap w:val="never"/>
        <w:jc w:val="center"/>
        <w:tblLayout w:type="fixed"/>
      </w:tblPr>
      <w:tblGrid>
        <w:gridCol w:w="1757"/>
        <w:gridCol w:w="1498"/>
        <w:gridCol w:w="1526"/>
        <w:gridCol w:w="2726"/>
        <w:gridCol w:w="207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-4,736,628.04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交易性金融资产公允价值变动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-197,627,323.83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计提存货跌价、应收款项预期信 用损失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6,155,242.71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收取违约金、处置固定资产利得 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12,420,466.65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支付退货赔偿金、对外捐赠、处 置固定资产损失等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六</w:t>
      </w:r>
      <w:bookmarkEnd w:id="152"/>
      <w:r>
        <w:rPr>
          <w:color w:val="000000"/>
          <w:spacing w:val="0"/>
          <w:w w:val="100"/>
          <w:position w:val="0"/>
          <w:sz w:val="24"/>
          <w:szCs w:val="24"/>
        </w:rPr>
        <w:t>、资产及负债状况分析</w:t>
      </w:r>
      <w:bookmarkEnd w:id="150"/>
      <w:bookmarkEnd w:id="151"/>
      <w:bookmarkEnd w:id="153"/>
    </w:p>
    <w:p>
      <w:pPr>
        <w:pStyle w:val="Style29"/>
        <w:keepNext/>
        <w:keepLines/>
        <w:widowControl w:val="0"/>
        <w:shd w:val="clear" w:color="auto" w:fill="auto"/>
        <w:bidi w:val="0"/>
        <w:spacing w:before="0" w:after="32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、资产构成重大变动情况</w:t>
      </w:r>
      <w:bookmarkEnd w:id="154"/>
      <w:bookmarkEnd w:id="155"/>
      <w:bookmarkEnd w:id="1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4"/>
        <w:gridCol w:w="1622"/>
        <w:gridCol w:w="1128"/>
        <w:gridCol w:w="1550"/>
        <w:gridCol w:w="1099"/>
        <w:gridCol w:w="950"/>
        <w:gridCol w:w="165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比重</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重大变动说明</w:t>
            </w:r>
          </w:p>
        </w:tc>
      </w:tr>
      <w:tr>
        <w:trPr>
          <w:trHeight w:val="75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1,526,508,815.74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1,941,313,168.04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主要系偿还借款 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1,913,076,204.06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1,946,829,284.49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1,838,801,656.16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1,640,000,224.71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主要系本期收入 增长所致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3,035,394,524.48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2,784,103,976.38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主要系期末未完 工程增加所致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13,258,726.31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13,630,176.99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141,909,969.17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163,000,470.68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414,593,470.01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453,057,913.67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91,679,714.78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27,315,839.14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164,355,930.18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722,279,881.25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主要系本期融资 规模下降所致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1,707,148,709.82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1,756,268,042.19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62,674,277.37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17,573,999.66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733,871,034.44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750,007,662.48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3"/>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54" w:right="1120" w:bottom="1474" w:left="1093" w:header="0" w:footer="3" w:gutter="0"/>
          <w:cols w:space="720"/>
          <w:noEndnote/>
          <w:rtlGutter w:val="0"/>
          <w:docGrid w:linePitch="360"/>
        </w:sectPr>
      </w:pPr>
      <w:r>
        <w:rPr>
          <w:color w:val="000000"/>
          <w:spacing w:val="0"/>
          <w:w w:val="100"/>
          <w:position w:val="0"/>
        </w:rPr>
        <w:t>口适用”不适用</w:t>
      </w:r>
    </w:p>
    <w:p>
      <w:pPr>
        <w:pStyle w:val="Style29"/>
        <w:keepNext/>
        <w:keepLines/>
        <w:widowControl w:val="0"/>
        <w:shd w:val="clear" w:color="auto" w:fill="auto"/>
        <w:bidi w:val="0"/>
        <w:spacing w:before="22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、以公允价值计量的资产和负债</w:t>
      </w:r>
      <w:bookmarkEnd w:id="158"/>
      <w:bookmarkEnd w:id="159"/>
      <w:bookmarkEnd w:id="161"/>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13330" w:right="0" w:firstLine="0"/>
        <w:jc w:val="left"/>
      </w:pPr>
      <w:r>
        <w:rPr>
          <w:color w:val="000000"/>
          <w:spacing w:val="0"/>
          <w:w w:val="100"/>
          <w:position w:val="0"/>
        </w:rPr>
        <w:t>单位：元</w:t>
      </w:r>
    </w:p>
    <w:tbl>
      <w:tblPr>
        <w:tblOverlap w:val="never"/>
        <w:jc w:val="center"/>
        <w:tblLayout w:type="fixed"/>
      </w:tblPr>
      <w:tblGrid>
        <w:gridCol w:w="1920"/>
        <w:gridCol w:w="1526"/>
        <w:gridCol w:w="1531"/>
        <w:gridCol w:w="1531"/>
        <w:gridCol w:w="1531"/>
        <w:gridCol w:w="1776"/>
        <w:gridCol w:w="1766"/>
        <w:gridCol w:w="1042"/>
        <w:gridCol w:w="1546"/>
      </w:tblGrid>
      <w:tr>
        <w:trPr>
          <w:trHeight w:val="7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期末数</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3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交易性金融资产（不 含衍生金融资产）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750,007,662.48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-4,736,628.04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11,795,100,000.00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11,806,500,000.00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733,871,034.44</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154,829,413.56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-8,169,482.96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17,493,844.41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129,166,086.19</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904,837,076.04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-12,906,111.00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11,795,100,000.00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11,823,993,844.41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863,037,120.63</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904,837,076.04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-12,906,111.00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11,795,100,000.00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11,823,993,844.41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863,037,120.63</w:t>
            </w:r>
          </w:p>
        </w:tc>
      </w:tr>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59" w:line="1" w:lineRule="exact"/>
      </w:pPr>
    </w:p>
    <w:p>
      <w:pPr>
        <w:pStyle w:val="Style1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其他变动的内容</w:t>
      </w:r>
    </w:p>
    <w:p>
      <w:pPr>
        <w:pStyle w:val="Style13"/>
        <w:keepNext w:val="0"/>
        <w:keepLines w:val="0"/>
        <w:widowControl w:val="0"/>
        <w:shd w:val="clear" w:color="auto" w:fill="auto"/>
        <w:bidi w:val="0"/>
        <w:spacing w:before="0" w:after="0" w:line="326" w:lineRule="exact"/>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报告期内公司主要资产计量属性是否发生重大变化</w:t>
      </w:r>
    </w:p>
    <w:p>
      <w:pPr>
        <w:pStyle w:val="Style13"/>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口是"否</w:t>
      </w:r>
    </w:p>
    <w:p>
      <w:pPr>
        <w:pStyle w:val="Style29"/>
        <w:keepNext/>
        <w:keepLines/>
        <w:widowControl w:val="0"/>
        <w:shd w:val="clear" w:color="auto" w:fill="auto"/>
        <w:bidi w:val="0"/>
        <w:spacing w:before="0" w:after="26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、截至报告期末的资产权利受限情况</w:t>
      </w:r>
      <w:bookmarkEnd w:id="162"/>
      <w:bookmarkEnd w:id="163"/>
      <w:bookmarkEnd w:id="165"/>
    </w:p>
    <w:p>
      <w:pPr>
        <w:pStyle w:val="Style13"/>
        <w:keepNext w:val="0"/>
        <w:keepLines w:val="0"/>
        <w:widowControl w:val="0"/>
        <w:shd w:val="clear" w:color="auto" w:fill="auto"/>
        <w:bidi w:val="0"/>
        <w:spacing w:before="0" w:after="200" w:line="326" w:lineRule="exact"/>
        <w:ind w:left="0" w:right="0" w:firstLine="460"/>
        <w:jc w:val="left"/>
      </w:pPr>
      <w:r>
        <w:rPr>
          <w:color w:val="000000"/>
          <w:spacing w:val="0"/>
          <w:w w:val="100"/>
          <w:position w:val="0"/>
        </w:rPr>
        <w:t>本报告期末受限货币资金余额为</w:t>
      </w:r>
      <w:r>
        <w:rPr>
          <w:color w:val="000000"/>
          <w:spacing w:val="0"/>
          <w:w w:val="100"/>
          <w:position w:val="0"/>
        </w:rPr>
        <w:t>42,058,874.96</w:t>
      </w:r>
      <w:r>
        <w:rPr>
          <w:color w:val="000000"/>
          <w:spacing w:val="0"/>
          <w:w w:val="100"/>
          <w:position w:val="0"/>
        </w:rPr>
        <w:t>元，其中银行承兑汇票、保函等保证金</w:t>
      </w:r>
      <w:r>
        <w:rPr>
          <w:color w:val="000000"/>
          <w:spacing w:val="0"/>
          <w:w w:val="100"/>
          <w:position w:val="0"/>
        </w:rPr>
        <w:t>12,396,452.5</w:t>
      </w:r>
      <w:r>
        <w:rPr>
          <w:color w:val="000000"/>
          <w:spacing w:val="0"/>
          <w:w w:val="100"/>
          <w:position w:val="0"/>
        </w:rPr>
        <w:t>0</w:t>
      </w:r>
      <w:r>
        <w:rPr>
          <w:color w:val="000000"/>
          <w:spacing w:val="0"/>
          <w:w w:val="100"/>
          <w:position w:val="0"/>
        </w:rPr>
        <w:t>元、定期存款</w:t>
      </w:r>
      <w:r>
        <w:rPr>
          <w:color w:val="000000"/>
          <w:spacing w:val="0"/>
          <w:w w:val="100"/>
          <w:position w:val="0"/>
        </w:rPr>
        <w:t>10,000,000.0</w:t>
      </w:r>
      <w:r>
        <w:rPr>
          <w:color w:val="000000"/>
          <w:spacing w:val="0"/>
          <w:w w:val="100"/>
          <w:position w:val="0"/>
        </w:rPr>
        <w:t>0</w:t>
      </w:r>
      <w:r>
        <w:rPr>
          <w:color w:val="000000"/>
          <w:spacing w:val="0"/>
          <w:w w:val="100"/>
          <w:position w:val="0"/>
        </w:rPr>
        <w:t>元、因未决诉讼被冻结的资金</w:t>
      </w:r>
      <w:r>
        <w:rPr>
          <w:color w:val="000000"/>
          <w:spacing w:val="0"/>
          <w:w w:val="100"/>
          <w:position w:val="0"/>
        </w:rPr>
        <w:t xml:space="preserve">19,638,725.21 </w:t>
      </w:r>
      <w:r>
        <w:rPr>
          <w:color w:val="000000"/>
          <w:spacing w:val="0"/>
          <w:w w:val="100"/>
          <w:position w:val="0"/>
        </w:rPr>
        <w:t>元、因尚未完成服务冻结的共管户资金</w:t>
      </w:r>
      <w:r>
        <w:rPr>
          <w:color w:val="000000"/>
          <w:spacing w:val="0"/>
          <w:w w:val="100"/>
          <w:position w:val="0"/>
        </w:rPr>
        <w:t>23,697.25</w:t>
      </w:r>
      <w:r>
        <w:rPr>
          <w:color w:val="000000"/>
          <w:spacing w:val="0"/>
          <w:w w:val="100"/>
          <w:position w:val="0"/>
        </w:rPr>
        <w:t>元。除此之外，截至报告期末，公司不存在其他主要资产被查封、扣押、冻结或者补抵押、质押的情况。</w:t>
      </w:r>
    </w:p>
    <w:p>
      <w:pPr>
        <w:pStyle w:val="Style25"/>
        <w:keepNext/>
        <w:keepLines/>
        <w:widowControl w:val="0"/>
        <w:shd w:val="clear" w:color="auto" w:fill="auto"/>
        <w:bidi w:val="0"/>
        <w:spacing w:before="0" w:after="3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七</w:t>
      </w:r>
      <w:bookmarkEnd w:id="168"/>
      <w:r>
        <w:rPr>
          <w:color w:val="000000"/>
          <w:spacing w:val="0"/>
          <w:w w:val="100"/>
          <w:position w:val="0"/>
          <w:sz w:val="24"/>
          <w:szCs w:val="24"/>
        </w:rPr>
        <w:t>、投资状况分析</w:t>
      </w:r>
      <w:bookmarkEnd w:id="166"/>
      <w:bookmarkEnd w:id="167"/>
      <w:bookmarkEnd w:id="169"/>
    </w:p>
    <w:p>
      <w:pPr>
        <w:pStyle w:val="Style29"/>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、总体情况</w:t>
      </w:r>
      <w:bookmarkEnd w:id="170"/>
      <w:bookmarkEnd w:id="171"/>
      <w:bookmarkEnd w:id="173"/>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4723"/>
        <w:gridCol w:w="4723"/>
        <w:gridCol w:w="4733"/>
      </w:tblGrid>
      <w:tr>
        <w:trPr>
          <w:trHeight w:val="4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150,740,000.83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142,243,000.00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报告期内获取的重大的股权投资情况</w:t>
      </w:r>
      <w:bookmarkEnd w:id="174"/>
      <w:bookmarkEnd w:id="175"/>
      <w:bookmarkEnd w:id="177"/>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报告期内正在进行的重大的非股权投资情况</w:t>
      </w:r>
      <w:bookmarkEnd w:id="178"/>
      <w:bookmarkEnd w:id="179"/>
      <w:bookmarkEnd w:id="181"/>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、金融资产投资</w:t>
      </w:r>
      <w:bookmarkEnd w:id="182"/>
      <w:bookmarkEnd w:id="183"/>
      <w:bookmarkEnd w:id="185"/>
    </w:p>
    <w:p>
      <w:pPr>
        <w:pStyle w:val="Style37"/>
        <w:keepNext/>
        <w:keepLines/>
        <w:widowControl w:val="0"/>
        <w:shd w:val="clear" w:color="auto" w:fill="auto"/>
        <w:bidi w:val="0"/>
        <w:spacing w:before="0" w:after="36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86"/>
      <w:bookmarkEnd w:id="187"/>
      <w:bookmarkEnd w:id="189"/>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”适用口不适用</w:t>
      </w:r>
      <w:r>
        <w:br w:type="page"/>
      </w:r>
    </w:p>
    <w:p>
      <w:pPr>
        <w:pStyle w:val="Style27"/>
        <w:keepNext w:val="0"/>
        <w:keepLines w:val="0"/>
        <w:widowControl w:val="0"/>
        <w:shd w:val="clear" w:color="auto" w:fill="auto"/>
        <w:bidi w:val="0"/>
        <w:spacing w:before="0" w:after="0" w:line="240" w:lineRule="auto"/>
        <w:ind w:left="13330" w:right="0" w:firstLine="0"/>
        <w:jc w:val="left"/>
      </w:pPr>
      <w:r>
        <w:rPr>
          <w:color w:val="000000"/>
          <w:spacing w:val="0"/>
          <w:w w:val="100"/>
          <w:position w:val="0"/>
        </w:rPr>
        <w:t>单位：元</w:t>
      </w:r>
    </w:p>
    <w:tbl>
      <w:tblPr>
        <w:tblOverlap w:val="never"/>
        <w:jc w:val="center"/>
        <w:tblLayout w:type="fixed"/>
      </w:tblPr>
      <w:tblGrid>
        <w:gridCol w:w="734"/>
        <w:gridCol w:w="778"/>
        <w:gridCol w:w="1166"/>
        <w:gridCol w:w="1339"/>
        <w:gridCol w:w="878"/>
        <w:gridCol w:w="869"/>
        <w:gridCol w:w="874"/>
        <w:gridCol w:w="874"/>
        <w:gridCol w:w="1339"/>
        <w:gridCol w:w="1344"/>
        <w:gridCol w:w="1253"/>
        <w:gridCol w:w="773"/>
        <w:gridCol w:w="984"/>
        <w:gridCol w:w="965"/>
      </w:tblGrid>
      <w:tr>
        <w:trPr>
          <w:trHeight w:val="170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证券 品种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证券简称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最初投资成本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会计计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期初账</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 允价值 变动损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160"/>
              <w:jc w:val="left"/>
            </w:pPr>
            <w:r>
              <w:rPr>
                <w:color w:val="000000"/>
                <w:spacing w:val="0"/>
                <w:w w:val="100"/>
                <w:position w:val="0"/>
              </w:rPr>
              <w:t>计入权</w:t>
            </w:r>
          </w:p>
          <w:p>
            <w:pPr>
              <w:pStyle w:val="Style22"/>
              <w:keepNext w:val="0"/>
              <w:keepLines w:val="0"/>
              <w:widowControl w:val="0"/>
              <w:shd w:val="clear" w:color="auto" w:fill="auto"/>
              <w:bidi w:val="0"/>
              <w:spacing w:before="0" w:after="0" w:line="336" w:lineRule="exact"/>
              <w:ind w:left="0" w:right="0" w:firstLine="160"/>
              <w:jc w:val="left"/>
            </w:pPr>
            <w:r>
              <w:rPr>
                <w:color w:val="000000"/>
                <w:spacing w:val="0"/>
                <w:w w:val="100"/>
                <w:position w:val="0"/>
              </w:rPr>
              <w:t>益的累</w:t>
            </w:r>
          </w:p>
          <w:p>
            <w:pPr>
              <w:pStyle w:val="Style22"/>
              <w:keepNext w:val="0"/>
              <w:keepLines w:val="0"/>
              <w:widowControl w:val="0"/>
              <w:shd w:val="clear" w:color="auto" w:fill="auto"/>
              <w:bidi w:val="0"/>
              <w:spacing w:before="0" w:after="0" w:line="336" w:lineRule="exact"/>
              <w:ind w:left="0" w:right="0" w:firstLine="160"/>
              <w:jc w:val="left"/>
            </w:pPr>
            <w:r>
              <w:rPr>
                <w:color w:val="000000"/>
                <w:spacing w:val="0"/>
                <w:w w:val="100"/>
                <w:position w:val="0"/>
              </w:rPr>
              <w:t>计公允</w:t>
            </w:r>
          </w:p>
          <w:p>
            <w:pPr>
              <w:pStyle w:val="Style2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中希</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12,404,048.68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12,404,048.68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30"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证券投资审批董事会公告披露 日期</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39"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证券投资审批股东会公告披露 日期(如有</w:t>
            </w:r>
            <w:r>
              <w:rPr>
                <w:rFonts w:ascii="Times New Roman" w:eastAsia="Times New Roman" w:hAnsi="Times New Roman" w:cs="Times New Roman"/>
                <w:color w:val="000000"/>
                <w:spacing w:val="0"/>
                <w:w w:val="100"/>
                <w:position w:val="0"/>
              </w:rPr>
              <w:t>)</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7"/>
        <w:keepNext/>
        <w:keepLines/>
        <w:widowControl w:val="0"/>
        <w:numPr>
          <w:ilvl w:val="0"/>
          <w:numId w:val="5"/>
        </w:numPr>
        <w:shd w:val="clear" w:color="auto" w:fill="auto"/>
        <w:bidi w:val="0"/>
        <w:spacing w:before="0" w:after="38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衍生品投资情况</w:t>
      </w:r>
      <w:bookmarkEnd w:id="190"/>
      <w:bookmarkEnd w:id="191"/>
      <w:bookmarkEnd w:id="193"/>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bidi w:val="0"/>
        <w:spacing w:before="0" w:after="38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、募集资金使用情况</w:t>
      </w:r>
      <w:bookmarkEnd w:id="194"/>
      <w:bookmarkEnd w:id="195"/>
      <w:bookmarkEnd w:id="197"/>
    </w:p>
    <w:p>
      <w:pPr>
        <w:pStyle w:val="Style1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6840" w:h="11900" w:orient="landscape"/>
          <w:pgMar w:top="1179" w:right="1333" w:bottom="2306" w:left="1327"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37"/>
        <w:keepNext/>
        <w:keepLines/>
        <w:widowControl w:val="0"/>
        <w:numPr>
          <w:ilvl w:val="0"/>
          <w:numId w:val="7"/>
        </w:numPr>
        <w:shd w:val="clear" w:color="auto" w:fill="auto"/>
        <w:bidi w:val="0"/>
        <w:spacing w:before="0" w:after="36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募集资金总体使用情况</w:t>
      </w:r>
      <w:bookmarkEnd w:id="198"/>
      <w:bookmarkEnd w:id="199"/>
      <w:bookmarkEnd w:id="201"/>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38"/>
        <w:gridCol w:w="658"/>
        <w:gridCol w:w="1032"/>
        <w:gridCol w:w="907"/>
        <w:gridCol w:w="1118"/>
        <w:gridCol w:w="869"/>
        <w:gridCol w:w="869"/>
        <w:gridCol w:w="869"/>
        <w:gridCol w:w="869"/>
        <w:gridCol w:w="874"/>
        <w:gridCol w:w="874"/>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募集 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40"/>
              <w:jc w:val="both"/>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160" w:right="0" w:firstLine="0"/>
              <w:jc w:val="both"/>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闲置两 年以上 募集资 金金额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94"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年变更募集资金</w:t>
            </w:r>
            <w:r>
              <w:rPr>
                <w:rFonts w:ascii="Times New Roman" w:eastAsia="Times New Roman" w:hAnsi="Times New Roman" w:cs="Times New Roman"/>
                <w:color w:val="000000"/>
                <w:spacing w:val="0"/>
                <w:w w:val="100"/>
                <w:position w:val="0"/>
              </w:rPr>
              <w:t>413.89</w:t>
            </w:r>
            <w:r>
              <w:rPr>
                <w:color w:val="000000"/>
                <w:spacing w:val="0"/>
                <w:w w:val="100"/>
                <w:position w:val="0"/>
              </w:rPr>
              <w:t>万元，系收购中农信达项目的募集资金节余自动转为补充流动资金；</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日，本公司召开第八届董事会第九次会议、第八届监事会第九次会议，会议审议通过了《关于变更 剩余募集资金用途用于永久补充流动资金的议案》，同意将公司</w:t>
            </w:r>
            <w:r>
              <w:rPr>
                <w:rFonts w:ascii="Times New Roman" w:eastAsia="Times New Roman" w:hAnsi="Times New Roman" w:cs="Times New Roman"/>
                <w:color w:val="000000"/>
                <w:spacing w:val="0"/>
                <w:w w:val="100"/>
                <w:position w:val="0"/>
              </w:rPr>
              <w:t>2013</w:t>
            </w:r>
            <w:r>
              <w:rPr>
                <w:color w:val="000000"/>
                <w:spacing w:val="0"/>
                <w:w w:val="100"/>
                <w:position w:val="0"/>
              </w:rPr>
              <w:t>年重大资产重组项目剩余募集资金</w:t>
            </w:r>
            <w:r>
              <w:rPr>
                <w:rFonts w:ascii="Times New Roman" w:eastAsia="Times New Roman" w:hAnsi="Times New Roman" w:cs="Times New Roman"/>
                <w:color w:val="000000"/>
                <w:spacing w:val="0"/>
                <w:w w:val="100"/>
                <w:position w:val="0"/>
              </w:rPr>
              <w:t xml:space="preserve">27,381,768.29 </w:t>
            </w:r>
            <w:r>
              <w:rPr>
                <w:color w:val="000000"/>
                <w:spacing w:val="0"/>
                <w:w w:val="100"/>
                <w:position w:val="0"/>
              </w:rPr>
              <w:t>元(其中募集资金</w:t>
            </w:r>
            <w:r>
              <w:rPr>
                <w:rFonts w:ascii="Times New Roman" w:eastAsia="Times New Roman" w:hAnsi="Times New Roman" w:cs="Times New Roman"/>
                <w:color w:val="000000"/>
                <w:spacing w:val="0"/>
                <w:w w:val="100"/>
                <w:position w:val="0"/>
              </w:rPr>
              <w:t>25,024,761.14</w:t>
            </w:r>
            <w:r>
              <w:rPr>
                <w:color w:val="000000"/>
                <w:spacing w:val="0"/>
                <w:w w:val="100"/>
                <w:position w:val="0"/>
              </w:rPr>
              <w:t>元，利息</w:t>
            </w:r>
            <w:r>
              <w:rPr>
                <w:rFonts w:ascii="Times New Roman" w:eastAsia="Times New Roman" w:hAnsi="Times New Roman" w:cs="Times New Roman"/>
                <w:color w:val="000000"/>
                <w:spacing w:val="0"/>
                <w:w w:val="100"/>
                <w:position w:val="0"/>
              </w:rPr>
              <w:t>2,357,007.15</w:t>
            </w:r>
            <w:r>
              <w:rPr>
                <w:color w:val="000000"/>
                <w:spacing w:val="0"/>
                <w:w w:val="100"/>
                <w:position w:val="0"/>
              </w:rPr>
              <w:t>元，具体结算金额由转入自有资金账户当日实际金额为准)用于 永久补充流动资金。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年年度股东大会审议通过上述事项。</w:t>
            </w:r>
          </w:p>
        </w:tc>
      </w:tr>
    </w:tbl>
    <w:p>
      <w:pPr>
        <w:widowControl w:val="0"/>
        <w:spacing w:after="299" w:line="1" w:lineRule="exact"/>
      </w:pPr>
    </w:p>
    <w:p>
      <w:pPr>
        <w:pStyle w:val="Style37"/>
        <w:keepNext/>
        <w:keepLines/>
        <w:widowControl w:val="0"/>
        <w:numPr>
          <w:ilvl w:val="0"/>
          <w:numId w:val="7"/>
        </w:numPr>
        <w:shd w:val="clear" w:color="auto" w:fill="auto"/>
        <w:bidi w:val="0"/>
        <w:spacing w:before="0" w:after="36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募集资金承诺项目情况</w:t>
      </w:r>
      <w:bookmarkEnd w:id="202"/>
      <w:bookmarkEnd w:id="203"/>
      <w:bookmarkEnd w:id="205"/>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06"/>
        <w:gridCol w:w="811"/>
        <w:gridCol w:w="950"/>
        <w:gridCol w:w="946"/>
        <w:gridCol w:w="854"/>
        <w:gridCol w:w="979"/>
        <w:gridCol w:w="720"/>
        <w:gridCol w:w="811"/>
        <w:gridCol w:w="730"/>
        <w:gridCol w:w="586"/>
        <w:gridCol w:w="787"/>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承诺投资项目</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和超募资金投</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 部分变 更</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98"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346"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期投入</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截至 期末 投资 进度 </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 告期 实现 的效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偿还欠付昆 山开发区国投 控股有限公司 债务</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中介机构费 用</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2,924.99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06"/>
        <w:gridCol w:w="811"/>
        <w:gridCol w:w="950"/>
        <w:gridCol w:w="946"/>
        <w:gridCol w:w="854"/>
        <w:gridCol w:w="979"/>
        <w:gridCol w:w="720"/>
        <w:gridCol w:w="811"/>
        <w:gridCol w:w="730"/>
        <w:gridCol w:w="586"/>
        <w:gridCol w:w="78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迁址费用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人员安置费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其他并购整 合费用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支付中农信 达股权转让款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支付收购中 农信达的中介 机构费用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支付收购中 农信达的其他 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永久补充流 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支付华苏科 技股权转让款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承诺投资项目 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未达到计划进度或预计收 益的情况和原因（分具体 项目）</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项目可行性发生重大变化 的情况说明</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超募资金的金额、用途及 使用进展情况</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募集资金投资项目实施地 点变更情况</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募集资金投资项目实施方 式调整情况</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募集资金投资项目先期投 入及置换情况</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51" w:hRule="exact"/>
        </w:trPr>
        <w:tc>
          <w:tcPr>
            <w:gridSpan w:val="2"/>
            <w:vMerge/>
            <w:tcBorders>
              <w:left w:val="single" w:sz="4"/>
              <w:bottom w:val="single" w:sz="4"/>
            </w:tcBorders>
            <w:shd w:val="clear" w:color="auto" w:fill="D3D3D3"/>
            <w:vAlign w:val="center"/>
          </w:tcPr>
          <w:p>
            <w:pP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本公司先期已经以自有资金支付的购买中农信达募集配套资金项目</w:t>
            </w:r>
            <w:r>
              <w:rPr>
                <w:rFonts w:ascii="Times New Roman" w:eastAsia="Times New Roman" w:hAnsi="Times New Roman" w:cs="Times New Roman"/>
                <w:color w:val="000000"/>
                <w:spacing w:val="0"/>
                <w:w w:val="100"/>
                <w:position w:val="0"/>
              </w:rPr>
              <w:t>2,367,691.95</w:t>
            </w:r>
            <w:r>
              <w:rPr>
                <w:color w:val="000000"/>
                <w:spacing w:val="0"/>
                <w:w w:val="100"/>
                <w:position w:val="0"/>
              </w:rPr>
              <w:t>元，于</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年自募集配套资金中置换。该事项业经</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日信永中和会计师事务所以</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XYZH/2013A1054-7</w:t>
            </w:r>
            <w:r>
              <w:rPr>
                <w:color w:val="000000"/>
                <w:spacing w:val="0"/>
                <w:w w:val="100"/>
                <w:position w:val="0"/>
              </w:rPr>
              <w:t>”</w:t>
            </w:r>
            <w:r>
              <w:rPr>
                <w:color w:val="000000"/>
                <w:spacing w:val="0"/>
                <w:w w:val="100"/>
                <w:position w:val="0"/>
              </w:rPr>
              <w:t>号鉴证报告予以鉴证。本公司第六届董事会</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年第一次临时会议 审议通过以非公开发行股票募集配套资金</w:t>
            </w:r>
            <w:r>
              <w:rPr>
                <w:rFonts w:ascii="Times New Roman" w:eastAsia="Times New Roman" w:hAnsi="Times New Roman" w:cs="Times New Roman"/>
                <w:color w:val="000000"/>
                <w:spacing w:val="0"/>
                <w:w w:val="100"/>
                <w:position w:val="0"/>
              </w:rPr>
              <w:t>2,367,691.95</w:t>
            </w:r>
            <w:r>
              <w:rPr>
                <w:color w:val="000000"/>
                <w:spacing w:val="0"/>
                <w:w w:val="100"/>
                <w:position w:val="0"/>
              </w:rPr>
              <w:t>元置换预先投入募集配套资金使用项 目的自筹资金。</w:t>
            </w:r>
          </w:p>
        </w:tc>
      </w:tr>
    </w:tbl>
    <w:p>
      <w:pPr>
        <w:spacing w:lineRule="exact" w:line="1"/>
        <w:rPr>
          <w:sz w:val="2"/>
          <w:szCs w:val="2"/>
        </w:rPr>
      </w:pPr>
      <w:r>
        <w:br w:type="page"/>
      </w:r>
    </w:p>
    <w:tbl>
      <w:tblPr>
        <w:tblOverlap w:val="never"/>
        <w:jc w:val="center"/>
        <w:tblLayout w:type="fixed"/>
      </w:tblPr>
      <w:tblGrid>
        <w:gridCol w:w="2218"/>
        <w:gridCol w:w="736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用闲置募集资金暂时补充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93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日召开的第七届董事会第一次会议审议通过了《关于使用部分闲置 募集资金暂时补充流动资金的议案》，使用不超过</w:t>
            </w:r>
            <w:r>
              <w:rPr>
                <w:rFonts w:ascii="Times New Roman" w:eastAsia="Times New Roman" w:hAnsi="Times New Roman" w:cs="Times New Roman"/>
                <w:color w:val="000000"/>
                <w:spacing w:val="0"/>
                <w:w w:val="100"/>
                <w:position w:val="0"/>
              </w:rPr>
              <w:t>2,500</w:t>
            </w:r>
            <w:r>
              <w:rPr>
                <w:color w:val="000000"/>
                <w:spacing w:val="0"/>
                <w:w w:val="100"/>
                <w:position w:val="0"/>
              </w:rPr>
              <w:t>万元闲置募集资金暂时补充流动资 金，使用期限不超过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个月。补充的流动资金仅限用于与公司主营业务相关的生产经营活 动。此部分流动资金已于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日一次性全部归还至募集资金专用账户。</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日召开的第七届董事会第三次临时会议审议通过了《关于使用闲置 募集资金暂时补充流动资金的议案》，使用不超过</w:t>
            </w:r>
            <w:r>
              <w:rPr>
                <w:rFonts w:ascii="Times New Roman" w:eastAsia="Times New Roman" w:hAnsi="Times New Roman" w:cs="Times New Roman"/>
                <w:color w:val="000000"/>
                <w:spacing w:val="0"/>
                <w:w w:val="100"/>
                <w:position w:val="0"/>
              </w:rPr>
              <w:t>2,643</w:t>
            </w:r>
            <w:r>
              <w:rPr>
                <w:color w:val="000000"/>
                <w:spacing w:val="0"/>
                <w:w w:val="100"/>
                <w:position w:val="0"/>
              </w:rPr>
              <w:t>万元（含本数）闲置募集资金暂时 补充流动资金，使用期限为自董事会审议通过之日起不超过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个月。补充的流动资金仅限 用于与公司主营业务相关的生产经营活动。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日，公司将上述用于暂时补充流 动资金的</w:t>
            </w:r>
            <w:r>
              <w:rPr>
                <w:rFonts w:ascii="Times New Roman" w:eastAsia="Times New Roman" w:hAnsi="Times New Roman" w:cs="Times New Roman"/>
                <w:color w:val="000000"/>
                <w:spacing w:val="0"/>
                <w:w w:val="100"/>
                <w:position w:val="0"/>
              </w:rPr>
              <w:t>2,643</w:t>
            </w:r>
            <w:r>
              <w:rPr>
                <w:color w:val="000000"/>
                <w:spacing w:val="0"/>
                <w:w w:val="100"/>
                <w:position w:val="0"/>
              </w:rPr>
              <w:t>万元闲置募集资金一次性全部归还至募集资金专用账户。</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项目实施出现募集资金结 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5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427"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日止，中农信达募集资金使用计划均已完成，将募集资金专用账 户中国光大银行中关村支行剩余资金</w:t>
            </w:r>
            <w:r>
              <w:rPr>
                <w:rFonts w:ascii="Times New Roman" w:eastAsia="Times New Roman" w:hAnsi="Times New Roman" w:cs="Times New Roman"/>
                <w:color w:val="000000"/>
                <w:spacing w:val="0"/>
                <w:w w:val="100"/>
                <w:position w:val="0"/>
              </w:rPr>
              <w:t>413.89</w:t>
            </w:r>
            <w:r>
              <w:rPr>
                <w:color w:val="000000"/>
                <w:spacing w:val="0"/>
                <w:w w:val="100"/>
                <w:position w:val="0"/>
              </w:rPr>
              <w:t>万元转为永久补充流动资金，并注销该募集资 金专用账户（中国光大银行北京中关村支行账户：</w:t>
            </w:r>
            <w:r>
              <w:rPr>
                <w:rFonts w:ascii="Times New Roman" w:eastAsia="Times New Roman" w:hAnsi="Times New Roman" w:cs="Times New Roman"/>
                <w:color w:val="000000"/>
                <w:spacing w:val="0"/>
                <w:w w:val="100"/>
                <w:position w:val="0"/>
              </w:rPr>
              <w:t>75080188000114242</w:t>
            </w:r>
            <w:r>
              <w:rPr>
                <w:color w:val="000000"/>
                <w:spacing w:val="0"/>
                <w:w w:val="100"/>
                <w:position w:val="0"/>
              </w:rPr>
              <w:t>）。</w:t>
            </w:r>
          </w:p>
          <w:p>
            <w:pPr>
              <w:pStyle w:val="Style22"/>
              <w:keepNext w:val="0"/>
              <w:keepLines w:val="0"/>
              <w:widowControl w:val="0"/>
              <w:shd w:val="clear" w:color="auto" w:fill="auto"/>
              <w:tabs>
                <w:tab w:pos="446" w:val="left"/>
              </w:tabs>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日，本公司召开第八届董事会第九次会议、第八届监事会第九次会议， 会议审议通过了《关于变更剩余募集资金用途用于永久补充流动资金的议案》，同意将公司 </w:t>
            </w:r>
            <w:r>
              <w:rPr>
                <w:rFonts w:ascii="Times New Roman" w:eastAsia="Times New Roman" w:hAnsi="Times New Roman" w:cs="Times New Roman"/>
                <w:color w:val="000000"/>
                <w:spacing w:val="0"/>
                <w:w w:val="100"/>
                <w:position w:val="0"/>
              </w:rPr>
              <w:t>2013</w:t>
            </w:r>
            <w:r>
              <w:rPr>
                <w:color w:val="000000"/>
                <w:spacing w:val="0"/>
                <w:w w:val="100"/>
                <w:position w:val="0"/>
              </w:rPr>
              <w:t>年重大资产重组项目剩余募集资金</w:t>
            </w:r>
            <w:r>
              <w:rPr>
                <w:rFonts w:ascii="Times New Roman" w:eastAsia="Times New Roman" w:hAnsi="Times New Roman" w:cs="Times New Roman"/>
                <w:color w:val="000000"/>
                <w:spacing w:val="0"/>
                <w:w w:val="100"/>
                <w:position w:val="0"/>
              </w:rPr>
              <w:t>27,381,768.29</w:t>
            </w:r>
            <w:r>
              <w:rPr>
                <w:color w:val="000000"/>
                <w:spacing w:val="0"/>
                <w:w w:val="100"/>
                <w:position w:val="0"/>
              </w:rPr>
              <w:t>元（含利息，具体结算金额由转入自 有资金账户当日实际金额为准）用于永久补充流动资金。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日，本公司召开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年年度股东大会审议通过上述事项。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日，上述募集资金余额</w:t>
            </w:r>
            <w:r>
              <w:rPr>
                <w:rFonts w:ascii="Times New Roman" w:eastAsia="Times New Roman" w:hAnsi="Times New Roman" w:cs="Times New Roman"/>
                <w:color w:val="000000"/>
                <w:spacing w:val="0"/>
                <w:w w:val="100"/>
                <w:position w:val="0"/>
              </w:rPr>
              <w:t>27,416,539.10</w:t>
            </w:r>
            <w:r>
              <w:rPr>
                <w:color w:val="000000"/>
                <w:spacing w:val="0"/>
                <w:w w:val="100"/>
                <w:position w:val="0"/>
              </w:rPr>
              <w:t>元</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（含利息）已转至本公司自有账户并注销在中国光大银行昆山高新技术产业园区支行开立的 募集资金专项账户（</w:t>
            </w:r>
            <w:r>
              <w:rPr>
                <w:rFonts w:ascii="Times New Roman" w:eastAsia="Times New Roman" w:hAnsi="Times New Roman" w:cs="Times New Roman"/>
                <w:color w:val="000000"/>
                <w:spacing w:val="0"/>
                <w:w w:val="100"/>
                <w:position w:val="0"/>
              </w:rPr>
              <w:t>37150188000033711</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尚未使用的募集资金用途 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募集资金期末无余额</w:t>
            </w:r>
          </w:p>
        </w:tc>
      </w:tr>
      <w:tr>
        <w:trPr>
          <w:trHeight w:val="107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募集资金使用及披露中存 在的问题或其他情况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、因评估基准日后，本公司对昆山开发区国投控股有限公司的债务金额有所变化，故按实 际偿还日的债务金额偿还债务。</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、中介机构费按照本公司签约额支付。</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6"/>
      <w:bookmarkEnd w:id="207"/>
      <w:bookmarkEnd w:id="209"/>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1080"/>
        <w:gridCol w:w="1027"/>
        <w:gridCol w:w="758"/>
        <w:gridCol w:w="960"/>
        <w:gridCol w:w="965"/>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 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对应的原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变更后项 目拟投入 募集资金 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实际投入</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 实际累计 投入金额</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预定可使</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用状态日</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 项目可行 性是否发 生重大变 化</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永久补充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重大资产</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重组项目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65"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变更原因、决策程序及信息披露情</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日，本公司召开第八届董事会第九次会议、第八届监事会第九次会</w:t>
            </w:r>
          </w:p>
        </w:tc>
      </w:tr>
    </w:tbl>
    <w:p>
      <w:pPr>
        <w:spacing w:lineRule="exact" w:line="1"/>
        <w:rPr>
          <w:sz w:val="2"/>
          <w:szCs w:val="2"/>
        </w:rPr>
      </w:pPr>
      <w:r>
        <w:br w:type="page"/>
      </w:r>
    </w:p>
    <w:tbl>
      <w:tblPr>
        <w:tblOverlap w:val="never"/>
        <w:jc w:val="center"/>
        <w:tblLayout w:type="fixed"/>
      </w:tblPr>
      <w:tblGrid>
        <w:gridCol w:w="2880"/>
        <w:gridCol w:w="6701"/>
      </w:tblGrid>
      <w:tr>
        <w:trPr>
          <w:trHeight w:val="223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况说明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议，会议审议通过了《关于变更剩余募集资金用途用于永久补充流动资金的议案》， 同意将公司</w:t>
            </w:r>
            <w:r>
              <w:rPr>
                <w:rFonts w:ascii="Times New Roman" w:eastAsia="Times New Roman" w:hAnsi="Times New Roman" w:cs="Times New Roman"/>
                <w:color w:val="000000"/>
                <w:spacing w:val="0"/>
                <w:w w:val="100"/>
                <w:position w:val="0"/>
              </w:rPr>
              <w:t>2013</w:t>
            </w:r>
            <w:r>
              <w:rPr>
                <w:color w:val="000000"/>
                <w:spacing w:val="0"/>
                <w:w w:val="100"/>
                <w:position w:val="0"/>
              </w:rPr>
              <w:t>年重大资产重组项目剩余募集资金</w:t>
            </w:r>
            <w:r>
              <w:rPr>
                <w:rFonts w:ascii="Times New Roman" w:eastAsia="Times New Roman" w:hAnsi="Times New Roman" w:cs="Times New Roman"/>
                <w:color w:val="000000"/>
                <w:spacing w:val="0"/>
                <w:w w:val="100"/>
                <w:position w:val="0"/>
              </w:rPr>
              <w:t>27,381,768.29</w:t>
            </w:r>
            <w:r>
              <w:rPr>
                <w:color w:val="000000"/>
                <w:spacing w:val="0"/>
                <w:w w:val="100"/>
                <w:position w:val="0"/>
              </w:rPr>
              <w:t>元（含利息，具 体结算金额由转入自有资金账户当日实际金额为准）用于永久补充流动资金。</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年年度股东大会审议通过上述事项</w:t>
            </w:r>
            <w:r>
              <w:rPr>
                <w:color w:val="000000"/>
                <w:spacing w:val="0"/>
                <w:w w:val="100"/>
                <w:position w:val="0"/>
              </w:rPr>
              <w:t xml:space="preserve">o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日，上述募集资金余额</w:t>
            </w:r>
            <w:r>
              <w:rPr>
                <w:rFonts w:ascii="Times New Roman" w:eastAsia="Times New Roman" w:hAnsi="Times New Roman" w:cs="Times New Roman"/>
                <w:color w:val="000000"/>
                <w:spacing w:val="0"/>
                <w:w w:val="100"/>
                <w:position w:val="0"/>
              </w:rPr>
              <w:t>27,416,539.10</w:t>
            </w:r>
            <w:r>
              <w:rPr>
                <w:color w:val="000000"/>
                <w:spacing w:val="0"/>
                <w:w w:val="100"/>
                <w:position w:val="0"/>
              </w:rPr>
              <w:t>元（含利息）已转至本公司自有账户并注销在 中国光大银行昆山高新技术产业园区支行开立的募集资金专项账户</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37150188000033711</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 况和原因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 化的情况说明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八</w:t>
      </w:r>
      <w:bookmarkEnd w:id="212"/>
      <w:r>
        <w:rPr>
          <w:color w:val="000000"/>
          <w:spacing w:val="0"/>
          <w:w w:val="100"/>
          <w:position w:val="0"/>
          <w:sz w:val="24"/>
          <w:szCs w:val="24"/>
        </w:rPr>
        <w:t>、重大资产和股权出售</w:t>
      </w:r>
      <w:bookmarkEnd w:id="210"/>
      <w:bookmarkEnd w:id="211"/>
      <w:bookmarkEnd w:id="213"/>
    </w:p>
    <w:p>
      <w:pPr>
        <w:pStyle w:val="Style29"/>
        <w:keepNext/>
        <w:keepLines/>
        <w:widowControl w:val="0"/>
        <w:shd w:val="clear" w:color="auto" w:fill="auto"/>
        <w:tabs>
          <w:tab w:pos="368" w:val="left"/>
        </w:tabs>
        <w:bidi w:val="0"/>
        <w:spacing w:before="0" w:after="34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w:t>
        <w:tab/>
        <w:t>出售重大资产情况</w:t>
      </w:r>
      <w:bookmarkEnd w:id="214"/>
      <w:bookmarkEnd w:id="215"/>
      <w:bookmarkEnd w:id="217"/>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78" w:val="left"/>
        </w:tabs>
        <w:bidi w:val="0"/>
        <w:spacing w:before="0" w:after="34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出售重大股权情况</w:t>
      </w:r>
      <w:bookmarkEnd w:id="218"/>
      <w:bookmarkEnd w:id="219"/>
      <w:bookmarkEnd w:id="221"/>
    </w:p>
    <w:p>
      <w:pPr>
        <w:pStyle w:val="Style1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41" w:right="1134" w:bottom="1513" w:left="1103" w:header="0" w:footer="3" w:gutter="0"/>
          <w:cols w:space="720"/>
          <w:noEndnote/>
          <w:rtlGutter w:val="0"/>
          <w:docGrid w:linePitch="360"/>
        </w:sectPr>
      </w:pPr>
      <w:r>
        <w:rPr>
          <w:color w:val="000000"/>
          <w:spacing w:val="0"/>
          <w:w w:val="100"/>
          <w:position w:val="0"/>
        </w:rPr>
        <w:t>口适用”不适用</w:t>
      </w:r>
    </w:p>
    <w:p>
      <w:pPr>
        <w:pStyle w:val="Style25"/>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九</w:t>
      </w:r>
      <w:bookmarkEnd w:id="224"/>
      <w:r>
        <w:rPr>
          <w:color w:val="000000"/>
          <w:spacing w:val="0"/>
          <w:w w:val="100"/>
          <w:position w:val="0"/>
          <w:sz w:val="24"/>
          <w:szCs w:val="24"/>
        </w:rPr>
        <w:t>、主要控股参股公司分析</w:t>
      </w:r>
      <w:bookmarkEnd w:id="222"/>
      <w:bookmarkEnd w:id="223"/>
      <w:bookmarkEnd w:id="225"/>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13330" w:right="0" w:firstLine="0"/>
        <w:jc w:val="left"/>
      </w:pPr>
      <w:r>
        <w:rPr>
          <w:color w:val="000000"/>
          <w:spacing w:val="0"/>
          <w:w w:val="100"/>
          <w:position w:val="0"/>
        </w:rPr>
        <w:t>单位：元</w:t>
      </w:r>
    </w:p>
    <w:tbl>
      <w:tblPr>
        <w:tblOverlap w:val="never"/>
        <w:jc w:val="center"/>
        <w:tblLayout w:type="fixed"/>
      </w:tblPr>
      <w:tblGrid>
        <w:gridCol w:w="2770"/>
        <w:gridCol w:w="1003"/>
        <w:gridCol w:w="1330"/>
        <w:gridCol w:w="1790"/>
        <w:gridCol w:w="1517"/>
        <w:gridCol w:w="1483"/>
        <w:gridCol w:w="1488"/>
        <w:gridCol w:w="1378"/>
        <w:gridCol w:w="1411"/>
      </w:tblGrid>
      <w:tr>
        <w:trPr>
          <w:trHeight w:val="4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净利润</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w:t>
            </w:r>
            <w:r>
              <w:rPr>
                <w:color w:val="000000"/>
                <w:spacing w:val="0"/>
                <w:w w:val="100"/>
                <w:position w:val="0"/>
              </w:rPr>
              <w:t>万元人民币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5,380,732,242.65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1,705,816,908.71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5,645,794,538.69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244,807,968.79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229,238,058.80</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10,337.7</w:t>
            </w:r>
            <w:r>
              <w:rPr>
                <w:color w:val="000000"/>
                <w:spacing w:val="0"/>
                <w:w w:val="100"/>
                <w:position w:val="0"/>
              </w:rPr>
              <w:t>万元人民币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1,834,421,427.57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992,950,084.82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1,318,116,017.58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83,381,858.36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76,599,267.68</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网络优化服务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10,234</w:t>
            </w:r>
            <w:r>
              <w:rPr>
                <w:color w:val="000000"/>
                <w:spacing w:val="0"/>
                <w:w w:val="100"/>
                <w:position w:val="0"/>
              </w:rPr>
              <w:t>万元人民币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1,097,346,398.57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658,697,260.25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1,087,692,719.94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81,787,007.21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78,174,009.22</w:t>
            </w:r>
          </w:p>
        </w:tc>
      </w:tr>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w:t>
            </w:r>
            <w:r>
              <w:rPr>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1,332,187,563.12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156,416,236.48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1,861,165,671.08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72,195,022.13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66,727,628.53</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4723"/>
        <w:gridCol w:w="4723"/>
        <w:gridCol w:w="4733"/>
      </w:tblGrid>
      <w:tr>
        <w:trPr>
          <w:trHeight w:val="4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对整体生产经营和业绩的影响</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广州神州金信电子科技有限公司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注销减少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南京神州金信电子科技有限公司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注销减少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27"/>
        <w:keepNext w:val="0"/>
        <w:keepLines w:val="0"/>
        <w:widowControl w:val="0"/>
        <w:shd w:val="clear" w:color="auto" w:fill="auto"/>
        <w:bidi w:val="0"/>
        <w:spacing w:before="0" w:after="0" w:line="240" w:lineRule="auto"/>
        <w:ind w:left="91" w:right="0" w:firstLine="0"/>
        <w:jc w:val="left"/>
      </w:pPr>
      <w:r>
        <w:rPr>
          <w:color w:val="000000"/>
          <w:spacing w:val="0"/>
          <w:w w:val="100"/>
          <w:position w:val="0"/>
        </w:rPr>
        <w:t>主要控股参股公司情况说明</w:t>
      </w:r>
    </w:p>
    <w:p>
      <w:pPr>
        <w:pStyle w:val="Style13"/>
        <w:keepNext w:val="0"/>
        <w:keepLines w:val="0"/>
        <w:widowControl w:val="0"/>
        <w:shd w:val="clear" w:color="auto" w:fill="auto"/>
        <w:bidi w:val="0"/>
        <w:spacing w:before="0" w:after="140" w:line="324" w:lineRule="exact"/>
        <w:ind w:left="0" w:right="0" w:firstLine="460"/>
        <w:jc w:val="left"/>
        <w:sectPr>
          <w:footnotePr>
            <w:pos w:val="pageBottom"/>
            <w:numFmt w:val="decimal"/>
            <w:numRestart w:val="continuous"/>
          </w:footnotePr>
          <w:pgSz w:w="16840" w:h="11900" w:orient="landscape"/>
          <w:pgMar w:top="1150" w:right="1330" w:bottom="1360" w:left="1330" w:header="0" w:footer="3" w:gutter="0"/>
          <w:cols w:space="720"/>
          <w:noEndnote/>
          <w:rtlGutter w:val="0"/>
          <w:docGrid w:linePitch="360"/>
        </w:sectPr>
      </w:pPr>
      <w:r>
        <w:rPr>
          <w:color w:val="000000"/>
          <w:spacing w:val="0"/>
          <w:w w:val="100"/>
          <w:position w:val="0"/>
        </w:rPr>
        <w:t>神州数码融信软件有限公司总体营收和签约规模稳健增长，新推出的市场风险产品快速落地，后续将重点提升交付能力，以有效匹配业务规模的增长。神州数码信息系统有限 公司在行业中深耕多年，积累了对党政信创和行业信创的理解，建立了面向信创的项目管理体系，在保持存量客户业务规模稳定的基础上，党政信创积累的解决方案、适配和交付 等能力也已传递至其他关键行业，积极培育了新的增长点。</w:t>
      </w:r>
    </w:p>
    <w:p>
      <w:pPr>
        <w:pStyle w:val="Style25"/>
        <w:keepNext/>
        <w:keepLines/>
        <w:widowControl w:val="0"/>
        <w:shd w:val="clear" w:color="auto" w:fill="auto"/>
        <w:bidi w:val="0"/>
        <w:spacing w:before="320" w:after="260" w:line="240" w:lineRule="auto"/>
        <w:ind w:left="0" w:right="0" w:firstLine="0"/>
        <w:jc w:val="left"/>
      </w:pPr>
      <w:bookmarkStart w:id="226" w:name="bookmark226"/>
      <w:bookmarkStart w:id="227" w:name="bookmark227"/>
      <w:bookmarkStart w:id="228" w:name="bookmark228"/>
      <w:r>
        <w:rPr>
          <w:color w:val="000000"/>
          <w:spacing w:val="0"/>
          <w:w w:val="100"/>
          <w:position w:val="0"/>
          <w:sz w:val="24"/>
          <w:szCs w:val="24"/>
        </w:rPr>
        <w:t>十、公司控制的结构化主体情况</w:t>
      </w:r>
      <w:bookmarkEnd w:id="226"/>
      <w:bookmarkEnd w:id="227"/>
      <w:bookmarkEnd w:id="228"/>
    </w:p>
    <w:p>
      <w:pPr>
        <w:pStyle w:val="Style1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25"/>
        <w:keepNext/>
        <w:keepLines/>
        <w:widowControl w:val="0"/>
        <w:shd w:val="clear" w:color="auto" w:fill="auto"/>
        <w:bidi w:val="0"/>
        <w:spacing w:before="0" w:after="260" w:line="240" w:lineRule="auto"/>
        <w:ind w:left="0" w:right="0" w:firstLine="0"/>
        <w:jc w:val="left"/>
      </w:pPr>
      <w:bookmarkStart w:id="229" w:name="bookmark229"/>
      <w:bookmarkStart w:id="230" w:name="bookmark230"/>
      <w:bookmarkStart w:id="231" w:name="bookmark231"/>
      <w:r>
        <w:rPr>
          <w:color w:val="000000"/>
          <w:spacing w:val="0"/>
          <w:w w:val="100"/>
          <w:position w:val="0"/>
          <w:sz w:val="24"/>
          <w:szCs w:val="24"/>
        </w:rPr>
        <w:t>十一、公司未来发展的展望</w:t>
      </w:r>
      <w:bookmarkEnd w:id="229"/>
      <w:bookmarkEnd w:id="230"/>
      <w:bookmarkEnd w:id="231"/>
    </w:p>
    <w:p>
      <w:pPr>
        <w:pStyle w:val="Style13"/>
        <w:keepNext w:val="0"/>
        <w:keepLines w:val="0"/>
        <w:widowControl w:val="0"/>
        <w:shd w:val="clear" w:color="auto" w:fill="auto"/>
        <w:tabs>
          <w:tab w:pos="881" w:val="left"/>
        </w:tabs>
        <w:bidi w:val="0"/>
        <w:spacing w:before="0" w:after="0" w:line="312" w:lineRule="exact"/>
        <w:ind w:left="0" w:right="0"/>
        <w:jc w:val="left"/>
      </w:pPr>
      <w:bookmarkStart w:id="232" w:name="bookmark232"/>
      <w:r>
        <w:rPr>
          <w:b/>
          <w:bCs/>
          <w:color w:val="000000"/>
          <w:spacing w:val="0"/>
          <w:w w:val="100"/>
          <w:position w:val="0"/>
        </w:rPr>
        <w:t>（</w:t>
      </w:r>
      <w:bookmarkEnd w:id="232"/>
      <w:r>
        <w:rPr>
          <w:b/>
          <w:bCs/>
          <w:color w:val="000000"/>
          <w:spacing w:val="0"/>
          <w:w w:val="100"/>
          <w:position w:val="0"/>
        </w:rPr>
        <w:t>一）</w:t>
        <w:tab/>
        <w:t>公司未来发展战略</w:t>
      </w:r>
    </w:p>
    <w:p>
      <w:pPr>
        <w:pStyle w:val="Style13"/>
        <w:keepNext w:val="0"/>
        <w:keepLines w:val="0"/>
        <w:widowControl w:val="0"/>
        <w:shd w:val="clear" w:color="auto" w:fill="auto"/>
        <w:bidi w:val="0"/>
        <w:spacing w:before="0" w:after="0" w:line="312" w:lineRule="exact"/>
        <w:ind w:left="0" w:right="0"/>
        <w:jc w:val="left"/>
      </w:pPr>
      <w:r>
        <w:rPr>
          <w:color w:val="000000"/>
          <w:spacing w:val="0"/>
          <w:w w:val="100"/>
          <w:position w:val="0"/>
        </w:rPr>
        <w:t>公司将继续聚焦金融科技战略，为客户提供更深刻、更长远的价值，服务实体经济，引领中国金融科技走向世界前沿。 一方面，公司将继续发挥“分布式核心</w:t>
      </w:r>
      <w:r>
        <w:rPr>
          <w:rFonts w:ascii="Times New Roman" w:eastAsia="Times New Roman" w:hAnsi="Times New Roman" w:cs="Times New Roman"/>
          <w:color w:val="000000"/>
          <w:spacing w:val="0"/>
          <w:w w:val="100"/>
          <w:position w:val="0"/>
        </w:rPr>
        <w:t>+</w:t>
      </w:r>
      <w:r>
        <w:rPr>
          <w:color w:val="000000"/>
          <w:spacing w:val="0"/>
          <w:w w:val="100"/>
          <w:position w:val="0"/>
        </w:rPr>
        <w:t>分布式平台”的体系构建优势，巩固自身在信息基础设施建设领域，尤其是金融行 业信息基础设施建设领域的优势地位；另一方面，公司将以政策为引领，紧跟区块链、数字人民币等前沿技术，加强面向实 体经济的场景创新，帮助金融机构将服务能力下沉到更多行业场景中。</w:t>
      </w:r>
    </w:p>
    <w:p>
      <w:pPr>
        <w:pStyle w:val="Style13"/>
        <w:keepNext w:val="0"/>
        <w:keepLines w:val="0"/>
        <w:widowControl w:val="0"/>
        <w:shd w:val="clear" w:color="auto" w:fill="auto"/>
        <w:tabs>
          <w:tab w:pos="881" w:val="left"/>
        </w:tabs>
        <w:bidi w:val="0"/>
        <w:spacing w:before="0" w:after="0" w:line="312" w:lineRule="exact"/>
        <w:ind w:left="0" w:right="0"/>
        <w:jc w:val="left"/>
      </w:pPr>
      <w:bookmarkStart w:id="233" w:name="bookmark233"/>
      <w:r>
        <w:rPr>
          <w:b/>
          <w:bCs/>
          <w:color w:val="000000"/>
          <w:spacing w:val="0"/>
          <w:w w:val="100"/>
          <w:position w:val="0"/>
        </w:rPr>
        <w:t>（</w:t>
      </w:r>
      <w:bookmarkEnd w:id="233"/>
      <w:r>
        <w:rPr>
          <w:b/>
          <w:bCs/>
          <w:color w:val="000000"/>
          <w:spacing w:val="0"/>
          <w:w w:val="100"/>
          <w:position w:val="0"/>
        </w:rPr>
        <w:t>二）</w:t>
        <w:tab/>
      </w:r>
      <w:r>
        <w:rPr>
          <w:rFonts w:ascii="Times New Roman" w:eastAsia="Times New Roman" w:hAnsi="Times New Roman" w:cs="Times New Roman"/>
          <w:b/>
          <w:bCs/>
          <w:color w:val="000000"/>
          <w:spacing w:val="0"/>
          <w:w w:val="100"/>
          <w:position w:val="0"/>
        </w:rPr>
        <w:t>2022</w:t>
      </w:r>
      <w:r>
        <w:rPr>
          <w:b/>
          <w:bCs/>
          <w:color w:val="000000"/>
          <w:spacing w:val="0"/>
          <w:w w:val="100"/>
          <w:position w:val="0"/>
        </w:rPr>
        <w:t>年经营计划</w:t>
      </w:r>
    </w:p>
    <w:p>
      <w:pPr>
        <w:pStyle w:val="Style13"/>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第一，全面落地以客户为中心的营销体系，从客户的发展规划、需求路径、场景和业务重点出发，助力客户价值增长。 </w:t>
      </w:r>
      <w:r>
        <w:rPr>
          <w:rFonts w:ascii="Times New Roman" w:eastAsia="Times New Roman" w:hAnsi="Times New Roman" w:cs="Times New Roman"/>
          <w:color w:val="000000"/>
          <w:spacing w:val="0"/>
          <w:w w:val="100"/>
          <w:position w:val="0"/>
        </w:rPr>
        <w:t>2022</w:t>
      </w:r>
      <w:r>
        <w:rPr>
          <w:color w:val="000000"/>
          <w:spacing w:val="0"/>
          <w:w w:val="100"/>
          <w:position w:val="0"/>
        </w:rPr>
        <w:t>年是金融行业信创试点的第三年，随着产业成熟度不断提高，金融信创的相关政策、采购端资金投入力度和技术路径 都愈发清晰。我们将紧抓金融信创市场扩容的战略机遇，继续围绕“以应用为牵引，以咨询规划为抓手”的思路，发力客户 拓展、解决方案、研发、生态建设等，力争打开金融信创更广阔的空间。</w:t>
      </w:r>
    </w:p>
    <w:p>
      <w:pPr>
        <w:pStyle w:val="Style13"/>
        <w:keepNext w:val="0"/>
        <w:keepLines w:val="0"/>
        <w:widowControl w:val="0"/>
        <w:shd w:val="clear" w:color="auto" w:fill="auto"/>
        <w:bidi w:val="0"/>
        <w:spacing w:before="0" w:after="0" w:line="312" w:lineRule="exact"/>
        <w:ind w:left="0" w:right="0"/>
        <w:jc w:val="left"/>
      </w:pPr>
      <w:r>
        <w:rPr>
          <w:color w:val="000000"/>
          <w:spacing w:val="0"/>
          <w:w w:val="100"/>
          <w:position w:val="0"/>
        </w:rPr>
        <w:t>第二，进一步聚焦核心大客户拓展，将大客户业务做稳做扎实，形成标杆案例矩阵，引领业务跨越增长。构建以大行客 户为中心的营销体系，打通软硬件整合销售，推动优势解决方案重点突破大行资源池，稳步提升大行客户业务份额，以金融 信创为抓手撬动生态合力，获取在大行客户的业绩释放，探索场景金融业务在核心大客户拓展的路径，实现国有大行和股份 制银行的规模放量，提高大行业务对金融软件业务体量的贡献度。</w:t>
      </w:r>
    </w:p>
    <w:p>
      <w:pPr>
        <w:pStyle w:val="Style13"/>
        <w:keepNext w:val="0"/>
        <w:keepLines w:val="0"/>
        <w:widowControl w:val="0"/>
        <w:shd w:val="clear" w:color="auto" w:fill="auto"/>
        <w:bidi w:val="0"/>
        <w:spacing w:before="0" w:after="0" w:line="315" w:lineRule="exact"/>
        <w:ind w:left="0" w:right="0"/>
        <w:jc w:val="left"/>
      </w:pPr>
      <w:r>
        <w:rPr>
          <w:color w:val="000000"/>
          <w:spacing w:val="0"/>
          <w:w w:val="100"/>
          <w:position w:val="0"/>
        </w:rPr>
        <w:t>第三，公司将紧紧围绕</w:t>
      </w:r>
      <w:r>
        <w:rPr>
          <w:rFonts w:ascii="Times New Roman" w:eastAsia="Times New Roman" w:hAnsi="Times New Roman" w:cs="Times New Roman"/>
          <w:color w:val="000000"/>
          <w:spacing w:val="0"/>
          <w:w w:val="100"/>
          <w:position w:val="0"/>
        </w:rPr>
        <w:t>ModelB@nk5.0</w:t>
      </w:r>
      <w:r>
        <w:rPr>
          <w:color w:val="000000"/>
          <w:spacing w:val="0"/>
          <w:w w:val="100"/>
          <w:position w:val="0"/>
        </w:rPr>
        <w:t>和神州信创云，依靠云原生和微服务体系，为金融机构数字化升级提供新一代 技术底座和能力支持。以公司现有的“八大解决方案</w:t>
      </w:r>
      <w:r>
        <w:rPr>
          <w:rFonts w:ascii="Times New Roman" w:eastAsia="Times New Roman" w:hAnsi="Times New Roman" w:cs="Times New Roman"/>
          <w:color w:val="000000"/>
          <w:spacing w:val="0"/>
          <w:w w:val="100"/>
          <w:position w:val="0"/>
        </w:rPr>
        <w:t>+</w:t>
      </w:r>
      <w:r>
        <w:rPr>
          <w:color w:val="000000"/>
          <w:spacing w:val="0"/>
          <w:w w:val="100"/>
          <w:position w:val="0"/>
        </w:rPr>
        <w:t>咨询服务”体系为基础，进一步解构客户在数字化、智能化新阶段的 业务和需求，结合对赋能客户、场景建设、用户体验优化、中台建设以及数字化转型等服务的理解和规划，深度融合面向客 户的金融服务与场景建设，持续寻找创新场景的突破口，不断完善解决方案和产品，为客户创造价值，助力客户数字化转型。</w:t>
      </w:r>
    </w:p>
    <w:p>
      <w:pPr>
        <w:pStyle w:val="Style13"/>
        <w:keepNext w:val="0"/>
        <w:keepLines w:val="0"/>
        <w:widowControl w:val="0"/>
        <w:shd w:val="clear" w:color="auto" w:fill="auto"/>
        <w:bidi w:val="0"/>
        <w:spacing w:before="0" w:after="0" w:line="312" w:lineRule="exact"/>
        <w:ind w:left="0" w:right="0" w:firstLine="560"/>
        <w:jc w:val="both"/>
      </w:pPr>
      <w:bookmarkStart w:id="234" w:name="bookmark234"/>
      <w:r>
        <w:rPr>
          <w:b/>
          <w:bCs/>
          <w:color w:val="000000"/>
          <w:spacing w:val="0"/>
          <w:w w:val="100"/>
          <w:position w:val="0"/>
        </w:rPr>
        <w:t>（</w:t>
      </w:r>
      <w:bookmarkEnd w:id="234"/>
      <w:r>
        <w:rPr>
          <w:b/>
          <w:bCs/>
          <w:color w:val="000000"/>
          <w:spacing w:val="0"/>
          <w:w w:val="100"/>
          <w:position w:val="0"/>
        </w:rPr>
        <w:t>三）公司发展过程中可能面对的风险</w:t>
      </w:r>
    </w:p>
    <w:p>
      <w:pPr>
        <w:pStyle w:val="Style13"/>
        <w:keepNext w:val="0"/>
        <w:keepLines w:val="0"/>
        <w:widowControl w:val="0"/>
        <w:shd w:val="clear" w:color="auto" w:fill="auto"/>
        <w:tabs>
          <w:tab w:pos="680" w:val="left"/>
        </w:tabs>
        <w:bidi w:val="0"/>
        <w:spacing w:before="0" w:after="0" w:line="312" w:lineRule="exact"/>
        <w:ind w:left="0" w:right="0"/>
        <w:jc w:val="both"/>
      </w:pPr>
      <w:bookmarkStart w:id="235" w:name="bookmark235"/>
      <w:r>
        <w:rPr>
          <w:rFonts w:ascii="Times New Roman" w:eastAsia="Times New Roman" w:hAnsi="Times New Roman" w:cs="Times New Roman"/>
          <w:b/>
          <w:bCs/>
          <w:color w:val="000000"/>
          <w:spacing w:val="0"/>
          <w:w w:val="100"/>
          <w:position w:val="0"/>
        </w:rPr>
        <w:t>1</w:t>
      </w:r>
      <w:bookmarkEnd w:id="235"/>
      <w:r>
        <w:rPr>
          <w:b/>
          <w:bCs/>
          <w:color w:val="000000"/>
          <w:spacing w:val="0"/>
          <w:w w:val="100"/>
          <w:position w:val="0"/>
        </w:rPr>
        <w:t>、</w:t>
        <w:tab/>
        <w:t>新冠等不可抗力因素带来的不确定性</w:t>
      </w:r>
    </w:p>
    <w:p>
      <w:pPr>
        <w:pStyle w:val="Style13"/>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年以来，全球爆发新冠疫情，尽管国内疫情已基本稳定，各国政府也积极采取措施控制疫情发展，但疫情的结束 时间及最终影响仍为不确定因素。如疫情等不可抗力因素发生，可能影响宏观经济，进而影响公司部分业务的交付进展。</w:t>
      </w:r>
    </w:p>
    <w:p>
      <w:pPr>
        <w:pStyle w:val="Style13"/>
        <w:keepNext w:val="0"/>
        <w:keepLines w:val="0"/>
        <w:widowControl w:val="0"/>
        <w:shd w:val="clear" w:color="auto" w:fill="auto"/>
        <w:bidi w:val="0"/>
        <w:spacing w:before="0" w:after="120" w:line="312" w:lineRule="exact"/>
        <w:ind w:left="0" w:right="0"/>
        <w:jc w:val="both"/>
      </w:pPr>
      <w:r>
        <w:rPr>
          <w:color w:val="000000"/>
          <w:spacing w:val="0"/>
          <w:w w:val="100"/>
          <w:position w:val="0"/>
        </w:rPr>
        <w:t>公司将持续关注疫情等外部环境变化，充分发挥自身优势，以积极的心态和科学的精神创新应变，坚持金融科技自主创 新，驱动大数据、人工智能和区块链为核心的数字技术融合应用，以科技改变金融，持续迭代软件产品及解决方案和服务， 发力场景金融、金融信创、数据智能等业务，助力金融和各行业打造云及数字化安全底座，加速行业数字化转型。</w:t>
      </w:r>
    </w:p>
    <w:p>
      <w:pPr>
        <w:pStyle w:val="Style13"/>
        <w:keepNext w:val="0"/>
        <w:keepLines w:val="0"/>
        <w:widowControl w:val="0"/>
        <w:shd w:val="clear" w:color="auto" w:fill="auto"/>
        <w:tabs>
          <w:tab w:pos="694" w:val="left"/>
        </w:tabs>
        <w:bidi w:val="0"/>
        <w:spacing w:before="0" w:after="0"/>
        <w:ind w:left="0" w:right="0"/>
        <w:jc w:val="both"/>
      </w:pPr>
      <w:bookmarkStart w:id="236" w:name="bookmark236"/>
      <w:r>
        <w:rPr>
          <w:rFonts w:ascii="Times New Roman" w:eastAsia="Times New Roman" w:hAnsi="Times New Roman" w:cs="Times New Roman"/>
          <w:b/>
          <w:bCs/>
          <w:color w:val="000000"/>
          <w:spacing w:val="0"/>
          <w:w w:val="100"/>
          <w:position w:val="0"/>
        </w:rPr>
        <w:t>2</w:t>
      </w:r>
      <w:bookmarkEnd w:id="236"/>
      <w:r>
        <w:rPr>
          <w:b/>
          <w:bCs/>
          <w:color w:val="000000"/>
          <w:spacing w:val="0"/>
          <w:w w:val="100"/>
          <w:position w:val="0"/>
        </w:rPr>
        <w:t>、</w:t>
        <w:tab/>
        <w:t>市场竞争日益激烈的风险</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近年来，分布式作为金融科技新一轮周期的技术方向，与信创产业的国家战略指引共同驱动银行等金融机构的数字化转 型升级，推动新一轮金融科技市场空间释放。在技术层面，大数据、</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云计算等前沿科技不断发展，并落地在各个领域、 行业。在金融领域，金融科技的重要地位已经十分凸显，金融机构也已经纷纷行动起来，对技术升级、产品架构等提出了更 高的要求。当前我国金融科技参与厂商众多，各家上市公司均有自身侧重的业务领域，市场格局较为分散。随着银行科技子 公司的加入，我们将面临现有产品及服务市场竞争加剧的风险，在个别细分市场或项目上可能出现竞争态势进一步激化的情 况。未来，公司将坚持以自主创新为导向，重点培养一批既懂技术又对金融行业有深刻理解的复合型人才，紧跟前沿不断革 新，为客户不断创造新的价值。</w:t>
      </w:r>
    </w:p>
    <w:p>
      <w:pPr>
        <w:pStyle w:val="Style13"/>
        <w:keepNext w:val="0"/>
        <w:keepLines w:val="0"/>
        <w:widowControl w:val="0"/>
        <w:shd w:val="clear" w:color="auto" w:fill="auto"/>
        <w:tabs>
          <w:tab w:pos="694" w:val="left"/>
        </w:tabs>
        <w:bidi w:val="0"/>
        <w:spacing w:before="0" w:after="0" w:line="312" w:lineRule="exact"/>
        <w:ind w:left="0" w:right="0"/>
        <w:jc w:val="both"/>
      </w:pPr>
      <w:bookmarkStart w:id="237" w:name="bookmark237"/>
      <w:r>
        <w:rPr>
          <w:rFonts w:ascii="Times New Roman" w:eastAsia="Times New Roman" w:hAnsi="Times New Roman" w:cs="Times New Roman"/>
          <w:b/>
          <w:bCs/>
          <w:color w:val="000000"/>
          <w:spacing w:val="0"/>
          <w:w w:val="100"/>
          <w:position w:val="0"/>
        </w:rPr>
        <w:t>3</w:t>
      </w:r>
      <w:bookmarkEnd w:id="237"/>
      <w:r>
        <w:rPr>
          <w:b/>
          <w:bCs/>
          <w:color w:val="000000"/>
          <w:spacing w:val="0"/>
          <w:w w:val="100"/>
          <w:position w:val="0"/>
        </w:rPr>
        <w:t>、</w:t>
        <w:tab/>
        <w:t>产品和技术不及预期的风险</w:t>
      </w:r>
    </w:p>
    <w:p>
      <w:pPr>
        <w:pStyle w:val="Style13"/>
        <w:keepNext w:val="0"/>
        <w:keepLines w:val="0"/>
        <w:widowControl w:val="0"/>
        <w:shd w:val="clear" w:color="auto" w:fill="auto"/>
        <w:bidi w:val="0"/>
        <w:spacing w:before="0" w:after="60" w:line="317" w:lineRule="exact"/>
        <w:ind w:left="0" w:right="0"/>
        <w:jc w:val="both"/>
      </w:pPr>
      <w:r>
        <w:rPr>
          <w:color w:val="000000"/>
          <w:spacing w:val="0"/>
          <w:w w:val="100"/>
          <w:position w:val="0"/>
        </w:rPr>
        <w:t xml:space="preserve">当前金融行业处在转型升级的关键时期，公司必须快速、准确地理解转型中的客户业务需求，及时洞察未来的发展趋势， 并将其转化为解决方案及产品。如果公司对客户业务的理解不够深入，则会面临产品设计不佳，与客户需求契合度不高的风 </w:t>
      </w:r>
      <w:r>
        <w:rPr>
          <w:color w:val="000000"/>
          <w:spacing w:val="0"/>
          <w:w w:val="100"/>
          <w:position w:val="0"/>
        </w:rPr>
        <w:t>险。</w:t>
      </w:r>
    </w:p>
    <w:p>
      <w:pPr>
        <w:pStyle w:val="Style13"/>
        <w:keepNext w:val="0"/>
        <w:keepLines w:val="0"/>
        <w:widowControl w:val="0"/>
        <w:shd w:val="clear" w:color="auto" w:fill="auto"/>
        <w:bidi w:val="0"/>
        <w:spacing w:before="0" w:after="120" w:line="314" w:lineRule="exact"/>
        <w:ind w:left="0" w:right="0"/>
        <w:jc w:val="both"/>
      </w:pPr>
      <w:r>
        <w:rPr>
          <w:color w:val="000000"/>
          <w:spacing w:val="0"/>
          <w:w w:val="100"/>
          <w:position w:val="0"/>
        </w:rPr>
        <w:t>对此，公司将持续从投入、管理、评估和支撑四个维度入手，建立科学有效的研发体系。深入一线理解和分析客户业务， 准确识别和挖掘用户需求，并在产品开发过程中不断验证、拓展产品的专业深度，以最大程度满足客户业务需求，在售前、 解决方案开发和交付等环节对业务增长和落地形成有力的支撑。公司将基于</w:t>
      </w:r>
      <w:r>
        <w:rPr>
          <w:rFonts w:ascii="Times New Roman" w:eastAsia="Times New Roman" w:hAnsi="Times New Roman" w:cs="Times New Roman"/>
          <w:color w:val="000000"/>
          <w:spacing w:val="0"/>
          <w:w w:val="100"/>
          <w:position w:val="0"/>
        </w:rPr>
        <w:t>ModelB@nk5.0</w:t>
      </w:r>
      <w:r>
        <w:rPr>
          <w:color w:val="000000"/>
          <w:spacing w:val="0"/>
          <w:w w:val="100"/>
          <w:position w:val="0"/>
        </w:rPr>
        <w:t>和神州信创云等前沿技术成果， 继续以大数据、人工智能、区块链等数字技术为驱动，赋能金融科技创新及各行业数字化转型。</w:t>
      </w:r>
    </w:p>
    <w:p>
      <w:pPr>
        <w:pStyle w:val="Style13"/>
        <w:keepNext w:val="0"/>
        <w:keepLines w:val="0"/>
        <w:widowControl w:val="0"/>
        <w:shd w:val="clear" w:color="auto" w:fill="auto"/>
        <w:bidi w:val="0"/>
        <w:spacing w:before="0" w:after="0"/>
        <w:ind w:left="0" w:right="0"/>
        <w:jc w:val="both"/>
      </w:pPr>
      <w:bookmarkStart w:id="238" w:name="bookmark238"/>
      <w:r>
        <w:rPr>
          <w:rFonts w:ascii="Times New Roman" w:eastAsia="Times New Roman" w:hAnsi="Times New Roman" w:cs="Times New Roman"/>
          <w:b/>
          <w:bCs/>
          <w:color w:val="000000"/>
          <w:spacing w:val="0"/>
          <w:w w:val="100"/>
          <w:position w:val="0"/>
        </w:rPr>
        <w:t>4</w:t>
      </w:r>
      <w:bookmarkEnd w:id="238"/>
      <w:r>
        <w:rPr>
          <w:b/>
          <w:bCs/>
          <w:color w:val="000000"/>
          <w:spacing w:val="0"/>
          <w:w w:val="100"/>
          <w:position w:val="0"/>
        </w:rPr>
        <w:t>、人力资源风险</w:t>
      </w:r>
    </w:p>
    <w:p>
      <w:pPr>
        <w:pStyle w:val="Style13"/>
        <w:keepNext w:val="0"/>
        <w:keepLines w:val="0"/>
        <w:widowControl w:val="0"/>
        <w:shd w:val="clear" w:color="auto" w:fill="auto"/>
        <w:bidi w:val="0"/>
        <w:spacing w:before="0" w:after="360" w:line="312" w:lineRule="exact"/>
        <w:ind w:left="0" w:right="0"/>
        <w:jc w:val="both"/>
      </w:pPr>
      <w:r>
        <w:rPr>
          <w:color w:val="000000"/>
          <w:spacing w:val="0"/>
          <w:w w:val="100"/>
          <w:position w:val="0"/>
        </w:rPr>
        <w:t>公司的技术研发和创新，对核心技术人员和关键管理人员的依赖性较大。信息技术人才的竞争日益激烈，仍存在人力资 源成本上升，或因关键人才流失而对公司的业务发展造成一定影响的可能。因此，公司面临着人力成本压力增大、有效保留 和吸引人才难度增大的风险。多年来，公司通过提供有竞争力的薪酬福利，建立公平的晋升机制，创造开放、协作的工作环 境和企业文化氛围，努力吸引人才、培养人才和保留人才。同时，公司通过股权激励计划的方式，稳定核心团队，有效吸引 和保留人才。</w:t>
      </w:r>
    </w:p>
    <w:p>
      <w:pPr>
        <w:pStyle w:val="Style25"/>
        <w:keepNext/>
        <w:keepLines/>
        <w:widowControl w:val="0"/>
        <w:shd w:val="clear" w:color="auto" w:fill="auto"/>
        <w:bidi w:val="0"/>
        <w:spacing w:before="0" w:after="360" w:line="240" w:lineRule="auto"/>
        <w:ind w:left="0" w:right="0" w:firstLine="0"/>
        <w:jc w:val="left"/>
      </w:pPr>
      <w:bookmarkStart w:id="239" w:name="bookmark239"/>
      <w:bookmarkStart w:id="240" w:name="bookmark240"/>
      <w:bookmarkStart w:id="241" w:name="bookmark241"/>
      <w:r>
        <w:rPr>
          <w:color w:val="000000"/>
          <w:spacing w:val="0"/>
          <w:w w:val="100"/>
          <w:position w:val="0"/>
          <w:sz w:val="24"/>
          <w:szCs w:val="24"/>
        </w:rPr>
        <w:t>十二、报告期内接待调研、沟通、采访等活动</w:t>
      </w:r>
      <w:bookmarkEnd w:id="239"/>
      <w:bookmarkEnd w:id="240"/>
      <w:bookmarkEnd w:id="241"/>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008"/>
        <w:gridCol w:w="1056"/>
        <w:gridCol w:w="811"/>
        <w:gridCol w:w="826"/>
        <w:gridCol w:w="1474"/>
        <w:gridCol w:w="1699"/>
        <w:gridCol w:w="270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数码科技 广场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机构、媒体等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神州信息</w:t>
            </w:r>
            <w:r>
              <w:rPr>
                <w:rFonts w:ascii="Times New Roman" w:eastAsia="Times New Roman" w:hAnsi="Times New Roman" w:cs="Times New Roman"/>
                <w:color w:val="000000"/>
                <w:spacing w:val="0"/>
                <w:w w:val="100"/>
                <w:position w:val="0"/>
              </w:rPr>
              <w:t>2020</w:t>
            </w:r>
            <w:r>
              <w:rPr>
                <w:color w:val="000000"/>
                <w:spacing w:val="0"/>
                <w:w w:val="100"/>
                <w:position w:val="0"/>
              </w:rPr>
              <w:t>年 度业绩说明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pPr>
            <w:r>
              <w:fldChar w:fldCharType="begin"/>
            </w:r>
            <w:r>
              <w:rPr/>
              <w:instrText> HYPERLINK "http://static" </w:instrText>
            </w:r>
            <w:r>
              <w:fldChar w:fldCharType="separate"/>
            </w:r>
            <w:r>
              <w:rPr>
                <w:rFonts w:ascii="Times New Roman" w:eastAsia="Times New Roman" w:hAnsi="Times New Roman" w:cs="Times New Roman"/>
                <w:color w:val="000000"/>
                <w:spacing w:val="0"/>
                <w:w w:val="100"/>
                <w:position w:val="0"/>
              </w:rPr>
              <w:t>http://static</w:t>
            </w:r>
            <w:r>
              <w:fldChar w:fldCharType="end"/>
            </w:r>
            <w:r>
              <w:rPr>
                <w:rFonts w:ascii="Times New Roman" w:eastAsia="Times New Roman" w:hAnsi="Times New Roman" w:cs="Times New Roman"/>
                <w:color w:val="000000"/>
                <w:spacing w:val="0"/>
                <w:w w:val="100"/>
                <w:position w:val="0"/>
              </w:rPr>
              <w:t xml:space="preserve">. cninfo. </w:t>
            </w:r>
            <w:r>
              <w:rPr>
                <w:rFonts w:ascii="Times New Roman" w:eastAsia="Times New Roman" w:hAnsi="Times New Roman" w:cs="Times New Roman"/>
                <w:color w:val="000000"/>
                <w:spacing w:val="0"/>
                <w:w w:val="100"/>
                <w:position w:val="0"/>
              </w:rPr>
              <w:t>com.cn/finalpa</w:t>
            </w:r>
            <w:r>
              <w:rPr>
                <w:rFonts w:ascii="Times New Roman" w:eastAsia="Times New Roman" w:hAnsi="Times New Roman" w:cs="Times New Roman"/>
                <w:color w:val="000000"/>
                <w:spacing w:val="0"/>
                <w:w w:val="100"/>
                <w:position w:val="0"/>
              </w:rPr>
              <w:t xml:space="preserve"> geZ2021-04-02Z1209636575.PDF</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神州信息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电话沟 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华西证券等机 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神州信息</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一季度业绩说明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fldChar w:fldCharType="begin"/>
            </w:r>
            <w:r>
              <w:rPr/>
              <w:instrText> HYPERLINK "http://static.cninfo.com.cn/finalpa" </w:instrText>
            </w:r>
            <w:r>
              <w:fldChar w:fldCharType="separate"/>
            </w:r>
            <w:r>
              <w:rPr>
                <w:rFonts w:ascii="Times New Roman" w:eastAsia="Times New Roman" w:hAnsi="Times New Roman" w:cs="Times New Roman"/>
                <w:color w:val="000000"/>
                <w:spacing w:val="0"/>
                <w:w w:val="100"/>
                <w:position w:val="0"/>
              </w:rPr>
              <w:t>http://static.cninfo.com.cn/finalpa</w:t>
            </w:r>
            <w:r>
              <w:fldChar w:fldCharType="end"/>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ge/2021-04-30/1209891483.PDF</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神州信息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机构、媒体等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神州信息</w:t>
            </w:r>
            <w:r>
              <w:rPr>
                <w:rFonts w:ascii="Times New Roman" w:eastAsia="Times New Roman" w:hAnsi="Times New Roman" w:cs="Times New Roman"/>
                <w:color w:val="000000"/>
                <w:spacing w:val="0"/>
                <w:w w:val="100"/>
                <w:position w:val="0"/>
              </w:rPr>
              <w:t>2021</w:t>
            </w:r>
            <w:r>
              <w:rPr>
                <w:color w:val="000000"/>
                <w:spacing w:val="0"/>
                <w:w w:val="100"/>
                <w:position w:val="0"/>
              </w:rPr>
              <w:t>年 半年度业绩说明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fldChar w:fldCharType="begin"/>
            </w:r>
            <w:r>
              <w:rPr/>
              <w:instrText> HYPERLINK "http://static.cninfo.com.cn/finalpa" </w:instrText>
            </w:r>
            <w:r>
              <w:fldChar w:fldCharType="separate"/>
            </w:r>
            <w:r>
              <w:rPr>
                <w:rFonts w:ascii="Times New Roman" w:eastAsia="Times New Roman" w:hAnsi="Times New Roman" w:cs="Times New Roman"/>
                <w:color w:val="000000"/>
                <w:spacing w:val="0"/>
                <w:w w:val="100"/>
                <w:position w:val="0"/>
              </w:rPr>
              <w:t>http://static.cninfo.com.cn/finalpa</w:t>
            </w:r>
            <w:r>
              <w:fldChar w:fldCharType="end"/>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ge/2021-09-02/1210964991.PDF</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神州信息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电话沟 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兴业证券等机 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神州信息</w:t>
            </w:r>
            <w:r>
              <w:rPr>
                <w:rFonts w:ascii="Times New Roman" w:eastAsia="Times New Roman" w:hAnsi="Times New Roman" w:cs="Times New Roman"/>
                <w:color w:val="000000"/>
                <w:spacing w:val="0"/>
                <w:w w:val="100"/>
                <w:position w:val="0"/>
              </w:rPr>
              <w:t>2021</w:t>
            </w:r>
            <w:r>
              <w:rPr>
                <w:color w:val="000000"/>
                <w:spacing w:val="0"/>
                <w:w w:val="100"/>
                <w:position w:val="0"/>
              </w:rPr>
              <w:t>年 第三季度业绩说明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fldChar w:fldCharType="begin"/>
            </w:r>
            <w:r>
              <w:rPr/>
              <w:instrText> HYPERLINK "http://static.cninfo.com.cn/finalpa" </w:instrText>
            </w:r>
            <w:r>
              <w:fldChar w:fldCharType="separate"/>
            </w:r>
            <w:r>
              <w:rPr>
                <w:rFonts w:ascii="Times New Roman" w:eastAsia="Times New Roman" w:hAnsi="Times New Roman" w:cs="Times New Roman"/>
                <w:color w:val="000000"/>
                <w:spacing w:val="0"/>
                <w:w w:val="100"/>
                <w:position w:val="0"/>
              </w:rPr>
              <w:t>http://static.cninfo.com.cn/finalpa</w:t>
            </w:r>
            <w:r>
              <w:fldChar w:fldCharType="end"/>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ge/2021-10-29/1211438035.PDF</w:t>
            </w:r>
          </w:p>
        </w:tc>
      </w:tr>
      <w:tr>
        <w:trPr>
          <w:trHeight w:val="259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神州信息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通过“全景网” 投资者关系互 动平台参与</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深圳辖 区上市公司投 资者网上集体 接待日”活动的 广大投资者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神州信息</w:t>
            </w:r>
            <w:r>
              <w:rPr>
                <w:rFonts w:ascii="Times New Roman" w:eastAsia="Times New Roman" w:hAnsi="Times New Roman" w:cs="Times New Roman"/>
                <w:color w:val="000000"/>
                <w:spacing w:val="0"/>
                <w:w w:val="100"/>
                <w:position w:val="0"/>
              </w:rPr>
              <w:t>2021</w:t>
            </w:r>
            <w:r>
              <w:rPr>
                <w:color w:val="000000"/>
                <w:spacing w:val="0"/>
                <w:w w:val="100"/>
                <w:position w:val="0"/>
              </w:rPr>
              <w:t>深 圳辖区上市公司投 资者网上集体接待 日活动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fldChar w:fldCharType="begin"/>
            </w:r>
            <w:r>
              <w:rPr/>
              <w:instrText> HYPERLINK "http://static.cninfo.com.cn/finalpa" </w:instrText>
            </w:r>
            <w:r>
              <w:fldChar w:fldCharType="separate"/>
            </w:r>
            <w:r>
              <w:rPr>
                <w:rFonts w:ascii="Times New Roman" w:eastAsia="Times New Roman" w:hAnsi="Times New Roman" w:cs="Times New Roman"/>
                <w:color w:val="000000"/>
                <w:spacing w:val="0"/>
                <w:w w:val="100"/>
                <w:position w:val="0"/>
              </w:rPr>
              <w:t>http://static.cninfo.com.cn/finalpa</w:t>
            </w:r>
            <w:r>
              <w:fldChar w:fldCharType="end"/>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ge/2021-12-01/1211763777.PDF</w:t>
            </w:r>
          </w:p>
        </w:tc>
      </w:tr>
    </w:tbl>
    <w:p>
      <w:pPr>
        <w:sectPr>
          <w:footnotePr>
            <w:pos w:val="pageBottom"/>
            <w:numFmt w:val="decimal"/>
            <w:numRestart w:val="continuous"/>
          </w:footnotePr>
          <w:pgSz w:w="11900" w:h="16840"/>
          <w:pgMar w:top="1383" w:right="1014" w:bottom="1623" w:left="1103" w:header="0" w:footer="3" w:gutter="0"/>
          <w:cols w:space="720"/>
          <w:noEndnote/>
          <w:rtlGutter w:val="0"/>
          <w:docGrid w:linePitch="360"/>
        </w:sectPr>
      </w:pPr>
    </w:p>
    <w:p>
      <w:pPr>
        <w:pStyle w:val="Style10"/>
        <w:keepNext/>
        <w:keepLines/>
        <w:widowControl w:val="0"/>
        <w:shd w:val="clear" w:color="auto" w:fill="auto"/>
        <w:bidi w:val="0"/>
        <w:spacing w:before="540" w:after="500" w:line="240" w:lineRule="auto"/>
        <w:ind w:left="0" w:right="0" w:firstLine="0"/>
        <w:jc w:val="center"/>
      </w:pPr>
      <w:bookmarkStart w:id="242" w:name="bookmark242"/>
      <w:bookmarkStart w:id="243" w:name="bookmark243"/>
      <w:bookmarkStart w:id="244" w:name="bookmark244"/>
      <w:bookmarkStart w:id="245" w:name="bookmark245"/>
      <w:r>
        <w:rPr>
          <w:color w:val="000000"/>
          <w:spacing w:val="0"/>
          <w:w w:val="100"/>
          <w:position w:val="0"/>
        </w:rPr>
        <w:t>第四节公司治理</w:t>
      </w:r>
      <w:bookmarkEnd w:id="243"/>
      <w:bookmarkEnd w:id="244"/>
      <w:bookmarkEnd w:id="245"/>
      <w:bookmarkEnd w:id="242"/>
    </w:p>
    <w:p>
      <w:pPr>
        <w:pStyle w:val="Style25"/>
        <w:keepNext/>
        <w:keepLines/>
        <w:widowControl w:val="0"/>
        <w:shd w:val="clear" w:color="auto" w:fill="auto"/>
        <w:tabs>
          <w:tab w:pos="600" w:val="left"/>
        </w:tabs>
        <w:bidi w:val="0"/>
        <w:spacing w:before="0" w:after="260" w:line="317" w:lineRule="exact"/>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一</w:t>
      </w:r>
      <w:bookmarkEnd w:id="248"/>
      <w:r>
        <w:rPr>
          <w:color w:val="000000"/>
          <w:spacing w:val="0"/>
          <w:w w:val="100"/>
          <w:position w:val="0"/>
          <w:sz w:val="24"/>
          <w:szCs w:val="24"/>
        </w:rPr>
        <w:t>、</w:t>
        <w:tab/>
        <w:t>公司治理的基本状况</w:t>
      </w:r>
      <w:bookmarkEnd w:id="246"/>
      <w:bookmarkEnd w:id="247"/>
      <w:bookmarkEnd w:id="249"/>
    </w:p>
    <w:p>
      <w:pPr>
        <w:pStyle w:val="Style13"/>
        <w:keepNext w:val="0"/>
        <w:keepLines w:val="0"/>
        <w:widowControl w:val="0"/>
        <w:shd w:val="clear" w:color="auto" w:fill="auto"/>
        <w:bidi w:val="0"/>
        <w:spacing w:before="0" w:after="0" w:line="316" w:lineRule="exact"/>
        <w:ind w:left="0" w:right="0"/>
        <w:jc w:val="both"/>
      </w:pPr>
      <w:r>
        <w:rPr>
          <w:color w:val="000000"/>
          <w:spacing w:val="0"/>
          <w:w w:val="100"/>
          <w:position w:val="0"/>
        </w:rPr>
        <w:t>公司按照《公司法》《证券法》《上市公司治理准则》等相关法律、法规及规范文件要求，立足于全体股东的利益，不 断提高公司经营管理水平、公司诚信度和透明度，建立了以</w:t>
      </w:r>
      <w:r>
        <w:rPr>
          <w:rFonts w:ascii="Times New Roman" w:eastAsia="Times New Roman" w:hAnsi="Times New Roman" w:cs="Times New Roman"/>
          <w:color w:val="000000"/>
          <w:spacing w:val="0"/>
          <w:w w:val="100"/>
          <w:position w:val="0"/>
        </w:rPr>
        <w:t>“</w:t>
      </w:r>
      <w:r>
        <w:rPr>
          <w:color w:val="000000"/>
          <w:spacing w:val="0"/>
          <w:w w:val="100"/>
          <w:position w:val="0"/>
        </w:rPr>
        <w:t>三会一层</w:t>
      </w:r>
      <w:r>
        <w:rPr>
          <w:rFonts w:ascii="Times New Roman" w:eastAsia="Times New Roman" w:hAnsi="Times New Roman" w:cs="Times New Roman"/>
          <w:color w:val="000000"/>
          <w:spacing w:val="0"/>
          <w:w w:val="100"/>
          <w:position w:val="0"/>
        </w:rPr>
        <w:t>”</w:t>
      </w:r>
      <w:r>
        <w:rPr>
          <w:color w:val="000000"/>
          <w:spacing w:val="0"/>
          <w:w w:val="100"/>
          <w:position w:val="0"/>
        </w:rPr>
        <w:t>规范运作为基础的符合现代企业制度要求的法人治理 结构，健全公司内部控制制度，构建了与公司发展战略相匹配的内部管控体系，提高了公司规范运作水平。</w:t>
      </w:r>
    </w:p>
    <w:p>
      <w:pPr>
        <w:pStyle w:val="Style13"/>
        <w:keepNext w:val="0"/>
        <w:keepLines w:val="0"/>
        <w:widowControl w:val="0"/>
        <w:shd w:val="clear" w:color="auto" w:fill="auto"/>
        <w:bidi w:val="0"/>
        <w:spacing w:before="0" w:after="0" w:line="316" w:lineRule="exact"/>
        <w:ind w:left="0" w:right="0"/>
        <w:jc w:val="both"/>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 公司按照《公司章程》《股东大会议事规则》等有关要求，不断规范和落实股东大会的召集、召开和议事程序，确 保所有股东享有平等地位并行使自己的权利，保证全体股东的信息对称。报告期内，公司修订了《公司章程》《信息披露事 务管理制度》和《重大信息内部报告制度》，公司内部重大信息的报告流程与披露方式符合相关规定。</w:t>
      </w:r>
    </w:p>
    <w:p>
      <w:pPr>
        <w:pStyle w:val="Style13"/>
        <w:keepNext w:val="0"/>
        <w:keepLines w:val="0"/>
        <w:widowControl w:val="0"/>
        <w:shd w:val="clear" w:color="auto" w:fill="auto"/>
        <w:tabs>
          <w:tab w:pos="678" w:val="left"/>
        </w:tabs>
        <w:bidi w:val="0"/>
        <w:spacing w:before="0" w:after="0" w:line="316" w:lineRule="exact"/>
        <w:ind w:left="0" w:right="0"/>
        <w:jc w:val="both"/>
      </w:pPr>
      <w:bookmarkStart w:id="251" w:name="bookmark251"/>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报告期内，董事会严格按照《公司章程》《董事会议事规则》的规定，认真履行职责并行使权利，以认真负责的态 度出席公司董事会和股东大会。</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日，公司按照相关法律及《公司章程》规定的选聘程序完成董事会的换届选举， 公司第九届董事会由</w:t>
      </w:r>
      <w:r>
        <w:rPr>
          <w:color w:val="000000"/>
          <w:spacing w:val="0"/>
          <w:w w:val="100"/>
          <w:position w:val="0"/>
        </w:rPr>
        <w:t>10</w:t>
      </w:r>
      <w:r>
        <w:rPr>
          <w:color w:val="000000"/>
          <w:spacing w:val="0"/>
          <w:w w:val="100"/>
          <w:position w:val="0"/>
        </w:rPr>
        <w:t>名董事组成，其中独立董事</w:t>
      </w:r>
      <w:r>
        <w:rPr>
          <w:color w:val="000000"/>
          <w:spacing w:val="0"/>
          <w:w w:val="100"/>
          <w:position w:val="0"/>
        </w:rPr>
        <w:t>5</w:t>
      </w:r>
      <w:r>
        <w:rPr>
          <w:color w:val="000000"/>
          <w:spacing w:val="0"/>
          <w:w w:val="100"/>
          <w:position w:val="0"/>
        </w:rPr>
        <w:t>人。</w:t>
      </w:r>
    </w:p>
    <w:p>
      <w:pPr>
        <w:pStyle w:val="Style13"/>
        <w:keepNext w:val="0"/>
        <w:keepLines w:val="0"/>
        <w:widowControl w:val="0"/>
        <w:shd w:val="clear" w:color="auto" w:fill="auto"/>
        <w:tabs>
          <w:tab w:pos="683" w:val="left"/>
        </w:tabs>
        <w:bidi w:val="0"/>
        <w:spacing w:before="0" w:after="0" w:line="316" w:lineRule="exact"/>
        <w:ind w:left="0" w:right="0"/>
        <w:jc w:val="both"/>
      </w:pPr>
      <w:bookmarkStart w:id="252" w:name="bookmark252"/>
      <w:r>
        <w:rPr>
          <w:color w:val="000000"/>
          <w:spacing w:val="0"/>
          <w:w w:val="100"/>
          <w:position w:val="0"/>
        </w:rPr>
        <w:t>3</w:t>
      </w:r>
      <w:bookmarkEnd w:id="252"/>
      <w:r>
        <w:rPr>
          <w:color w:val="000000"/>
          <w:spacing w:val="0"/>
          <w:w w:val="100"/>
          <w:position w:val="0"/>
        </w:rPr>
        <w:t>、</w:t>
        <w:tab/>
        <w:t>报告期内，监事会严格按照《公司章程》《监事会议事规则》的规定，认真履行职责，参加董事会、监事会和股东 大会，对公司经营管理、财务状况及公司董事、高级管理人员等履行职责的合法合规性进行有效监督。公司按照相关法律及</w:t>
      </w:r>
    </w:p>
    <w:p>
      <w:pPr>
        <w:pStyle w:val="Style13"/>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《公司章程》规定的选聘程序选举监事，于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日完成监事会的换届选举，第九届监事会由</w:t>
      </w:r>
      <w:r>
        <w:rPr>
          <w:color w:val="000000"/>
          <w:spacing w:val="0"/>
          <w:w w:val="100"/>
          <w:position w:val="0"/>
        </w:rPr>
        <w:t>3</w:t>
      </w:r>
      <w:r>
        <w:rPr>
          <w:color w:val="000000"/>
          <w:spacing w:val="0"/>
          <w:w w:val="100"/>
          <w:position w:val="0"/>
        </w:rPr>
        <w:t>名监事组成，其中职工 代表监事</w:t>
      </w:r>
      <w:r>
        <w:rPr>
          <w:color w:val="000000"/>
          <w:spacing w:val="0"/>
          <w:w w:val="100"/>
          <w:position w:val="0"/>
        </w:rPr>
        <w:t>1</w:t>
      </w:r>
      <w:r>
        <w:rPr>
          <w:color w:val="000000"/>
          <w:spacing w:val="0"/>
          <w:w w:val="100"/>
          <w:position w:val="0"/>
        </w:rPr>
        <w:t>人，监事会的人数和人员构成符合法律、法规的要求。</w:t>
      </w:r>
    </w:p>
    <w:p>
      <w:pPr>
        <w:pStyle w:val="Style13"/>
        <w:keepNext w:val="0"/>
        <w:keepLines w:val="0"/>
        <w:widowControl w:val="0"/>
        <w:shd w:val="clear" w:color="auto" w:fill="auto"/>
        <w:tabs>
          <w:tab w:pos="678" w:val="left"/>
        </w:tabs>
        <w:bidi w:val="0"/>
        <w:spacing w:before="0" w:after="0" w:line="316" w:lineRule="exact"/>
        <w:ind w:left="0" w:right="0"/>
        <w:jc w:val="both"/>
      </w:pPr>
      <w:bookmarkStart w:id="253" w:name="bookmark253"/>
      <w:r>
        <w:rPr>
          <w:color w:val="000000"/>
          <w:spacing w:val="0"/>
          <w:w w:val="100"/>
          <w:position w:val="0"/>
        </w:rPr>
        <w:t>4</w:t>
      </w:r>
      <w:bookmarkEnd w:id="253"/>
      <w:r>
        <w:rPr>
          <w:color w:val="000000"/>
          <w:spacing w:val="0"/>
          <w:w w:val="100"/>
          <w:position w:val="0"/>
        </w:rPr>
        <w:t>、</w:t>
        <w:tab/>
        <w:t>报告期内，公司管理层遵守诚信原则，谨慎、勤勉的履行职责并按照董事会决策开展经营管理。公司按照相关法律 及《公司章程》规定的选聘程序聘任高级管理人员，截至本报告披露日，第九届董事会审议通过了《关于聘任公司高级管理 人员的议案》。</w:t>
      </w:r>
    </w:p>
    <w:p>
      <w:pPr>
        <w:pStyle w:val="Style13"/>
        <w:keepNext w:val="0"/>
        <w:keepLines w:val="0"/>
        <w:widowControl w:val="0"/>
        <w:shd w:val="clear" w:color="auto" w:fill="auto"/>
        <w:tabs>
          <w:tab w:pos="678" w:val="left"/>
        </w:tabs>
        <w:bidi w:val="0"/>
        <w:spacing w:before="0" w:after="320" w:line="316" w:lineRule="exact"/>
        <w:ind w:left="0" w:right="0"/>
        <w:jc w:val="both"/>
      </w:pPr>
      <w:bookmarkStart w:id="254" w:name="bookmark254"/>
      <w:r>
        <w:rPr>
          <w:color w:val="000000"/>
          <w:spacing w:val="0"/>
          <w:w w:val="100"/>
          <w:position w:val="0"/>
        </w:rPr>
        <w:t>5</w:t>
      </w:r>
      <w:bookmarkEnd w:id="254"/>
      <w:r>
        <w:rPr>
          <w:color w:val="000000"/>
          <w:spacing w:val="0"/>
          <w:w w:val="100"/>
          <w:position w:val="0"/>
        </w:rPr>
        <w:t>、</w:t>
        <w:tab/>
        <w:t>报告期内，公司不存在向控股股东或实际控制人提供未公开信息等公司治理非规范情况；公司大股东或实际控制人 也不存在干预上市公司生产、经营、管理等公司治理非规范情况。</w:t>
      </w:r>
    </w:p>
    <w:p>
      <w:pPr>
        <w:pStyle w:val="Style1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公司治理的实际状况与法律、行政法规和中国证监会发布的关于上市公司治理的规定是否存在重大差异 口是"否</w:t>
      </w:r>
    </w:p>
    <w:p>
      <w:pPr>
        <w:pStyle w:val="Style13"/>
        <w:keepNext w:val="0"/>
        <w:keepLines w:val="0"/>
        <w:widowControl w:val="0"/>
        <w:shd w:val="clear" w:color="auto" w:fill="auto"/>
        <w:bidi w:val="0"/>
        <w:spacing w:before="0" w:after="320" w:line="35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tabs>
          <w:tab w:pos="600" w:val="left"/>
        </w:tabs>
        <w:bidi w:val="0"/>
        <w:spacing w:before="0" w:after="260" w:line="317" w:lineRule="exact"/>
        <w:ind w:left="0" w:right="0" w:firstLine="0"/>
        <w:jc w:val="both"/>
      </w:pPr>
      <w:bookmarkStart w:id="255" w:name="bookmark255"/>
      <w:bookmarkStart w:id="256" w:name="bookmark256"/>
      <w:bookmarkStart w:id="257" w:name="bookmark257"/>
      <w:bookmarkStart w:id="258" w:name="bookmark258"/>
      <w:r>
        <w:rPr>
          <w:color w:val="000000"/>
          <w:spacing w:val="0"/>
          <w:w w:val="100"/>
          <w:position w:val="0"/>
          <w:sz w:val="24"/>
          <w:szCs w:val="24"/>
        </w:rPr>
        <w:t>二</w:t>
      </w:r>
      <w:bookmarkEnd w:id="257"/>
      <w:r>
        <w:rPr>
          <w:color w:val="000000"/>
          <w:spacing w:val="0"/>
          <w:w w:val="100"/>
          <w:position w:val="0"/>
          <w:sz w:val="24"/>
          <w:szCs w:val="24"/>
        </w:rPr>
        <w:t>、</w:t>
        <w:tab/>
        <w:t>公司相对于控股股东、实际控制人在保证公司资产、人员、财务、机构、业务等方面的 独立情况</w:t>
      </w:r>
      <w:bookmarkEnd w:id="255"/>
      <w:bookmarkEnd w:id="256"/>
      <w:bookmarkEnd w:id="258"/>
    </w:p>
    <w:p>
      <w:pPr>
        <w:pStyle w:val="Style13"/>
        <w:keepNext w:val="0"/>
        <w:keepLines w:val="0"/>
        <w:widowControl w:val="0"/>
        <w:shd w:val="clear" w:color="auto" w:fill="auto"/>
        <w:bidi w:val="0"/>
        <w:spacing w:before="0" w:after="0" w:line="317" w:lineRule="exact"/>
        <w:ind w:left="0" w:right="0"/>
        <w:jc w:val="both"/>
      </w:pPr>
      <w:r>
        <w:rPr>
          <w:color w:val="000000"/>
          <w:spacing w:val="0"/>
          <w:w w:val="100"/>
          <w:position w:val="0"/>
        </w:rPr>
        <w:t>公司严格按照《公司法》《证券法》等有关法律法规和《公司章程》的要求规范运作。报告期内，公司与控股股东在业 务、人员、资产、机构和财务上完全独立，具有独立、完整的业务体系及自主经营能力。</w:t>
      </w:r>
    </w:p>
    <w:p>
      <w:pPr>
        <w:pStyle w:val="Style13"/>
        <w:keepNext w:val="0"/>
        <w:keepLines w:val="0"/>
        <w:widowControl w:val="0"/>
        <w:shd w:val="clear" w:color="auto" w:fill="auto"/>
        <w:tabs>
          <w:tab w:pos="684" w:val="left"/>
        </w:tabs>
        <w:bidi w:val="0"/>
        <w:spacing w:before="0" w:after="0" w:line="316" w:lineRule="exact"/>
        <w:ind w:left="0" w:right="0"/>
        <w:jc w:val="both"/>
      </w:pPr>
      <w:bookmarkStart w:id="259" w:name="bookmark259"/>
      <w:r>
        <w:rPr>
          <w:color w:val="000000"/>
          <w:spacing w:val="0"/>
          <w:w w:val="100"/>
          <w:position w:val="0"/>
        </w:rPr>
        <w:t>1</w:t>
      </w:r>
      <w:bookmarkEnd w:id="259"/>
      <w:r>
        <w:rPr>
          <w:color w:val="000000"/>
          <w:spacing w:val="0"/>
          <w:w w:val="100"/>
          <w:position w:val="0"/>
        </w:rPr>
        <w:t>、</w:t>
        <w:tab/>
        <w:t>业务独立情况</w:t>
      </w:r>
    </w:p>
    <w:p>
      <w:pPr>
        <w:pStyle w:val="Style13"/>
        <w:keepNext w:val="0"/>
        <w:keepLines w:val="0"/>
        <w:widowControl w:val="0"/>
        <w:shd w:val="clear" w:color="auto" w:fill="auto"/>
        <w:bidi w:val="0"/>
        <w:spacing w:before="0" w:after="0" w:line="314" w:lineRule="exact"/>
        <w:ind w:left="0" w:right="0"/>
        <w:jc w:val="both"/>
      </w:pPr>
      <w:r>
        <w:rPr>
          <w:color w:val="000000"/>
          <w:spacing w:val="0"/>
          <w:w w:val="100"/>
          <w:position w:val="0"/>
        </w:rPr>
        <w:t>公司在业务方面独立于控股股东及其关联方，拥有独立管理的研发、采购及销售系统，拥有独立的决策和执行机构，拥 有自身独立的业务和自主经营权，与控股股东不存在同业竞争或者潜在的同业竞争，不存在控股股东直接或间接干预公司经 营运作的情形。</w:t>
      </w:r>
    </w:p>
    <w:p>
      <w:pPr>
        <w:pStyle w:val="Style13"/>
        <w:keepNext w:val="0"/>
        <w:keepLines w:val="0"/>
        <w:widowControl w:val="0"/>
        <w:shd w:val="clear" w:color="auto" w:fill="auto"/>
        <w:tabs>
          <w:tab w:pos="688" w:val="left"/>
        </w:tabs>
        <w:bidi w:val="0"/>
        <w:spacing w:before="0" w:after="0" w:line="316" w:lineRule="exact"/>
        <w:ind w:left="0" w:right="0"/>
        <w:jc w:val="both"/>
      </w:pPr>
      <w:bookmarkStart w:id="260" w:name="bookmark260"/>
      <w:r>
        <w:rPr>
          <w:color w:val="000000"/>
          <w:spacing w:val="0"/>
          <w:w w:val="100"/>
          <w:position w:val="0"/>
        </w:rPr>
        <w:t>2</w:t>
      </w:r>
      <w:bookmarkEnd w:id="260"/>
      <w:r>
        <w:rPr>
          <w:color w:val="000000"/>
          <w:spacing w:val="0"/>
          <w:w w:val="100"/>
          <w:position w:val="0"/>
        </w:rPr>
        <w:t>、</w:t>
        <w:tab/>
        <w:t>人员独立情况</w:t>
      </w:r>
    </w:p>
    <w:p>
      <w:pPr>
        <w:pStyle w:val="Style13"/>
        <w:keepNext w:val="0"/>
        <w:keepLines w:val="0"/>
        <w:widowControl w:val="0"/>
        <w:shd w:val="clear" w:color="auto" w:fill="auto"/>
        <w:bidi w:val="0"/>
        <w:spacing w:before="0" w:after="140" w:line="314" w:lineRule="exact"/>
        <w:ind w:left="0" w:right="0"/>
        <w:jc w:val="both"/>
      </w:pPr>
      <w:r>
        <w:rPr>
          <w:color w:val="000000"/>
          <w:spacing w:val="0"/>
          <w:w w:val="100"/>
          <w:position w:val="0"/>
        </w:rPr>
        <w:t>公司人员独立于控股股东，具有独立的劳动人事、社会保障体系及薪酬管理体系。公司的董事、监事及高级管理人员均 通过合法程序选聘，无控股股东干预公司董事会和股东大会已做出的人事任免决定的情况。第八届董事会、监事会成员韩玉 华女士、孙洋先生以及第九届董事会、监事会成员邢景峰先生、牛卓女士在控股股东担任职务外，公司其他董事、监事及高 级管理人员在控股股东均无行政任职，没有在控股股东单位领取报酬。</w:t>
      </w:r>
    </w:p>
    <w:p>
      <w:pPr>
        <w:pStyle w:val="Style13"/>
        <w:keepNext w:val="0"/>
        <w:keepLines w:val="0"/>
        <w:widowControl w:val="0"/>
        <w:shd w:val="clear" w:color="auto" w:fill="auto"/>
        <w:tabs>
          <w:tab w:pos="724" w:val="left"/>
        </w:tabs>
        <w:bidi w:val="0"/>
        <w:spacing w:before="0" w:after="40" w:line="312" w:lineRule="exact"/>
        <w:ind w:left="0" w:right="0"/>
        <w:jc w:val="both"/>
      </w:pPr>
      <w:bookmarkStart w:id="261" w:name="bookmark261"/>
      <w:r>
        <w:rPr>
          <w:color w:val="000000"/>
          <w:spacing w:val="0"/>
          <w:w w:val="100"/>
          <w:position w:val="0"/>
        </w:rPr>
        <w:t>3</w:t>
      </w:r>
      <w:bookmarkEnd w:id="261"/>
      <w:r>
        <w:rPr>
          <w:color w:val="000000"/>
          <w:spacing w:val="0"/>
          <w:w w:val="100"/>
          <w:position w:val="0"/>
        </w:rPr>
        <w:t>、</w:t>
        <w:tab/>
        <w:t>资产完整情况</w:t>
      </w:r>
    </w:p>
    <w:p>
      <w:pPr>
        <w:pStyle w:val="Style13"/>
        <w:keepNext w:val="0"/>
        <w:keepLines w:val="0"/>
        <w:widowControl w:val="0"/>
        <w:shd w:val="clear" w:color="auto" w:fill="auto"/>
        <w:bidi w:val="0"/>
        <w:spacing w:before="0" w:after="40" w:line="314" w:lineRule="exact"/>
        <w:ind w:left="0" w:right="0"/>
        <w:jc w:val="both"/>
      </w:pPr>
      <w:r>
        <w:rPr>
          <w:color w:val="000000"/>
          <w:spacing w:val="0"/>
          <w:w w:val="100"/>
          <w:position w:val="0"/>
        </w:rPr>
        <w:t>公司拥有完整的与生产经营有关的生产系统、辅助生产系统和配套设施，与控股股东资产产权清晰；对与经营相关的办 公场所、土地、设备以及商标、非专利技术等资产均合法拥有权利；不存在控股股东占用公司资金的情形，也未向控股股东 提供任何担保。</w:t>
      </w:r>
    </w:p>
    <w:p>
      <w:pPr>
        <w:pStyle w:val="Style13"/>
        <w:keepNext w:val="0"/>
        <w:keepLines w:val="0"/>
        <w:widowControl w:val="0"/>
        <w:shd w:val="clear" w:color="auto" w:fill="auto"/>
        <w:tabs>
          <w:tab w:pos="729" w:val="left"/>
        </w:tabs>
        <w:bidi w:val="0"/>
        <w:spacing w:before="0" w:after="40" w:line="312" w:lineRule="exact"/>
        <w:ind w:left="0" w:right="0"/>
        <w:jc w:val="both"/>
      </w:pPr>
      <w:bookmarkStart w:id="262" w:name="bookmark262"/>
      <w:r>
        <w:rPr>
          <w:color w:val="000000"/>
          <w:spacing w:val="0"/>
          <w:w w:val="100"/>
          <w:position w:val="0"/>
        </w:rPr>
        <w:t>4</w:t>
      </w:r>
      <w:bookmarkEnd w:id="262"/>
      <w:r>
        <w:rPr>
          <w:color w:val="000000"/>
          <w:spacing w:val="0"/>
          <w:w w:val="100"/>
          <w:position w:val="0"/>
        </w:rPr>
        <w:t>、</w:t>
        <w:tab/>
        <w:t>机构独立情况</w:t>
      </w:r>
    </w:p>
    <w:p>
      <w:pPr>
        <w:pStyle w:val="Style13"/>
        <w:keepNext w:val="0"/>
        <w:keepLines w:val="0"/>
        <w:widowControl w:val="0"/>
        <w:shd w:val="clear" w:color="auto" w:fill="auto"/>
        <w:bidi w:val="0"/>
        <w:spacing w:before="0" w:after="40" w:line="312" w:lineRule="exact"/>
        <w:ind w:left="0" w:right="0"/>
        <w:jc w:val="both"/>
      </w:pPr>
      <w:r>
        <w:rPr>
          <w:color w:val="000000"/>
          <w:spacing w:val="0"/>
          <w:w w:val="100"/>
          <w:position w:val="0"/>
        </w:rPr>
        <w:t>公司设立了一套符合公司实际情况的完全、完整的组织架构体系，股东大会、董事会、监事会、管理层及其他内部组织 机构独立运作，公司控股股东按法定程序参与公司决策，不存在与控股股东职能部门之间的从属关系。公司具有独立的办公 场所，所有职能部门均独立行使职权，独立开展经营活动，不存在混合经营、合署办公情形。</w:t>
      </w:r>
    </w:p>
    <w:p>
      <w:pPr>
        <w:pStyle w:val="Style13"/>
        <w:keepNext w:val="0"/>
        <w:keepLines w:val="0"/>
        <w:widowControl w:val="0"/>
        <w:shd w:val="clear" w:color="auto" w:fill="auto"/>
        <w:tabs>
          <w:tab w:pos="729" w:val="left"/>
        </w:tabs>
        <w:bidi w:val="0"/>
        <w:spacing w:before="0" w:after="40" w:line="312" w:lineRule="exact"/>
        <w:ind w:left="0" w:right="0"/>
        <w:jc w:val="both"/>
      </w:pPr>
      <w:bookmarkStart w:id="263" w:name="bookmark263"/>
      <w:r>
        <w:rPr>
          <w:color w:val="000000"/>
          <w:spacing w:val="0"/>
          <w:w w:val="100"/>
          <w:position w:val="0"/>
        </w:rPr>
        <w:t>5</w:t>
      </w:r>
      <w:bookmarkEnd w:id="263"/>
      <w:r>
        <w:rPr>
          <w:color w:val="000000"/>
          <w:spacing w:val="0"/>
          <w:w w:val="100"/>
          <w:position w:val="0"/>
        </w:rPr>
        <w:t>、</w:t>
        <w:tab/>
        <w:t>财务独立情况</w:t>
      </w:r>
    </w:p>
    <w:p>
      <w:pPr>
        <w:pStyle w:val="Style13"/>
        <w:keepNext w:val="0"/>
        <w:keepLines w:val="0"/>
        <w:widowControl w:val="0"/>
        <w:shd w:val="clear" w:color="auto" w:fill="auto"/>
        <w:bidi w:val="0"/>
        <w:spacing w:before="0" w:after="360" w:line="310" w:lineRule="exact"/>
        <w:ind w:left="0" w:right="0"/>
        <w:jc w:val="both"/>
      </w:pPr>
      <w:r>
        <w:rPr>
          <w:color w:val="000000"/>
          <w:spacing w:val="0"/>
          <w:w w:val="100"/>
          <w:position w:val="0"/>
        </w:rPr>
        <w:t>公司设有独立的财务管理部门和财务人员，建立了独立的会计核算体系和财务管理制度，配备了专职的财务会计人员， 独立开展财务工作和进行财务决策，独立管理公司财务档案；开设独立的银行账号，不存在与控股股东共用银行账户的情形； 独立进行纳税申报和履行纳税义务；不存在货币资金或其他资产被控股股东或其他关联方占用的情况。</w:t>
      </w:r>
    </w:p>
    <w:p>
      <w:pPr>
        <w:pStyle w:val="Style25"/>
        <w:keepNext/>
        <w:keepLines/>
        <w:widowControl w:val="0"/>
        <w:shd w:val="clear" w:color="auto" w:fill="auto"/>
        <w:tabs>
          <w:tab w:pos="584" w:val="left"/>
        </w:tabs>
        <w:bidi w:val="0"/>
        <w:spacing w:before="0" w:after="26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sz w:val="24"/>
          <w:szCs w:val="24"/>
        </w:rPr>
        <w:t>三</w:t>
      </w:r>
      <w:bookmarkEnd w:id="266"/>
      <w:r>
        <w:rPr>
          <w:color w:val="000000"/>
          <w:spacing w:val="0"/>
          <w:w w:val="100"/>
          <w:position w:val="0"/>
          <w:sz w:val="24"/>
          <w:szCs w:val="24"/>
        </w:rPr>
        <w:t>、</w:t>
        <w:tab/>
        <w:t>同业竞争情况</w:t>
      </w:r>
      <w:bookmarkEnd w:id="264"/>
      <w:bookmarkEnd w:id="265"/>
      <w:bookmarkEnd w:id="267"/>
    </w:p>
    <w:p>
      <w:pPr>
        <w:pStyle w:val="Style1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口适用”不适用</w:t>
      </w:r>
    </w:p>
    <w:p>
      <w:pPr>
        <w:pStyle w:val="Style25"/>
        <w:keepNext/>
        <w:keepLines/>
        <w:widowControl w:val="0"/>
        <w:shd w:val="clear" w:color="auto" w:fill="auto"/>
        <w:tabs>
          <w:tab w:pos="584" w:val="left"/>
        </w:tabs>
        <w:bidi w:val="0"/>
        <w:spacing w:before="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sz w:val="24"/>
          <w:szCs w:val="24"/>
        </w:rPr>
        <w:t>四</w:t>
      </w:r>
      <w:bookmarkEnd w:id="270"/>
      <w:r>
        <w:rPr>
          <w:color w:val="000000"/>
          <w:spacing w:val="0"/>
          <w:w w:val="100"/>
          <w:position w:val="0"/>
          <w:sz w:val="24"/>
          <w:szCs w:val="24"/>
        </w:rPr>
        <w:t>、</w:t>
        <w:tab/>
        <w:t>报告期内召开的年度股东大会和临时股东大会的有关情况</w:t>
      </w:r>
      <w:bookmarkEnd w:id="268"/>
      <w:bookmarkEnd w:id="269"/>
      <w:bookmarkEnd w:id="271"/>
    </w:p>
    <w:p>
      <w:pPr>
        <w:pStyle w:val="Style29"/>
        <w:keepNext/>
        <w:keepLines/>
        <w:widowControl w:val="0"/>
        <w:shd w:val="clear" w:color="auto" w:fill="auto"/>
        <w:bidi w:val="0"/>
        <w:spacing w:before="0" w:after="320" w:line="240" w:lineRule="auto"/>
        <w:ind w:left="0" w:right="0" w:firstLine="0"/>
        <w:jc w:val="both"/>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、本报告期股东大会情况</w:t>
      </w:r>
      <w:bookmarkEnd w:id="272"/>
      <w:bookmarkEnd w:id="273"/>
      <w:bookmarkEnd w:id="275"/>
    </w:p>
    <w:tbl>
      <w:tblPr>
        <w:tblOverlap w:val="never"/>
        <w:jc w:val="center"/>
        <w:tblLayout w:type="fixed"/>
      </w:tblPr>
      <w:tblGrid>
        <w:gridCol w:w="1536"/>
        <w:gridCol w:w="1493"/>
        <w:gridCol w:w="1046"/>
        <w:gridCol w:w="1358"/>
        <w:gridCol w:w="1358"/>
        <w:gridCol w:w="278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 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2021-025</w:t>
            </w:r>
            <w:r>
              <w:rPr>
                <w:color w:val="000000"/>
                <w:spacing w:val="0"/>
                <w:w w:val="100"/>
                <w:position w:val="0"/>
              </w:rPr>
              <w:t>)</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年度第一次 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 xml:space="preserve">) </w:t>
            </w:r>
            <w:r>
              <w:rPr>
                <w:color w:val="000000"/>
                <w:spacing w:val="0"/>
                <w:w w:val="100"/>
                <w:position w:val="0"/>
              </w:rPr>
              <w:t>(公告编号：</w:t>
            </w:r>
            <w:r>
              <w:rPr>
                <w:rFonts w:ascii="Times New Roman" w:eastAsia="Times New Roman" w:hAnsi="Times New Roman" w:cs="Times New Roman"/>
                <w:color w:val="000000"/>
                <w:spacing w:val="0"/>
                <w:w w:val="100"/>
                <w:position w:val="0"/>
              </w:rPr>
              <w:t>2021-046</w:t>
            </w: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、表决权恢复的优先股股东请求召开临时股东大会</w:t>
      </w:r>
      <w:bookmarkEnd w:id="276"/>
      <w:bookmarkEnd w:id="277"/>
      <w:bookmarkEnd w:id="279"/>
    </w:p>
    <w:p>
      <w:pPr>
        <w:pStyle w:val="Style13"/>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378" w:right="1021" w:bottom="1594" w:left="1107" w:header="0" w:footer="3" w:gutter="0"/>
          <w:cols w:space="720"/>
          <w:noEndnote/>
          <w:rtlGutter w:val="0"/>
          <w:docGrid w:linePitch="360"/>
        </w:sectPr>
      </w:pPr>
      <w:r>
        <w:rPr>
          <w:color w:val="000000"/>
          <w:spacing w:val="0"/>
          <w:w w:val="100"/>
          <w:position w:val="0"/>
        </w:rPr>
        <w:t>口适用”不适用</w:t>
      </w:r>
    </w:p>
    <w:p>
      <w:pPr>
        <w:pStyle w:val="Style25"/>
        <w:keepNext/>
        <w:keepLines/>
        <w:widowControl w:val="0"/>
        <w:shd w:val="clear" w:color="auto" w:fill="auto"/>
        <w:bidi w:val="0"/>
        <w:spacing w:before="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五</w:t>
      </w:r>
      <w:bookmarkEnd w:id="282"/>
      <w:r>
        <w:rPr>
          <w:color w:val="000000"/>
          <w:spacing w:val="0"/>
          <w:w w:val="100"/>
          <w:position w:val="0"/>
          <w:sz w:val="24"/>
          <w:szCs w:val="24"/>
        </w:rPr>
        <w:t>、董事、监事和高级管理人员情况</w:t>
      </w:r>
      <w:bookmarkEnd w:id="280"/>
      <w:bookmarkEnd w:id="281"/>
      <w:bookmarkEnd w:id="283"/>
    </w:p>
    <w:p>
      <w:pPr>
        <w:pStyle w:val="Style29"/>
        <w:keepNext/>
        <w:keepLines/>
        <w:widowControl w:val="0"/>
        <w:shd w:val="clear" w:color="auto" w:fill="auto"/>
        <w:bidi w:val="0"/>
        <w:spacing w:before="0" w:after="32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、基本情况</w:t>
      </w:r>
      <w:bookmarkEnd w:id="284"/>
      <w:bookmarkEnd w:id="285"/>
      <w:bookmarkEnd w:id="287"/>
    </w:p>
    <w:tbl>
      <w:tblPr>
        <w:tblOverlap w:val="never"/>
        <w:jc w:val="center"/>
        <w:tblLayout w:type="fixed"/>
      </w:tblPr>
      <w:tblGrid>
        <w:gridCol w:w="1397"/>
        <w:gridCol w:w="1498"/>
        <w:gridCol w:w="989"/>
        <w:gridCol w:w="667"/>
        <w:gridCol w:w="614"/>
        <w:gridCol w:w="1637"/>
        <w:gridCol w:w="1666"/>
        <w:gridCol w:w="989"/>
        <w:gridCol w:w="1061"/>
        <w:gridCol w:w="965"/>
        <w:gridCol w:w="912"/>
        <w:gridCol w:w="970"/>
        <w:gridCol w:w="806"/>
      </w:tblGrid>
      <w:tr>
        <w:trPr>
          <w:trHeight w:val="10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期初持股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本期增持</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股份数量</w:t>
            </w:r>
          </w:p>
          <w:p>
            <w:pPr>
              <w:pStyle w:val="Style2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本期减持 股份数量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其他增</w:t>
            </w:r>
          </w:p>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减变动</w:t>
            </w:r>
          </w:p>
          <w:p>
            <w:pPr>
              <w:pStyle w:val="Style2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Benjamin Zhai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王翰林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财务总监兼董秘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李侃遐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7"/>
        <w:gridCol w:w="1498"/>
        <w:gridCol w:w="989"/>
        <w:gridCol w:w="667"/>
        <w:gridCol w:w="614"/>
        <w:gridCol w:w="1637"/>
        <w:gridCol w:w="1666"/>
        <w:gridCol w:w="989"/>
        <w:gridCol w:w="1061"/>
        <w:gridCol w:w="965"/>
        <w:gridCol w:w="912"/>
        <w:gridCol w:w="970"/>
        <w:gridCol w:w="806"/>
      </w:tblGrid>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于宏志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郝晋瑞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314,400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闫光明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马洪杰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112,500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北区总裁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唐智峰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南区总裁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175,500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崔晓天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信创首席专家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4,826,200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4,826,200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footnotePr>
            <w:pos w:val="pageBottom"/>
            <w:numFmt w:val="decimal"/>
            <w:numRestart w:val="continuous"/>
          </w:footnotePr>
          <w:pgSz w:w="16840" w:h="11900" w:orient="landscape"/>
          <w:pgMar w:top="1118" w:right="1340" w:bottom="1460" w:left="1330" w:header="0" w:footer="3" w:gutter="0"/>
          <w:cols w:space="720"/>
          <w:noEndnote/>
          <w:rtlGutter w:val="0"/>
          <w:docGrid w:linePitch="360"/>
        </w:sectPr>
      </w:pPr>
    </w:p>
    <w:p>
      <w:pPr>
        <w:pStyle w:val="Style13"/>
        <w:keepNext w:val="0"/>
        <w:keepLines w:val="0"/>
        <w:widowControl w:val="0"/>
        <w:shd w:val="clear" w:color="auto" w:fill="auto"/>
        <w:bidi w:val="0"/>
        <w:spacing w:before="140" w:after="40" w:line="314" w:lineRule="exact"/>
        <w:ind w:left="0" w:right="0" w:firstLine="0"/>
        <w:jc w:val="left"/>
      </w:pPr>
      <w:r>
        <w:rPr>
          <w:color w:val="000000"/>
          <w:spacing w:val="0"/>
          <w:w w:val="100"/>
          <w:position w:val="0"/>
        </w:rPr>
        <w:t>注：</w:t>
      </w:r>
    </w:p>
    <w:p>
      <w:pPr>
        <w:pStyle w:val="Style13"/>
        <w:keepNext w:val="0"/>
        <w:keepLines w:val="0"/>
        <w:widowControl w:val="0"/>
        <w:shd w:val="clear" w:color="auto" w:fill="auto"/>
        <w:tabs>
          <w:tab w:pos="495" w:val="left"/>
        </w:tabs>
        <w:bidi w:val="0"/>
        <w:spacing w:before="0" w:after="40" w:line="314" w:lineRule="exact"/>
        <w:ind w:left="0" w:right="0" w:firstLine="0"/>
        <w:jc w:val="left"/>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日，公司第八届董事会第九次会议审议通过《关于聘任公司高级管理人员的议案》，聘任于丁先生、 唐智峰先生、刘洪先生、孙建钢先生、闫光明先生为公司高级管理人员。</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日，公司第九届董事会</w:t>
      </w:r>
      <w:r>
        <w:rPr>
          <w:rFonts w:ascii="Times New Roman" w:eastAsia="Times New Roman" w:hAnsi="Times New Roman" w:cs="Times New Roman"/>
          <w:color w:val="000000"/>
          <w:spacing w:val="0"/>
          <w:w w:val="100"/>
          <w:position w:val="0"/>
        </w:rPr>
        <w:t>2022</w:t>
      </w:r>
      <w:r>
        <w:rPr>
          <w:color w:val="000000"/>
          <w:spacing w:val="0"/>
          <w:w w:val="100"/>
          <w:position w:val="0"/>
        </w:rPr>
        <w:t>年第 二次临时会议审议通过了《关于聘任公司高级管理人员的议案》，聘任李鸿春先生为公司总裁；赵文甫先生为公司常务副总 裁；刘伟刚先生为公司财务总监兼董事会秘书；聘任李侃遐女士、于宏志先生、戴可先生、刘洪先生、郝晋瑞先生、闫光明 先生、陈大龙先生、孙建钢先生、马洪杰先生、张云飞女士为公司副总裁；聘任于丁先生为公司北区总裁、唐智峰先生为公 司南区总裁，崔晓天先生任期届满离任。于丁先生、唐智峰先生、刘洪先生、孙建钢先生、闫光明先生、陈大龙先生、戴可 先生期初持股数为担任高级管理人员之日持股数量。</w:t>
      </w:r>
    </w:p>
    <w:p>
      <w:pPr>
        <w:pStyle w:val="Style13"/>
        <w:keepNext w:val="0"/>
        <w:keepLines w:val="0"/>
        <w:widowControl w:val="0"/>
        <w:shd w:val="clear" w:color="auto" w:fill="auto"/>
        <w:tabs>
          <w:tab w:pos="495" w:val="left"/>
        </w:tabs>
        <w:bidi w:val="0"/>
        <w:spacing w:before="0" w:after="40" w:line="314" w:lineRule="exact"/>
        <w:ind w:left="0" w:right="0" w:firstLine="0"/>
        <w:jc w:val="left"/>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rPr>
        <w:t>2</w:t>
      </w:r>
      <w:r>
        <w:rPr>
          <w:color w:val="000000"/>
          <w:spacing w:val="0"/>
          <w:w w:val="100"/>
          <w:position w:val="0"/>
        </w:rPr>
        <w:t>）</w:t>
        <w:tab/>
        <w:t>刘伟刚先生于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日担任公司董事会秘书职务，于宏志先生于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日担任公司</w:t>
      </w:r>
      <w:r>
        <w:rPr>
          <w:rFonts w:ascii="Times New Roman" w:eastAsia="Times New Roman" w:hAnsi="Times New Roman" w:cs="Times New Roman"/>
          <w:color w:val="000000"/>
          <w:spacing w:val="0"/>
          <w:w w:val="100"/>
          <w:position w:val="0"/>
        </w:rPr>
        <w:t>CTO</w:t>
      </w:r>
      <w:r>
        <w:rPr>
          <w:color w:val="000000"/>
          <w:spacing w:val="0"/>
          <w:w w:val="100"/>
          <w:position w:val="0"/>
        </w:rPr>
        <w:t>职务，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日，公司第八届董事会第十一次会议审议通过了《关于公司部分高级管理人员职务调整的议案》，于宏志先生职 务由</w:t>
      </w:r>
      <w:r>
        <w:rPr>
          <w:rFonts w:ascii="Times New Roman" w:eastAsia="Times New Roman" w:hAnsi="Times New Roman" w:cs="Times New Roman"/>
          <w:color w:val="000000"/>
          <w:spacing w:val="0"/>
          <w:w w:val="100"/>
          <w:position w:val="0"/>
        </w:rPr>
        <w:t>CTO</w:t>
      </w:r>
      <w:r>
        <w:rPr>
          <w:color w:val="000000"/>
          <w:spacing w:val="0"/>
          <w:w w:val="100"/>
          <w:position w:val="0"/>
        </w:rPr>
        <w:t>调整为副总裁，张云飞女士职务由财务总监调整为副总裁，董事会秘书刘伟刚先生兼任财务总监。</w:t>
      </w:r>
    </w:p>
    <w:p>
      <w:pPr>
        <w:pStyle w:val="Style13"/>
        <w:keepNext w:val="0"/>
        <w:keepLines w:val="0"/>
        <w:widowControl w:val="0"/>
        <w:shd w:val="clear" w:color="auto" w:fill="auto"/>
        <w:tabs>
          <w:tab w:pos="499" w:val="left"/>
        </w:tabs>
        <w:bidi w:val="0"/>
        <w:spacing w:before="0" w:after="40" w:line="314" w:lineRule="exact"/>
        <w:ind w:left="0" w:right="0" w:firstLine="0"/>
        <w:jc w:val="left"/>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年第一次临时股东大会审议通过了《换届选举第九届董事会非独立董事》、《换届选举 第九届董事会独立董事》、《关于公司监事会换届选举的议案》，公司职工代表大会审议通过了《关于选举第九届监事会职 工代表监事的议案》，第九届董事会董事王巍先生、第九届监事会监事牛卓女士、王翰林女士、马志宏先生期初持股数为担 任监事、董事之日持有数量。</w:t>
      </w:r>
    </w:p>
    <w:p>
      <w:pPr>
        <w:pStyle w:val="Style13"/>
        <w:keepNext w:val="0"/>
        <w:keepLines w:val="0"/>
        <w:widowControl w:val="0"/>
        <w:shd w:val="clear" w:color="auto" w:fill="auto"/>
        <w:tabs>
          <w:tab w:pos="417" w:val="left"/>
        </w:tabs>
        <w:bidi w:val="0"/>
        <w:spacing w:before="0" w:after="40" w:line="314" w:lineRule="exact"/>
        <w:ind w:left="0" w:right="0" w:firstLine="0"/>
        <w:jc w:val="left"/>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rPr>
        <w:t>4</w:t>
      </w:r>
      <w:r>
        <w:rPr>
          <w:color w:val="000000"/>
          <w:spacing w:val="0"/>
          <w:w w:val="100"/>
          <w:position w:val="0"/>
        </w:rPr>
        <w:t>）</w:t>
        <w:tab/>
        <w:t>李鸿春先生同时担任公司董事及总裁职务，其持股情况在担任总裁职务一行填列。</w:t>
      </w:r>
    </w:p>
    <w:p>
      <w:pPr>
        <w:pStyle w:val="Style13"/>
        <w:keepNext w:val="0"/>
        <w:keepLines w:val="0"/>
        <w:widowControl w:val="0"/>
        <w:shd w:val="clear" w:color="auto" w:fill="auto"/>
        <w:tabs>
          <w:tab w:pos="495" w:val="left"/>
        </w:tabs>
        <w:bidi w:val="0"/>
        <w:spacing w:before="0" w:after="380" w:line="322" w:lineRule="exact"/>
        <w:ind w:left="0" w:right="0" w:firstLine="0"/>
        <w:jc w:val="left"/>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rPr>
        <w:t>5</w:t>
      </w:r>
      <w:r>
        <w:rPr>
          <w:color w:val="000000"/>
          <w:spacing w:val="0"/>
          <w:w w:val="100"/>
          <w:position w:val="0"/>
        </w:rPr>
        <w:t>）</w:t>
        <w:tab/>
        <w:t>独立董事王永利先生已于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日向公司董事会递交辞职报告，于第九届董事会第一次会议后正式辞去独立 董事职务。</w:t>
      </w:r>
    </w:p>
    <w:p>
      <w:pPr>
        <w:pStyle w:val="Style13"/>
        <w:keepNext w:val="0"/>
        <w:keepLines w:val="0"/>
        <w:widowControl w:val="0"/>
        <w:shd w:val="clear" w:color="auto" w:fill="auto"/>
        <w:bidi w:val="0"/>
        <w:spacing w:before="0" w:after="40" w:line="314" w:lineRule="exact"/>
        <w:ind w:left="0" w:right="0" w:firstLine="0"/>
        <w:jc w:val="left"/>
      </w:pPr>
      <w:r>
        <w:rPr>
          <w:color w:val="000000"/>
          <w:spacing w:val="0"/>
          <w:w w:val="100"/>
          <w:position w:val="0"/>
        </w:rPr>
        <w:t>报告期是否存在任期内董事、监事离任和高级管理人员解聘的情况</w:t>
      </w:r>
    </w:p>
    <w:p>
      <w:pPr>
        <w:pStyle w:val="Style13"/>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口是"否</w:t>
      </w:r>
    </w:p>
    <w:p>
      <w:pPr>
        <w:pStyle w:val="Style13"/>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公司董事、监事、高级管理人员变动情况</w:t>
      </w:r>
    </w:p>
    <w:p>
      <w:pPr>
        <w:pStyle w:val="Style13"/>
        <w:keepNext w:val="0"/>
        <w:keepLines w:val="0"/>
        <w:widowControl w:val="0"/>
        <w:shd w:val="clear" w:color="auto" w:fill="auto"/>
        <w:bidi w:val="0"/>
        <w:spacing w:before="0" w:after="100" w:line="314" w:lineRule="exact"/>
        <w:ind w:left="0" w:right="0" w:firstLine="0"/>
        <w:jc w:val="both"/>
      </w:pPr>
      <w:r>
        <w:rPr>
          <w:color w:val="000000"/>
          <w:spacing w:val="0"/>
          <w:w w:val="100"/>
          <w:position w:val="0"/>
        </w:rPr>
        <w:t>”适用口不适用</w:t>
      </w:r>
    </w:p>
    <w:tbl>
      <w:tblPr>
        <w:tblOverlap w:val="never"/>
        <w:jc w:val="center"/>
        <w:tblLayout w:type="fixed"/>
      </w:tblPr>
      <w:tblGrid>
        <w:gridCol w:w="1334"/>
        <w:gridCol w:w="1330"/>
        <w:gridCol w:w="1147"/>
        <w:gridCol w:w="1680"/>
        <w:gridCol w:w="408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北区总裁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根据公司业务需求聘任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唐智峰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南区总裁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根据公司业务需求聘任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根据公司业务需求聘任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闫光明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根据公司业务需求聘任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根据公司业务需求聘任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于宏志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职务由</w:t>
            </w:r>
            <w:r>
              <w:rPr>
                <w:rFonts w:ascii="Times New Roman" w:eastAsia="Times New Roman" w:hAnsi="Times New Roman" w:cs="Times New Roman"/>
                <w:color w:val="000000"/>
                <w:spacing w:val="0"/>
                <w:w w:val="100"/>
                <w:position w:val="0"/>
              </w:rPr>
              <w:t>CTO</w:t>
            </w:r>
            <w:r>
              <w:rPr>
                <w:color w:val="000000"/>
                <w:spacing w:val="0"/>
                <w:w w:val="100"/>
                <w:position w:val="0"/>
              </w:rPr>
              <w:t>调整为副总裁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职务由财务总监调整为副总裁</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财务总监兼董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董事会秘书兼任财务总监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第八届董事会任期届满离任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被选举为第九届董事会成员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因在公司连续任职独立董事即将满</w:t>
            </w:r>
            <w:r>
              <w:rPr>
                <w:rFonts w:ascii="Times New Roman" w:eastAsia="Times New Roman" w:hAnsi="Times New Roman" w:cs="Times New Roman"/>
                <w:color w:val="000000"/>
                <w:spacing w:val="0"/>
                <w:w w:val="100"/>
                <w:position w:val="0"/>
              </w:rPr>
              <w:t>6</w:t>
            </w:r>
            <w:r>
              <w:rPr>
                <w:color w:val="000000"/>
                <w:spacing w:val="0"/>
                <w:w w:val="100"/>
                <w:position w:val="0"/>
              </w:rPr>
              <w:t>年，为保持 独立董事的独立性于第八届董事会任期届满离任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被选举为第九届董事会成员</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第八届监事会任期届满离任</w:t>
            </w:r>
          </w:p>
        </w:tc>
      </w:tr>
    </w:tbl>
    <w:tbl>
      <w:tblPr>
        <w:tblOverlap w:val="never"/>
        <w:jc w:val="center"/>
        <w:tblLayout w:type="fixed"/>
      </w:tblPr>
      <w:tblGrid>
        <w:gridCol w:w="1334"/>
        <w:gridCol w:w="1330"/>
        <w:gridCol w:w="1147"/>
        <w:gridCol w:w="1680"/>
        <w:gridCol w:w="4085"/>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第八届监事会任期届满离任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第八届监事会任期届满离任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被选举为第九届监事会职工代表监事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被选举为第九届监事会监事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王翰林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被选举为第九届监事会监事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根据公司业务需求聘任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根据公司业务需求聘任</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崔晓天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信创首席专家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both"/>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2</w:t>
      </w:r>
      <w:bookmarkEnd w:id="295"/>
      <w:r>
        <w:rPr>
          <w:color w:val="000000"/>
          <w:spacing w:val="0"/>
          <w:w w:val="100"/>
          <w:position w:val="0"/>
        </w:rPr>
        <w:t>、任职情况</w:t>
      </w:r>
      <w:bookmarkEnd w:id="293"/>
      <w:bookmarkEnd w:id="294"/>
      <w:bookmarkEnd w:id="296"/>
    </w:p>
    <w:p>
      <w:pPr>
        <w:pStyle w:val="Style13"/>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3"/>
        <w:keepNext w:val="0"/>
        <w:keepLines w:val="0"/>
        <w:widowControl w:val="0"/>
        <w:shd w:val="clear" w:color="auto" w:fill="auto"/>
        <w:bidi w:val="0"/>
        <w:spacing w:before="0" w:after="40" w:line="314" w:lineRule="exact"/>
        <w:ind w:left="0" w:right="0" w:firstLine="0"/>
        <w:jc w:val="both"/>
      </w:pPr>
      <w:r>
        <w:rPr>
          <w:color w:val="000000"/>
          <w:spacing w:val="0"/>
          <w:w w:val="100"/>
          <w:position w:val="0"/>
        </w:rPr>
        <w:t>（一）董事会成员</w:t>
      </w:r>
    </w:p>
    <w:p>
      <w:pPr>
        <w:pStyle w:val="Style13"/>
        <w:keepNext w:val="0"/>
        <w:keepLines w:val="0"/>
        <w:widowControl w:val="0"/>
        <w:shd w:val="clear" w:color="auto" w:fill="auto"/>
        <w:bidi w:val="0"/>
        <w:spacing w:before="0" w:after="40" w:line="313" w:lineRule="exact"/>
        <w:ind w:left="0" w:right="0" w:firstLine="280"/>
        <w:jc w:val="both"/>
      </w:pPr>
      <w:r>
        <w:rPr>
          <w:color w:val="000000"/>
          <w:spacing w:val="0"/>
          <w:w w:val="100"/>
          <w:position w:val="0"/>
        </w:rPr>
        <w:t>郭为，男，</w:t>
      </w:r>
      <w:r>
        <w:rPr>
          <w:rFonts w:ascii="Times New Roman" w:eastAsia="Times New Roman" w:hAnsi="Times New Roman" w:cs="Times New Roman"/>
          <w:color w:val="000000"/>
          <w:spacing w:val="0"/>
          <w:w w:val="100"/>
          <w:position w:val="0"/>
        </w:rPr>
        <w:t>1988</w:t>
      </w:r>
      <w:r>
        <w:rPr>
          <w:color w:val="000000"/>
          <w:spacing w:val="0"/>
          <w:w w:val="100"/>
          <w:position w:val="0"/>
        </w:rPr>
        <w:t>年获中国科学技术大学工学硕士学位。曾任泰康人寿保险股份有限公司独立董事、鼎捷软件股份有限公 司董事、上海浦东发展银行股份有限公司独立董事、慧聪集团有限公司非执行董事（前称慧聪网有限公司）、中国南方航空 股份有限公司非执行独立董事等职务；现任北京首钢基金有限公司董事、中国南方航空股份有限公司独立董事、神州数码控 股有限公司董事会主席兼首席执行官及执行董事、神州数码信息服务股份有限公司董事长、神州数码集团股份有限公司董事 长兼总裁，以及在上述公司的下属子公司任董事长或董事等职务。</w:t>
      </w:r>
    </w:p>
    <w:p>
      <w:pPr>
        <w:pStyle w:val="Style13"/>
        <w:keepNext w:val="0"/>
        <w:keepLines w:val="0"/>
        <w:widowControl w:val="0"/>
        <w:shd w:val="clear" w:color="auto" w:fill="auto"/>
        <w:bidi w:val="0"/>
        <w:spacing w:before="0" w:after="40" w:line="314" w:lineRule="exact"/>
        <w:ind w:left="0" w:right="0" w:firstLine="280"/>
        <w:jc w:val="both"/>
      </w:pPr>
      <w:r>
        <w:rPr>
          <w:color w:val="000000"/>
          <w:spacing w:val="0"/>
          <w:w w:val="100"/>
          <w:position w:val="0"/>
        </w:rPr>
        <w:t>费建江，男，</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月获南华大学经济学学士学位；</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月获西安交通大学高级管理人员工商管理硕士学位。曾 任苏州晶方半导体科技股份有限公司董事、首长四方（集团）有限公司独立非执行董事等职务，现任神州数码信息服务股份 有限公司董事、苏州工业园区元禾原点创业投资管理有限公司董事兼总经理，并在多家投资公司及苏州工业园区元禾原点创 业投资管理有限公司管理的基金之</w:t>
      </w:r>
      <w:r>
        <w:rPr>
          <w:rFonts w:ascii="Times New Roman" w:eastAsia="Times New Roman" w:hAnsi="Times New Roman" w:cs="Times New Roman"/>
          <w:color w:val="000000"/>
          <w:spacing w:val="0"/>
          <w:w w:val="100"/>
          <w:position w:val="0"/>
        </w:rPr>
        <w:t>GP</w:t>
      </w:r>
      <w:r>
        <w:rPr>
          <w:color w:val="000000"/>
          <w:spacing w:val="0"/>
          <w:w w:val="100"/>
          <w:position w:val="0"/>
        </w:rPr>
        <w:t>中担任董事或执行事务合伙人等职务。</w:t>
      </w:r>
    </w:p>
    <w:p>
      <w:pPr>
        <w:pStyle w:val="Style13"/>
        <w:keepNext w:val="0"/>
        <w:keepLines w:val="0"/>
        <w:widowControl w:val="0"/>
        <w:shd w:val="clear" w:color="auto" w:fill="auto"/>
        <w:bidi w:val="0"/>
        <w:spacing w:before="0" w:after="40" w:line="319" w:lineRule="exact"/>
        <w:ind w:left="0" w:right="0" w:firstLine="280"/>
        <w:jc w:val="both"/>
      </w:pPr>
      <w:r>
        <w:rPr>
          <w:color w:val="000000"/>
          <w:spacing w:val="0"/>
          <w:w w:val="100"/>
          <w:position w:val="0"/>
        </w:rPr>
        <w:t>李鸿春，男，</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月毕业于北京理工大学，获工学学士学位。曾任神州数码信息服务股份有限公司常务副总裁、副 总裁、集成</w:t>
      </w:r>
      <w:r>
        <w:rPr>
          <w:rFonts w:ascii="Times New Roman" w:eastAsia="Times New Roman" w:hAnsi="Times New Roman" w:cs="Times New Roman"/>
          <w:color w:val="000000"/>
          <w:spacing w:val="0"/>
          <w:w w:val="100"/>
          <w:position w:val="0"/>
        </w:rPr>
        <w:t>SBU</w:t>
      </w:r>
      <w:r>
        <w:rPr>
          <w:color w:val="000000"/>
          <w:spacing w:val="0"/>
          <w:w w:val="100"/>
          <w:position w:val="0"/>
        </w:rPr>
        <w:t>总裁等职务；现任公司董事兼总裁、金融</w:t>
      </w:r>
      <w:r>
        <w:rPr>
          <w:rFonts w:ascii="Times New Roman" w:eastAsia="Times New Roman" w:hAnsi="Times New Roman" w:cs="Times New Roman"/>
          <w:color w:val="000000"/>
          <w:spacing w:val="0"/>
          <w:w w:val="100"/>
          <w:position w:val="0"/>
        </w:rPr>
        <w:t>SBG</w:t>
      </w:r>
      <w:r>
        <w:rPr>
          <w:color w:val="000000"/>
          <w:spacing w:val="0"/>
          <w:w w:val="100"/>
          <w:position w:val="0"/>
        </w:rPr>
        <w:t>金融营销中心总经理、神州数码融信云技术服务有限公司董 事、北京神州邦邦技术服务有限公司董事、天津国科量子科技有限公司监事会主席等职务。</w:t>
      </w:r>
    </w:p>
    <w:p>
      <w:pPr>
        <w:pStyle w:val="Style13"/>
        <w:keepNext w:val="0"/>
        <w:keepLines w:val="0"/>
        <w:widowControl w:val="0"/>
        <w:shd w:val="clear" w:color="auto" w:fill="auto"/>
        <w:bidi w:val="0"/>
        <w:spacing w:before="0" w:after="40" w:line="315" w:lineRule="exact"/>
        <w:ind w:left="0" w:right="0" w:firstLine="280"/>
        <w:jc w:val="both"/>
      </w:pPr>
      <w:r>
        <w:rPr>
          <w:color w:val="000000"/>
          <w:spacing w:val="0"/>
          <w:w w:val="100"/>
          <w:position w:val="0"/>
        </w:rPr>
        <w:t>杨晓樱，女，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月获中欧国际工商学院工商管理硕士学位。曾任甲骨文</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软件系统有限公司副总裁、福建实 达集团股份有限公司董事、仁天科技控股有限公司</w:t>
      </w:r>
      <w:r>
        <w:rPr>
          <w:rFonts w:ascii="Times New Roman" w:eastAsia="Times New Roman" w:hAnsi="Times New Roman" w:cs="Times New Roman"/>
          <w:color w:val="000000"/>
          <w:spacing w:val="0"/>
          <w:w w:val="100"/>
          <w:position w:val="0"/>
        </w:rPr>
        <w:t>CEO</w:t>
      </w:r>
      <w:r>
        <w:rPr>
          <w:color w:val="000000"/>
          <w:spacing w:val="0"/>
          <w:w w:val="100"/>
          <w:position w:val="0"/>
        </w:rPr>
        <w:t>及执行董事、神州数码信息服务股份有限公司独立董事、北京三人 行数字传播股份有限公司（前称北京众成就数字传媒股份有限公司）独立董事、深圳海联讯科技股份有限公司独立董事等； 现任神州数码信息服务股份有限公司董事。</w:t>
      </w:r>
    </w:p>
    <w:p>
      <w:pPr>
        <w:pStyle w:val="Style13"/>
        <w:keepNext w:val="0"/>
        <w:keepLines w:val="0"/>
        <w:widowControl w:val="0"/>
        <w:shd w:val="clear" w:color="auto" w:fill="auto"/>
        <w:bidi w:val="0"/>
        <w:spacing w:before="0" w:after="40" w:line="314" w:lineRule="exact"/>
        <w:ind w:left="0" w:right="0" w:firstLine="280"/>
        <w:jc w:val="both"/>
      </w:pPr>
      <w:r>
        <w:rPr>
          <w:color w:val="000000"/>
          <w:spacing w:val="0"/>
          <w:w w:val="100"/>
          <w:position w:val="0"/>
        </w:rPr>
        <w:t>邢景峰，男，</w:t>
      </w:r>
      <w:r>
        <w:rPr>
          <w:rFonts w:ascii="Times New Roman" w:eastAsia="Times New Roman" w:hAnsi="Times New Roman" w:cs="Times New Roman"/>
          <w:color w:val="000000"/>
          <w:spacing w:val="0"/>
          <w:w w:val="100"/>
          <w:position w:val="0"/>
        </w:rPr>
        <w:t>2009</w:t>
      </w:r>
      <w:r>
        <w:rPr>
          <w:color w:val="000000"/>
          <w:spacing w:val="0"/>
          <w:w w:val="100"/>
          <w:position w:val="0"/>
        </w:rPr>
        <w:t>年获得北京工商大学管理学学士学位。曾历任神州数码控股有限公司集团财务部副总经理、审计部总 经理、助理总裁职务；现任神州数码软件有限公司董事、神州数码控股有限公司副总裁、审计部总经理及神州数码控股有限 公司旗下控股参股等相关公司董事、监事或法定代表人等职务。</w:t>
      </w:r>
    </w:p>
    <w:p>
      <w:pPr>
        <w:pStyle w:val="Style13"/>
        <w:keepNext w:val="0"/>
        <w:keepLines w:val="0"/>
        <w:widowControl w:val="0"/>
        <w:shd w:val="clear" w:color="auto" w:fill="auto"/>
        <w:bidi w:val="0"/>
        <w:spacing w:before="0" w:after="40" w:line="316" w:lineRule="exact"/>
        <w:ind w:left="0" w:right="0" w:firstLine="280"/>
        <w:jc w:val="both"/>
      </w:pPr>
      <w:r>
        <w:rPr>
          <w:color w:val="000000"/>
          <w:spacing w:val="0"/>
          <w:w w:val="100"/>
          <w:position w:val="0"/>
        </w:rPr>
        <w:t>罗婷，女，</w:t>
      </w:r>
      <w:r>
        <w:rPr>
          <w:rFonts w:ascii="Times New Roman" w:eastAsia="Times New Roman" w:hAnsi="Times New Roman" w:cs="Times New Roman"/>
          <w:color w:val="000000"/>
          <w:spacing w:val="0"/>
          <w:w w:val="100"/>
          <w:position w:val="0"/>
        </w:rPr>
        <w:t>1997</w:t>
      </w:r>
      <w:r>
        <w:rPr>
          <w:color w:val="000000"/>
          <w:spacing w:val="0"/>
          <w:w w:val="100"/>
          <w:position w:val="0"/>
        </w:rPr>
        <w:t>年毕业于北京大学光华管理学院，获经济学学士学位；</w:t>
      </w:r>
      <w:r>
        <w:rPr>
          <w:rFonts w:ascii="Times New Roman" w:eastAsia="Times New Roman" w:hAnsi="Times New Roman" w:cs="Times New Roman"/>
          <w:color w:val="000000"/>
          <w:spacing w:val="0"/>
          <w:w w:val="100"/>
          <w:position w:val="0"/>
        </w:rPr>
        <w:t>2007</w:t>
      </w:r>
      <w:r>
        <w:rPr>
          <w:color w:val="000000"/>
          <w:spacing w:val="0"/>
          <w:w w:val="100"/>
          <w:position w:val="0"/>
        </w:rPr>
        <w:t>年毕业于美国威斯康辛大学麦迪逊分校商学 院，获会计学博士学位；为非执业中国注册会计师。曾历任中国人保集团、中国人寿保险股份有限公司财务分析师、清华大 学经济管理学院助理教授、副教授（博士生导师）、基康仪器股份有限公司独立董事、北京鹰瞳科技发展股份有限公司独立 董事等职务，现任清华大学经济管理学院长聘副教授（博士生导师）、阿尔卡特汽车技术股份有限公司独立董事、北京三元 食品股份有限公司独立董事、北京华宇软件股份有限公司独立董事、神州数码信息服务股份有限公司独立董事等职务。</w:t>
      </w:r>
    </w:p>
    <w:p>
      <w:pPr>
        <w:pStyle w:val="Style13"/>
        <w:keepNext w:val="0"/>
        <w:keepLines w:val="0"/>
        <w:widowControl w:val="0"/>
        <w:shd w:val="clear" w:color="auto" w:fill="auto"/>
        <w:bidi w:val="0"/>
        <w:spacing w:before="0" w:after="0" w:line="312" w:lineRule="exact"/>
        <w:ind w:left="0" w:right="0" w:firstLine="280"/>
        <w:jc w:val="both"/>
      </w:pPr>
      <w:r>
        <w:rPr>
          <w:color w:val="000000"/>
          <w:spacing w:val="0"/>
          <w:w w:val="100"/>
          <w:position w:val="0"/>
        </w:rPr>
        <w:t>王永利，男，博士学历，高级会计师。</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月毕业于杭州商学院（现浙江工商大学）会计系，获经济学学士学位； </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月毕业于中国人民大学财政系，获经济学硕士学位；</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月，中央党校一年制中青班（</w:t>
      </w:r>
      <w:r>
        <w:rPr>
          <w:rFonts w:ascii="Times New Roman" w:eastAsia="Times New Roman" w:hAnsi="Times New Roman" w:cs="Times New Roman"/>
          <w:color w:val="000000"/>
          <w:spacing w:val="0"/>
          <w:w w:val="100"/>
          <w:position w:val="0"/>
        </w:rPr>
        <w:t>21</w:t>
      </w:r>
      <w:r>
        <w:rPr>
          <w:color w:val="000000"/>
          <w:spacing w:val="0"/>
          <w:w w:val="100"/>
          <w:position w:val="0"/>
        </w:rPr>
        <w:t>期） 学习；</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月，毕业于厦门大学，获经济学博士学位。曾任中国银行股份有限公司行长助理、副行长、执行董事、资 深研究员，乐视金融</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乐视控股</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 xml:space="preserve">有限公司高级副总裁、中国国际期货有限公司副董事长、深圳海王集团股份有限 </w:t>
      </w:r>
      <w:r>
        <w:rPr>
          <w:color w:val="000000"/>
          <w:spacing w:val="0"/>
          <w:w w:val="100"/>
          <w:position w:val="0"/>
        </w:rPr>
        <w:t>公司首席经济学家、深圳市全药网科技有限公司执行总裁、中国船舶重工股份有限公司独立董事、国任财产保险股份有限公 司独立董事、中薇金融控股有限公司独立非执行董事等职务，现任中国国际期货股份有限公司执行总裁及神州数码信息服务 股份有限公司独立董事等职务。</w:t>
      </w:r>
    </w:p>
    <w:p>
      <w:pPr>
        <w:pStyle w:val="Style13"/>
        <w:keepNext w:val="0"/>
        <w:keepLines w:val="0"/>
        <w:widowControl w:val="0"/>
        <w:shd w:val="clear" w:color="auto" w:fill="auto"/>
        <w:bidi w:val="0"/>
        <w:spacing w:before="0" w:after="0" w:line="314" w:lineRule="exact"/>
        <w:ind w:left="0" w:right="0" w:firstLine="280"/>
        <w:jc w:val="left"/>
      </w:pPr>
      <w:r>
        <w:rPr>
          <w:color w:val="000000"/>
          <w:spacing w:val="0"/>
          <w:w w:val="100"/>
          <w:position w:val="0"/>
        </w:rPr>
        <w:t>黄辉，男，</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月毕业于厦门大学，获计算机学士学位；</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月毕业于德国波恩大学，获应用数学硕士学位； </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月毕业于德国波恩大学，获应用数学博士学位。曾历任</w:t>
      </w:r>
      <w:r>
        <w:rPr>
          <w:rFonts w:ascii="Times New Roman" w:eastAsia="Times New Roman" w:hAnsi="Times New Roman" w:cs="Times New Roman"/>
          <w:color w:val="000000"/>
          <w:spacing w:val="0"/>
          <w:w w:val="100"/>
          <w:position w:val="0"/>
        </w:rPr>
        <w:t>TPG</w:t>
      </w:r>
      <w:r>
        <w:rPr>
          <w:color w:val="000000"/>
          <w:spacing w:val="0"/>
          <w:w w:val="100"/>
          <w:position w:val="0"/>
        </w:rPr>
        <w:t>德太投资集团执行合伙人、德国电信</w:t>
      </w:r>
      <w:r>
        <w:rPr>
          <w:rFonts w:ascii="Times New Roman" w:eastAsia="Times New Roman" w:hAnsi="Times New Roman" w:cs="Times New Roman"/>
          <w:color w:val="000000"/>
          <w:spacing w:val="0"/>
          <w:w w:val="100"/>
          <w:position w:val="0"/>
        </w:rPr>
        <w:t xml:space="preserve">Deutsche Telekom </w:t>
      </w:r>
      <w:r>
        <w:rPr>
          <w:color w:val="000000"/>
          <w:spacing w:val="0"/>
          <w:w w:val="100"/>
          <w:position w:val="0"/>
        </w:rPr>
        <w:t>大中华区</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均瑶集团</w:t>
      </w:r>
      <w:r>
        <w:rPr>
          <w:rFonts w:ascii="Times New Roman" w:eastAsia="Times New Roman" w:hAnsi="Times New Roman" w:cs="Times New Roman"/>
          <w:color w:val="000000"/>
          <w:spacing w:val="0"/>
          <w:w w:val="100"/>
          <w:position w:val="0"/>
        </w:rPr>
        <w:t>CEO</w:t>
      </w:r>
      <w:r>
        <w:rPr>
          <w:color w:val="000000"/>
          <w:spacing w:val="0"/>
          <w:w w:val="100"/>
          <w:position w:val="0"/>
        </w:rPr>
        <w:t>、</w:t>
      </w:r>
      <w:r>
        <w:rPr>
          <w:rFonts w:ascii="Times New Roman" w:eastAsia="Times New Roman" w:hAnsi="Times New Roman" w:cs="Times New Roman"/>
          <w:color w:val="000000"/>
          <w:spacing w:val="0"/>
          <w:w w:val="100"/>
          <w:position w:val="0"/>
        </w:rPr>
        <w:t>KPMG</w:t>
      </w:r>
      <w:r>
        <w:rPr>
          <w:color w:val="000000"/>
          <w:spacing w:val="0"/>
          <w:w w:val="100"/>
          <w:position w:val="0"/>
        </w:rPr>
        <w:t>毕马威管理咨询（后更名为毕博）全球执行副总裁兼大中华区</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日本毕马威 管理咨询公司董事总经理、上海华瑞银行股份有限公司独立董事、无锡市建融瓴祥投资管理有限公司董事长、上海欧庭翻译 有限公司、泊颂（北京）生物科技有限公司等职务</w:t>
      </w:r>
      <w:r>
        <w:rPr>
          <w:rFonts w:ascii="Times New Roman" w:eastAsia="Times New Roman" w:hAnsi="Times New Roman" w:cs="Times New Roman"/>
          <w:color w:val="000000"/>
          <w:spacing w:val="0"/>
          <w:w w:val="100"/>
          <w:position w:val="0"/>
        </w:rPr>
        <w:t>,</w:t>
      </w:r>
      <w:r>
        <w:rPr>
          <w:color w:val="000000"/>
          <w:spacing w:val="0"/>
          <w:w w:val="100"/>
          <w:position w:val="0"/>
        </w:rPr>
        <w:t>现任上海品星互联网信息技术股份有限公司独立董事、上海爱建信托有 限责任公司独立董事、上海宽氪晟初投资管理有限公司董事长、上海宽氪企业管理咨询有限公司执行董事、上海云简软件科 技有限公司董事、神州数码信息服务股份有限公司独立董事等职务。</w:t>
      </w:r>
    </w:p>
    <w:p>
      <w:pPr>
        <w:pStyle w:val="Style13"/>
        <w:keepNext w:val="0"/>
        <w:keepLines w:val="0"/>
        <w:widowControl w:val="0"/>
        <w:shd w:val="clear" w:color="auto" w:fill="auto"/>
        <w:bidi w:val="0"/>
        <w:spacing w:before="0" w:after="0" w:line="316" w:lineRule="exact"/>
        <w:ind w:left="0" w:right="0" w:firstLine="280"/>
        <w:jc w:val="left"/>
      </w:pPr>
      <w:r>
        <w:rPr>
          <w:rFonts w:ascii="Times New Roman" w:eastAsia="Times New Roman" w:hAnsi="Times New Roman" w:cs="Times New Roman"/>
          <w:color w:val="000000"/>
          <w:spacing w:val="0"/>
          <w:w w:val="100"/>
          <w:position w:val="0"/>
        </w:rPr>
        <w:t>BENJAMIN ZHA</w:t>
      </w:r>
      <w:r>
        <w:rPr>
          <w:rFonts w:ascii="Times New Roman" w:eastAsia="Times New Roman" w:hAnsi="Times New Roman" w:cs="Times New Roman"/>
          <w:color w:val="000000"/>
          <w:spacing w:val="0"/>
          <w:w w:val="100"/>
          <w:position w:val="0"/>
        </w:rPr>
        <w:t>I</w:t>
      </w:r>
      <w:r>
        <w:rPr>
          <w:color w:val="000000"/>
          <w:spacing w:val="0"/>
          <w:w w:val="100"/>
          <w:position w:val="0"/>
        </w:rPr>
        <w:t>（翟斌），男，</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月毕业于武汉理工大学，获工学学士学位；</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月毕业于澳大利亚国立 大学，获工商管理硕士学位；现就读清华大学五道口金融学院金融</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曾历任美国科尔尼公司北京公司董事总经理、 瑞士亿康先达公司亚太区工业业务管理合伙人、美国罗盛咨询公司海外中国中心总经理、本瓴才富创始人、</w:t>
      </w:r>
      <w:r>
        <w:rPr>
          <w:rFonts w:ascii="Times New Roman" w:eastAsia="Times New Roman" w:hAnsi="Times New Roman" w:cs="Times New Roman"/>
          <w:color w:val="000000"/>
          <w:spacing w:val="0"/>
          <w:w w:val="100"/>
          <w:position w:val="0"/>
        </w:rPr>
        <w:t>CanooInc.</w:t>
      </w:r>
      <w:r>
        <w:rPr>
          <w:color w:val="000000"/>
          <w:spacing w:val="0"/>
          <w:w w:val="100"/>
          <w:position w:val="0"/>
        </w:rPr>
        <w:t>中国 区首席执行官、蔚来汽车用户信托理事长。现任深圳市人才集团有限公司中国区首席执行官、蔚来汽车用户信托基金理事长、 神州数码信息服务股份有限公司独立董事等职务。</w:t>
      </w:r>
    </w:p>
    <w:p>
      <w:pPr>
        <w:pStyle w:val="Style13"/>
        <w:keepNext w:val="0"/>
        <w:keepLines w:val="0"/>
        <w:widowControl w:val="0"/>
        <w:shd w:val="clear" w:color="auto" w:fill="auto"/>
        <w:bidi w:val="0"/>
        <w:spacing w:before="0" w:after="0" w:line="310" w:lineRule="exact"/>
        <w:ind w:left="0" w:right="0" w:firstLine="280"/>
        <w:jc w:val="left"/>
      </w:pPr>
      <w:r>
        <w:rPr>
          <w:color w:val="000000"/>
          <w:spacing w:val="0"/>
          <w:w w:val="100"/>
          <w:position w:val="0"/>
        </w:rPr>
        <w:t>王巍，男，中国国籍，获美国福特姆大学国际金融博士学位。曾任东软集团股份有限公司独立董事、华远地产股份有限 公司独立董事、中国光大集团股份公司董事、全联并购公会创始会长、亚洲并购协会联席主席。现任金融博物馆理事长、北 京中关村银行股份有限公司独立董事、上海仁会生物制药股份有限公司董事、中国瑞林工程技术股份有限公司独立董事、嘉 实基金管理有限公司董事、神州数码信息服务股份有限公司独立董事等职务。</w:t>
      </w:r>
    </w:p>
    <w:p>
      <w:pPr>
        <w:pStyle w:val="Style13"/>
        <w:keepNext w:val="0"/>
        <w:keepLines w:val="0"/>
        <w:widowControl w:val="0"/>
        <w:shd w:val="clear" w:color="auto" w:fill="auto"/>
        <w:tabs>
          <w:tab w:pos="471" w:val="left"/>
        </w:tabs>
        <w:bidi w:val="0"/>
        <w:spacing w:before="0" w:after="0" w:line="314" w:lineRule="exact"/>
        <w:ind w:left="0" w:right="0" w:firstLine="0"/>
        <w:jc w:val="both"/>
      </w:pPr>
      <w:bookmarkStart w:id="297" w:name="bookmark297"/>
      <w:r>
        <w:rPr>
          <w:color w:val="000000"/>
          <w:spacing w:val="0"/>
          <w:w w:val="100"/>
          <w:position w:val="0"/>
        </w:rPr>
        <w:t>（</w:t>
      </w:r>
      <w:bookmarkEnd w:id="297"/>
      <w:r>
        <w:rPr>
          <w:color w:val="000000"/>
          <w:spacing w:val="0"/>
          <w:w w:val="100"/>
          <w:position w:val="0"/>
        </w:rPr>
        <w:t>二）</w:t>
        <w:tab/>
        <w:t>监事会成员</w:t>
      </w:r>
    </w:p>
    <w:p>
      <w:pPr>
        <w:pStyle w:val="Style13"/>
        <w:keepNext w:val="0"/>
        <w:keepLines w:val="0"/>
        <w:widowControl w:val="0"/>
        <w:shd w:val="clear" w:color="auto" w:fill="auto"/>
        <w:bidi w:val="0"/>
        <w:spacing w:before="0" w:after="0" w:line="315" w:lineRule="exact"/>
        <w:ind w:left="0" w:right="0"/>
        <w:jc w:val="left"/>
      </w:pPr>
      <w:r>
        <w:rPr>
          <w:color w:val="000000"/>
          <w:spacing w:val="0"/>
          <w:w w:val="100"/>
          <w:position w:val="0"/>
        </w:rPr>
        <w:t>牛卓，女，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月毕业于天津大学，获管理学硕士学位。曾历任神州数码（中国）有限公司金融服务本部副总经 理、企划办主任，神州数码软件有限公司金融服务战略本部企划办主任、财务部总经理，神州数码信息服务股份有限公司监 事会主席；现任神州数码控股有限公司财务部总经理及神州数码控股有限公司旗下控股参股等相关公司董事或法定代表人、 神州数码信息服务股份有限公司监事会主席等职务。</w:t>
      </w:r>
    </w:p>
    <w:p>
      <w:pPr>
        <w:pStyle w:val="Style13"/>
        <w:keepNext w:val="0"/>
        <w:keepLines w:val="0"/>
        <w:widowControl w:val="0"/>
        <w:shd w:val="clear" w:color="auto" w:fill="auto"/>
        <w:bidi w:val="0"/>
        <w:spacing w:before="0" w:after="0" w:line="322" w:lineRule="exact"/>
        <w:ind w:left="0" w:right="0" w:firstLine="280"/>
        <w:jc w:val="both"/>
      </w:pPr>
      <w:r>
        <w:rPr>
          <w:color w:val="000000"/>
          <w:spacing w:val="0"/>
          <w:w w:val="100"/>
          <w:position w:val="0"/>
        </w:rPr>
        <w:t>王翰林，女，</w:t>
      </w:r>
      <w:r>
        <w:rPr>
          <w:rFonts w:ascii="Times New Roman" w:eastAsia="Times New Roman" w:hAnsi="Times New Roman" w:cs="Times New Roman"/>
          <w:color w:val="000000"/>
          <w:spacing w:val="0"/>
          <w:w w:val="100"/>
          <w:position w:val="0"/>
        </w:rPr>
        <w:t>2012</w:t>
      </w:r>
      <w:r>
        <w:rPr>
          <w:color w:val="000000"/>
          <w:spacing w:val="0"/>
          <w:w w:val="100"/>
          <w:position w:val="0"/>
        </w:rPr>
        <w:t>年获得西南财经大学硕士学位。曾历任神州数码集团股份有限公司审计部副总经理、神州数码控股有 限公司审计总监；现任神州数码控股有限公司财务部副总经理、神州数码信息服务股份有限公司监事职务。</w:t>
      </w:r>
    </w:p>
    <w:p>
      <w:pPr>
        <w:pStyle w:val="Style13"/>
        <w:keepNext w:val="0"/>
        <w:keepLines w:val="0"/>
        <w:widowControl w:val="0"/>
        <w:shd w:val="clear" w:color="auto" w:fill="auto"/>
        <w:bidi w:val="0"/>
        <w:spacing w:before="0" w:after="0" w:line="314" w:lineRule="exact"/>
        <w:ind w:left="0" w:right="0" w:firstLine="280"/>
        <w:jc w:val="both"/>
      </w:pPr>
      <w:r>
        <w:rPr>
          <w:color w:val="000000"/>
          <w:spacing w:val="0"/>
          <w:w w:val="100"/>
          <w:position w:val="0"/>
        </w:rPr>
        <w:t>马志宏，男，</w:t>
      </w:r>
      <w:r>
        <w:rPr>
          <w:rFonts w:ascii="Times New Roman" w:eastAsia="Times New Roman" w:hAnsi="Times New Roman" w:cs="Times New Roman"/>
          <w:color w:val="000000"/>
          <w:spacing w:val="0"/>
          <w:w w:val="100"/>
          <w:position w:val="0"/>
        </w:rPr>
        <w:t>2013</w:t>
      </w:r>
      <w:r>
        <w:rPr>
          <w:color w:val="000000"/>
          <w:spacing w:val="0"/>
          <w:w w:val="100"/>
          <w:position w:val="0"/>
        </w:rPr>
        <w:t>年获得吉林大学工学学士学位。曾历任神州数码信息服务股份有限公司集成服务本部移动事业部总经 理、渠道及采购管理部总经理、企划办副主任、营销管理中心常务副总经理等职务；现任神州数码信息服务股份有限公司营 销管理中心总经理、神州数码信息服务股份有限公司监事职务。</w:t>
      </w:r>
    </w:p>
    <w:p>
      <w:pPr>
        <w:pStyle w:val="Style13"/>
        <w:keepNext w:val="0"/>
        <w:keepLines w:val="0"/>
        <w:widowControl w:val="0"/>
        <w:shd w:val="clear" w:color="auto" w:fill="auto"/>
        <w:tabs>
          <w:tab w:pos="471" w:val="left"/>
        </w:tabs>
        <w:bidi w:val="0"/>
        <w:spacing w:before="0" w:after="0" w:line="314" w:lineRule="exact"/>
        <w:ind w:left="0" w:right="0" w:firstLine="0"/>
        <w:jc w:val="both"/>
      </w:pPr>
      <w:bookmarkStart w:id="298" w:name="bookmark298"/>
      <w:r>
        <w:rPr>
          <w:color w:val="000000"/>
          <w:spacing w:val="0"/>
          <w:w w:val="100"/>
          <w:position w:val="0"/>
        </w:rPr>
        <w:t>（</w:t>
      </w:r>
      <w:bookmarkEnd w:id="298"/>
      <w:r>
        <w:rPr>
          <w:color w:val="000000"/>
          <w:spacing w:val="0"/>
          <w:w w:val="100"/>
          <w:position w:val="0"/>
        </w:rPr>
        <w:t>三）</w:t>
        <w:tab/>
        <w:t>高级管理人员</w:t>
      </w:r>
    </w:p>
    <w:p>
      <w:pPr>
        <w:pStyle w:val="Style13"/>
        <w:keepNext w:val="0"/>
        <w:keepLines w:val="0"/>
        <w:widowControl w:val="0"/>
        <w:shd w:val="clear" w:color="auto" w:fill="auto"/>
        <w:bidi w:val="0"/>
        <w:spacing w:before="0" w:after="0" w:line="314" w:lineRule="exact"/>
        <w:ind w:left="0" w:right="0" w:firstLine="280"/>
        <w:jc w:val="both"/>
      </w:pPr>
      <w:r>
        <w:rPr>
          <w:color w:val="000000"/>
          <w:spacing w:val="0"/>
          <w:w w:val="100"/>
          <w:position w:val="0"/>
        </w:rPr>
        <w:t>李鸿春，请详见（一）董事会成员中的介绍。</w:t>
      </w:r>
    </w:p>
    <w:p>
      <w:pPr>
        <w:pStyle w:val="Style13"/>
        <w:keepNext w:val="0"/>
        <w:keepLines w:val="0"/>
        <w:widowControl w:val="0"/>
        <w:shd w:val="clear" w:color="auto" w:fill="auto"/>
        <w:bidi w:val="0"/>
        <w:spacing w:before="0" w:after="0" w:line="313" w:lineRule="exact"/>
        <w:ind w:left="0" w:right="0" w:firstLine="280"/>
        <w:jc w:val="both"/>
      </w:pPr>
      <w:r>
        <w:rPr>
          <w:color w:val="000000"/>
          <w:spacing w:val="0"/>
          <w:w w:val="100"/>
          <w:position w:val="0"/>
        </w:rPr>
        <w:t>赵文甫，男，</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月毕业于西安交通大学，获工学学士学位；</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月毕业于天津大学，获工学硕士学位。曾历 任神州数码软件有限公司高级项目经理，产品</w:t>
      </w:r>
      <w:r>
        <w:rPr>
          <w:rFonts w:ascii="Times New Roman" w:eastAsia="Times New Roman" w:hAnsi="Times New Roman" w:cs="Times New Roman"/>
          <w:color w:val="000000"/>
          <w:spacing w:val="0"/>
          <w:w w:val="100"/>
          <w:position w:val="0"/>
        </w:rPr>
        <w:t>/</w:t>
      </w:r>
      <w:r>
        <w:rPr>
          <w:color w:val="000000"/>
          <w:spacing w:val="0"/>
          <w:w w:val="100"/>
          <w:position w:val="0"/>
        </w:rPr>
        <w:t>系统服务部门总经理、神州数码国锋软件有限公司副总裁、神州数码信息服 务股份有限公司金融</w:t>
      </w:r>
      <w:r>
        <w:rPr>
          <w:rFonts w:ascii="Times New Roman" w:eastAsia="Times New Roman" w:hAnsi="Times New Roman" w:cs="Times New Roman"/>
          <w:color w:val="000000"/>
          <w:spacing w:val="0"/>
          <w:w w:val="100"/>
          <w:position w:val="0"/>
        </w:rPr>
        <w:t>SBU</w:t>
      </w:r>
      <w:r>
        <w:rPr>
          <w:color w:val="000000"/>
          <w:spacing w:val="0"/>
          <w:w w:val="100"/>
          <w:position w:val="0"/>
        </w:rPr>
        <w:t>项目总监、城商行事业部总经理、</w:t>
      </w:r>
      <w:r>
        <w:rPr>
          <w:rFonts w:ascii="Times New Roman" w:eastAsia="Times New Roman" w:hAnsi="Times New Roman" w:cs="Times New Roman"/>
          <w:color w:val="000000"/>
          <w:spacing w:val="0"/>
          <w:w w:val="100"/>
          <w:position w:val="0"/>
        </w:rPr>
        <w:t>SBU</w:t>
      </w:r>
      <w:r>
        <w:rPr>
          <w:color w:val="000000"/>
          <w:spacing w:val="0"/>
          <w:w w:val="100"/>
          <w:position w:val="0"/>
        </w:rPr>
        <w:t>副总裁、</w:t>
      </w:r>
      <w:r>
        <w:rPr>
          <w:rFonts w:ascii="Times New Roman" w:eastAsia="Times New Roman" w:hAnsi="Times New Roman" w:cs="Times New Roman"/>
          <w:color w:val="000000"/>
          <w:spacing w:val="0"/>
          <w:w w:val="100"/>
          <w:position w:val="0"/>
        </w:rPr>
        <w:t>SBU</w:t>
      </w:r>
      <w:r>
        <w:rPr>
          <w:color w:val="000000"/>
          <w:spacing w:val="0"/>
          <w:w w:val="100"/>
          <w:position w:val="0"/>
        </w:rPr>
        <w:t>常务副总裁、神州数码信息服务股份有限公 司副总裁、神州数码融信云技术服务有限公司董事、金融产品及交付中心总经理；现任神州数码信息服务股份有限公司常务 副总裁、工程院院长。</w:t>
      </w:r>
    </w:p>
    <w:p>
      <w:pPr>
        <w:pStyle w:val="Style13"/>
        <w:keepNext w:val="0"/>
        <w:keepLines w:val="0"/>
        <w:widowControl w:val="0"/>
        <w:shd w:val="clear" w:color="auto" w:fill="auto"/>
        <w:bidi w:val="0"/>
        <w:spacing w:before="0" w:after="0" w:line="317" w:lineRule="exact"/>
        <w:ind w:left="0" w:right="0" w:firstLine="280"/>
        <w:jc w:val="both"/>
      </w:pPr>
      <w:r>
        <w:rPr>
          <w:color w:val="000000"/>
          <w:spacing w:val="0"/>
          <w:w w:val="100"/>
          <w:position w:val="0"/>
        </w:rPr>
        <w:t>刘伟刚，男，</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月毕业于中国人民大学，获经济学学士学位；</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月获中国人民大学经济学硕士学位；</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月取得董事会秘书资格证书。曾历任神州数码控股有限公司金融服务事业部投资经理、企业发展部投资经理、神州数码 信息服务股份有限公司资本证券部证券事务代表、投资总监、资本证券部总经理、投资管理部总经理；现任公司财务总监兼 董事会秘书、下属子公司董事或执行董事等职务。</w:t>
      </w:r>
    </w:p>
    <w:p>
      <w:pPr>
        <w:pStyle w:val="Style13"/>
        <w:keepNext w:val="0"/>
        <w:keepLines w:val="0"/>
        <w:widowControl w:val="0"/>
        <w:shd w:val="clear" w:color="auto" w:fill="auto"/>
        <w:bidi w:val="0"/>
        <w:spacing w:before="0" w:after="0" w:line="317" w:lineRule="exact"/>
        <w:ind w:left="0" w:right="0" w:firstLine="280"/>
        <w:jc w:val="both"/>
      </w:pPr>
      <w:r>
        <w:rPr>
          <w:color w:val="000000"/>
          <w:spacing w:val="0"/>
          <w:w w:val="100"/>
          <w:position w:val="0"/>
        </w:rPr>
        <w:t>李侃遐，女，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月毕业于香港大学，获组织与人力资源管理研究生文凭。曾历任神州数码（中国）有限公司人力 资源部招聘调配部经理、北区人力资源总监、集团人力副总经理、神州数码信息服务股份有限公司企划办副主任兼人力资源 及行政部总经理；现任公司副总裁、人力资源及行政部总经理、下属子公司董事或执行董事等职务。</w:t>
      </w:r>
    </w:p>
    <w:p>
      <w:pPr>
        <w:pStyle w:val="Style13"/>
        <w:keepNext w:val="0"/>
        <w:keepLines w:val="0"/>
        <w:widowControl w:val="0"/>
        <w:shd w:val="clear" w:color="auto" w:fill="auto"/>
        <w:bidi w:val="0"/>
        <w:spacing w:before="0" w:after="40" w:line="317" w:lineRule="exact"/>
        <w:ind w:left="0" w:right="0" w:firstLine="280"/>
        <w:jc w:val="both"/>
      </w:pPr>
      <w:r>
        <w:rPr>
          <w:color w:val="000000"/>
          <w:spacing w:val="0"/>
          <w:w w:val="100"/>
          <w:position w:val="0"/>
        </w:rPr>
        <w:t>于宏志，男，</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月毕业于中国科学技术大学，获工学学士学位。曾任神州数码信息服务股份有限公司金融</w:t>
      </w:r>
      <w:r>
        <w:rPr>
          <w:rFonts w:ascii="Times New Roman" w:eastAsia="Times New Roman" w:hAnsi="Times New Roman" w:cs="Times New Roman"/>
          <w:color w:val="000000"/>
          <w:spacing w:val="0"/>
          <w:w w:val="100"/>
          <w:position w:val="0"/>
        </w:rPr>
        <w:t xml:space="preserve">SBU </w:t>
      </w:r>
      <w:r>
        <w:rPr>
          <w:color w:val="000000"/>
          <w:spacing w:val="0"/>
          <w:w w:val="100"/>
          <w:position w:val="0"/>
        </w:rPr>
        <w:t>项目总监、业务解决方案部总经理、公司</w:t>
      </w:r>
      <w:r>
        <w:rPr>
          <w:rFonts w:ascii="Times New Roman" w:eastAsia="Times New Roman" w:hAnsi="Times New Roman" w:cs="Times New Roman"/>
          <w:color w:val="000000"/>
          <w:spacing w:val="0"/>
          <w:w w:val="100"/>
          <w:position w:val="0"/>
        </w:rPr>
        <w:t>CTO</w:t>
      </w:r>
      <w:r>
        <w:rPr>
          <w:color w:val="000000"/>
          <w:spacing w:val="0"/>
          <w:w w:val="100"/>
          <w:position w:val="0"/>
        </w:rPr>
        <w:t>、</w:t>
      </w:r>
      <w:r>
        <w:rPr>
          <w:color w:val="000000"/>
          <w:spacing w:val="0"/>
          <w:w w:val="100"/>
          <w:position w:val="0"/>
        </w:rPr>
        <w:t>工程院院长及金融产品及交付中心副总经理等职务，现任公司副总裁、金 融产品及交付中心总经理。</w:t>
      </w:r>
    </w:p>
    <w:p>
      <w:pPr>
        <w:pStyle w:val="Style13"/>
        <w:keepNext w:val="0"/>
        <w:keepLines w:val="0"/>
        <w:widowControl w:val="0"/>
        <w:shd w:val="clear" w:color="auto" w:fill="auto"/>
        <w:bidi w:val="0"/>
        <w:spacing w:before="0" w:after="40" w:line="317" w:lineRule="exact"/>
        <w:ind w:left="0" w:right="0" w:firstLine="280"/>
        <w:jc w:val="both"/>
      </w:pPr>
      <w:r>
        <w:rPr>
          <w:color w:val="000000"/>
          <w:spacing w:val="0"/>
          <w:w w:val="100"/>
          <w:position w:val="0"/>
        </w:rPr>
        <w:t>戴可，男，</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月毕业于新加坡国立大学，获学士学位；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月毕业于牛津大学，获工商管理学硕士学位。 曾任</w:t>
      </w:r>
      <w:r>
        <w:rPr>
          <w:rFonts w:ascii="Times New Roman" w:eastAsia="Times New Roman" w:hAnsi="Times New Roman" w:cs="Times New Roman"/>
          <w:color w:val="000000"/>
          <w:spacing w:val="0"/>
          <w:w w:val="100"/>
          <w:position w:val="0"/>
        </w:rPr>
        <w:t>IBM</w:t>
      </w:r>
      <w:r>
        <w:rPr>
          <w:color w:val="000000"/>
          <w:spacing w:val="0"/>
          <w:w w:val="100"/>
          <w:position w:val="0"/>
        </w:rPr>
        <w:t>金融行业咨询顾问、</w:t>
      </w:r>
      <w:r>
        <w:rPr>
          <w:rFonts w:ascii="Times New Roman" w:eastAsia="Times New Roman" w:hAnsi="Times New Roman" w:cs="Times New Roman"/>
          <w:color w:val="000000"/>
          <w:spacing w:val="0"/>
          <w:w w:val="100"/>
          <w:position w:val="0"/>
        </w:rPr>
        <w:t>Oliver Wyman</w:t>
      </w:r>
      <w:r>
        <w:rPr>
          <w:color w:val="000000"/>
          <w:spacing w:val="0"/>
          <w:w w:val="100"/>
          <w:position w:val="0"/>
        </w:rPr>
        <w:t>咨询经理、罗兰贝格金融行业全球合伙人、平安壹账通</w:t>
      </w:r>
      <w:r>
        <w:rPr>
          <w:rFonts w:ascii="Times New Roman" w:eastAsia="Times New Roman" w:hAnsi="Times New Roman" w:cs="Times New Roman"/>
          <w:color w:val="000000"/>
          <w:spacing w:val="0"/>
          <w:w w:val="100"/>
          <w:position w:val="0"/>
        </w:rPr>
        <w:t>CSO</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 今，现任公司副总裁、金融研究院院长。</w:t>
      </w:r>
    </w:p>
    <w:p>
      <w:pPr>
        <w:pStyle w:val="Style13"/>
        <w:keepNext w:val="0"/>
        <w:keepLines w:val="0"/>
        <w:widowControl w:val="0"/>
        <w:shd w:val="clear" w:color="auto" w:fill="auto"/>
        <w:bidi w:val="0"/>
        <w:spacing w:before="0" w:after="40" w:line="312" w:lineRule="exact"/>
        <w:ind w:left="0" w:right="0" w:firstLine="280"/>
        <w:jc w:val="both"/>
      </w:pPr>
      <w:r>
        <w:rPr>
          <w:color w:val="000000"/>
          <w:spacing w:val="0"/>
          <w:w w:val="100"/>
          <w:position w:val="0"/>
        </w:rPr>
        <w:t>刘洪，男，</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月毕业于北京工业大学机械工程学系；</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月毕业于中国矿业大学（北京），获工商管理硕士 学位；</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月获中欧国际工商学院工商管理硕士学位。曾任职于江苏靖江华通机电设备制造有限公司、慧聪国际有限 公司、普尔斯马特（中国）有限公司、北京搜畅网络技术有限公司等，</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月至今，历任公司质量测试事业部销售经 理、高级客户经理、销售总监、总经理；质量测试</w:t>
      </w:r>
      <w:r>
        <w:rPr>
          <w:rFonts w:ascii="Times New Roman" w:eastAsia="Times New Roman" w:hAnsi="Times New Roman" w:cs="Times New Roman"/>
          <w:color w:val="000000"/>
          <w:spacing w:val="0"/>
          <w:w w:val="100"/>
          <w:position w:val="0"/>
        </w:rPr>
        <w:t>BU</w:t>
      </w:r>
      <w:r>
        <w:rPr>
          <w:color w:val="000000"/>
          <w:spacing w:val="0"/>
          <w:w w:val="100"/>
          <w:position w:val="0"/>
        </w:rPr>
        <w:t>总经理、服务</w:t>
      </w:r>
      <w:r>
        <w:rPr>
          <w:rFonts w:ascii="Times New Roman" w:eastAsia="Times New Roman" w:hAnsi="Times New Roman" w:cs="Times New Roman"/>
          <w:color w:val="000000"/>
          <w:spacing w:val="0"/>
          <w:w w:val="100"/>
          <w:position w:val="0"/>
        </w:rPr>
        <w:t>SBU</w:t>
      </w:r>
      <w:r>
        <w:rPr>
          <w:color w:val="000000"/>
          <w:spacing w:val="0"/>
          <w:w w:val="100"/>
          <w:position w:val="0"/>
        </w:rPr>
        <w:t>助理总裁、副总经理、常务副总经理、质测业务 群组总经理；现任公司副总裁、软服</w:t>
      </w:r>
      <w:r>
        <w:rPr>
          <w:rFonts w:ascii="Times New Roman" w:eastAsia="Times New Roman" w:hAnsi="Times New Roman" w:cs="Times New Roman"/>
          <w:color w:val="000000"/>
          <w:spacing w:val="0"/>
          <w:w w:val="100"/>
          <w:position w:val="0"/>
        </w:rPr>
        <w:t>BG</w:t>
      </w:r>
      <w:r>
        <w:rPr>
          <w:color w:val="000000"/>
          <w:spacing w:val="0"/>
          <w:w w:val="100"/>
          <w:position w:val="0"/>
        </w:rPr>
        <w:t>总经理。</w:t>
      </w:r>
    </w:p>
    <w:p>
      <w:pPr>
        <w:pStyle w:val="Style13"/>
        <w:keepNext w:val="0"/>
        <w:keepLines w:val="0"/>
        <w:widowControl w:val="0"/>
        <w:shd w:val="clear" w:color="auto" w:fill="auto"/>
        <w:bidi w:val="0"/>
        <w:spacing w:before="0" w:after="40" w:line="312" w:lineRule="exact"/>
        <w:ind w:left="0" w:right="0" w:firstLine="280"/>
        <w:jc w:val="both"/>
      </w:pPr>
      <w:r>
        <w:rPr>
          <w:color w:val="000000"/>
          <w:spacing w:val="0"/>
          <w:w w:val="100"/>
          <w:position w:val="0"/>
        </w:rPr>
        <w:t>郝晋瑞，男，</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月毕业于北京理工大学，获工学学士学位；</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月毕业于北京理工大学，于同年</w:t>
      </w:r>
      <w:r>
        <w:rPr>
          <w:rFonts w:ascii="Times New Roman" w:eastAsia="Times New Roman" w:hAnsi="Times New Roman" w:cs="Times New Roman"/>
          <w:color w:val="000000"/>
          <w:spacing w:val="0"/>
          <w:w w:val="100"/>
          <w:position w:val="0"/>
        </w:rPr>
        <w:t>3</w:t>
      </w:r>
      <w:r>
        <w:rPr>
          <w:color w:val="000000"/>
          <w:spacing w:val="0"/>
          <w:w w:val="100"/>
          <w:position w:val="0"/>
        </w:rPr>
        <w:t>月获工学 硕士学位。曾历任北京理工大学讲师、神州数码信息服务股份有限公司</w:t>
      </w:r>
      <w:r>
        <w:rPr>
          <w:rFonts w:ascii="Times New Roman" w:eastAsia="Times New Roman" w:hAnsi="Times New Roman" w:cs="Times New Roman"/>
          <w:color w:val="000000"/>
          <w:spacing w:val="0"/>
          <w:w w:val="100"/>
          <w:position w:val="0"/>
        </w:rPr>
        <w:t>SBU</w:t>
      </w:r>
      <w:r>
        <w:rPr>
          <w:color w:val="000000"/>
          <w:spacing w:val="0"/>
          <w:w w:val="100"/>
          <w:position w:val="0"/>
        </w:rPr>
        <w:t>副总经理、项目管理部总经理兼项目及交付管 理中心总经理；现任公司副总裁、政企</w:t>
      </w:r>
      <w:r>
        <w:rPr>
          <w:rFonts w:ascii="Times New Roman" w:eastAsia="Times New Roman" w:hAnsi="Times New Roman" w:cs="Times New Roman"/>
          <w:color w:val="000000"/>
          <w:spacing w:val="0"/>
          <w:w w:val="100"/>
          <w:position w:val="0"/>
        </w:rPr>
        <w:t>BG</w:t>
      </w:r>
      <w:r>
        <w:rPr>
          <w:color w:val="000000"/>
          <w:spacing w:val="0"/>
          <w:w w:val="100"/>
          <w:position w:val="0"/>
        </w:rPr>
        <w:t>总经理。</w:t>
      </w:r>
    </w:p>
    <w:p>
      <w:pPr>
        <w:pStyle w:val="Style13"/>
        <w:keepNext w:val="0"/>
        <w:keepLines w:val="0"/>
        <w:widowControl w:val="0"/>
        <w:shd w:val="clear" w:color="auto" w:fill="auto"/>
        <w:bidi w:val="0"/>
        <w:spacing w:before="0" w:after="40" w:line="310" w:lineRule="exact"/>
        <w:ind w:left="0" w:right="0" w:firstLine="280"/>
        <w:jc w:val="both"/>
      </w:pPr>
      <w:r>
        <w:rPr>
          <w:color w:val="000000"/>
          <w:spacing w:val="0"/>
          <w:w w:val="100"/>
          <w:position w:val="0"/>
        </w:rPr>
        <w:t>闫光明，男，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月获中国科学技术大学高级管理人员工商管理硕士学位。曾任九思科技北京公司销售经理，</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月至今，历任公司高级销售代表、销售部经理、事业部总经理、业务群组副总经理、</w:t>
      </w:r>
      <w:r>
        <w:rPr>
          <w:rFonts w:ascii="Times New Roman" w:eastAsia="Times New Roman" w:hAnsi="Times New Roman" w:cs="Times New Roman"/>
          <w:color w:val="000000"/>
          <w:spacing w:val="0"/>
          <w:w w:val="100"/>
          <w:position w:val="0"/>
        </w:rPr>
        <w:t>SBU</w:t>
      </w:r>
      <w:r>
        <w:rPr>
          <w:color w:val="000000"/>
          <w:spacing w:val="0"/>
          <w:w w:val="100"/>
          <w:position w:val="0"/>
        </w:rPr>
        <w:t>总经理等职务；现任公司副 总裁、信创</w:t>
      </w:r>
      <w:r>
        <w:rPr>
          <w:rFonts w:ascii="Times New Roman" w:eastAsia="Times New Roman" w:hAnsi="Times New Roman" w:cs="Times New Roman"/>
          <w:color w:val="000000"/>
          <w:spacing w:val="0"/>
          <w:w w:val="100"/>
          <w:position w:val="0"/>
        </w:rPr>
        <w:t>BG</w:t>
      </w:r>
      <w:r>
        <w:rPr>
          <w:color w:val="000000"/>
          <w:spacing w:val="0"/>
          <w:w w:val="100"/>
          <w:position w:val="0"/>
        </w:rPr>
        <w:t>总经理。</w:t>
      </w:r>
    </w:p>
    <w:p>
      <w:pPr>
        <w:pStyle w:val="Style13"/>
        <w:keepNext w:val="0"/>
        <w:keepLines w:val="0"/>
        <w:widowControl w:val="0"/>
        <w:shd w:val="clear" w:color="auto" w:fill="auto"/>
        <w:bidi w:val="0"/>
        <w:spacing w:before="0" w:after="40" w:line="312" w:lineRule="exact"/>
        <w:ind w:left="0" w:right="0" w:firstLine="280"/>
        <w:jc w:val="both"/>
      </w:pPr>
      <w:r>
        <w:rPr>
          <w:color w:val="000000"/>
          <w:spacing w:val="0"/>
          <w:w w:val="100"/>
          <w:position w:val="0"/>
        </w:rPr>
        <w:t>陈大龙，男，淮阴工学院计算机科学与技术专业；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月取得董事会秘书资格证书。</w:t>
      </w:r>
      <w:r>
        <w:rPr>
          <w:rFonts w:ascii="Times New Roman" w:eastAsia="Times New Roman" w:hAnsi="Times New Roman" w:cs="Times New Roman"/>
          <w:color w:val="000000"/>
          <w:spacing w:val="0"/>
          <w:w w:val="100"/>
          <w:position w:val="0"/>
        </w:rPr>
        <w:t>2005</w:t>
      </w:r>
      <w:r>
        <w:rPr>
          <w:color w:val="000000"/>
          <w:spacing w:val="0"/>
          <w:w w:val="100"/>
          <w:position w:val="0"/>
        </w:rPr>
        <w:t>年加入南京华苏科技股份 有限公司，曾历任部门经理、副总经理、常务副总经理。现任公司副总裁、华苏科技</w:t>
      </w:r>
      <w:r>
        <w:rPr>
          <w:rFonts w:ascii="Times New Roman" w:eastAsia="Times New Roman" w:hAnsi="Times New Roman" w:cs="Times New Roman"/>
          <w:color w:val="000000"/>
          <w:spacing w:val="0"/>
          <w:w w:val="100"/>
          <w:position w:val="0"/>
        </w:rPr>
        <w:t>BG</w:t>
      </w:r>
      <w:r>
        <w:rPr>
          <w:color w:val="000000"/>
          <w:spacing w:val="0"/>
          <w:w w:val="100"/>
          <w:position w:val="0"/>
        </w:rPr>
        <w:t>总经理。</w:t>
      </w:r>
    </w:p>
    <w:p>
      <w:pPr>
        <w:pStyle w:val="Style13"/>
        <w:keepNext w:val="0"/>
        <w:keepLines w:val="0"/>
        <w:widowControl w:val="0"/>
        <w:shd w:val="clear" w:color="auto" w:fill="auto"/>
        <w:bidi w:val="0"/>
        <w:spacing w:before="0" w:after="40" w:line="314" w:lineRule="exact"/>
        <w:ind w:left="0" w:right="0" w:firstLine="280"/>
        <w:jc w:val="both"/>
      </w:pPr>
      <w:r>
        <w:rPr>
          <w:color w:val="000000"/>
          <w:spacing w:val="0"/>
          <w:w w:val="100"/>
          <w:position w:val="0"/>
        </w:rPr>
        <w:t>孙建钢，男，</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月毕业于上海交通大学，获工学学士学位；</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月获中欧国际工商学院工商管理硕士学位。 曾任上海交通大学电子信息学院职工，</w:t>
      </w:r>
      <w:r>
        <w:rPr>
          <w:rFonts w:ascii="Times New Roman" w:eastAsia="Times New Roman" w:hAnsi="Times New Roman" w:cs="Times New Roman"/>
          <w:color w:val="000000"/>
          <w:spacing w:val="0"/>
          <w:w w:val="100"/>
          <w:position w:val="0"/>
        </w:rPr>
        <w:t xml:space="preserve">IBM </w:t>
      </w:r>
      <w:r>
        <w:rPr>
          <w:rFonts w:ascii="Times New Roman" w:eastAsia="Times New Roman" w:hAnsi="Times New Roman" w:cs="Times New Roman"/>
          <w:color w:val="000000"/>
          <w:spacing w:val="0"/>
          <w:w w:val="100"/>
          <w:position w:val="0"/>
        </w:rPr>
        <w:t>（</w:t>
      </w:r>
      <w:r>
        <w:rPr>
          <w:color w:val="000000"/>
          <w:spacing w:val="0"/>
          <w:w w:val="100"/>
          <w:position w:val="0"/>
        </w:rPr>
        <w:t>中国）有限公司信息技术工程师，戴尔（中国）有限公司业务拓展经理，</w:t>
      </w:r>
      <w:r>
        <w:rPr>
          <w:rFonts w:ascii="Times New Roman" w:eastAsia="Times New Roman" w:hAnsi="Times New Roman" w:cs="Times New Roman"/>
          <w:color w:val="000000"/>
          <w:spacing w:val="0"/>
          <w:w w:val="100"/>
          <w:position w:val="0"/>
        </w:rPr>
        <w:t>IBM（</w:t>
      </w:r>
      <w:r>
        <w:rPr>
          <w:color w:val="000000"/>
          <w:spacing w:val="0"/>
          <w:w w:val="100"/>
          <w:position w:val="0"/>
        </w:rPr>
        <w:t>中 国</w:t>
      </w:r>
      <w:r>
        <w:rPr>
          <w:rFonts w:ascii="Times New Roman" w:eastAsia="Times New Roman" w:hAnsi="Times New Roman" w:cs="Times New Roman"/>
          <w:color w:val="000000"/>
          <w:spacing w:val="0"/>
          <w:w w:val="100"/>
          <w:position w:val="0"/>
        </w:rPr>
        <w:t>）</w:t>
      </w:r>
      <w:r>
        <w:rPr>
          <w:color w:val="000000"/>
          <w:spacing w:val="0"/>
          <w:w w:val="100"/>
          <w:position w:val="0"/>
        </w:rPr>
        <w:t>有限公司大中华区技术服务产品管理部总经理；现任公司副总裁、服务</w:t>
      </w:r>
      <w:r>
        <w:rPr>
          <w:rFonts w:ascii="Times New Roman" w:eastAsia="Times New Roman" w:hAnsi="Times New Roman" w:cs="Times New Roman"/>
          <w:color w:val="000000"/>
          <w:spacing w:val="0"/>
          <w:w w:val="100"/>
          <w:position w:val="0"/>
        </w:rPr>
        <w:t>BG</w:t>
      </w:r>
      <w:r>
        <w:rPr>
          <w:color w:val="000000"/>
          <w:spacing w:val="0"/>
          <w:w w:val="100"/>
          <w:position w:val="0"/>
        </w:rPr>
        <w:t>总经理。</w:t>
      </w:r>
    </w:p>
    <w:p>
      <w:pPr>
        <w:pStyle w:val="Style13"/>
        <w:keepNext w:val="0"/>
        <w:keepLines w:val="0"/>
        <w:widowControl w:val="0"/>
        <w:shd w:val="clear" w:color="auto" w:fill="auto"/>
        <w:bidi w:val="0"/>
        <w:spacing w:before="0" w:after="40" w:line="317" w:lineRule="exact"/>
        <w:ind w:left="0" w:right="0" w:firstLine="280"/>
        <w:jc w:val="both"/>
      </w:pPr>
      <w:r>
        <w:rPr>
          <w:color w:val="000000"/>
          <w:spacing w:val="0"/>
          <w:w w:val="100"/>
          <w:position w:val="0"/>
        </w:rPr>
        <w:t>马洪杰，男，</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月毕业于大连理工大学，获系统工程博士学位。曾历任神州数码集团信息化管理部副总经理、神 州数码系统集成服务有限公司服务产品中心总经理；现任公司副总裁、战略发展部总经理。</w:t>
      </w:r>
    </w:p>
    <w:p>
      <w:pPr>
        <w:pStyle w:val="Style13"/>
        <w:keepNext w:val="0"/>
        <w:keepLines w:val="0"/>
        <w:widowControl w:val="0"/>
        <w:shd w:val="clear" w:color="auto" w:fill="auto"/>
        <w:bidi w:val="0"/>
        <w:spacing w:before="0" w:after="40" w:line="315" w:lineRule="exact"/>
        <w:ind w:left="0" w:right="0" w:firstLine="280"/>
        <w:jc w:val="both"/>
      </w:pPr>
      <w:r>
        <w:rPr>
          <w:color w:val="000000"/>
          <w:spacing w:val="0"/>
          <w:w w:val="100"/>
          <w:position w:val="0"/>
        </w:rPr>
        <w:t>张云飞，女，</w:t>
      </w:r>
      <w:r>
        <w:rPr>
          <w:rFonts w:ascii="Times New Roman" w:eastAsia="Times New Roman" w:hAnsi="Times New Roman" w:cs="Times New Roman"/>
          <w:color w:val="000000"/>
          <w:spacing w:val="0"/>
          <w:w w:val="100"/>
          <w:position w:val="0"/>
        </w:rPr>
        <w:t>1995</w:t>
      </w:r>
      <w:r>
        <w:rPr>
          <w:color w:val="000000"/>
          <w:spacing w:val="0"/>
          <w:w w:val="100"/>
          <w:position w:val="0"/>
        </w:rPr>
        <w:t>年获北京大学光华管理学院经济学学士学位；</w:t>
      </w:r>
      <w:r>
        <w:rPr>
          <w:rFonts w:ascii="Times New Roman" w:eastAsia="Times New Roman" w:hAnsi="Times New Roman" w:cs="Times New Roman"/>
          <w:color w:val="000000"/>
          <w:spacing w:val="0"/>
          <w:w w:val="100"/>
          <w:position w:val="0"/>
        </w:rPr>
        <w:t>2009</w:t>
      </w:r>
      <w:r>
        <w:rPr>
          <w:color w:val="000000"/>
          <w:spacing w:val="0"/>
          <w:w w:val="100"/>
          <w:position w:val="0"/>
        </w:rPr>
        <w:t>年获中欧国际工商学院工商管理硕士学位。曾历任 神州数码经营管理部副总经理、济南神州数码有限公司总经理、神州数码科技发展公司副总经理、神州数码控股有限公司财 务部总经理、神州数码集团股份有限公司财务总监、北京迪信通商贸股份有限公司董事、鼎捷软件股份有限公司董事、神州 数码信息服务股份有限公司董事、董事会秘书、财务总监等职务；现任公司副总裁、下属子公司董事或执行董事等职务。</w:t>
      </w:r>
    </w:p>
    <w:p>
      <w:pPr>
        <w:pStyle w:val="Style13"/>
        <w:keepNext w:val="0"/>
        <w:keepLines w:val="0"/>
        <w:widowControl w:val="0"/>
        <w:shd w:val="clear" w:color="auto" w:fill="auto"/>
        <w:bidi w:val="0"/>
        <w:spacing w:before="0" w:after="40" w:line="314" w:lineRule="exact"/>
        <w:ind w:left="0" w:right="0" w:firstLine="280"/>
        <w:jc w:val="both"/>
      </w:pPr>
      <w:r>
        <w:rPr>
          <w:color w:val="000000"/>
          <w:spacing w:val="0"/>
          <w:w w:val="100"/>
          <w:position w:val="0"/>
        </w:rPr>
        <w:t>于丁，男，北京理工大学信息工程专业，曾任北京神州数码有限公司销售、客户代表，</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月至今，历任公司客户 经理、高级客户经理、销售总监、金融业务拓展事业部总经理、集成解决方案</w:t>
      </w:r>
      <w:r>
        <w:rPr>
          <w:rFonts w:ascii="Times New Roman" w:eastAsia="Times New Roman" w:hAnsi="Times New Roman" w:cs="Times New Roman"/>
          <w:color w:val="000000"/>
          <w:spacing w:val="0"/>
          <w:w w:val="100"/>
          <w:position w:val="0"/>
        </w:rPr>
        <w:t>SBU</w:t>
      </w:r>
      <w:r>
        <w:rPr>
          <w:color w:val="000000"/>
          <w:spacing w:val="0"/>
          <w:w w:val="100"/>
          <w:position w:val="0"/>
        </w:rPr>
        <w:t>助理总裁、集成解决方案</w:t>
      </w:r>
      <w:r>
        <w:rPr>
          <w:rFonts w:ascii="Times New Roman" w:eastAsia="Times New Roman" w:hAnsi="Times New Roman" w:cs="Times New Roman"/>
          <w:color w:val="000000"/>
          <w:spacing w:val="0"/>
          <w:w w:val="100"/>
          <w:position w:val="0"/>
        </w:rPr>
        <w:t>SBU</w:t>
      </w:r>
      <w:r>
        <w:rPr>
          <w:color w:val="000000"/>
          <w:spacing w:val="0"/>
          <w:w w:val="100"/>
          <w:position w:val="0"/>
        </w:rPr>
        <w:t>副总经理、 北京银行大客户总监、金融营销中心信创中心总经理；现任公司北区总裁、金融营销中心北区总经理。</w:t>
      </w:r>
    </w:p>
    <w:p>
      <w:pPr>
        <w:pStyle w:val="Style13"/>
        <w:keepNext w:val="0"/>
        <w:keepLines w:val="0"/>
        <w:widowControl w:val="0"/>
        <w:shd w:val="clear" w:color="auto" w:fill="auto"/>
        <w:bidi w:val="0"/>
        <w:spacing w:before="0" w:after="40" w:line="314" w:lineRule="exact"/>
        <w:ind w:left="0" w:right="0" w:firstLine="280"/>
        <w:jc w:val="both"/>
      </w:pPr>
      <w:r>
        <w:rPr>
          <w:color w:val="000000"/>
          <w:spacing w:val="0"/>
          <w:w w:val="100"/>
          <w:position w:val="0"/>
        </w:rPr>
        <w:t>唐智峰，男，</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毕业于广东工业大学，获工学学士学位。曾任中国建设银行广东省分行的科员、高级程序员、高 级工程师、架构师、项目经理等，深圳市奥尊电脑公司项目总监、工程部总经理等。</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月至今，历任公司金融</w:t>
      </w:r>
      <w:r>
        <w:rPr>
          <w:rFonts w:ascii="Times New Roman" w:eastAsia="Times New Roman" w:hAnsi="Times New Roman" w:cs="Times New Roman"/>
          <w:color w:val="000000"/>
          <w:spacing w:val="0"/>
          <w:w w:val="100"/>
          <w:position w:val="0"/>
        </w:rPr>
        <w:t xml:space="preserve">SBU </w:t>
      </w:r>
      <w:r>
        <w:rPr>
          <w:color w:val="000000"/>
          <w:spacing w:val="0"/>
          <w:w w:val="100"/>
          <w:position w:val="0"/>
        </w:rPr>
        <w:t>项目总监、云解决方案</w:t>
      </w:r>
      <w:r>
        <w:rPr>
          <w:rFonts w:ascii="Times New Roman" w:eastAsia="Times New Roman" w:hAnsi="Times New Roman" w:cs="Times New Roman"/>
          <w:color w:val="000000"/>
          <w:spacing w:val="0"/>
          <w:w w:val="100"/>
          <w:position w:val="0"/>
        </w:rPr>
        <w:t>BU</w:t>
      </w:r>
      <w:r>
        <w:rPr>
          <w:color w:val="000000"/>
          <w:spacing w:val="0"/>
          <w:w w:val="100"/>
          <w:position w:val="0"/>
        </w:rPr>
        <w:t>总经理、南区</w:t>
      </w:r>
      <w:r>
        <w:rPr>
          <w:rFonts w:ascii="Times New Roman" w:eastAsia="Times New Roman" w:hAnsi="Times New Roman" w:cs="Times New Roman"/>
          <w:color w:val="000000"/>
          <w:spacing w:val="0"/>
          <w:w w:val="100"/>
          <w:position w:val="0"/>
        </w:rPr>
        <w:t>BU</w:t>
      </w:r>
      <w:r>
        <w:rPr>
          <w:color w:val="000000"/>
          <w:spacing w:val="0"/>
          <w:w w:val="100"/>
          <w:position w:val="0"/>
        </w:rPr>
        <w:t>总经理、金融</w:t>
      </w:r>
      <w:r>
        <w:rPr>
          <w:rFonts w:ascii="Times New Roman" w:eastAsia="Times New Roman" w:hAnsi="Times New Roman" w:cs="Times New Roman"/>
          <w:color w:val="000000"/>
          <w:spacing w:val="0"/>
          <w:w w:val="100"/>
          <w:position w:val="0"/>
        </w:rPr>
        <w:t>SBU</w:t>
      </w:r>
      <w:r>
        <w:rPr>
          <w:color w:val="000000"/>
          <w:spacing w:val="0"/>
          <w:w w:val="100"/>
          <w:position w:val="0"/>
        </w:rPr>
        <w:t>副总裁、解决方案事业群总经理、金融营销中心软件中心 总经理；现任公司南区总裁、金融营销中心南区总经理。</w:t>
      </w:r>
    </w:p>
    <w:p>
      <w:pPr>
        <w:pStyle w:val="Style13"/>
        <w:keepNext w:val="0"/>
        <w:keepLines w:val="0"/>
        <w:widowControl w:val="0"/>
        <w:shd w:val="clear" w:color="auto" w:fill="auto"/>
        <w:bidi w:val="0"/>
        <w:spacing w:before="0" w:after="40" w:line="314" w:lineRule="exact"/>
        <w:ind w:left="0" w:right="0" w:firstLine="0"/>
        <w:jc w:val="both"/>
      </w:pPr>
      <w:r>
        <w:rPr>
          <w:color w:val="000000"/>
          <w:spacing w:val="0"/>
          <w:w w:val="100"/>
          <w:position w:val="0"/>
        </w:rPr>
        <w:t>在股东单位任职情况</w:t>
      </w:r>
    </w:p>
    <w:p>
      <w:pPr>
        <w:pStyle w:val="Style13"/>
        <w:keepNext w:val="0"/>
        <w:keepLines w:val="0"/>
        <w:widowControl w:val="0"/>
        <w:shd w:val="clear" w:color="auto" w:fill="auto"/>
        <w:bidi w:val="0"/>
        <w:spacing w:before="0" w:after="80" w:line="314" w:lineRule="exact"/>
        <w:ind w:left="0" w:right="0" w:firstLine="0"/>
        <w:jc w:val="both"/>
      </w:pPr>
      <w:r>
        <w:rPr>
          <w:color w:val="000000"/>
          <w:spacing w:val="0"/>
          <w:w w:val="100"/>
          <w:position w:val="0"/>
        </w:rPr>
        <w:t>”适用口不适用</w:t>
      </w:r>
    </w:p>
    <w:tbl>
      <w:tblPr>
        <w:tblOverlap w:val="never"/>
        <w:jc w:val="center"/>
        <w:tblLayout w:type="fixed"/>
      </w:tblPr>
      <w:tblGrid>
        <w:gridCol w:w="917"/>
        <w:gridCol w:w="2064"/>
        <w:gridCol w:w="1296"/>
        <w:gridCol w:w="1714"/>
        <w:gridCol w:w="1728"/>
        <w:gridCol w:w="186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在股东单位是否领取 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韩玉华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17"/>
        <w:gridCol w:w="2064"/>
        <w:gridCol w:w="1296"/>
        <w:gridCol w:w="1714"/>
        <w:gridCol w:w="1728"/>
        <w:gridCol w:w="186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99" w:line="1" w:lineRule="exact"/>
      </w:pP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在其他单位任职情况</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845"/>
        <w:gridCol w:w="2746"/>
        <w:gridCol w:w="1478"/>
        <w:gridCol w:w="1704"/>
        <w:gridCol w:w="1646"/>
        <w:gridCol w:w="1157"/>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在其他单位 是否领取报 酬津贴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首席执行官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北京首钢基金有限公司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智慧神州信息技术有限公司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北京奇享科技有限公司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中国南方航空股份有限公司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独立非执行董事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科升无线（苏州）股份有限公司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苏州创元投资发展（集团）有限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苏州工业园区科升信息技术有限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苏州嗨课网络科技有限公司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苏州华亿安防科技有限公司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苏州中新华智光源科技有限公司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苏州恒顿文化传媒股份有限公司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觅林网络科技（上海）有限公司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董事（已申请辞 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北京元禾原点创业投资管理有限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青岛元禾原点投资管理有限公司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广州元禾原点投资管理有限公司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执行董事兼总经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杭州既明投资管理有限公司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执行董事兼总经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苏州工业园区原点正则创业投资 管理中心（有限合伙）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45"/>
        <w:gridCol w:w="2746"/>
        <w:gridCol w:w="1478"/>
        <w:gridCol w:w="1704"/>
        <w:gridCol w:w="1646"/>
        <w:gridCol w:w="1157"/>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北京元禾原点壹号创业投资合伙 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广州元禾原点贰号创业投资合伙 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广州原点壹号创业投资企业（有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广州原点正则投资管理中心（有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广州原科呈源创业投资合伙企业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杭州既明乙未创业投资合伙企业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杭州既明元则创业投资管理合伙 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杭州元禾既明企业管理咨询合伙 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上海北纳管理咨询合伙企业（有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上海原戍商务信息咨询事务所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苏州工业园区奥陶纪创业投资合 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苏州工业园区必要创业投资企业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苏州工业园区广科原易点现创业 投资合伙企业（有限合伙）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苏州工业园区禾裕壹号创业投资 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苏州工业园区辉诺共赢创业投资 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苏州工业园区金陵壹号投资管理 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苏州工业园区理则股权投资管理 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苏州工业园区西子壹号投资管理 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苏州工业园区羊城壹号投资管理 中心（有限合伙）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45"/>
        <w:gridCol w:w="2746"/>
        <w:gridCol w:w="1478"/>
        <w:gridCol w:w="1704"/>
        <w:gridCol w:w="1646"/>
        <w:gridCol w:w="1157"/>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苏州工业园区元禾原点叁号创业 投资企业（有限合伙）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苏州工业园区原点理则创业投资 管理中心（有限合伙）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苏州工业园区原点平则创业投资 管理中心（有限合伙）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苏州工业园区原点钰则创业投资 合伙企业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苏州工业园区原点正则贰号创业 投资企业（有限合伙）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苏州工业园区原点正则壹号创业 投资企业（有限合伙）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苏州工业园区原点治则创业投资 管理中心（有限合伙）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苏州工业园区原点种子创业投资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苏州工业园区原戊创业投资合伙</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苏州工业园区正则股权投资管理 中心（普通合伙）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苏州工业园区正则既明股权投资 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苏州工业园区正则健康创业投资 管理中心（有限合伙）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苏州工业园区智科胜讯创业投资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苏州工业园区智明创业投资企业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苏州工业园区元禾原点创业投资 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杭州元禾既明庚子股权投资合伙 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南京原点正则创业投资管理中心</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南京智子集成电路产业投资企业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苏州工业园区庚子创业投资合伙 企业（有限合伙）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45"/>
        <w:gridCol w:w="2746"/>
        <w:gridCol w:w="1478"/>
        <w:gridCol w:w="1704"/>
        <w:gridCol w:w="1646"/>
        <w:gridCol w:w="1157"/>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苏州工业园区古生代创业投资企 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苏州工业园区元禾原点叁号医疗 健康产业投资合伙企业（有限合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苏州工业园区原戌创业投资合伙</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苏州工业园区正则原石创业投资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苏州工业园区智云从兴创业投资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苏州元禾原点智能叁号创业投资 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苏州粤桥创业投资合伙企业（有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北京神州邦邦技术服务有限公司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神州数码融信云技术服务有限公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天津国科量子科技有限公司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神州国信</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量子科技有限公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神州数码金信科技股份有限公司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北京因特睿软件有限公司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法人及总经理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深圳神州惠众科技有限公司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w:t>
            </w:r>
            <w:r>
              <w:rPr>
                <w:color w:val="000000"/>
                <w:spacing w:val="0"/>
                <w:w w:val="100"/>
                <w:position w:val="0"/>
              </w:rPr>
              <w:t>，</w:t>
            </w:r>
            <w:r>
              <w:rPr>
                <w:color w:val="000000"/>
                <w:spacing w:val="0"/>
                <w:w w:val="100"/>
                <w:position w:val="0"/>
              </w:rPr>
              <w:t>执行董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深圳神州惠民科技有限公司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color w:val="000000"/>
                <w:spacing w:val="0"/>
                <w:w w:val="100"/>
                <w:position w:val="0"/>
              </w:rPr>
              <w:t>，</w:t>
            </w: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北京神州众腾科技发展有限公司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北京融金维欣科技有限公司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深圳神州普惠信息有限公司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神州数码金融服务（深圳）有限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神州数码（上海）资产管理有限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昆山鹿鸣置业有限公司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45"/>
        <w:gridCol w:w="2746"/>
        <w:gridCol w:w="1478"/>
        <w:gridCol w:w="1704"/>
        <w:gridCol w:w="1646"/>
        <w:gridCol w:w="115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阿尔特汽车技术股份有限公司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北京三元食品股份有限公司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北京华宇软件股份有限公司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北京鹰瞳科技发展股份有限公司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中国科学院大学管理学院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诚志股份有限公司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北京易华录信息技术股份有限公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阜阳颍泉农村商业银行股份有限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北京奥悦文化发展有限公司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副董事长（已申 请辞任）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北京中鼎恒信科技股份有限公司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董事（已申请辞 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上海品星互联网信息技术股份有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上海爱建信托有限责任公司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上海云简软件科技有限公司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上海宽氪晟初投资管理有限公司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上海宽氪企业管理咨询有限公司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上海华瑞银行股份有限公司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广州梵之容化妆品有限公司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深圳市人才集团有限公司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中国船舶重工股份有限公司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国任财产保险股份有限公司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中薇金融控股有限公司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深圳海王集团股份有限公司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首席经济学家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深圳市全药网科技有限公司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中国国际期货股份有限公司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北京金丰盛泰投资管理有限公司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北京金丰裕瀛投资管理有限公司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北京融金维欣科技有限公司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r>
              <w:rPr>
                <w:color w:val="000000"/>
                <w:spacing w:val="0"/>
                <w:w w:val="100"/>
                <w:position w:val="0"/>
              </w:rPr>
              <w:t>，</w:t>
            </w: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北京融信创投投资管理有限公司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北京神州众腾科技发展有限公司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45"/>
        <w:gridCol w:w="2746"/>
        <w:gridCol w:w="1478"/>
        <w:gridCol w:w="1704"/>
        <w:gridCol w:w="1646"/>
        <w:gridCol w:w="115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北京因特睿软件有限公司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衡阳佳恒商业管理有限公司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慧聪集团有限公司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济南神州数码投资有限公司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昆山鹿鸣置业有限公司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昆山神州数码实业有限公司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量子数聚（北京）科技有限公司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南宁市邦信小额贷款有限责任公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深圳神州普惠信息有限公司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神州买卖提（北京）电子商务有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神州融金</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信息科技有限公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神州数码（昆山）供应链投资有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神州数码（南京）信息科技有限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神州数码（上海）资产管理有限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神州数码（沈阳）科技园有限公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神州数码（武汉）供应链投资有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神州数码（武汉）科技园有限公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神州数码（重庆）信息科技有限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神州数码金融服务（深圳）有限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神州数码医疗科技股份有限公司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西安神州数码实业有限公司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西安神州数码网络小额贷款有限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45"/>
        <w:gridCol w:w="2746"/>
        <w:gridCol w:w="1478"/>
        <w:gridCol w:w="1704"/>
        <w:gridCol w:w="1646"/>
        <w:gridCol w:w="1157"/>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重庆神州数码慧聪小额贷款有限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天津神州数码融资租赁有限公司 咨询分公司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Unique Golden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北京金丰裕瀛投资管理有限公司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天津神州数码科技有限公司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海南神州数码小额贷款有限公司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北京金丰盛泰投资管理有限公司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天津神州数码融资租赁有限公司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衡阳佳恒商业管理有限公司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衡阳市衡州市场管理有限公司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北京融信创投投资管理有限公司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西安神州数码实业有限公司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神州数码（南京）信息科技有限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神州数码（武汉）供应链投资有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神州数码（昆山）供应链投资有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北京神州众腾科技发展有限公司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因特睿科技有限公司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北京融金维欣科技有限公司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深圳神州普惠信息有限公司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神州数码（上海）资产管理有限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济南神州数码投资有限公司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西安神州数码网络小额贷款有限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广州城投智慧城市科技发展有限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神州数码（沈阳）科技园有限公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45"/>
        <w:gridCol w:w="2746"/>
        <w:gridCol w:w="1478"/>
        <w:gridCol w:w="1704"/>
        <w:gridCol w:w="1646"/>
        <w:gridCol w:w="115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海南神州数码小额贷款有限公司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E-Olympic International</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Limited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Cellular Investments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广州城投智慧城市科技发展有限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天津神州数码科技有限公司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天津神州数码融资租赁有限公司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海南神州数码小额贷款有限公司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西安神州数码网络小额贷款有限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西安神州数码实业有限公司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神州数码（上海）资产管理有限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北京万晏企业管理有限公司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北京融金维欣科技有限公司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神州云垦有限公司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智慧神州</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重庆神州数码慧聪小额贷款有限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智慧神州信息技术有限公司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both"/>
            </w:pPr>
            <w:r>
              <w:rPr>
                <w:color w:val="000000"/>
                <w:spacing w:val="0"/>
                <w:w w:val="100"/>
                <w:position w:val="0"/>
              </w:rPr>
              <w:t>神州数码</w:t>
            </w:r>
            <w:r>
              <w:rPr>
                <w:rFonts w:ascii="Times New Roman" w:eastAsia="Times New Roman" w:hAnsi="Times New Roman" w:cs="Times New Roman"/>
                <w:color w:val="000000"/>
                <w:spacing w:val="0"/>
                <w:w w:val="100"/>
                <w:position w:val="0"/>
              </w:rPr>
              <w:t>（</w:t>
            </w:r>
            <w:r>
              <w:rPr>
                <w:color w:val="000000"/>
                <w:spacing w:val="0"/>
                <w:w w:val="100"/>
                <w:position w:val="0"/>
              </w:rPr>
              <w:t>南京</w:t>
            </w:r>
            <w:r>
              <w:rPr>
                <w:rFonts w:ascii="Times New Roman" w:eastAsia="Times New Roman" w:hAnsi="Times New Roman" w:cs="Times New Roman"/>
                <w:color w:val="000000"/>
                <w:spacing w:val="0"/>
                <w:w w:val="100"/>
                <w:position w:val="0"/>
              </w:rPr>
              <w:t>）</w:t>
            </w:r>
            <w:r>
              <w:rPr>
                <w:color w:val="000000"/>
                <w:spacing w:val="0"/>
                <w:w w:val="100"/>
                <w:position w:val="0"/>
              </w:rPr>
              <w:t>信息科技有限公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贵州筑民生运营服务有限公司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深圳神州普惠信息有限公司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昆山鹿鸣置业有限公司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神州数码（昆山）供应链投资有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广州智慧神州科技有限公司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神州数码（沈阳）科技园有限公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神州数码（武汉）供应链投资有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45"/>
        <w:gridCol w:w="2746"/>
        <w:gridCol w:w="1478"/>
        <w:gridCol w:w="1704"/>
        <w:gridCol w:w="1646"/>
        <w:gridCol w:w="115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智慧神州（长春）有限公司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济南神州数码投资有限公司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北京金丰裕瀛投资管理有限公司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北京金丰盛泰投资管理有限公司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北京融信创投投资管理有限公司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衡阳佳恒商业管理有限公司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神州智管科技有限公司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神州数云（北京）科技有限公司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神州数码金融服务</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智慧神州天融</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监测技术有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深圳神州惠民科技有限公司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天津金融博物馆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上海仁会生物制药股份有限公司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中国瑞林工程技术股份有限公司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嘉实基金管理有限公司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沈阳万盟并购顾问有限公司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苏州工业园区万盟企业管理咨询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北京沃德恒全球并购咨询中心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r>
              <w:rPr>
                <w:color w:val="000000"/>
                <w:spacing w:val="0"/>
                <w:w w:val="100"/>
                <w:position w:val="0"/>
              </w:rPr>
              <w:t>，</w:t>
            </w: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北京静思泉文化传媒有限公司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天津博元投资管理有限公司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井冈山云小镇商务秘书有限公司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王翰林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财经部副总经理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萍乡信锐企业管理合伙企业（有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神州数码融信云技术服务有限公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公司董事费建江先生在投资领域工作，因此费建江先生在多家投资公司及 苏州工业园区元禾原点创业投资管理有限公司管理的基金之</w:t>
            </w:r>
            <w:r>
              <w:rPr>
                <w:rFonts w:ascii="Times New Roman" w:eastAsia="Times New Roman" w:hAnsi="Times New Roman" w:cs="Times New Roman"/>
                <w:color w:val="000000"/>
                <w:spacing w:val="0"/>
                <w:w w:val="100"/>
                <w:position w:val="0"/>
              </w:rPr>
              <w:t>GP</w:t>
            </w:r>
            <w:r>
              <w:rPr>
                <w:color w:val="000000"/>
                <w:spacing w:val="0"/>
                <w:w w:val="100"/>
                <w:position w:val="0"/>
              </w:rPr>
              <w:t>中担任董 事或执行事务合伙人等职务。</w:t>
            </w:r>
          </w:p>
        </w:tc>
      </w:tr>
    </w:tbl>
    <w:p>
      <w:pPr>
        <w:pStyle w:val="Style13"/>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公司现任及报告期内离任董事、监事和高级管理人员近三年证券监管机构处罚的情况 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3</w:t>
      </w:r>
      <w:bookmarkEnd w:id="301"/>
      <w:r>
        <w:rPr>
          <w:color w:val="000000"/>
          <w:spacing w:val="0"/>
          <w:w w:val="100"/>
          <w:position w:val="0"/>
        </w:rPr>
        <w:t>、董事、监事、高级管理人员报酬情况</w:t>
      </w:r>
      <w:bookmarkEnd w:id="299"/>
      <w:bookmarkEnd w:id="300"/>
      <w:bookmarkEnd w:id="302"/>
    </w:p>
    <w:p>
      <w:pPr>
        <w:pStyle w:val="Style13"/>
        <w:keepNext w:val="0"/>
        <w:keepLines w:val="0"/>
        <w:widowControl w:val="0"/>
        <w:shd w:val="clear" w:color="auto" w:fill="auto"/>
        <w:bidi w:val="0"/>
        <w:spacing w:before="0" w:after="40" w:line="305" w:lineRule="exact"/>
        <w:ind w:left="0" w:right="0" w:firstLine="0"/>
        <w:jc w:val="left"/>
      </w:pPr>
      <w:r>
        <w:rPr>
          <w:color w:val="000000"/>
          <w:spacing w:val="0"/>
          <w:w w:val="100"/>
          <w:position w:val="0"/>
        </w:rPr>
        <w:t>董事、监事、高级管理人员报酬的决策程序、确定依据、实际支付情况</w:t>
      </w:r>
    </w:p>
    <w:p>
      <w:pPr>
        <w:pStyle w:val="Style13"/>
        <w:keepNext w:val="0"/>
        <w:keepLines w:val="0"/>
        <w:widowControl w:val="0"/>
        <w:shd w:val="clear" w:color="auto" w:fill="auto"/>
        <w:tabs>
          <w:tab w:pos="911" w:val="left"/>
        </w:tabs>
        <w:bidi w:val="0"/>
        <w:spacing w:before="0" w:after="40" w:line="305" w:lineRule="exact"/>
        <w:ind w:left="0" w:right="0"/>
        <w:jc w:val="both"/>
      </w:pPr>
      <w:bookmarkStart w:id="303" w:name="bookmark303"/>
      <w:r>
        <w:rPr>
          <w:color w:val="000000"/>
          <w:spacing w:val="0"/>
          <w:w w:val="100"/>
          <w:position w:val="0"/>
        </w:rPr>
        <w:t>（</w:t>
      </w:r>
      <w:bookmarkEnd w:id="303"/>
      <w:r>
        <w:rPr>
          <w:color w:val="000000"/>
          <w:spacing w:val="0"/>
          <w:w w:val="100"/>
          <w:position w:val="0"/>
        </w:rPr>
        <w:t>一）</w:t>
        <w:tab/>
        <w:t>薪酬的决策程序和确定依据</w:t>
      </w:r>
    </w:p>
    <w:p>
      <w:pPr>
        <w:pStyle w:val="Style13"/>
        <w:keepNext w:val="0"/>
        <w:keepLines w:val="0"/>
        <w:widowControl w:val="0"/>
        <w:shd w:val="clear" w:color="auto" w:fill="auto"/>
        <w:bidi w:val="0"/>
        <w:spacing w:before="0" w:after="40" w:line="300" w:lineRule="exact"/>
        <w:ind w:left="0" w:right="0"/>
        <w:jc w:val="both"/>
      </w:pPr>
      <w:r>
        <w:rPr>
          <w:color w:val="000000"/>
          <w:spacing w:val="0"/>
          <w:w w:val="100"/>
          <w:position w:val="0"/>
        </w:rPr>
        <w:t>根据《神州数码信息服务股份有限公司董事、监事薪酬管理制度》规定，在公司担任具体管理职务的董事、监事，依据 其在公司的任职岗位领取相应薪酬</w:t>
      </w:r>
      <w:r>
        <w:rPr>
          <w:color w:val="000000"/>
          <w:spacing w:val="0"/>
          <w:w w:val="100"/>
          <w:position w:val="0"/>
        </w:rPr>
        <w:t>，</w:t>
      </w:r>
      <w:r>
        <w:rPr>
          <w:color w:val="000000"/>
          <w:spacing w:val="0"/>
          <w:w w:val="100"/>
          <w:position w:val="0"/>
        </w:rPr>
        <w:t>并经董事会薪酬与考核委员会考评；不在公司担任具体管理职务的外部董事、监事，不 在本公司领取薪酬；独立董事依据公司董事会或股东大会决议中的相关规定领取独立董事津贴。</w:t>
      </w:r>
    </w:p>
    <w:p>
      <w:pPr>
        <w:pStyle w:val="Style13"/>
        <w:keepNext w:val="0"/>
        <w:keepLines w:val="0"/>
        <w:widowControl w:val="0"/>
        <w:shd w:val="clear" w:color="auto" w:fill="auto"/>
        <w:tabs>
          <w:tab w:pos="987" w:val="left"/>
        </w:tabs>
        <w:bidi w:val="0"/>
        <w:spacing w:before="0" w:after="40" w:line="310" w:lineRule="exact"/>
        <w:ind w:left="0" w:right="0"/>
        <w:jc w:val="both"/>
      </w:pPr>
      <w:bookmarkStart w:id="304" w:name="bookmark304"/>
      <w:r>
        <w:rPr>
          <w:color w:val="000000"/>
          <w:spacing w:val="0"/>
          <w:w w:val="100"/>
          <w:position w:val="0"/>
        </w:rPr>
        <w:t>（</w:t>
      </w:r>
      <w:bookmarkEnd w:id="304"/>
      <w:r>
        <w:rPr>
          <w:color w:val="000000"/>
          <w:spacing w:val="0"/>
          <w:w w:val="100"/>
          <w:position w:val="0"/>
        </w:rPr>
        <w:t>二）</w:t>
        <w:tab/>
        <w:t>根据《神州数码信息服务股份有限公司高级管理人员薪酬管理制度》，高级管理人员年度薪酬由两部分组成，即 固定年薪</w:t>
      </w:r>
      <w:r>
        <w:rPr>
          <w:rFonts w:ascii="Times New Roman" w:eastAsia="Times New Roman" w:hAnsi="Times New Roman" w:cs="Times New Roman"/>
          <w:color w:val="000000"/>
          <w:spacing w:val="0"/>
          <w:w w:val="100"/>
          <w:position w:val="0"/>
        </w:rPr>
        <w:t>+</w:t>
      </w:r>
      <w:r>
        <w:rPr>
          <w:color w:val="000000"/>
          <w:spacing w:val="0"/>
          <w:w w:val="100"/>
          <w:position w:val="0"/>
        </w:rPr>
        <w:t>浮动年薪。固定年薪按月发放；浮动年薪依据其年度绩效考核结果，在每个会计年度结束后，由董事会审批通过 后进行发放。本年度在公司受薪的全体董事、监事和高级管理人员的年度薪酬总额为人民币</w:t>
      </w:r>
      <w:r>
        <w:rPr>
          <w:color w:val="000000"/>
          <w:spacing w:val="0"/>
          <w:w w:val="100"/>
          <w:position w:val="0"/>
        </w:rPr>
        <w:t>2,675.8</w:t>
      </w:r>
      <w:r>
        <w:rPr>
          <w:color w:val="000000"/>
          <w:spacing w:val="0"/>
          <w:w w:val="100"/>
          <w:position w:val="0"/>
        </w:rPr>
        <w:t>7</w:t>
      </w:r>
      <w:r>
        <w:rPr>
          <w:color w:val="000000"/>
          <w:spacing w:val="0"/>
          <w:w w:val="100"/>
          <w:position w:val="0"/>
        </w:rPr>
        <w:t>万元。</w:t>
      </w:r>
    </w:p>
    <w:p>
      <w:pPr>
        <w:pStyle w:val="Style13"/>
        <w:keepNext w:val="0"/>
        <w:keepLines w:val="0"/>
        <w:widowControl w:val="0"/>
        <w:shd w:val="clear" w:color="auto" w:fill="auto"/>
        <w:bidi w:val="0"/>
        <w:spacing w:before="0" w:after="120" w:line="305"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49"/>
        <w:gridCol w:w="2160"/>
        <w:gridCol w:w="840"/>
        <w:gridCol w:w="811"/>
        <w:gridCol w:w="1085"/>
        <w:gridCol w:w="1363"/>
        <w:gridCol w:w="137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从公司获得的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395.05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邢景峰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Benjamin Zhai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王翰林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财务总监兼董事会秘书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李侃遐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于宏志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郝晋瑞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闫光明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94.71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49"/>
        <w:gridCol w:w="2160"/>
        <w:gridCol w:w="840"/>
        <w:gridCol w:w="811"/>
        <w:gridCol w:w="1085"/>
        <w:gridCol w:w="1363"/>
        <w:gridCol w:w="1373"/>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马洪杰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北区总裁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唐智峰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南区总裁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崔晓天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信创首席专家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2,675.87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注：第九届董事会董事邢景峰先生、王巍先生以及第九届监事会监事牛卓女士、王翰林女士、马志宏先生上任日期为</w:t>
      </w:r>
      <w:r>
        <w:rPr>
          <w:rFonts w:ascii="Times New Roman" w:eastAsia="Times New Roman" w:hAnsi="Times New Roman" w:cs="Times New Roman"/>
          <w:color w:val="000000"/>
          <w:spacing w:val="0"/>
          <w:w w:val="100"/>
          <w:position w:val="0"/>
        </w:rPr>
        <w:t>2022</w:t>
      </w:r>
    </w:p>
    <w:p>
      <w:pPr>
        <w:widowControl w:val="0"/>
        <w:spacing w:after="39" w:line="1" w:lineRule="exact"/>
      </w:pP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日，副总裁戴可先生、陈大龙先生上任日期为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日，本报告期内未任职董事、监事、高管职务。</w:t>
      </w:r>
    </w:p>
    <w:p>
      <w:pPr>
        <w:pStyle w:val="Style25"/>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六</w:t>
      </w:r>
      <w:bookmarkEnd w:id="307"/>
      <w:r>
        <w:rPr>
          <w:color w:val="000000"/>
          <w:spacing w:val="0"/>
          <w:w w:val="100"/>
          <w:position w:val="0"/>
          <w:sz w:val="24"/>
          <w:szCs w:val="24"/>
        </w:rPr>
        <w:t>、报告期内董事履行职责的情况</w:t>
      </w:r>
      <w:bookmarkEnd w:id="305"/>
      <w:bookmarkEnd w:id="306"/>
      <w:bookmarkEnd w:id="308"/>
    </w:p>
    <w:p>
      <w:pPr>
        <w:pStyle w:val="Style29"/>
        <w:keepNext/>
        <w:keepLines/>
        <w:widowControl w:val="0"/>
        <w:shd w:val="clear" w:color="auto" w:fill="auto"/>
        <w:bidi w:val="0"/>
        <w:spacing w:before="0" w:after="3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、本报告期董事会情况</w:t>
      </w:r>
      <w:bookmarkEnd w:id="309"/>
      <w:bookmarkEnd w:id="310"/>
      <w:bookmarkEnd w:id="312"/>
    </w:p>
    <w:tbl>
      <w:tblPr>
        <w:tblOverlap w:val="never"/>
        <w:jc w:val="center"/>
        <w:tblLayout w:type="fixed"/>
      </w:tblPr>
      <w:tblGrid>
        <w:gridCol w:w="1814"/>
        <w:gridCol w:w="1488"/>
        <w:gridCol w:w="1493"/>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第八届董事会第九 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请参见巨潮资讯网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《第八届董事会 第九次会议决议公告》(公告编号：</w:t>
            </w:r>
            <w:r>
              <w:rPr>
                <w:rFonts w:ascii="Times New Roman" w:eastAsia="Times New Roman" w:hAnsi="Times New Roman" w:cs="Times New Roman"/>
                <w:color w:val="000000"/>
                <w:spacing w:val="0"/>
                <w:w w:val="100"/>
                <w:position w:val="0"/>
              </w:rPr>
              <w:t>2021-013</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第八届董事会第十 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请参见巨潮资讯网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年第一季 度报告正文》(公告编号：</w:t>
            </w:r>
            <w:r>
              <w:rPr>
                <w:rFonts w:ascii="Times New Roman" w:eastAsia="Times New Roman" w:hAnsi="Times New Roman" w:cs="Times New Roman"/>
                <w:color w:val="000000"/>
                <w:spacing w:val="0"/>
                <w:w w:val="100"/>
                <w:position w:val="0"/>
              </w:rPr>
              <w:t>2021-026</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第八届董事会第十 一次会议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请参见巨潮资讯网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《第八届董事会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第十一次会议决议公告》(公告编号：</w:t>
            </w:r>
            <w:r>
              <w:rPr>
                <w:rFonts w:ascii="Times New Roman" w:eastAsia="Times New Roman" w:hAnsi="Times New Roman" w:cs="Times New Roman"/>
                <w:color w:val="000000"/>
                <w:spacing w:val="0"/>
                <w:w w:val="100"/>
                <w:position w:val="0"/>
              </w:rPr>
              <w:t>2021-037</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第八届董事会第十 二次会议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请参见巨潮资讯网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《第八届董事会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第十二次会议决议公告》(公告编号：</w:t>
            </w:r>
            <w:r>
              <w:rPr>
                <w:rFonts w:ascii="Times New Roman" w:eastAsia="Times New Roman" w:hAnsi="Times New Roman" w:cs="Times New Roman"/>
                <w:color w:val="000000"/>
                <w:spacing w:val="0"/>
                <w:w w:val="100"/>
                <w:position w:val="0"/>
              </w:rPr>
              <w:t>2021-054</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年第一次临时会议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请参见巨潮资讯网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《第八届董事会</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年第一次临时会议决议公告》(公告编号：</w:t>
            </w:r>
            <w:r>
              <w:rPr>
                <w:rFonts w:ascii="Times New Roman" w:eastAsia="Times New Roman" w:hAnsi="Times New Roman" w:cs="Times New Roman"/>
                <w:color w:val="000000"/>
                <w:spacing w:val="0"/>
                <w:w w:val="100"/>
                <w:position w:val="0"/>
              </w:rPr>
              <w:t>2021-050</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年第二次临时会议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请参见巨潮资讯网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《第八届董事会</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年第二次临时会议决议公告》(公告编号：</w:t>
            </w:r>
            <w:r>
              <w:rPr>
                <w:rFonts w:ascii="Times New Roman" w:eastAsia="Times New Roman" w:hAnsi="Times New Roman" w:cs="Times New Roman"/>
                <w:color w:val="000000"/>
                <w:spacing w:val="0"/>
                <w:w w:val="100"/>
                <w:position w:val="0"/>
              </w:rPr>
              <w:t>2021-059</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年第三次临时会议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请参见巨潮资讯网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《第八届董事会</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年第三次临时会议决议公告》(公告编号：</w:t>
            </w:r>
            <w:r>
              <w:rPr>
                <w:rFonts w:ascii="Times New Roman" w:eastAsia="Times New Roman" w:hAnsi="Times New Roman" w:cs="Times New Roman"/>
                <w:color w:val="000000"/>
                <w:spacing w:val="0"/>
                <w:w w:val="100"/>
                <w:position w:val="0"/>
              </w:rPr>
              <w:t>2021-075</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年第四次临时会议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请参见巨潮资讯网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《第八届董事会</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年第四次临时会议决议公告》(公告编号：</w:t>
            </w:r>
            <w:r>
              <w:rPr>
                <w:rFonts w:ascii="Times New Roman" w:eastAsia="Times New Roman" w:hAnsi="Times New Roman" w:cs="Times New Roman"/>
                <w:color w:val="000000"/>
                <w:spacing w:val="0"/>
                <w:w w:val="100"/>
                <w:position w:val="0"/>
              </w:rPr>
              <w:t>2021-080</w:t>
            </w:r>
            <w:r>
              <w:rPr>
                <w:color w:val="000000"/>
                <w:spacing w:val="0"/>
                <w:w w:val="100"/>
                <w:position w:val="0"/>
              </w:rPr>
              <w:t>)</w:t>
            </w:r>
          </w:p>
        </w:tc>
      </w:tr>
    </w:tbl>
    <w:p>
      <w:pPr>
        <w:pStyle w:val="Style29"/>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、董事出席董事会及股东大会的情况</w:t>
      </w:r>
      <w:bookmarkEnd w:id="313"/>
      <w:bookmarkEnd w:id="314"/>
      <w:bookmarkEnd w:id="316"/>
    </w:p>
    <w:tbl>
      <w:tblPr>
        <w:tblOverlap w:val="never"/>
        <w:jc w:val="center"/>
        <w:tblLayout w:type="fixed"/>
      </w:tblPr>
      <w:tblGrid>
        <w:gridCol w:w="1435"/>
        <w:gridCol w:w="1162"/>
        <w:gridCol w:w="1166"/>
        <w:gridCol w:w="1162"/>
        <w:gridCol w:w="1162"/>
        <w:gridCol w:w="1162"/>
        <w:gridCol w:w="1334"/>
        <w:gridCol w:w="998"/>
      </w:tblGrid>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本报告期应 参加董事会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出席股东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费建江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Benjamin Zhai</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连续两次未亲自出席董事会的说明：董事费建江先生因公委托董事韩玉华女士代为参加第八届董事会第九次会议、第十次会</w:t>
      </w:r>
    </w:p>
    <w:p>
      <w:pPr>
        <w:pStyle w:val="Style1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议并表决。</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w:t>
        <w:tab/>
        <w:t>董事对公司有关事项提出异议的情况</w:t>
      </w:r>
      <w:bookmarkEnd w:id="317"/>
      <w:bookmarkEnd w:id="318"/>
      <w:bookmarkEnd w:id="320"/>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董事对公司有关事项是否提出异议</w:t>
      </w:r>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口是"否</w:t>
      </w:r>
    </w:p>
    <w:p>
      <w:pPr>
        <w:pStyle w:val="Style1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4</w:t>
      </w:r>
      <w:bookmarkEnd w:id="323"/>
      <w:r>
        <w:rPr>
          <w:color w:val="000000"/>
          <w:spacing w:val="0"/>
          <w:w w:val="100"/>
          <w:position w:val="0"/>
        </w:rPr>
        <w:t>、</w:t>
        <w:tab/>
        <w:t>董事履行职责的其他说明</w:t>
      </w:r>
      <w:bookmarkEnd w:id="321"/>
      <w:bookmarkEnd w:id="322"/>
      <w:bookmarkEnd w:id="324"/>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董事对公司有关建议是否被采纳</w:t>
      </w:r>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w:t>
      </w:r>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董事对公司有关建议被采纳或未被采纳的说明</w:t>
      </w:r>
    </w:p>
    <w:p>
      <w:pPr>
        <w:pStyle w:val="Style13"/>
        <w:keepNext w:val="0"/>
        <w:keepLines w:val="0"/>
        <w:widowControl w:val="0"/>
        <w:shd w:val="clear" w:color="auto" w:fill="auto"/>
        <w:bidi w:val="0"/>
        <w:spacing w:before="0" w:after="360" w:line="312" w:lineRule="exact"/>
        <w:ind w:left="0" w:right="0"/>
        <w:jc w:val="left"/>
      </w:pPr>
      <w:r>
        <w:rPr>
          <w:color w:val="000000"/>
          <w:spacing w:val="0"/>
          <w:w w:val="100"/>
          <w:position w:val="0"/>
        </w:rPr>
        <w:t>报告期内，公司董事勤勉尽责，密切关注公司经营状况、管理和内控制度的建立及运行情况，积极参加报告期内的历次 董事会会议，关注国家政策、行业趋势、市场变化等外部环境对公司的影响，运用专业知识，客观、审慎地行使表决权，对 公司的发展战略、重大决策和规范化运作等方面提供专业性的建议和指导意见，对报告期内公司发生的续聘审计机构、关联 交易、对外担保、对外捐赠、股权激励等事项及其他需要董事会发表说明意见的事项出具了合理、公正的说明意见，保证了 董事会决策的科学性及高效性，维护了公司和全体股东的合法权益。持续关注公司信息披露工作、董事会决议的执行情况， 进行监督和核查。</w:t>
      </w:r>
    </w:p>
    <w:p>
      <w:pPr>
        <w:pStyle w:val="Style25"/>
        <w:keepNext/>
        <w:keepLines/>
        <w:widowControl w:val="0"/>
        <w:shd w:val="clear" w:color="auto" w:fill="auto"/>
        <w:bidi w:val="0"/>
        <w:spacing w:before="0" w:after="26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sz w:val="24"/>
          <w:szCs w:val="24"/>
        </w:rPr>
        <w:t>七</w:t>
      </w:r>
      <w:bookmarkEnd w:id="327"/>
      <w:r>
        <w:rPr>
          <w:color w:val="000000"/>
          <w:spacing w:val="0"/>
          <w:w w:val="100"/>
          <w:position w:val="0"/>
          <w:sz w:val="24"/>
          <w:szCs w:val="24"/>
        </w:rPr>
        <w:t>、董事会下设专门委员会在报告期内的情况</w:t>
      </w:r>
      <w:bookmarkEnd w:id="325"/>
      <w:bookmarkEnd w:id="326"/>
      <w:bookmarkEnd w:id="328"/>
      <w:r>
        <w:br w:type="page"/>
      </w:r>
    </w:p>
    <w:tbl>
      <w:tblPr>
        <w:tblOverlap w:val="never"/>
        <w:jc w:val="center"/>
        <w:tblLayout w:type="fixed"/>
      </w:tblPr>
      <w:tblGrid>
        <w:gridCol w:w="826"/>
        <w:gridCol w:w="950"/>
        <w:gridCol w:w="610"/>
        <w:gridCol w:w="792"/>
        <w:gridCol w:w="2050"/>
        <w:gridCol w:w="2458"/>
        <w:gridCol w:w="922"/>
        <w:gridCol w:w="974"/>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70" w:lineRule="exact"/>
              <w:ind w:left="0" w:right="0" w:firstLine="0"/>
              <w:jc w:val="center"/>
            </w:pPr>
            <w:r>
              <w:rPr>
                <w:color w:val="000000"/>
                <w:spacing w:val="0"/>
                <w:w w:val="100"/>
                <w:position w:val="0"/>
              </w:rPr>
              <w:t>召开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其他履</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行职责</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的情况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具体情况</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r>
      <w:tr>
        <w:trPr>
          <w:trHeight w:val="196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审计委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罗婷、王</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永利、杨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晓樱</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 财务报表》、关于审计 委员会与年审会计师协 商确定</w:t>
            </w:r>
            <w:r>
              <w:rPr>
                <w:rFonts w:ascii="Times New Roman" w:eastAsia="Times New Roman" w:hAnsi="Times New Roman" w:cs="Times New Roman"/>
                <w:color w:val="000000"/>
                <w:spacing w:val="0"/>
                <w:w w:val="100"/>
                <w:position w:val="0"/>
              </w:rPr>
              <w:t>2020</w:t>
            </w:r>
            <w:r>
              <w:rPr>
                <w:color w:val="000000"/>
                <w:spacing w:val="0"/>
                <w:w w:val="100"/>
                <w:position w:val="0"/>
              </w:rPr>
              <w:t>年年报审 计工作安排的议案》。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审计委员会严格按照《公司 法》《公司章程》《董事会 议事规则》《审计委员会工 作规则》开展工作，勤勉尽 责，经过充分沟通讨论，一 致通过相关议案。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9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 财务报告》（初稿）。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审计委员会严格按照《公司 法》《公司章程》《董事会 议事规则》《审计委员会工 作规则》开展工作，勤勉尽 责，经过充分沟通讨论，一 致通过相关议案。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7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 财务报告》（定稿）、 《关于</w:t>
            </w:r>
            <w:r>
              <w:rPr>
                <w:color w:val="000000"/>
                <w:spacing w:val="0"/>
                <w:w w:val="100"/>
                <w:position w:val="0"/>
              </w:rPr>
              <w:t>〈</w:t>
            </w:r>
            <w:r>
              <w:rPr>
                <w:color w:val="000000"/>
                <w:spacing w:val="0"/>
                <w:w w:val="100"/>
                <w:position w:val="0"/>
              </w:rPr>
              <w:t>审计委员会履 职情况报告暨关于会计 师事务所</w:t>
            </w:r>
            <w:r>
              <w:rPr>
                <w:rFonts w:ascii="Times New Roman" w:eastAsia="Times New Roman" w:hAnsi="Times New Roman" w:cs="Times New Roman"/>
                <w:color w:val="000000"/>
                <w:spacing w:val="0"/>
                <w:w w:val="100"/>
                <w:position w:val="0"/>
              </w:rPr>
              <w:t>2020</w:t>
            </w:r>
            <w:r>
              <w:rPr>
                <w:color w:val="000000"/>
                <w:spacing w:val="0"/>
                <w:w w:val="100"/>
                <w:position w:val="0"/>
              </w:rPr>
              <w:t>年度审 计工作的总结报告</w:t>
            </w:r>
            <w:r>
              <w:rPr>
                <w:color w:val="000000"/>
                <w:spacing w:val="0"/>
                <w:w w:val="100"/>
                <w:position w:val="0"/>
              </w:rPr>
              <w:t>〉</w:t>
            </w:r>
            <w:r>
              <w:rPr>
                <w:color w:val="000000"/>
                <w:spacing w:val="0"/>
                <w:w w:val="100"/>
                <w:position w:val="0"/>
              </w:rPr>
              <w:t>的 议案》、《</w:t>
            </w:r>
            <w:r>
              <w:rPr>
                <w:rFonts w:ascii="Times New Roman" w:eastAsia="Times New Roman" w:hAnsi="Times New Roman" w:cs="Times New Roman"/>
                <w:color w:val="000000"/>
                <w:spacing w:val="0"/>
                <w:w w:val="100"/>
                <w:position w:val="0"/>
              </w:rPr>
              <w:t>2020</w:t>
            </w:r>
            <w:r>
              <w:rPr>
                <w:color w:val="000000"/>
                <w:spacing w:val="0"/>
                <w:w w:val="100"/>
                <w:position w:val="0"/>
              </w:rPr>
              <w:t>年度内 部审计工作报告》、《关 于</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 自我评价报告</w:t>
            </w:r>
            <w:r>
              <w:rPr>
                <w:color w:val="000000"/>
                <w:spacing w:val="0"/>
                <w:w w:val="100"/>
                <w:position w:val="0"/>
              </w:rPr>
              <w:t>〉</w:t>
            </w:r>
            <w:r>
              <w:rPr>
                <w:color w:val="000000"/>
                <w:spacing w:val="0"/>
                <w:w w:val="100"/>
                <w:position w:val="0"/>
              </w:rPr>
              <w:t>的议案》、 《关于续聘</w:t>
            </w:r>
            <w:r>
              <w:rPr>
                <w:rFonts w:ascii="Times New Roman" w:eastAsia="Times New Roman" w:hAnsi="Times New Roman" w:cs="Times New Roman"/>
                <w:color w:val="000000"/>
                <w:spacing w:val="0"/>
                <w:w w:val="100"/>
                <w:position w:val="0"/>
              </w:rPr>
              <w:t>2021</w:t>
            </w:r>
            <w:r>
              <w:rPr>
                <w:color w:val="000000"/>
                <w:spacing w:val="0"/>
                <w:w w:val="100"/>
                <w:position w:val="0"/>
              </w:rPr>
              <w:t>年度 审计机构的议案》、《关 于制定</w:t>
            </w:r>
            <w:r>
              <w:rPr>
                <w:color w:val="000000"/>
                <w:spacing w:val="0"/>
                <w:w w:val="100"/>
                <w:position w:val="0"/>
              </w:rPr>
              <w:t>〈</w:t>
            </w:r>
            <w:r>
              <w:rPr>
                <w:color w:val="000000"/>
                <w:spacing w:val="0"/>
                <w:w w:val="100"/>
                <w:position w:val="0"/>
              </w:rPr>
              <w:t>未来三年股东 回报规划</w:t>
            </w:r>
            <w:r>
              <w:rPr>
                <w:color w:val="000000"/>
                <w:spacing w:val="0"/>
                <w:w w:val="100"/>
                <w:position w:val="0"/>
              </w:rPr>
              <w:t>（</w:t>
            </w:r>
            <w:r>
              <w:rPr>
                <w:rFonts w:ascii="Times New Roman" w:eastAsia="Times New Roman" w:hAnsi="Times New Roman" w:cs="Times New Roman"/>
                <w:color w:val="000000"/>
                <w:spacing w:val="0"/>
                <w:w w:val="100"/>
                <w:position w:val="0"/>
              </w:rPr>
              <w:t xml:space="preserve">2021-2023 </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的议案》、《关于 变更剩余募集资金用途 用于永久补充流动资金 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审计委员会严格按照《公司 法》《公司章程》《董事会 议事规则》《审计委员会工 作规则》开展工作，勤勉尽 责，经过充分沟通讨论，一 致通过相关议案。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w:t>
            </w:r>
            <w:r>
              <w:rPr>
                <w:rFonts w:ascii="Times New Roman" w:eastAsia="Times New Roman" w:hAnsi="Times New Roman" w:cs="Times New Roman"/>
                <w:color w:val="000000"/>
                <w:spacing w:val="0"/>
                <w:w w:val="100"/>
                <w:position w:val="0"/>
              </w:rPr>
              <w:t>2021</w:t>
            </w:r>
            <w:r>
              <w:rPr>
                <w:color w:val="000000"/>
                <w:spacing w:val="0"/>
                <w:w w:val="100"/>
                <w:position w:val="0"/>
              </w:rPr>
              <w:t>年第 一季度报告》、《</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年第一季度内部审计工 作报告》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审计委员会严格按照《公司 法》《公司章程》《董事会 议事规则》《审计委员会工 作规则》开展工作，勤勉尽 责，经过充分沟通讨论，一 致通过相关议案。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0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年半年度报告</w:t>
            </w:r>
            <w:r>
              <w:rPr>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年半年度报告摘要</w:t>
            </w:r>
            <w:r>
              <w:rPr>
                <w:color w:val="000000"/>
                <w:spacing w:val="0"/>
                <w:w w:val="100"/>
                <w:position w:val="0"/>
              </w:rPr>
              <w:t>〉</w:t>
            </w:r>
            <w:r>
              <w:rPr>
                <w:color w:val="000000"/>
                <w:spacing w:val="0"/>
                <w:w w:val="100"/>
                <w:position w:val="0"/>
              </w:rPr>
              <w:t>的 议案》、《关于</w:t>
            </w:r>
            <w:r>
              <w:rPr>
                <w:rFonts w:ascii="Times New Roman" w:eastAsia="Times New Roman" w:hAnsi="Times New Roman" w:cs="Times New Roman"/>
                <w:color w:val="000000"/>
                <w:spacing w:val="0"/>
                <w:w w:val="100"/>
                <w:position w:val="0"/>
              </w:rPr>
              <w:t>＜2021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审计委员会严格按照《公司 法》《公司章程》《董事会 议事规则》《审计委员会工</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作规则》开展工作，勤勉尽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26"/>
        <w:gridCol w:w="950"/>
        <w:gridCol w:w="610"/>
        <w:gridCol w:w="792"/>
        <w:gridCol w:w="2050"/>
        <w:gridCol w:w="2458"/>
        <w:gridCol w:w="922"/>
        <w:gridCol w:w="974"/>
      </w:tblGrid>
      <w:tr>
        <w:trPr>
          <w:trHeight w:val="161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年半年度募集资金存放 与使用情况专项报告</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的议案》、《关于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年上半年度内部审计工 作报告</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责，经过充分沟通讨论，一 致通过相关议案。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41" w:lineRule="exact"/>
              <w:ind w:left="0" w:right="0" w:firstLine="0"/>
              <w:jc w:val="both"/>
            </w:pPr>
            <w:r>
              <w:rPr>
                <w:color w:val="000000"/>
                <w:spacing w:val="0"/>
                <w:w w:val="100"/>
                <w:position w:val="0"/>
              </w:rPr>
              <w:t>审议通过了《</w:t>
            </w: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三季度财务报告》、</w:t>
            </w:r>
          </w:p>
          <w:p>
            <w:pPr>
              <w:pStyle w:val="Style22"/>
              <w:keepNext w:val="0"/>
              <w:keepLines w:val="0"/>
              <w:widowControl w:val="0"/>
              <w:shd w:val="clear" w:color="auto" w:fill="auto"/>
              <w:bidi w:val="0"/>
              <w:spacing w:before="0" w:after="0" w:line="34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年第三季度内部 审计工作报告》。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审计委员会严格按照《公司 法》《公司章程》《董事会 议事规则》《审计委员会工 作规则》开展工作，勤勉尽 责，经过充分沟通讨论，一 致通过相关议案。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薪酬考</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核委员</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Benjamin Zhai </w:t>
            </w:r>
            <w:r>
              <w:rPr>
                <w:color w:val="000000"/>
                <w:spacing w:val="0"/>
                <w:w w:val="100"/>
                <w:position w:val="0"/>
              </w:rPr>
              <w:t>（翟 斌）、吕 本富、费 建江、黄 辉</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审议通过了《关于公司 董事、监事及高管人员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年度薪酬考核及 </w:t>
            </w:r>
            <w:r>
              <w:rPr>
                <w:rFonts w:ascii="Times New Roman" w:eastAsia="Times New Roman" w:hAnsi="Times New Roman" w:cs="Times New Roman"/>
                <w:color w:val="000000"/>
                <w:spacing w:val="0"/>
                <w:w w:val="100"/>
                <w:position w:val="0"/>
              </w:rPr>
              <w:t>2021</w:t>
            </w:r>
            <w:r>
              <w:rPr>
                <w:color w:val="000000"/>
                <w:spacing w:val="0"/>
                <w:w w:val="100"/>
                <w:position w:val="0"/>
              </w:rPr>
              <w:t>年度薪酬情况的议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薪酬与考核委员会严格按照</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《公司法》《公司章程》《董</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事会议事规则》《薪酬与考 核委员会工作规则》开展工 作，勤勉尽责，经过充分沟 通讨论，一致通过相关议案。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审议通过了《关于调整 公司独立董事薪酬的议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薪酬与考核委员会严格按照</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《公司法》《公司章程》《董</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事会议事规则》《薪酬与考 核委员会工作规则》开展工 作，勤勉尽责，经过充分沟 通讨论，一致通过相关议案。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审议通过了《关于注销 </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 分股票期权的议案》、 《关于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 权与限制性股票激励计 划第二个行权期</w:t>
            </w:r>
            <w:r>
              <w:rPr>
                <w:rFonts w:ascii="Times New Roman" w:eastAsia="Times New Roman" w:hAnsi="Times New Roman" w:cs="Times New Roman"/>
                <w:color w:val="000000"/>
                <w:spacing w:val="0"/>
                <w:w w:val="100"/>
                <w:position w:val="0"/>
              </w:rPr>
              <w:t>/</w:t>
            </w:r>
            <w:r>
              <w:rPr>
                <w:color w:val="000000"/>
                <w:spacing w:val="0"/>
                <w:w w:val="100"/>
                <w:position w:val="0"/>
              </w:rPr>
              <w:t>解除 限售期行权/解除限售 条件成就的议案》。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薪酬与考核委员会严格按照 《公司法》《公司章程》《董</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事会议事规则》《薪酬与考 核委员会工作规则》《</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年股票期权与限制性股票激 励计划实施考核管理办法》 开展工作，勤勉尽责，经过 充分沟通讨论，一致通过相 关议案。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提名委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pPr>
            <w:r>
              <w:rPr>
                <w:color w:val="000000"/>
                <w:spacing w:val="0"/>
                <w:w w:val="100"/>
                <w:position w:val="0"/>
              </w:rPr>
              <w:t>吕本富、 郭为、罗 婷、杨晓 樱、</w:t>
            </w:r>
          </w:p>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Benjamin Zhai </w:t>
            </w:r>
            <w:r>
              <w:rPr>
                <w:color w:val="000000"/>
                <w:spacing w:val="0"/>
                <w:w w:val="100"/>
                <w:position w:val="0"/>
              </w:rPr>
              <w:t>（翟 斌）</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审议通过了《关于提名 公司高级管理人员的议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提名委员会严格按照《公司 法》《公司章程》《董事会 议事规则》《提名委员会工 作规则》开展工作，勤勉尽 责，经过充分沟通讨论，一 致通过相关议案。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0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审议通过了《关于公司 部分高级管理人员职务 调整的议案》。</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提名委员会严格按照《公司 法》《公司章程》《董事会 议事规则》《提名委员会工 作规则》开展工作，勤勉尽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826"/>
        <w:gridCol w:w="950"/>
        <w:gridCol w:w="610"/>
        <w:gridCol w:w="792"/>
        <w:gridCol w:w="2050"/>
        <w:gridCol w:w="2458"/>
        <w:gridCol w:w="922"/>
        <w:gridCol w:w="974"/>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责，经过充分沟通讨论，一 致通过相关议案。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审议通过了《关于提名 第九届董事会董事及独 立董事候选人的议案》。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提名委员会严格按照《公司 法》《公司章程》《董事会 议事规则》《提名委员会工 作规则》开展工作，勤勉尽 责，经过充分沟通讨论，一 致通过相关议案。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战略委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郭为、李</w:t>
            </w:r>
          </w:p>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鸿春、王 永利、吕 本富、黄 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审议通过了《神州信息 金融科技战略</w:t>
            </w:r>
            <w:r>
              <w:rPr>
                <w:rFonts w:ascii="Times New Roman" w:eastAsia="Times New Roman" w:hAnsi="Times New Roman" w:cs="Times New Roman"/>
                <w:color w:val="000000"/>
                <w:spacing w:val="0"/>
                <w:w w:val="100"/>
                <w:position w:val="0"/>
              </w:rPr>
              <w:t>2.0</w:t>
            </w:r>
            <w:r>
              <w:rPr>
                <w:color w:val="000000"/>
                <w:spacing w:val="0"/>
                <w:w w:val="100"/>
                <w:position w:val="0"/>
              </w:rPr>
              <w:t>规 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战略委员会严格按照《公司 法》《公司章程》《董事会 议事规则》《战略委员会工 作规则》开展工作，勤勉尽 责，经过充分沟通讨论，一 致通过相关议案。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5"/>
        <w:keepNext/>
        <w:keepLines/>
        <w:widowControl w:val="0"/>
        <w:shd w:val="clear" w:color="auto" w:fill="auto"/>
        <w:bidi w:val="0"/>
        <w:spacing w:before="0" w:after="26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八</w:t>
      </w:r>
      <w:bookmarkEnd w:id="331"/>
      <w:r>
        <w:rPr>
          <w:color w:val="000000"/>
          <w:spacing w:val="0"/>
          <w:w w:val="100"/>
          <w:position w:val="0"/>
          <w:sz w:val="24"/>
          <w:szCs w:val="24"/>
        </w:rPr>
        <w:t>、审计委员会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年度审计工作情况</w:t>
      </w:r>
      <w:bookmarkEnd w:id="329"/>
      <w:bookmarkEnd w:id="330"/>
      <w:bookmarkEnd w:id="332"/>
    </w:p>
    <w:p>
      <w:pPr>
        <w:pStyle w:val="Style13"/>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审计委员会在公司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年度财务报告编制过程中，主要履行了以下工作职责：</w:t>
      </w:r>
    </w:p>
    <w:p>
      <w:pPr>
        <w:pStyle w:val="Style13"/>
        <w:keepNext w:val="0"/>
        <w:keepLines w:val="0"/>
        <w:widowControl w:val="0"/>
        <w:shd w:val="clear" w:color="auto" w:fill="auto"/>
        <w:tabs>
          <w:tab w:pos="650" w:val="left"/>
        </w:tabs>
        <w:bidi w:val="0"/>
        <w:spacing w:before="0" w:after="40" w:line="302" w:lineRule="exact"/>
        <w:ind w:left="0" w:right="0" w:firstLine="360"/>
        <w:jc w:val="both"/>
      </w:pPr>
      <w:bookmarkStart w:id="333" w:name="bookmark333"/>
      <w:r>
        <w:rPr>
          <w:rFonts w:ascii="Times New Roman" w:eastAsia="Times New Roman" w:hAnsi="Times New Roman" w:cs="Times New Roman"/>
          <w:color w:val="000000"/>
          <w:spacing w:val="0"/>
          <w:w w:val="100"/>
          <w:position w:val="0"/>
        </w:rPr>
        <w:t>1</w:t>
      </w:r>
      <w:bookmarkEnd w:id="333"/>
      <w:r>
        <w:rPr>
          <w:color w:val="000000"/>
          <w:spacing w:val="0"/>
          <w:w w:val="100"/>
          <w:position w:val="0"/>
        </w:rPr>
        <w:t>、</w:t>
        <w:tab/>
        <w:t>会计师进场前，审计委员会按照相关规定开展年报审计相关工作，提前对年审计划进行全面部署，与年审注册会计 师沟通确定了公司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年度审计工作的时间安排等事宜。</w:t>
      </w:r>
    </w:p>
    <w:p>
      <w:pPr>
        <w:pStyle w:val="Style13"/>
        <w:keepNext w:val="0"/>
        <w:keepLines w:val="0"/>
        <w:widowControl w:val="0"/>
        <w:shd w:val="clear" w:color="auto" w:fill="auto"/>
        <w:tabs>
          <w:tab w:pos="650" w:val="left"/>
        </w:tabs>
        <w:bidi w:val="0"/>
        <w:spacing w:before="0" w:after="40" w:line="315" w:lineRule="exact"/>
        <w:ind w:left="0" w:right="0" w:firstLine="360"/>
        <w:jc w:val="both"/>
      </w:pPr>
      <w:bookmarkStart w:id="334" w:name="bookmark334"/>
      <w:r>
        <w:rPr>
          <w:rFonts w:ascii="Times New Roman" w:eastAsia="Times New Roman" w:hAnsi="Times New Roman" w:cs="Times New Roman"/>
          <w:color w:val="000000"/>
          <w:spacing w:val="0"/>
          <w:w w:val="100"/>
          <w:position w:val="0"/>
        </w:rPr>
        <w:t>2</w:t>
      </w:r>
      <w:bookmarkEnd w:id="334"/>
      <w:r>
        <w:rPr>
          <w:color w:val="000000"/>
          <w:spacing w:val="0"/>
          <w:w w:val="100"/>
          <w:position w:val="0"/>
        </w:rPr>
        <w:t>、</w:t>
        <w:tab/>
        <w:t>在年审注册会计师进场前，审计委员会初步审阅了公司财务部编制的</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年度财务报告（初稿），对公司编制的未 经审计的财务会计报表了发表首次书面意见。审计委员会认为，公司编制的</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年度财务报告（初稿）有关数据基本反映 了公司</w:t>
      </w:r>
      <w:r>
        <w:rPr>
          <w:rFonts w:ascii="Times New Roman" w:eastAsia="Times New Roman" w:hAnsi="Times New Roman" w:cs="Times New Roman"/>
          <w:color w:val="000000"/>
          <w:spacing w:val="0"/>
          <w:w w:val="100"/>
          <w:position w:val="0"/>
        </w:rPr>
        <w:t>2021</w:t>
      </w:r>
      <w:r>
        <w:rPr>
          <w:color w:val="000000"/>
          <w:spacing w:val="0"/>
          <w:w w:val="100"/>
          <w:position w:val="0"/>
        </w:rPr>
        <w:t>年度的资产负债情况和经营业绩，财务会计报表信息客观、全面、真实，同意以此财务会计报表为基础开展</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年度的财务审计工作。</w:t>
      </w:r>
    </w:p>
    <w:p>
      <w:pPr>
        <w:pStyle w:val="Style13"/>
        <w:keepNext w:val="0"/>
        <w:keepLines w:val="0"/>
        <w:widowControl w:val="0"/>
        <w:shd w:val="clear" w:color="auto" w:fill="auto"/>
        <w:tabs>
          <w:tab w:pos="659" w:val="left"/>
        </w:tabs>
        <w:bidi w:val="0"/>
        <w:spacing w:before="0" w:after="40" w:line="313" w:lineRule="exact"/>
        <w:ind w:left="0" w:right="0" w:firstLine="360"/>
        <w:jc w:val="both"/>
      </w:pPr>
      <w:bookmarkStart w:id="335" w:name="bookmark335"/>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年审注册会计师进场后，加强与年审注册会计师的沟通，在年审注册会计师出具初步审计意见后再一次审阅公司财 务报表，并形成书面意见。审计委员会认为，初步审计的</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年度财务报告已经按照新企业会计准则及公司有关财务制度 进行编制，财务报告的编制基础、依据、原则和方法符合相关法律、法规和《公司章程》，所包含的信息在重大方面公允地 反映了公司截至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日的财务状况以和经营成果及现金流量，并同意以此数据为基础编制</w:t>
      </w:r>
      <w:r>
        <w:rPr>
          <w:rFonts w:ascii="Times New Roman" w:eastAsia="Times New Roman" w:hAnsi="Times New Roman" w:cs="Times New Roman"/>
          <w:color w:val="000000"/>
          <w:spacing w:val="0"/>
          <w:w w:val="100"/>
          <w:position w:val="0"/>
        </w:rPr>
        <w:t>2021</w:t>
      </w:r>
      <w:r>
        <w:rPr>
          <w:color w:val="000000"/>
          <w:spacing w:val="0"/>
          <w:w w:val="100"/>
          <w:position w:val="0"/>
        </w:rPr>
        <w:t>年年度报告及摘 要，并提交公司董事会进行审议。同时，要求会计师事务所按照计划尽快完成审计工作，以保证公司如期披露</w:t>
      </w:r>
      <w:r>
        <w:rPr>
          <w:rFonts w:ascii="Times New Roman" w:eastAsia="Times New Roman" w:hAnsi="Times New Roman" w:cs="Times New Roman"/>
          <w:color w:val="000000"/>
          <w:spacing w:val="0"/>
          <w:w w:val="100"/>
          <w:position w:val="0"/>
        </w:rPr>
        <w:t>2021</w:t>
      </w:r>
      <w:r>
        <w:rPr>
          <w:color w:val="000000"/>
          <w:spacing w:val="0"/>
          <w:w w:val="100"/>
          <w:position w:val="0"/>
        </w:rPr>
        <w:t>年年度 报告及摘要。</w:t>
      </w:r>
    </w:p>
    <w:p>
      <w:pPr>
        <w:pStyle w:val="Style13"/>
        <w:keepNext w:val="0"/>
        <w:keepLines w:val="0"/>
        <w:widowControl w:val="0"/>
        <w:shd w:val="clear" w:color="auto" w:fill="auto"/>
        <w:tabs>
          <w:tab w:pos="650" w:val="left"/>
        </w:tabs>
        <w:bidi w:val="0"/>
        <w:spacing w:before="0" w:after="40" w:line="312" w:lineRule="exact"/>
        <w:ind w:left="0" w:right="0" w:firstLine="360"/>
        <w:jc w:val="both"/>
      </w:pPr>
      <w:bookmarkStart w:id="336" w:name="bookmark336"/>
      <w:r>
        <w:rPr>
          <w:rFonts w:ascii="Times New Roman" w:eastAsia="Times New Roman" w:hAnsi="Times New Roman" w:cs="Times New Roman"/>
          <w:color w:val="000000"/>
          <w:spacing w:val="0"/>
          <w:w w:val="100"/>
          <w:position w:val="0"/>
        </w:rPr>
        <w:t>4</w:t>
      </w:r>
      <w:bookmarkEnd w:id="336"/>
      <w:r>
        <w:rPr>
          <w:color w:val="000000"/>
          <w:spacing w:val="0"/>
          <w:w w:val="100"/>
          <w:position w:val="0"/>
        </w:rPr>
        <w:t>、</w:t>
        <w:tab/>
        <w:t>在审计过程中注重与年审注册会计师的沟通，积极督促会计师事务所在约定时限内提交审计报告，审计委员会始终 保持与财务部门负责人、内控内审部负责人、主要项目负责人员的沟通，密切关注审计工作进展情况。在审计过程中，审计 委员会分别于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日先后二次发出《督促函》，要求会计师事务所按照审计时间完成审计工 作，确保公司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年度报告及相关文件按时披露。</w:t>
      </w:r>
    </w:p>
    <w:p>
      <w:pPr>
        <w:pStyle w:val="Style13"/>
        <w:keepNext w:val="0"/>
        <w:keepLines w:val="0"/>
        <w:widowControl w:val="0"/>
        <w:shd w:val="clear" w:color="auto" w:fill="auto"/>
        <w:tabs>
          <w:tab w:pos="659" w:val="left"/>
        </w:tabs>
        <w:bidi w:val="0"/>
        <w:spacing w:before="0" w:after="40" w:line="317" w:lineRule="exact"/>
        <w:ind w:left="0" w:right="0" w:firstLine="360"/>
        <w:jc w:val="both"/>
      </w:pPr>
      <w:bookmarkStart w:id="337" w:name="bookmark337"/>
      <w:r>
        <w:rPr>
          <w:rFonts w:ascii="Times New Roman" w:eastAsia="Times New Roman" w:hAnsi="Times New Roman" w:cs="Times New Roman"/>
          <w:color w:val="000000"/>
          <w:spacing w:val="0"/>
          <w:w w:val="100"/>
          <w:position w:val="0"/>
        </w:rPr>
        <w:t>5</w:t>
      </w:r>
      <w:bookmarkEnd w:id="337"/>
      <w:r>
        <w:rPr>
          <w:color w:val="000000"/>
          <w:spacing w:val="0"/>
          <w:w w:val="100"/>
          <w:position w:val="0"/>
        </w:rPr>
        <w:t>、</w:t>
        <w:tab/>
        <w:t>年审注册会计师出具审计报告后，审计委员会召开会议对公司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年度财务报告、董事会审计委员会履职情况报告 暨关于会计师事务所</w:t>
      </w:r>
      <w:r>
        <w:rPr>
          <w:rFonts w:ascii="Times New Roman" w:eastAsia="Times New Roman" w:hAnsi="Times New Roman" w:cs="Times New Roman"/>
          <w:color w:val="000000"/>
          <w:spacing w:val="0"/>
          <w:w w:val="100"/>
          <w:position w:val="0"/>
        </w:rPr>
        <w:t>2021</w:t>
      </w:r>
      <w:r>
        <w:rPr>
          <w:color w:val="000000"/>
          <w:spacing w:val="0"/>
          <w:w w:val="100"/>
          <w:position w:val="0"/>
        </w:rPr>
        <w:t>年度审计工作的总结报告、</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年度内部控制自我评价报告、续聘会计师事务所等事项进行了审 议，形成决议后提交董事会进行审核。</w:t>
      </w:r>
    </w:p>
    <w:p>
      <w:pPr>
        <w:pStyle w:val="Style1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审计委员会对</w:t>
      </w:r>
      <w:r>
        <w:rPr>
          <w:rFonts w:ascii="Times New Roman" w:eastAsia="Times New Roman" w:hAnsi="Times New Roman" w:cs="Times New Roman"/>
          <w:color w:val="000000"/>
          <w:spacing w:val="0"/>
          <w:w w:val="100"/>
          <w:position w:val="0"/>
        </w:rPr>
        <w:t>2021</w:t>
      </w:r>
      <w:r>
        <w:rPr>
          <w:color w:val="000000"/>
          <w:spacing w:val="0"/>
          <w:w w:val="100"/>
          <w:position w:val="0"/>
        </w:rPr>
        <w:t>年度会计师事务所的审计工作进行了总结报告，认为年审注册会计师已按照中国注册会计师审计准 则的规定执行了审计工作，审计时间充分，审计人员配置合理、执业能力胜任，出具的审计报告从重大方面公允地反映了公 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年度的经营成果，出具的审计结论符合公司的实际情况。</w:t>
      </w:r>
    </w:p>
    <w:p>
      <w:pPr>
        <w:pStyle w:val="Style25"/>
        <w:keepNext/>
        <w:keepLines/>
        <w:widowControl w:val="0"/>
        <w:shd w:val="clear" w:color="auto" w:fill="auto"/>
        <w:bidi w:val="0"/>
        <w:spacing w:before="0" w:after="40" w:line="240" w:lineRule="auto"/>
        <w:ind w:left="0" w:right="0" w:firstLine="0"/>
        <w:jc w:val="both"/>
      </w:pPr>
      <w:bookmarkStart w:id="338" w:name="bookmark338"/>
      <w:bookmarkStart w:id="339" w:name="bookmark339"/>
      <w:bookmarkStart w:id="340" w:name="bookmark340"/>
      <w:bookmarkStart w:id="341" w:name="bookmark341"/>
      <w:r>
        <w:rPr>
          <w:color w:val="000000"/>
          <w:spacing w:val="0"/>
          <w:w w:val="100"/>
          <w:position w:val="0"/>
          <w:sz w:val="24"/>
          <w:szCs w:val="24"/>
        </w:rPr>
        <w:t>九</w:t>
      </w:r>
      <w:bookmarkEnd w:id="340"/>
      <w:r>
        <w:rPr>
          <w:color w:val="000000"/>
          <w:spacing w:val="0"/>
          <w:w w:val="100"/>
          <w:position w:val="0"/>
          <w:sz w:val="24"/>
          <w:szCs w:val="24"/>
        </w:rPr>
        <w:t>、监事会工作情况</w:t>
      </w:r>
      <w:bookmarkEnd w:id="338"/>
      <w:bookmarkEnd w:id="339"/>
      <w:bookmarkEnd w:id="341"/>
      <w:r>
        <w:br w:type="page"/>
      </w: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口是"否</w:t>
      </w: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监事会对报告期内的监督事项无异议。</w:t>
      </w:r>
    </w:p>
    <w:p>
      <w:pPr>
        <w:pStyle w:val="Style25"/>
        <w:keepNext/>
        <w:keepLines/>
        <w:widowControl w:val="0"/>
        <w:shd w:val="clear" w:color="auto" w:fill="auto"/>
        <w:bidi w:val="0"/>
        <w:spacing w:before="0" w:after="300" w:line="240" w:lineRule="auto"/>
        <w:ind w:left="0" w:right="0" w:firstLine="0"/>
        <w:jc w:val="both"/>
      </w:pPr>
      <w:bookmarkStart w:id="342" w:name="bookmark342"/>
      <w:bookmarkStart w:id="343" w:name="bookmark343"/>
      <w:bookmarkStart w:id="344" w:name="bookmark344"/>
      <w:r>
        <w:rPr>
          <w:color w:val="000000"/>
          <w:spacing w:val="0"/>
          <w:w w:val="100"/>
          <w:position w:val="0"/>
          <w:sz w:val="24"/>
          <w:szCs w:val="24"/>
        </w:rPr>
        <w:t>十、公司员工情况</w:t>
      </w:r>
      <w:bookmarkEnd w:id="342"/>
      <w:bookmarkEnd w:id="343"/>
      <w:bookmarkEnd w:id="344"/>
    </w:p>
    <w:p>
      <w:pPr>
        <w:pStyle w:val="Style29"/>
        <w:keepNext/>
        <w:keepLines/>
        <w:widowControl w:val="0"/>
        <w:shd w:val="clear" w:color="auto" w:fill="auto"/>
        <w:bidi w:val="0"/>
        <w:spacing w:before="0" w:after="300" w:line="240"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、员工数量、专业构成及教育程度</w:t>
      </w:r>
      <w:bookmarkEnd w:id="345"/>
      <w:bookmarkEnd w:id="346"/>
      <w:bookmarkEnd w:id="34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13,268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13,361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13,361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740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11,700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773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13,361</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12,698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131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80" w:right="0" w:firstLine="0"/>
              <w:jc w:val="both"/>
            </w:pPr>
            <w:r>
              <w:rPr>
                <w:rFonts w:ascii="Times New Roman" w:eastAsia="Times New Roman" w:hAnsi="Times New Roman" w:cs="Times New Roman"/>
                <w:color w:val="000000"/>
                <w:spacing w:val="0"/>
                <w:w w:val="100"/>
                <w:position w:val="0"/>
              </w:rPr>
              <w:t>13,361</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、薪酬政策</w:t>
      </w:r>
      <w:bookmarkEnd w:id="349"/>
      <w:bookmarkEnd w:id="350"/>
      <w:bookmarkEnd w:id="352"/>
    </w:p>
    <w:p>
      <w:pPr>
        <w:pStyle w:val="Style13"/>
        <w:keepNext w:val="0"/>
        <w:keepLines w:val="0"/>
        <w:widowControl w:val="0"/>
        <w:shd w:val="clear" w:color="auto" w:fill="auto"/>
        <w:bidi w:val="0"/>
        <w:spacing w:before="0" w:after="360" w:line="312" w:lineRule="exact"/>
        <w:ind w:left="0" w:right="0"/>
        <w:jc w:val="both"/>
      </w:pPr>
      <w:r>
        <w:rPr>
          <w:color w:val="000000"/>
          <w:spacing w:val="0"/>
          <w:w w:val="100"/>
          <w:position w:val="0"/>
        </w:rPr>
        <w:t>通过对职位进行分析评价，参考公司业绩以及行业水平，制定岗位薪酬地图。公司定期参加外部薪酬调研，以确保薪酬 外部适当的竞争性。针对不同类别的人员设计不同的薪酬结构，依据员工岗位及其适岗度确定工薪，以达到薪酬内部一致性 和公平性。公司以</w:t>
      </w:r>
      <w:r>
        <w:rPr>
          <w:rFonts w:ascii="Times New Roman" w:eastAsia="Times New Roman" w:hAnsi="Times New Roman" w:cs="Times New Roman"/>
          <w:color w:val="000000"/>
          <w:spacing w:val="0"/>
          <w:w w:val="100"/>
          <w:position w:val="0"/>
        </w:rPr>
        <w:t>“</w:t>
      </w:r>
      <w:r>
        <w:rPr>
          <w:color w:val="000000"/>
          <w:spacing w:val="0"/>
          <w:w w:val="100"/>
          <w:position w:val="0"/>
        </w:rPr>
        <w:t>鼓励优秀、淘汰低绩效</w:t>
      </w:r>
      <w:r>
        <w:rPr>
          <w:rFonts w:ascii="Times New Roman" w:eastAsia="Times New Roman" w:hAnsi="Times New Roman" w:cs="Times New Roman"/>
          <w:color w:val="000000"/>
          <w:spacing w:val="0"/>
          <w:w w:val="100"/>
          <w:position w:val="0"/>
        </w:rPr>
        <w:t>”</w:t>
      </w:r>
      <w:r>
        <w:rPr>
          <w:color w:val="000000"/>
          <w:spacing w:val="0"/>
          <w:w w:val="100"/>
          <w:position w:val="0"/>
        </w:rPr>
        <w:t>为导向，定期对员工进行考核和梳理，提升人员的投入产出。</w:t>
      </w:r>
    </w:p>
    <w:p>
      <w:pPr>
        <w:pStyle w:val="Style1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3"/>
        <w:keepNext w:val="0"/>
        <w:keepLines w:val="0"/>
        <w:widowControl w:val="0"/>
        <w:shd w:val="clear" w:color="auto" w:fill="auto"/>
        <w:bidi w:val="0"/>
        <w:spacing w:before="0" w:after="360" w:line="312" w:lineRule="exact"/>
        <w:ind w:left="0" w:right="0"/>
        <w:jc w:val="both"/>
      </w:pPr>
      <w:r>
        <w:rPr>
          <w:color w:val="000000"/>
          <w:spacing w:val="0"/>
          <w:w w:val="100"/>
          <w:position w:val="0"/>
        </w:rPr>
        <w:t>报告期内，职工薪酬总额（计入成本部分）占公司总成本的比例为</w:t>
      </w:r>
      <w:r>
        <w:rPr>
          <w:color w:val="000000"/>
          <w:spacing w:val="0"/>
          <w:w w:val="100"/>
          <w:position w:val="0"/>
        </w:rPr>
        <w:t>17.5%，</w:t>
      </w:r>
      <w:r>
        <w:rPr>
          <w:color w:val="000000"/>
          <w:spacing w:val="0"/>
          <w:w w:val="100"/>
          <w:position w:val="0"/>
        </w:rPr>
        <w:t>去年同期</w:t>
      </w:r>
      <w:r>
        <w:rPr>
          <w:color w:val="000000"/>
          <w:spacing w:val="0"/>
          <w:w w:val="100"/>
          <w:position w:val="0"/>
        </w:rPr>
        <w:t>18%</w:t>
      </w:r>
      <w:r>
        <w:rPr>
          <w:color w:val="000000"/>
          <w:spacing w:val="0"/>
          <w:w w:val="100"/>
          <w:position w:val="0"/>
        </w:rPr>
        <w:t xml:space="preserve">。公司利润对职工薪酬总额变化 </w:t>
      </w:r>
      <w:r>
        <w:rPr>
          <w:color w:val="000000"/>
          <w:spacing w:val="0"/>
          <w:w w:val="100"/>
          <w:position w:val="0"/>
        </w:rPr>
        <w:t>敏感度较低。报告期内，公司核心技术人员数量及薪酬占比分别为</w:t>
      </w:r>
      <w:r>
        <w:rPr>
          <w:color w:val="000000"/>
          <w:spacing w:val="0"/>
          <w:w w:val="100"/>
          <w:position w:val="0"/>
        </w:rPr>
        <w:t>19.8%</w:t>
      </w:r>
      <w:r>
        <w:rPr>
          <w:color w:val="000000"/>
          <w:spacing w:val="0"/>
          <w:w w:val="100"/>
          <w:position w:val="0"/>
        </w:rPr>
        <w:t>、</w:t>
      </w:r>
      <w:r>
        <w:rPr>
          <w:color w:val="000000"/>
          <w:spacing w:val="0"/>
          <w:w w:val="100"/>
          <w:position w:val="0"/>
        </w:rPr>
        <w:t>31.4%,</w:t>
      </w:r>
      <w:r>
        <w:rPr>
          <w:color w:val="000000"/>
          <w:spacing w:val="0"/>
          <w:w w:val="100"/>
          <w:position w:val="0"/>
        </w:rPr>
        <w:t>去年同期分别为</w:t>
      </w:r>
      <w:r>
        <w:rPr>
          <w:color w:val="000000"/>
          <w:spacing w:val="0"/>
          <w:w w:val="100"/>
          <w:position w:val="0"/>
        </w:rPr>
        <w:t>18.6%</w:t>
      </w:r>
      <w:r>
        <w:rPr>
          <w:color w:val="000000"/>
          <w:spacing w:val="0"/>
          <w:w w:val="100"/>
          <w:position w:val="0"/>
        </w:rPr>
        <w:t>、</w:t>
      </w:r>
      <w:r>
        <w:rPr>
          <w:color w:val="000000"/>
          <w:spacing w:val="0"/>
          <w:w w:val="100"/>
          <w:position w:val="0"/>
        </w:rPr>
        <w:t>28.8%,</w:t>
      </w:r>
      <w:r>
        <w:rPr>
          <w:color w:val="000000"/>
          <w:spacing w:val="0"/>
          <w:w w:val="100"/>
          <w:position w:val="0"/>
        </w:rPr>
        <w:t xml:space="preserve">分别提升 </w:t>
      </w:r>
      <w:r>
        <w:rPr>
          <w:color w:val="000000"/>
          <w:spacing w:val="0"/>
          <w:w w:val="100"/>
          <w:position w:val="0"/>
        </w:rPr>
        <w:t>1.2</w:t>
      </w:r>
      <w:r>
        <w:rPr>
          <w:color w:val="000000"/>
          <w:spacing w:val="0"/>
          <w:w w:val="100"/>
          <w:position w:val="0"/>
        </w:rPr>
        <w:t>个点、</w:t>
      </w:r>
      <w:r>
        <w:rPr>
          <w:color w:val="000000"/>
          <w:spacing w:val="0"/>
          <w:w w:val="100"/>
          <w:position w:val="0"/>
        </w:rPr>
        <w:t>2.6</w:t>
      </w:r>
      <w:r>
        <w:rPr>
          <w:color w:val="000000"/>
          <w:spacing w:val="0"/>
          <w:w w:val="100"/>
          <w:position w:val="0"/>
        </w:rPr>
        <w:t>个点。</w:t>
      </w:r>
    </w:p>
    <w:p>
      <w:pPr>
        <w:pStyle w:val="Style29"/>
        <w:keepNext/>
        <w:keepLines/>
        <w:widowControl w:val="0"/>
        <w:shd w:val="clear" w:color="auto" w:fill="auto"/>
        <w:tabs>
          <w:tab w:pos="354" w:val="left"/>
        </w:tabs>
        <w:bidi w:val="0"/>
        <w:spacing w:before="0" w:after="26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w:t>
        <w:tab/>
        <w:t>培训计划</w:t>
      </w:r>
      <w:bookmarkEnd w:id="353"/>
      <w:bookmarkEnd w:id="354"/>
      <w:bookmarkEnd w:id="356"/>
    </w:p>
    <w:p>
      <w:pPr>
        <w:pStyle w:val="Style13"/>
        <w:keepNext w:val="0"/>
        <w:keepLines w:val="0"/>
        <w:widowControl w:val="0"/>
        <w:shd w:val="clear" w:color="auto" w:fill="auto"/>
        <w:bidi w:val="0"/>
        <w:spacing w:before="0" w:after="0" w:line="313" w:lineRule="exact"/>
        <w:ind w:left="0" w:right="0"/>
        <w:jc w:val="left"/>
      </w:pPr>
      <w:r>
        <w:rPr>
          <w:color w:val="000000"/>
          <w:spacing w:val="0"/>
          <w:w w:val="100"/>
          <w:position w:val="0"/>
        </w:rPr>
        <w:t>为服务于公司“聚焦金融科技，以大数据、人工智能和区块链赋能行业数字化，打造产业融合新生态”的发展战略，人 力资源部持续从管理能力、专业能力、通用能力和企业文化四个维度推动人才发展战略，推进培养项目在全国的落地。</w:t>
      </w:r>
    </w:p>
    <w:p>
      <w:pPr>
        <w:pStyle w:val="Style13"/>
        <w:keepNext w:val="0"/>
        <w:keepLines w:val="0"/>
        <w:widowControl w:val="0"/>
        <w:shd w:val="clear" w:color="auto" w:fill="auto"/>
        <w:bidi w:val="0"/>
        <w:spacing w:before="0" w:after="0" w:line="313" w:lineRule="exact"/>
        <w:ind w:left="0" w:right="0"/>
        <w:jc w:val="left"/>
      </w:pPr>
      <w:r>
        <w:rPr>
          <w:color w:val="000000"/>
          <w:spacing w:val="0"/>
          <w:w w:val="100"/>
          <w:position w:val="0"/>
        </w:rPr>
        <w:t>2021</w:t>
      </w:r>
      <w:r>
        <w:rPr>
          <w:color w:val="000000"/>
          <w:spacing w:val="0"/>
          <w:w w:val="100"/>
          <w:position w:val="0"/>
        </w:rPr>
        <w:t>年新员工培训以线上学习为主，线下共开展新员工培训</w:t>
      </w:r>
      <w:r>
        <w:rPr>
          <w:color w:val="000000"/>
          <w:spacing w:val="0"/>
          <w:w w:val="100"/>
          <w:position w:val="0"/>
        </w:rPr>
        <w:t>15</w:t>
      </w:r>
      <w:r>
        <w:rPr>
          <w:color w:val="000000"/>
          <w:spacing w:val="0"/>
          <w:w w:val="100"/>
          <w:position w:val="0"/>
        </w:rPr>
        <w:t>期，累计覆盖</w:t>
      </w:r>
      <w:r>
        <w:rPr>
          <w:color w:val="000000"/>
          <w:spacing w:val="0"/>
          <w:w w:val="100"/>
          <w:position w:val="0"/>
        </w:rPr>
        <w:t>13,361</w:t>
      </w:r>
      <w:r>
        <w:rPr>
          <w:color w:val="000000"/>
          <w:spacing w:val="0"/>
          <w:w w:val="100"/>
          <w:position w:val="0"/>
        </w:rPr>
        <w:t>人次；管理条线针对高管、总经理、 总监及经理团队，以不同方式提升其管理能力，累计覆盖</w:t>
      </w:r>
      <w:r>
        <w:rPr>
          <w:color w:val="000000"/>
          <w:spacing w:val="0"/>
          <w:w w:val="100"/>
          <w:position w:val="0"/>
        </w:rPr>
        <w:t>2,098</w:t>
      </w:r>
      <w:r>
        <w:rPr>
          <w:color w:val="000000"/>
          <w:spacing w:val="0"/>
          <w:w w:val="100"/>
          <w:position w:val="0"/>
        </w:rPr>
        <w:t>人次；专业条线针对项目管理序列人员、技术大咖团队、技 术及销售团队，以线上线下相结合的方式提升其专业能力，累计覆盖</w:t>
      </w:r>
      <w:r>
        <w:rPr>
          <w:color w:val="000000"/>
          <w:spacing w:val="0"/>
          <w:w w:val="100"/>
          <w:position w:val="0"/>
        </w:rPr>
        <w:t>10,873</w:t>
      </w:r>
      <w:r>
        <w:rPr>
          <w:color w:val="000000"/>
          <w:spacing w:val="0"/>
          <w:w w:val="100"/>
          <w:position w:val="0"/>
        </w:rPr>
        <w:t>人次；通用条线陆续开展</w:t>
      </w:r>
      <w:r>
        <w:rPr>
          <w:color w:val="000000"/>
          <w:spacing w:val="0"/>
          <w:w w:val="100"/>
          <w:position w:val="0"/>
        </w:rPr>
        <w:t>12</w:t>
      </w:r>
      <w:r>
        <w:rPr>
          <w:color w:val="000000"/>
          <w:spacing w:val="0"/>
          <w:w w:val="100"/>
          <w:position w:val="0"/>
        </w:rPr>
        <w:t>期主题分享，累计覆 盖</w:t>
      </w:r>
      <w:r>
        <w:rPr>
          <w:color w:val="000000"/>
          <w:spacing w:val="0"/>
          <w:w w:val="100"/>
          <w:position w:val="0"/>
        </w:rPr>
        <w:t>2,903</w:t>
      </w:r>
      <w:r>
        <w:rPr>
          <w:color w:val="000000"/>
          <w:spacing w:val="0"/>
          <w:w w:val="100"/>
          <w:position w:val="0"/>
        </w:rPr>
        <w:t>人次。</w:t>
      </w:r>
    </w:p>
    <w:p>
      <w:pPr>
        <w:pStyle w:val="Style13"/>
        <w:keepNext w:val="0"/>
        <w:keepLines w:val="0"/>
        <w:widowControl w:val="0"/>
        <w:shd w:val="clear" w:color="auto" w:fill="auto"/>
        <w:bidi w:val="0"/>
        <w:spacing w:before="0" w:after="360" w:line="313" w:lineRule="exact"/>
        <w:ind w:left="0" w:right="0"/>
        <w:jc w:val="left"/>
      </w:pPr>
      <w:r>
        <w:rPr>
          <w:color w:val="000000"/>
          <w:spacing w:val="0"/>
          <w:w w:val="100"/>
          <w:position w:val="0"/>
        </w:rPr>
        <w:t>同时，人力资源部针对“关键岗位人员”进行持续培养，通过实践历练、内部培训、外部参访交流等多种方式促进关键 岗位人员的有序流动及能力提升。</w:t>
      </w:r>
    </w:p>
    <w:p>
      <w:pPr>
        <w:pStyle w:val="Style29"/>
        <w:keepNext/>
        <w:keepLines/>
        <w:widowControl w:val="0"/>
        <w:shd w:val="clear" w:color="auto" w:fill="auto"/>
        <w:tabs>
          <w:tab w:pos="354" w:val="left"/>
        </w:tabs>
        <w:bidi w:val="0"/>
        <w:spacing w:before="0" w:after="26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4</w:t>
      </w:r>
      <w:bookmarkEnd w:id="359"/>
      <w:r>
        <w:rPr>
          <w:color w:val="000000"/>
          <w:spacing w:val="0"/>
          <w:w w:val="100"/>
          <w:position w:val="0"/>
        </w:rPr>
        <w:t>、</w:t>
        <w:tab/>
        <w:t>劳务外包情况</w:t>
      </w:r>
      <w:bookmarkEnd w:id="357"/>
      <w:bookmarkEnd w:id="358"/>
      <w:bookmarkEnd w:id="360"/>
    </w:p>
    <w:p>
      <w:pPr>
        <w:pStyle w:val="Style1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25"/>
        <w:keepNext/>
        <w:keepLines/>
        <w:widowControl w:val="0"/>
        <w:shd w:val="clear" w:color="auto" w:fill="auto"/>
        <w:bidi w:val="0"/>
        <w:spacing w:before="0" w:after="26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十一、公司利润分配及资本公积金转增股本情况</w:t>
      </w:r>
      <w:bookmarkEnd w:id="361"/>
      <w:bookmarkEnd w:id="362"/>
      <w:bookmarkEnd w:id="363"/>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报告期内利润分配政策，特别是现金分红政策的制定、执行或调整情况</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13"/>
        <w:keepNext w:val="0"/>
        <w:keepLines w:val="0"/>
        <w:widowControl w:val="0"/>
        <w:shd w:val="clear" w:color="auto" w:fill="auto"/>
        <w:tabs>
          <w:tab w:pos="681" w:val="left"/>
        </w:tabs>
        <w:bidi w:val="0"/>
        <w:spacing w:before="0" w:after="0" w:line="312" w:lineRule="exact"/>
        <w:ind w:left="0" w:right="0"/>
        <w:jc w:val="left"/>
      </w:pPr>
      <w:bookmarkStart w:id="364" w:name="bookmark364"/>
      <w:r>
        <w:rPr>
          <w:color w:val="000000"/>
          <w:spacing w:val="0"/>
          <w:w w:val="100"/>
          <w:position w:val="0"/>
        </w:rPr>
        <w:t>1</w:t>
      </w:r>
      <w:bookmarkEnd w:id="364"/>
      <w:r>
        <w:rPr>
          <w:color w:val="000000"/>
          <w:spacing w:val="0"/>
          <w:w w:val="100"/>
          <w:position w:val="0"/>
        </w:rPr>
        <w:t>、</w:t>
        <w:tab/>
        <w:t>公司分别于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日召开第八届董事会第九次会议、</w:t>
      </w:r>
      <w:r>
        <w:rPr>
          <w:color w:val="000000"/>
          <w:spacing w:val="0"/>
          <w:w w:val="100"/>
          <w:position w:val="0"/>
        </w:rPr>
        <w:t>2020</w:t>
      </w:r>
      <w:r>
        <w:rPr>
          <w:color w:val="000000"/>
          <w:spacing w:val="0"/>
          <w:w w:val="100"/>
          <w:position w:val="0"/>
        </w:rPr>
        <w:t>年年度股东大会审议通过了《关于制定</w:t>
      </w:r>
      <w:r>
        <w:rPr>
          <w:color w:val="000000"/>
          <w:spacing w:val="0"/>
          <w:w w:val="100"/>
          <w:position w:val="0"/>
        </w:rPr>
        <w:t xml:space="preserve">＜ </w:t>
      </w:r>
      <w:r>
        <w:rPr>
          <w:color w:val="000000"/>
          <w:spacing w:val="0"/>
          <w:w w:val="100"/>
          <w:position w:val="0"/>
        </w:rPr>
        <w:t>未来三年</w:t>
      </w:r>
      <w:r>
        <w:rPr>
          <w:color w:val="000000"/>
          <w:spacing w:val="0"/>
          <w:w w:val="100"/>
          <w:position w:val="0"/>
        </w:rPr>
        <w:t>（2021-2023</w:t>
      </w:r>
      <w:r>
        <w:rPr>
          <w:color w:val="000000"/>
          <w:spacing w:val="0"/>
          <w:w w:val="100"/>
          <w:position w:val="0"/>
        </w:rPr>
        <w:t>年）股东回报规划〉的议案》。</w:t>
      </w:r>
    </w:p>
    <w:p>
      <w:pPr>
        <w:pStyle w:val="Style13"/>
        <w:keepNext w:val="0"/>
        <w:keepLines w:val="0"/>
        <w:widowControl w:val="0"/>
        <w:numPr>
          <w:ilvl w:val="0"/>
          <w:numId w:val="9"/>
        </w:numPr>
        <w:shd w:val="clear" w:color="auto" w:fill="auto"/>
        <w:tabs>
          <w:tab w:pos="685" w:val="left"/>
        </w:tabs>
        <w:bidi w:val="0"/>
        <w:spacing w:before="0" w:after="400" w:line="312" w:lineRule="exact"/>
        <w:ind w:left="0" w:right="0"/>
        <w:jc w:val="left"/>
      </w:pPr>
      <w:bookmarkStart w:id="365" w:name="bookmark365"/>
      <w:bookmarkEnd w:id="365"/>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日，公司</w:t>
      </w:r>
      <w:r>
        <w:rPr>
          <w:color w:val="000000"/>
          <w:spacing w:val="0"/>
          <w:w w:val="100"/>
          <w:position w:val="0"/>
        </w:rPr>
        <w:t>2020</w:t>
      </w:r>
      <w:r>
        <w:rPr>
          <w:color w:val="000000"/>
          <w:spacing w:val="0"/>
          <w:w w:val="100"/>
          <w:position w:val="0"/>
        </w:rPr>
        <w:t>年年度股东大会审议通过了《关于</w:t>
      </w:r>
      <w:r>
        <w:rPr>
          <w:color w:val="000000"/>
          <w:spacing w:val="0"/>
          <w:w w:val="100"/>
          <w:position w:val="0"/>
        </w:rPr>
        <w:t>＜2020</w:t>
      </w:r>
      <w:r>
        <w:rPr>
          <w:color w:val="000000"/>
          <w:spacing w:val="0"/>
          <w:w w:val="100"/>
          <w:position w:val="0"/>
        </w:rPr>
        <w:t>年度利润分配预案〉的议案》</w:t>
      </w:r>
      <w:r>
        <w:rPr>
          <w:color w:val="000000"/>
          <w:spacing w:val="0"/>
          <w:w w:val="100"/>
          <w:position w:val="0"/>
        </w:rPr>
        <w:t>，</w:t>
      </w:r>
      <w:r>
        <w:rPr>
          <w:color w:val="000000"/>
          <w:spacing w:val="0"/>
          <w:w w:val="100"/>
          <w:position w:val="0"/>
        </w:rPr>
        <w:t>利润分配方案为公 司总股本扣除已回购股份后的</w:t>
      </w:r>
      <w:r>
        <w:rPr>
          <w:color w:val="000000"/>
          <w:spacing w:val="0"/>
          <w:w w:val="100"/>
          <w:position w:val="0"/>
        </w:rPr>
        <w:t>963,445, 851</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0.50</w:t>
      </w:r>
      <w:r>
        <w:rPr>
          <w:color w:val="000000"/>
          <w:spacing w:val="0"/>
          <w:w w:val="100"/>
          <w:position w:val="0"/>
        </w:rPr>
        <w:t>元人民币（含税），现金分红总金 额为人民币</w:t>
      </w:r>
      <w:r>
        <w:rPr>
          <w:color w:val="000000"/>
          <w:spacing w:val="0"/>
          <w:w w:val="100"/>
          <w:position w:val="0"/>
        </w:rPr>
        <w:t xml:space="preserve">48, 172, </w:t>
      </w:r>
      <w:r>
        <w:rPr>
          <w:color w:val="000000"/>
          <w:spacing w:val="0"/>
          <w:w w:val="100"/>
          <w:position w:val="0"/>
        </w:rPr>
        <w:t xml:space="preserve">292. </w:t>
      </w:r>
      <w:r>
        <w:rPr>
          <w:color w:val="000000"/>
          <w:spacing w:val="0"/>
          <w:w w:val="100"/>
          <w:position w:val="0"/>
        </w:rPr>
        <w:t>55</w:t>
      </w:r>
      <w:r>
        <w:rPr>
          <w:color w:val="000000"/>
          <w:spacing w:val="0"/>
          <w:w w:val="100"/>
          <w:position w:val="0"/>
        </w:rPr>
        <w:t>元，不送红股，不以公积金转增股本。</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日，公司披露了《</w:t>
      </w:r>
      <w:r>
        <w:rPr>
          <w:color w:val="000000"/>
          <w:spacing w:val="0"/>
          <w:w w:val="100"/>
          <w:position w:val="0"/>
        </w:rPr>
        <w:t>2019</w:t>
      </w:r>
      <w:r>
        <w:rPr>
          <w:color w:val="000000"/>
          <w:spacing w:val="0"/>
          <w:w w:val="100"/>
          <w:position w:val="0"/>
        </w:rPr>
        <w:t>年年度权益分派实施公 告》，自分配方案披露至实施期间，公司总股本因股票期权自主行权增加,总股本变更为</w:t>
      </w:r>
      <w:r>
        <w:rPr>
          <w:color w:val="000000"/>
          <w:spacing w:val="0"/>
          <w:w w:val="100"/>
          <w:position w:val="0"/>
        </w:rPr>
        <w:t>976, 518, 202</w:t>
      </w:r>
      <w:r>
        <w:rPr>
          <w:color w:val="000000"/>
          <w:spacing w:val="0"/>
          <w:w w:val="100"/>
          <w:position w:val="0"/>
        </w:rPr>
        <w:t>股。按照“分配总额” 不变的原则，公司利润分配方案调整为“以公司总股本剔除已回购股份</w:t>
      </w:r>
      <w:r>
        <w:rPr>
          <w:color w:val="000000"/>
          <w:spacing w:val="0"/>
          <w:w w:val="100"/>
          <w:position w:val="0"/>
        </w:rPr>
        <w:t>12,864,476</w:t>
      </w:r>
      <w:r>
        <w:rPr>
          <w:color w:val="000000"/>
          <w:spacing w:val="0"/>
          <w:w w:val="100"/>
          <w:position w:val="0"/>
        </w:rPr>
        <w:t>股后的</w:t>
      </w:r>
      <w:r>
        <w:rPr>
          <w:color w:val="000000"/>
          <w:spacing w:val="0"/>
          <w:w w:val="100"/>
          <w:position w:val="0"/>
        </w:rPr>
        <w:t>963, 653, 726</w:t>
      </w:r>
      <w:r>
        <w:rPr>
          <w:color w:val="000000"/>
          <w:spacing w:val="0"/>
          <w:w w:val="100"/>
          <w:position w:val="0"/>
        </w:rPr>
        <w:t>股为基数，向全体 股东每</w:t>
      </w:r>
      <w:r>
        <w:rPr>
          <w:color w:val="000000"/>
          <w:spacing w:val="0"/>
          <w:w w:val="100"/>
          <w:position w:val="0"/>
        </w:rPr>
        <w:t>10</w:t>
      </w:r>
      <w:r>
        <w:rPr>
          <w:color w:val="000000"/>
          <w:spacing w:val="0"/>
          <w:w w:val="100"/>
          <w:position w:val="0"/>
        </w:rPr>
        <w:t>股派发现金红利人民币</w:t>
      </w:r>
      <w:r>
        <w:rPr>
          <w:color w:val="000000"/>
          <w:spacing w:val="0"/>
          <w:w w:val="100"/>
          <w:position w:val="0"/>
        </w:rPr>
        <w:t xml:space="preserve">0.499892 </w:t>
      </w:r>
      <w:r>
        <w:rPr>
          <w:color w:val="000000"/>
          <w:spacing w:val="0"/>
          <w:w w:val="100"/>
          <w:position w:val="0"/>
        </w:rPr>
        <w:t>（含税）</w:t>
      </w:r>
      <w:r>
        <w:rPr>
          <w:color w:val="000000"/>
          <w:spacing w:val="0"/>
          <w:w w:val="100"/>
          <w:position w:val="0"/>
        </w:rPr>
        <w:t>，</w:t>
      </w:r>
      <w:r>
        <w:rPr>
          <w:color w:val="000000"/>
          <w:spacing w:val="0"/>
          <w:w w:val="100"/>
          <w:position w:val="0"/>
        </w:rPr>
        <w:t>不送红股，不以公积金转增股本，合计派发现金红利为</w:t>
      </w:r>
      <w:r>
        <w:rPr>
          <w:color w:val="000000"/>
          <w:spacing w:val="0"/>
          <w:w w:val="100"/>
          <w:position w:val="0"/>
        </w:rPr>
        <w:t xml:space="preserve">48, 172, </w:t>
      </w:r>
      <w:r>
        <w:rPr>
          <w:color w:val="000000"/>
          <w:spacing w:val="0"/>
          <w:w w:val="100"/>
          <w:position w:val="0"/>
        </w:rPr>
        <w:t xml:space="preserve">278. </w:t>
      </w:r>
      <w:r>
        <w:rPr>
          <w:color w:val="000000"/>
          <w:spacing w:val="0"/>
          <w:w w:val="100"/>
          <w:position w:val="0"/>
        </w:rPr>
        <w:t xml:space="preserve">84 </w:t>
      </w:r>
      <w:r>
        <w:rPr>
          <w:color w:val="000000"/>
          <w:spacing w:val="0"/>
          <w:w w:val="100"/>
          <w:position w:val="0"/>
        </w:rPr>
        <w:t>元人民币（含税）。股权登记日为</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日，除权除息日为</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日。报告期内，公司派息工作已依法完成。</w:t>
      </w:r>
    </w:p>
    <w:tbl>
      <w:tblPr>
        <w:tblOverlap w:val="never"/>
        <w:jc w:val="center"/>
        <w:tblLayout w:type="fixed"/>
      </w:tblPr>
      <w:tblGrid>
        <w:gridCol w:w="6686"/>
        <w:gridCol w:w="2894"/>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公司报告期内盈利且母公司可供股东分配利润为正但未提出现金红利分配预案 口适用”不适用</w:t>
      </w:r>
    </w:p>
    <w:p>
      <w:pPr>
        <w:pStyle w:val="Style13"/>
        <w:keepNext w:val="0"/>
        <w:keepLines w:val="0"/>
        <w:widowControl w:val="0"/>
        <w:shd w:val="clear" w:color="auto" w:fill="auto"/>
        <w:bidi w:val="0"/>
        <w:spacing w:before="0" w:after="260" w:line="346" w:lineRule="exact"/>
        <w:ind w:left="0" w:right="0" w:firstLine="0"/>
        <w:jc w:val="left"/>
      </w:pPr>
      <w:r>
        <w:rPr>
          <w:color w:val="000000"/>
          <w:spacing w:val="0"/>
          <w:w w:val="100"/>
          <w:position w:val="0"/>
        </w:rPr>
        <w:t>本报告期利润分配及资本公积金转增股本情况</w:t>
      </w:r>
      <w:r>
        <w:br w:type="page"/>
      </w:r>
    </w:p>
    <w:p>
      <w:pPr>
        <w:pStyle w:val="Style13"/>
        <w:keepNext w:val="0"/>
        <w:keepLines w:val="0"/>
        <w:widowControl w:val="0"/>
        <w:shd w:val="clear" w:color="auto" w:fill="auto"/>
        <w:bidi w:val="0"/>
        <w:spacing w:before="0" w:after="440" w:line="240" w:lineRule="auto"/>
        <w:ind w:left="0" w:right="0" w:firstLine="0"/>
        <w:jc w:val="left"/>
      </w:pPr>
      <w:r>
        <w:rPr>
          <w:color w:val="000000"/>
          <w:spacing w:val="0"/>
          <w:w w:val="100"/>
          <w:position w:val="0"/>
        </w:rPr>
        <w:t>”适用口不适用</w:t>
      </w:r>
    </w:p>
    <w:tbl>
      <w:tblPr>
        <w:tblOverlap w:val="never"/>
        <w:jc w:val="center"/>
        <w:tblLayout w:type="fixed"/>
      </w:tblPr>
      <w:tblGrid>
        <w:gridCol w:w="4325"/>
        <w:gridCol w:w="52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以截至第九届董事会第一次会议召开日，公司总股本扣除回购专 户中已回购股份后的</w:t>
            </w:r>
            <w:r>
              <w:rPr>
                <w:rFonts w:ascii="Times New Roman" w:eastAsia="Times New Roman" w:hAnsi="Times New Roman" w:cs="Times New Roman"/>
                <w:color w:val="000000"/>
                <w:spacing w:val="0"/>
                <w:w w:val="100"/>
                <w:position w:val="0"/>
              </w:rPr>
              <w:t>970,749,237</w:t>
            </w:r>
            <w:r>
              <w:rPr>
                <w:color w:val="000000"/>
                <w:spacing w:val="0"/>
                <w:w w:val="100"/>
                <w:position w:val="0"/>
              </w:rPr>
              <w:t>股为基数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00" w:right="0" w:firstLine="0"/>
              <w:jc w:val="left"/>
            </w:pPr>
            <w:r>
              <w:rPr>
                <w:rFonts w:ascii="Times New Roman" w:eastAsia="Times New Roman" w:hAnsi="Times New Roman" w:cs="Times New Roman"/>
                <w:color w:val="000000"/>
                <w:spacing w:val="0"/>
                <w:w w:val="100"/>
                <w:position w:val="0"/>
              </w:rPr>
              <w:t>38,829,969.48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00" w:right="0" w:firstLine="0"/>
              <w:jc w:val="left"/>
            </w:pPr>
            <w:r>
              <w:rPr>
                <w:rFonts w:ascii="Times New Roman" w:eastAsia="Times New Roman" w:hAnsi="Times New Roman" w:cs="Times New Roman"/>
                <w:color w:val="000000"/>
                <w:spacing w:val="0"/>
                <w:w w:val="100"/>
                <w:position w:val="0"/>
              </w:rPr>
              <w:t>60,814,590.68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00" w:right="0" w:firstLine="0"/>
              <w:jc w:val="left"/>
            </w:pPr>
            <w:r>
              <w:rPr>
                <w:rFonts w:ascii="Times New Roman" w:eastAsia="Times New Roman" w:hAnsi="Times New Roman" w:cs="Times New Roman"/>
                <w:color w:val="000000"/>
                <w:spacing w:val="0"/>
                <w:w w:val="100"/>
                <w:position w:val="0"/>
              </w:rPr>
              <w:t>99,644,560.16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00" w:right="0" w:firstLine="0"/>
              <w:jc w:val="left"/>
            </w:pPr>
            <w:r>
              <w:rPr>
                <w:rFonts w:ascii="Times New Roman" w:eastAsia="Times New Roman" w:hAnsi="Times New Roman" w:cs="Times New Roman"/>
                <w:color w:val="000000"/>
                <w:spacing w:val="0"/>
                <w:w w:val="100"/>
                <w:position w:val="0"/>
              </w:rPr>
              <w:t>84,855,371.31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584"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经信永中和会计师事务所（特殊普通合伙）审计，本公司母公司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年度实现净利润为</w:t>
            </w:r>
            <w:r>
              <w:rPr>
                <w:rFonts w:ascii="Times New Roman" w:eastAsia="Times New Roman" w:hAnsi="Times New Roman" w:cs="Times New Roman"/>
                <w:color w:val="000000"/>
                <w:spacing w:val="0"/>
                <w:w w:val="100"/>
                <w:position w:val="0"/>
              </w:rPr>
              <w:t>71,164,924.94</w:t>
            </w:r>
            <w:r>
              <w:rPr>
                <w:color w:val="000000"/>
                <w:spacing w:val="0"/>
                <w:w w:val="100"/>
                <w:position w:val="0"/>
              </w:rPr>
              <w:t>元，根据《公 司法》及公司章程的有关规定，按母公司会计报表净利润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rPr>
              <w:t>7,116,492.51</w:t>
            </w:r>
            <w:r>
              <w:rPr>
                <w:color w:val="000000"/>
                <w:spacing w:val="0"/>
                <w:w w:val="100"/>
                <w:position w:val="0"/>
              </w:rPr>
              <w:t>元，实施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 分配向全体股东派发现金红利减少</w:t>
            </w:r>
            <w:r>
              <w:rPr>
                <w:rFonts w:ascii="Times New Roman" w:eastAsia="Times New Roman" w:hAnsi="Times New Roman" w:cs="Times New Roman"/>
                <w:color w:val="000000"/>
                <w:spacing w:val="0"/>
                <w:w w:val="100"/>
                <w:position w:val="0"/>
              </w:rPr>
              <w:t>48,175,357.02</w:t>
            </w:r>
            <w:r>
              <w:rPr>
                <w:color w:val="000000"/>
                <w:spacing w:val="0"/>
                <w:w w:val="100"/>
                <w:position w:val="0"/>
              </w:rPr>
              <w:t>元，加上母公司会计报表年初未分配利润</w:t>
            </w:r>
            <w:r>
              <w:rPr>
                <w:rFonts w:ascii="Times New Roman" w:eastAsia="Times New Roman" w:hAnsi="Times New Roman" w:cs="Times New Roman"/>
                <w:color w:val="000000"/>
                <w:spacing w:val="0"/>
                <w:w w:val="100"/>
                <w:position w:val="0"/>
              </w:rPr>
              <w:t>68,982,295.90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年度 母公司实际可供股东分配的未分配利润为</w:t>
            </w:r>
            <w:r>
              <w:rPr>
                <w:rFonts w:ascii="Times New Roman" w:eastAsia="Times New Roman" w:hAnsi="Times New Roman" w:cs="Times New Roman"/>
                <w:color w:val="000000"/>
                <w:spacing w:val="0"/>
                <w:w w:val="100"/>
                <w:position w:val="0"/>
              </w:rPr>
              <w:t>84,855,371.31</w:t>
            </w:r>
            <w:r>
              <w:rPr>
                <w:color w:val="000000"/>
                <w:spacing w:val="0"/>
                <w:w w:val="100"/>
                <w:position w:val="0"/>
              </w:rPr>
              <w:t>元。</w:t>
            </w:r>
          </w:p>
          <w:p>
            <w:pPr>
              <w:pStyle w:val="Style22"/>
              <w:keepNext w:val="0"/>
              <w:keepLines w:val="0"/>
              <w:widowControl w:val="0"/>
              <w:shd w:val="clear" w:color="auto" w:fill="auto"/>
              <w:bidi w:val="0"/>
              <w:spacing w:before="0" w:after="40" w:line="314" w:lineRule="exact"/>
              <w:ind w:left="0" w:right="0" w:firstLine="4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日，公司第九届董事会第一次会议审议通过的</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年度利润分配预案为：拟以截至第九届董事会第 一次会议召开日，公司总股本扣除回购专户中已回购股份后的</w:t>
            </w:r>
            <w:r>
              <w:rPr>
                <w:rFonts w:ascii="Times New Roman" w:eastAsia="Times New Roman" w:hAnsi="Times New Roman" w:cs="Times New Roman"/>
                <w:color w:val="000000"/>
                <w:spacing w:val="0"/>
                <w:w w:val="100"/>
                <w:position w:val="0"/>
              </w:rPr>
              <w:t>970,749,237</w:t>
            </w:r>
            <w:r>
              <w:rPr>
                <w:color w:val="000000"/>
                <w:spacing w:val="0"/>
                <w:w w:val="100"/>
                <w:position w:val="0"/>
              </w:rPr>
              <w:t>股为基数，公司拟向全体股东每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 金红利</w:t>
            </w:r>
            <w:r>
              <w:rPr>
                <w:rFonts w:ascii="Times New Roman" w:eastAsia="Times New Roman" w:hAnsi="Times New Roman" w:cs="Times New Roman"/>
                <w:color w:val="000000"/>
                <w:spacing w:val="0"/>
                <w:w w:val="100"/>
                <w:position w:val="0"/>
              </w:rPr>
              <w:t>0.40</w:t>
            </w:r>
            <w:r>
              <w:rPr>
                <w:color w:val="000000"/>
                <w:spacing w:val="0"/>
                <w:w w:val="100"/>
                <w:position w:val="0"/>
              </w:rPr>
              <w:t>元人民币（含税），不送红股，不以公积金转增股本，合计拟派发现金红利为</w:t>
            </w:r>
            <w:r>
              <w:rPr>
                <w:rFonts w:ascii="Times New Roman" w:eastAsia="Times New Roman" w:hAnsi="Times New Roman" w:cs="Times New Roman"/>
                <w:color w:val="000000"/>
                <w:spacing w:val="0"/>
                <w:w w:val="100"/>
                <w:position w:val="0"/>
              </w:rPr>
              <w:t>38,829,969.48</w:t>
            </w:r>
            <w:r>
              <w:rPr>
                <w:color w:val="000000"/>
                <w:spacing w:val="0"/>
                <w:w w:val="100"/>
                <w:position w:val="0"/>
              </w:rPr>
              <w:t>元（含税）。 本次利润分配预案尚需公司</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w:t>
            </w:r>
          </w:p>
          <w:p>
            <w:pPr>
              <w:pStyle w:val="Style22"/>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根据《上市公司自律监管指引第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color w:val="000000"/>
                <w:spacing w:val="0"/>
                <w:w w:val="100"/>
                <w:position w:val="0"/>
              </w:rPr>
              <w:t>一</w:t>
            </w:r>
            <w:r>
              <w:rPr>
                <w:color w:val="000000"/>
                <w:spacing w:val="0"/>
                <w:w w:val="100"/>
                <w:position w:val="0"/>
              </w:rPr>
              <w:t>回购股份》的相关规定，</w:t>
            </w:r>
            <w:r>
              <w:rPr>
                <w:rFonts w:ascii="Times New Roman" w:eastAsia="Times New Roman" w:hAnsi="Times New Roman" w:cs="Times New Roman"/>
                <w:color w:val="000000"/>
                <w:spacing w:val="0"/>
                <w:w w:val="100"/>
                <w:position w:val="0"/>
              </w:rPr>
              <w:t>2021</w:t>
            </w:r>
            <w:r>
              <w:rPr>
                <w:color w:val="000000"/>
                <w:spacing w:val="0"/>
                <w:w w:val="100"/>
                <w:position w:val="0"/>
              </w:rPr>
              <w:t>年度公司以集中竞价交易方式实施股份回购支 付的金额</w:t>
            </w:r>
            <w:r>
              <w:rPr>
                <w:rFonts w:ascii="Times New Roman" w:eastAsia="Times New Roman" w:hAnsi="Times New Roman" w:cs="Times New Roman"/>
                <w:color w:val="000000"/>
                <w:spacing w:val="0"/>
                <w:w w:val="100"/>
                <w:position w:val="0"/>
              </w:rPr>
              <w:t>60,814,590.68</w:t>
            </w:r>
            <w:r>
              <w:rPr>
                <w:color w:val="000000"/>
                <w:spacing w:val="0"/>
                <w:w w:val="100"/>
                <w:position w:val="0"/>
              </w:rPr>
              <w:t>元（不含佣金、过户费等交易费用），视同公司</w:t>
            </w:r>
            <w:r>
              <w:rPr>
                <w:rFonts w:ascii="Times New Roman" w:eastAsia="Times New Roman" w:hAnsi="Times New Roman" w:cs="Times New Roman"/>
                <w:color w:val="000000"/>
                <w:spacing w:val="0"/>
                <w:w w:val="100"/>
                <w:position w:val="0"/>
              </w:rPr>
              <w:t>2021</w:t>
            </w:r>
            <w:r>
              <w:rPr>
                <w:color w:val="000000"/>
                <w:spacing w:val="0"/>
                <w:w w:val="100"/>
                <w:position w:val="0"/>
              </w:rPr>
              <w:t>年度的现金分红。</w:t>
            </w:r>
          </w:p>
          <w:p>
            <w:pPr>
              <w:pStyle w:val="Style22"/>
              <w:keepNext w:val="0"/>
              <w:keepLines w:val="0"/>
              <w:widowControl w:val="0"/>
              <w:shd w:val="clear" w:color="auto" w:fill="auto"/>
              <w:bidi w:val="0"/>
              <w:spacing w:before="0" w:after="40" w:line="315" w:lineRule="exact"/>
              <w:ind w:left="0" w:right="0" w:firstLine="460"/>
              <w:jc w:val="both"/>
            </w:pPr>
            <w:r>
              <w:rPr>
                <w:color w:val="000000"/>
                <w:spacing w:val="0"/>
                <w:w w:val="100"/>
                <w:position w:val="0"/>
              </w:rPr>
              <w:t>综上，公司</w:t>
            </w:r>
            <w:r>
              <w:rPr>
                <w:rFonts w:ascii="Times New Roman" w:eastAsia="Times New Roman" w:hAnsi="Times New Roman" w:cs="Times New Roman"/>
                <w:color w:val="000000"/>
                <w:spacing w:val="0"/>
                <w:w w:val="100"/>
                <w:position w:val="0"/>
              </w:rPr>
              <w:t>2021</w:t>
            </w:r>
            <w:r>
              <w:rPr>
                <w:color w:val="000000"/>
                <w:spacing w:val="0"/>
                <w:w w:val="100"/>
                <w:position w:val="0"/>
              </w:rPr>
              <w:t>年度现金分红金额合计</w:t>
            </w:r>
            <w:r>
              <w:rPr>
                <w:rFonts w:ascii="Times New Roman" w:eastAsia="Times New Roman" w:hAnsi="Times New Roman" w:cs="Times New Roman"/>
                <w:color w:val="000000"/>
                <w:spacing w:val="0"/>
                <w:w w:val="100"/>
                <w:position w:val="0"/>
              </w:rPr>
              <w:t>99,644,560.16</w:t>
            </w:r>
            <w:r>
              <w:rPr>
                <w:color w:val="000000"/>
                <w:spacing w:val="0"/>
                <w:w w:val="100"/>
                <w:position w:val="0"/>
              </w:rPr>
              <w:t xml:space="preserve">元，占合并报表中归属于上市公司股东的净利润的比例为 </w:t>
            </w:r>
            <w:r>
              <w:rPr>
                <w:rFonts w:ascii="Times New Roman" w:eastAsia="Times New Roman" w:hAnsi="Times New Roman" w:cs="Times New Roman"/>
                <w:color w:val="000000"/>
                <w:spacing w:val="0"/>
                <w:w w:val="100"/>
                <w:position w:val="0"/>
              </w:rPr>
              <w:t>26.49%</w:t>
            </w:r>
            <w:r>
              <w:rPr>
                <w:color w:val="000000"/>
                <w:spacing w:val="0"/>
                <w:w w:val="100"/>
                <w:position w:val="0"/>
              </w:rPr>
              <w:t>。公司通过回购专户所持有的本公司</w:t>
            </w:r>
            <w:r>
              <w:rPr>
                <w:rFonts w:ascii="Times New Roman" w:eastAsia="Times New Roman" w:hAnsi="Times New Roman" w:cs="Times New Roman"/>
                <w:color w:val="000000"/>
                <w:spacing w:val="0"/>
                <w:w w:val="100"/>
                <w:position w:val="0"/>
              </w:rPr>
              <w:t>12,864,476</w:t>
            </w:r>
            <w:r>
              <w:rPr>
                <w:color w:val="000000"/>
                <w:spacing w:val="0"/>
                <w:w w:val="100"/>
                <w:position w:val="0"/>
              </w:rPr>
              <w:t>股，不参与本次利润分配。若在本方案披露之日起至分配方案实 施前，因新增股份上市、股权激励授予行权、可转债转股、股份回购、员工持股计划实施等原因，致使公司总股本扣除 公司回购专户中股份后的基数发生变动，将按照“分配总额”不变的原则对每股分红金额进行调整。</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十二、公司股权激励计划、员工持股计划或其他员工激励措施的实施情况</w:t>
      </w:r>
      <w:bookmarkEnd w:id="366"/>
      <w:bookmarkEnd w:id="367"/>
      <w:bookmarkEnd w:id="368"/>
    </w:p>
    <w:p>
      <w:pPr>
        <w:pStyle w:val="Style1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”适用口不适用</w:t>
      </w:r>
    </w:p>
    <w:p>
      <w:pPr>
        <w:pStyle w:val="Style29"/>
        <w:keepNext/>
        <w:keepLines/>
        <w:widowControl w:val="0"/>
        <w:shd w:val="clear" w:color="auto" w:fill="auto"/>
        <w:bidi w:val="0"/>
        <w:spacing w:before="0" w:after="24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、股权激励</w:t>
      </w:r>
      <w:bookmarkEnd w:id="369"/>
      <w:bookmarkEnd w:id="370"/>
      <w:bookmarkEnd w:id="372"/>
    </w:p>
    <w:p>
      <w:pPr>
        <w:pStyle w:val="Style13"/>
        <w:keepNext w:val="0"/>
        <w:keepLines w:val="0"/>
        <w:widowControl w:val="0"/>
        <w:shd w:val="clear" w:color="auto" w:fill="auto"/>
        <w:bidi w:val="0"/>
        <w:spacing w:before="0" w:after="340" w:line="313" w:lineRule="exact"/>
        <w:ind w:left="0" w:right="0" w:firstLine="440"/>
        <w:jc w:val="both"/>
        <w:sectPr>
          <w:footnotePr>
            <w:pos w:val="pageBottom"/>
            <w:numFmt w:val="decimal"/>
            <w:numRestart w:val="continuous"/>
          </w:footnotePr>
          <w:pgSz w:w="11900" w:h="16840"/>
          <w:pgMar w:top="1352" w:right="1073" w:bottom="1462" w:left="1055" w:header="0" w:footer="3" w:gutter="0"/>
          <w:cols w:space="720"/>
          <w:noEndnote/>
          <w:rtlGutter w:val="0"/>
          <w:docGrid w:linePitch="360"/>
        </w:sectPr>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日，公司第八届董事会</w:t>
      </w:r>
      <w:r>
        <w:rPr>
          <w:color w:val="000000"/>
          <w:spacing w:val="0"/>
          <w:w w:val="100"/>
          <w:position w:val="0"/>
        </w:rPr>
        <w:t>2021</w:t>
      </w:r>
      <w:r>
        <w:rPr>
          <w:color w:val="000000"/>
          <w:spacing w:val="0"/>
          <w:w w:val="100"/>
          <w:position w:val="0"/>
        </w:rPr>
        <w:t>年第二次临时会议和第八届监事会</w:t>
      </w:r>
      <w:r>
        <w:rPr>
          <w:color w:val="000000"/>
          <w:spacing w:val="0"/>
          <w:w w:val="100"/>
          <w:position w:val="0"/>
        </w:rPr>
        <w:t>2021</w:t>
      </w:r>
      <w:r>
        <w:rPr>
          <w:color w:val="000000"/>
          <w:spacing w:val="0"/>
          <w:w w:val="100"/>
          <w:position w:val="0"/>
        </w:rPr>
        <w:t>年第一次临时会议审议通过了《关于注 销</w:t>
      </w:r>
      <w:r>
        <w:rPr>
          <w:color w:val="000000"/>
          <w:spacing w:val="0"/>
          <w:w w:val="100"/>
          <w:position w:val="0"/>
        </w:rPr>
        <w:t>2019</w:t>
      </w:r>
      <w:r>
        <w:rPr>
          <w:color w:val="000000"/>
          <w:spacing w:val="0"/>
          <w:w w:val="100"/>
          <w:position w:val="0"/>
        </w:rPr>
        <w:t>年股权激励计划部分股票期权的议案》，同意公司对</w:t>
      </w:r>
      <w:r>
        <w:rPr>
          <w:color w:val="000000"/>
          <w:spacing w:val="0"/>
          <w:w w:val="100"/>
          <w:position w:val="0"/>
        </w:rPr>
        <w:t>2019</w:t>
      </w:r>
      <w:r>
        <w:rPr>
          <w:color w:val="000000"/>
          <w:spacing w:val="0"/>
          <w:w w:val="100"/>
          <w:position w:val="0"/>
        </w:rPr>
        <w:t>年股票期权与限制性股票激励计划中部分激励对象已获授但 尚未行权的</w:t>
      </w:r>
      <w:r>
        <w:rPr>
          <w:color w:val="000000"/>
          <w:spacing w:val="0"/>
          <w:w w:val="100"/>
          <w:position w:val="0"/>
        </w:rPr>
        <w:t>1,746, 845</w:t>
      </w:r>
      <w:r>
        <w:rPr>
          <w:color w:val="000000"/>
          <w:spacing w:val="0"/>
          <w:w w:val="100"/>
          <w:position w:val="0"/>
        </w:rPr>
        <w:t>份股票期权予以注销，其中包括第一批次符合行权条件的</w:t>
      </w:r>
      <w:r>
        <w:rPr>
          <w:color w:val="000000"/>
          <w:spacing w:val="0"/>
          <w:w w:val="100"/>
          <w:position w:val="0"/>
        </w:rPr>
        <w:t>24</w:t>
      </w:r>
      <w:r>
        <w:rPr>
          <w:color w:val="000000"/>
          <w:spacing w:val="0"/>
          <w:w w:val="100"/>
          <w:position w:val="0"/>
        </w:rPr>
        <w:t>名激励对象未在第一个行权期内全部行权 的</w:t>
      </w:r>
      <w:r>
        <w:rPr>
          <w:color w:val="000000"/>
          <w:spacing w:val="0"/>
          <w:w w:val="100"/>
          <w:position w:val="0"/>
        </w:rPr>
        <w:t>109.6845</w:t>
      </w:r>
      <w:r>
        <w:rPr>
          <w:color w:val="000000"/>
          <w:spacing w:val="0"/>
          <w:w w:val="100"/>
          <w:position w:val="0"/>
        </w:rPr>
        <w:t>万份股票期权以及</w:t>
      </w:r>
      <w:r>
        <w:rPr>
          <w:color w:val="000000"/>
          <w:spacing w:val="0"/>
          <w:w w:val="100"/>
          <w:position w:val="0"/>
        </w:rPr>
        <w:t>7</w:t>
      </w:r>
      <w:r>
        <w:rPr>
          <w:color w:val="000000"/>
          <w:spacing w:val="0"/>
          <w:w w:val="100"/>
          <w:position w:val="0"/>
        </w:rPr>
        <w:t>名在第二批次股票期权等待期内离职的激励对象已获授但尚未行权的</w:t>
      </w:r>
      <w:r>
        <w:rPr>
          <w:color w:val="000000"/>
          <w:spacing w:val="0"/>
          <w:w w:val="100"/>
          <w:position w:val="0"/>
        </w:rPr>
        <w:t>65</w:t>
      </w:r>
      <w:r>
        <w:rPr>
          <w:color w:val="000000"/>
          <w:spacing w:val="0"/>
          <w:w w:val="100"/>
          <w:position w:val="0"/>
        </w:rPr>
        <w:t>万份股票期权。经中 国证券登记结算有限责任公司深圳分公司审核确认，上述</w:t>
      </w:r>
      <w:r>
        <w:rPr>
          <w:color w:val="000000"/>
          <w:spacing w:val="0"/>
          <w:w w:val="100"/>
          <w:position w:val="0"/>
        </w:rPr>
        <w:t>1,746,845</w:t>
      </w:r>
      <w:r>
        <w:rPr>
          <w:color w:val="000000"/>
          <w:spacing w:val="0"/>
          <w:w w:val="100"/>
          <w:position w:val="0"/>
        </w:rPr>
        <w:t>份股票期权注销手续已于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日办理完成。</w:t>
      </w:r>
    </w:p>
    <w:p>
      <w:pPr>
        <w:pStyle w:val="Style13"/>
        <w:keepNext w:val="0"/>
        <w:keepLines w:val="0"/>
        <w:widowControl w:val="0"/>
        <w:shd w:val="clear" w:color="auto" w:fill="auto"/>
        <w:bidi w:val="0"/>
        <w:spacing w:before="0" w:after="40" w:line="322" w:lineRule="exact"/>
        <w:ind w:left="0" w:right="0" w:firstLine="460"/>
        <w:jc w:val="left"/>
      </w:pPr>
      <w:r>
        <w:rPr>
          <w:color w:val="000000"/>
          <w:spacing w:val="0"/>
          <w:w w:val="100"/>
          <w:position w:val="0"/>
        </w:rPr>
        <w:t>上述会议同时审议通过了《关于</w:t>
      </w:r>
      <w:r>
        <w:rPr>
          <w:color w:val="000000"/>
          <w:spacing w:val="0"/>
          <w:w w:val="100"/>
          <w:position w:val="0"/>
        </w:rPr>
        <w:t>2019</w:t>
      </w:r>
      <w:r>
        <w:rPr>
          <w:color w:val="000000"/>
          <w:spacing w:val="0"/>
          <w:w w:val="100"/>
          <w:position w:val="0"/>
        </w:rPr>
        <w:t>年股票期权与限制性股票激励计划第二个行权期/解除限售期行权/解除限售条件成就的议案》，同意为符合行权条件的</w:t>
      </w:r>
      <w:r>
        <w:rPr>
          <w:rFonts w:ascii="Times New Roman" w:eastAsia="Times New Roman" w:hAnsi="Times New Roman" w:cs="Times New Roman"/>
          <w:color w:val="000000"/>
          <w:spacing w:val="0"/>
          <w:w w:val="100"/>
          <w:position w:val="0"/>
        </w:rPr>
        <w:t>93</w:t>
      </w:r>
      <w:r>
        <w:rPr>
          <w:color w:val="000000"/>
          <w:spacing w:val="0"/>
          <w:w w:val="100"/>
          <w:position w:val="0"/>
        </w:rPr>
        <w:t>名激励对象办 理第二个行权期</w:t>
      </w:r>
      <w:r>
        <w:rPr>
          <w:rFonts w:ascii="Times New Roman" w:eastAsia="Times New Roman" w:hAnsi="Times New Roman" w:cs="Times New Roman"/>
          <w:color w:val="000000"/>
          <w:spacing w:val="0"/>
          <w:w w:val="100"/>
          <w:position w:val="0"/>
        </w:rPr>
        <w:t>1,011</w:t>
      </w:r>
      <w:r>
        <w:rPr>
          <w:color w:val="000000"/>
          <w:spacing w:val="0"/>
          <w:w w:val="100"/>
          <w:position w:val="0"/>
        </w:rPr>
        <w:t>万份股票期权的行权手续，为符合解除限售条件的</w:t>
      </w:r>
      <w:r>
        <w:rPr>
          <w:rFonts w:ascii="Times New Roman" w:eastAsia="Times New Roman" w:hAnsi="Times New Roman" w:cs="Times New Roman"/>
          <w:color w:val="000000"/>
          <w:spacing w:val="0"/>
          <w:w w:val="100"/>
          <w:position w:val="0"/>
        </w:rPr>
        <w:t>15</w:t>
      </w:r>
      <w:r>
        <w:rPr>
          <w:color w:val="000000"/>
          <w:spacing w:val="0"/>
          <w:w w:val="100"/>
          <w:position w:val="0"/>
        </w:rPr>
        <w:t>名激励对象办理第二个解除限售期</w:t>
      </w:r>
      <w:r>
        <w:rPr>
          <w:rFonts w:ascii="Times New Roman" w:eastAsia="Times New Roman" w:hAnsi="Times New Roman" w:cs="Times New Roman"/>
          <w:color w:val="000000"/>
          <w:spacing w:val="0"/>
          <w:w w:val="100"/>
          <w:position w:val="0"/>
        </w:rPr>
        <w:t>332.50</w:t>
      </w:r>
      <w:r>
        <w:rPr>
          <w:color w:val="000000"/>
          <w:spacing w:val="0"/>
          <w:w w:val="100"/>
          <w:position w:val="0"/>
        </w:rPr>
        <w:t>万股限制性股票的解除限售手续。</w:t>
      </w:r>
    </w:p>
    <w:p>
      <w:pPr>
        <w:pStyle w:val="Style13"/>
        <w:keepNext w:val="0"/>
        <w:keepLines w:val="0"/>
        <w:widowControl w:val="0"/>
        <w:shd w:val="clear" w:color="auto" w:fill="auto"/>
        <w:bidi w:val="0"/>
        <w:spacing w:before="0" w:after="480" w:line="324" w:lineRule="exact"/>
        <w:ind w:left="0" w:right="0" w:firstLine="460"/>
        <w:jc w:val="left"/>
      </w:pPr>
      <w:r>
        <w:rPr>
          <w:color w:val="000000"/>
          <w:spacing w:val="0"/>
          <w:w w:val="100"/>
          <w:position w:val="0"/>
        </w:rPr>
        <w:t>本次解除限售股份的上市流通日为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日，自主行权第二个行权期实际可行权期限为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日止。公司分别于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日披露了《关于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年股权激励计划限制性股票第二期解除限售上市流通的提示性公告》、《关于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年股权激励计划第二个行权期采用自主行权模式的提示 性公告》。报告期内，激励对象累计行权</w:t>
      </w:r>
      <w:r>
        <w:rPr>
          <w:rFonts w:ascii="Times New Roman" w:eastAsia="Times New Roman" w:hAnsi="Times New Roman" w:cs="Times New Roman"/>
          <w:color w:val="000000"/>
          <w:spacing w:val="0"/>
          <w:w w:val="100"/>
          <w:position w:val="0"/>
        </w:rPr>
        <w:t>3,975,601</w:t>
      </w:r>
      <w:r>
        <w:rPr>
          <w:color w:val="000000"/>
          <w:spacing w:val="0"/>
          <w:w w:val="100"/>
          <w:position w:val="0"/>
        </w:rPr>
        <w:t>股。</w:t>
      </w: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公司董事、高级管理人员获得的股权激励情况</w:t>
      </w: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”适用口不适用</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单位：股</w:t>
      </w:r>
    </w:p>
    <w:tbl>
      <w:tblPr>
        <w:tblOverlap w:val="never"/>
        <w:jc w:val="center"/>
        <w:tblLayout w:type="fixed"/>
      </w:tblPr>
      <w:tblGrid>
        <w:gridCol w:w="984"/>
        <w:gridCol w:w="1613"/>
        <w:gridCol w:w="955"/>
        <w:gridCol w:w="811"/>
        <w:gridCol w:w="922"/>
        <w:gridCol w:w="835"/>
        <w:gridCol w:w="994"/>
        <w:gridCol w:w="970"/>
        <w:gridCol w:w="926"/>
        <w:gridCol w:w="1008"/>
        <w:gridCol w:w="1008"/>
        <w:gridCol w:w="1008"/>
        <w:gridCol w:w="1094"/>
        <w:gridCol w:w="1042"/>
      </w:tblGrid>
      <w:tr>
        <w:trPr>
          <w:trHeight w:val="138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年初持有 股票期权 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 新授予 股票期 权数量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期末持有 股票期权 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 末市价 （元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本期已解</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锁股份数</w:t>
            </w:r>
          </w:p>
          <w:p>
            <w:pPr>
              <w:pStyle w:val="Style2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5" w:lineRule="exact"/>
              <w:ind w:left="0" w:right="0" w:firstLine="0"/>
              <w:jc w:val="center"/>
            </w:pPr>
            <w:r>
              <w:rPr>
                <w:color w:val="000000"/>
                <w:spacing w:val="0"/>
                <w:w w:val="100"/>
                <w:position w:val="0"/>
              </w:rPr>
              <w:t>报告期新 授予限制 性股票数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期末持有 限制性股 票数量</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财务总监兼董秘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李侃遐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于宏志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郝晋瑞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闫光明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马洪杰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858520</wp:posOffset>
                </wp:positionH>
                <wp:positionV relativeFrom="paragraph">
                  <wp:posOffset>0</wp:posOffset>
                </wp:positionV>
                <wp:extent cx="4519930" cy="2414270"/>
                <wp:wrapTopAndBottom/>
                <wp:docPr id="2" name="Shape 2"/>
                <a:graphic xmlns:a="http://schemas.openxmlformats.org/drawingml/2006/main">
                  <a:graphicData uri="http://schemas.microsoft.com/office/word/2010/wordprocessingShape">
                    <wps:wsp>
                      <wps:cNvSpPr txBox="1"/>
                      <wps:spPr>
                        <a:xfrm>
                          <a:ext cx="4519930" cy="2414270"/>
                        </a:xfrm>
                        <a:prstGeom prst="rect"/>
                        <a:noFill/>
                      </wps:spPr>
                      <wps:txbx>
                        <w:txbxContent>
                          <w:tbl>
                            <w:tblPr>
                              <w:tblOverlap w:val="never"/>
                              <w:jc w:val="left"/>
                              <w:tblLayout w:type="fixed"/>
                            </w:tblPr>
                            <w:tblGrid>
                              <w:gridCol w:w="984"/>
                              <w:gridCol w:w="1613"/>
                              <w:gridCol w:w="955"/>
                              <w:gridCol w:w="811"/>
                              <w:gridCol w:w="922"/>
                              <w:gridCol w:w="835"/>
                              <w:gridCol w:w="998"/>
                            </w:tblGrid>
                            <w:tr>
                              <w:trPr>
                                <w:tblHeade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北区总裁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唐智峰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南区总裁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崔晓天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信创首席专家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12.76</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97,000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r>
                            <w:tr>
                              <w:trPr>
                                <w:trHeight w:val="1742"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59"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年第二次 限制性股票激励计划第二个行权期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rPr>
                                    <w:t>/</w:t>
                                  </w:r>
                                  <w:r>
                                    <w:rPr>
                                      <w:color w:val="000000"/>
                                      <w:spacing w:val="0"/>
                                      <w:w w:val="100"/>
                                      <w:position w:val="0"/>
                                    </w:rPr>
                                    <w:t>解除 月</w:t>
                                  </w:r>
                                  <w:r>
                                    <w:rPr>
                                      <w:rFonts w:ascii="Times New Roman" w:eastAsia="Times New Roman" w:hAnsi="Times New Roman" w:cs="Times New Roman"/>
                                      <w:color w:val="000000"/>
                                      <w:spacing w:val="0"/>
                                      <w:w w:val="100"/>
                                      <w:position w:val="0"/>
                                    </w:rPr>
                                    <w:t>16</w:t>
                                  </w:r>
                                  <w:r>
                                    <w:rPr>
                                      <w:color w:val="000000"/>
                                      <w:spacing w:val="0"/>
                                      <w:w w:val="100"/>
                                      <w:position w:val="0"/>
                                    </w:rPr>
                                    <w:t>日止，公司</w:t>
                                  </w:r>
                                  <w:r>
                                    <w:rPr>
                                      <w:rFonts w:ascii="Times New Roman" w:eastAsia="Times New Roman" w:hAnsi="Times New Roman" w:cs="Times New Roman"/>
                                      <w:color w:val="000000"/>
                                      <w:spacing w:val="0"/>
                                      <w:w w:val="100"/>
                                      <w:position w:val="0"/>
                                    </w:rPr>
                                    <w:t>332.50</w:t>
                                  </w:r>
                                  <w:r>
                                    <w:rPr>
                                      <w:color w:val="000000"/>
                                      <w:spacing w:val="0"/>
                                      <w:w w:val="100"/>
                                      <w:position w:val="0"/>
                                    </w:rPr>
                                    <w:t>万股限制性股票已于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22"/>
                                    <w:keepNext w:val="0"/>
                                    <w:keepLines w:val="0"/>
                                    <w:widowControl w:val="0"/>
                                    <w:shd w:val="clear" w:color="auto" w:fill="auto"/>
                                    <w:tabs>
                                      <w:tab w:pos="245" w:val="left"/>
                                    </w:tabs>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日，经公司职工代表大会审议通过，马 马志宏先生当选为职工代表监事时持有的尚未办理自主彳</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67.599999999999994pt;margin-top:0;width:355.90000000000003pt;height:190.09999999999999pt;z-index:-125829375;mso-wrap-distance-left:0;mso-wrap-distance-right:0;mso-position-horizontal-relative:page" filled="f" stroked="f">
                <v:textbox inset="0,0,0,0">
                  <w:txbxContent>
                    <w:tbl>
                      <w:tblPr>
                        <w:tblOverlap w:val="never"/>
                        <w:jc w:val="left"/>
                        <w:tblLayout w:type="fixed"/>
                      </w:tblPr>
                      <w:tblGrid>
                        <w:gridCol w:w="984"/>
                        <w:gridCol w:w="1613"/>
                        <w:gridCol w:w="955"/>
                        <w:gridCol w:w="811"/>
                        <w:gridCol w:w="922"/>
                        <w:gridCol w:w="835"/>
                        <w:gridCol w:w="998"/>
                      </w:tblGrid>
                      <w:tr>
                        <w:trPr>
                          <w:tblHeade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北区总裁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唐智峰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南区总裁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崔晓天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信创首席专家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12.76</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97,000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r>
                      <w:tr>
                        <w:trPr>
                          <w:trHeight w:val="1742"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59"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年第二次 限制性股票激励计划第二个行权期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rPr>
                              <w:t>/</w:t>
                            </w:r>
                            <w:r>
                              <w:rPr>
                                <w:color w:val="000000"/>
                                <w:spacing w:val="0"/>
                                <w:w w:val="100"/>
                                <w:position w:val="0"/>
                              </w:rPr>
                              <w:t>解除 月</w:t>
                            </w:r>
                            <w:r>
                              <w:rPr>
                                <w:rFonts w:ascii="Times New Roman" w:eastAsia="Times New Roman" w:hAnsi="Times New Roman" w:cs="Times New Roman"/>
                                <w:color w:val="000000"/>
                                <w:spacing w:val="0"/>
                                <w:w w:val="100"/>
                                <w:position w:val="0"/>
                              </w:rPr>
                              <w:t>16</w:t>
                            </w:r>
                            <w:r>
                              <w:rPr>
                                <w:color w:val="000000"/>
                                <w:spacing w:val="0"/>
                                <w:w w:val="100"/>
                                <w:position w:val="0"/>
                              </w:rPr>
                              <w:t>日止，公司</w:t>
                            </w:r>
                            <w:r>
                              <w:rPr>
                                <w:rFonts w:ascii="Times New Roman" w:eastAsia="Times New Roman" w:hAnsi="Times New Roman" w:cs="Times New Roman"/>
                                <w:color w:val="000000"/>
                                <w:spacing w:val="0"/>
                                <w:w w:val="100"/>
                                <w:position w:val="0"/>
                              </w:rPr>
                              <w:t>332.50</w:t>
                            </w:r>
                            <w:r>
                              <w:rPr>
                                <w:color w:val="000000"/>
                                <w:spacing w:val="0"/>
                                <w:w w:val="100"/>
                                <w:position w:val="0"/>
                              </w:rPr>
                              <w:t>万股限制性股票已于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22"/>
                              <w:keepNext w:val="0"/>
                              <w:keepLines w:val="0"/>
                              <w:widowControl w:val="0"/>
                              <w:shd w:val="clear" w:color="auto" w:fill="auto"/>
                              <w:tabs>
                                <w:tab w:pos="245" w:val="left"/>
                              </w:tabs>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日，经公司职工代表大会审议通过，马 马志宏先生当选为职工代表监事时持有的尚未办理自主彳</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5369560</wp:posOffset>
                </wp:positionH>
                <wp:positionV relativeFrom="paragraph">
                  <wp:posOffset>0</wp:posOffset>
                </wp:positionV>
                <wp:extent cx="4486910" cy="2414270"/>
                <wp:wrapTopAndBottom/>
                <wp:docPr id="4" name="Shape 4"/>
                <a:graphic xmlns:a="http://schemas.openxmlformats.org/drawingml/2006/main">
                  <a:graphicData uri="http://schemas.microsoft.com/office/word/2010/wordprocessingShape">
                    <wps:wsp>
                      <wps:cNvSpPr txBox="1"/>
                      <wps:spPr>
                        <a:xfrm>
                          <a:ext cx="4486910" cy="2414270"/>
                        </a:xfrm>
                        <a:prstGeom prst="rect"/>
                        <a:noFill/>
                      </wps:spPr>
                      <wps:txbx>
                        <w:txbxContent>
                          <w:tbl>
                            <w:tblPr>
                              <w:tblOverlap w:val="never"/>
                              <w:jc w:val="left"/>
                              <w:tblLayout w:type="fixed"/>
                            </w:tblPr>
                            <w:tblGrid>
                              <w:gridCol w:w="979"/>
                              <w:gridCol w:w="926"/>
                              <w:gridCol w:w="1008"/>
                              <w:gridCol w:w="1008"/>
                              <w:gridCol w:w="1008"/>
                              <w:gridCol w:w="1094"/>
                              <w:gridCol w:w="1042"/>
                            </w:tblGrid>
                            <w:tr>
                              <w:trPr>
                                <w:tblHeade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775,000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742" w:hRule="exact"/>
                              </w:trPr>
                              <w:tc>
                                <w:tcPr>
                                  <w:gridSpan w:val="7"/>
                                  <w:tcBorders>
                                    <w:top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26" w:lineRule="exact"/>
                                    <w:ind w:left="0" w:right="0" w:firstLine="0"/>
                                    <w:jc w:val="left"/>
                                  </w:pPr>
                                  <w:r>
                                    <w:rPr>
                                      <w:color w:val="000000"/>
                                      <w:spacing w:val="0"/>
                                      <w:w w:val="100"/>
                                      <w:position w:val="0"/>
                                    </w:rPr>
                                    <w:t>:临时会议和第八届监事会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 限售条件成就的议案》。公司股权期权第二个行权期为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日解除限售上市流通日。</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寺志宏先生当选为公司第九届监事会职工代表监事。根据《股权激励管理办法》相关规定， 亍权的股票期权</w:t>
                                  </w:r>
                                  <w:r>
                                    <w:rPr>
                                      <w:rFonts w:ascii="Times New Roman" w:eastAsia="Times New Roman" w:hAnsi="Times New Roman" w:cs="Times New Roman"/>
                                      <w:color w:val="000000"/>
                                      <w:spacing w:val="0"/>
                                      <w:w w:val="100"/>
                                      <w:position w:val="0"/>
                                    </w:rPr>
                                    <w:t>12.5</w:t>
                                  </w:r>
                                  <w:r>
                                    <w:rPr>
                                      <w:color w:val="000000"/>
                                      <w:spacing w:val="0"/>
                                      <w:w w:val="100"/>
                                      <w:position w:val="0"/>
                                    </w:rPr>
                                    <w:t>万份，公司将在履行相应审批程序后予以注销。</w:t>
                                  </w:r>
                                </w:p>
                              </w:tc>
                            </w:tr>
                          </w:tbl>
                          <w:p>
                            <w:pPr>
                              <w:widowControl w:val="0"/>
                              <w:spacing w:line="1" w:lineRule="exact"/>
                            </w:pPr>
                          </w:p>
                        </w:txbxContent>
                      </wps:txbx>
                      <wps:bodyPr lIns="0" tIns="0" rIns="0" bIns="0">
                        <a:noAutoFit/>
                      </wps:bodyPr>
                    </wps:wsp>
                  </a:graphicData>
                </a:graphic>
              </wp:anchor>
            </w:drawing>
          </mc:Choice>
          <mc:Fallback>
            <w:pict>
              <v:shape id="_x0000_s1030" type="#_x0000_t202" style="position:absolute;margin-left:422.80000000000001pt;margin-top:0;width:353.30000000000001pt;height:190.09999999999999pt;z-index:-125829373;mso-wrap-distance-left:0;mso-wrap-distance-right:0;mso-position-horizontal-relative:page" filled="f" stroked="f">
                <v:textbox inset="0,0,0,0">
                  <w:txbxContent>
                    <w:tbl>
                      <w:tblPr>
                        <w:tblOverlap w:val="never"/>
                        <w:jc w:val="left"/>
                        <w:tblLayout w:type="fixed"/>
                      </w:tblPr>
                      <w:tblGrid>
                        <w:gridCol w:w="979"/>
                        <w:gridCol w:w="926"/>
                        <w:gridCol w:w="1008"/>
                        <w:gridCol w:w="1008"/>
                        <w:gridCol w:w="1008"/>
                        <w:gridCol w:w="1094"/>
                        <w:gridCol w:w="1042"/>
                      </w:tblGrid>
                      <w:tr>
                        <w:trPr>
                          <w:tblHeade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775,000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742" w:hRule="exact"/>
                        </w:trPr>
                        <w:tc>
                          <w:tcPr>
                            <w:gridSpan w:val="7"/>
                            <w:tcBorders>
                              <w:top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26" w:lineRule="exact"/>
                              <w:ind w:left="0" w:right="0" w:firstLine="0"/>
                              <w:jc w:val="left"/>
                            </w:pPr>
                            <w:r>
                              <w:rPr>
                                <w:color w:val="000000"/>
                                <w:spacing w:val="0"/>
                                <w:w w:val="100"/>
                                <w:position w:val="0"/>
                              </w:rPr>
                              <w:t>:临时会议和第八届监事会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 限售条件成就的议案》。公司股权期权第二个行权期为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日解除限售上市流通日。</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寺志宏先生当选为公司第九届监事会职工代表监事。根据《股权激励管理办法》相关规定， 亍权的股票期权</w:t>
                            </w:r>
                            <w:r>
                              <w:rPr>
                                <w:rFonts w:ascii="Times New Roman" w:eastAsia="Times New Roman" w:hAnsi="Times New Roman" w:cs="Times New Roman"/>
                                <w:color w:val="000000"/>
                                <w:spacing w:val="0"/>
                                <w:w w:val="100"/>
                                <w:position w:val="0"/>
                              </w:rPr>
                              <w:t>12.5</w:t>
                            </w:r>
                            <w:r>
                              <w:rPr>
                                <w:color w:val="000000"/>
                                <w:spacing w:val="0"/>
                                <w:w w:val="100"/>
                                <w:position w:val="0"/>
                              </w:rPr>
                              <w:t>万份，公司将在履行相应审批程序后予以注销。</w:t>
                            </w:r>
                          </w:p>
                        </w:tc>
                      </w:tr>
                    </w:tbl>
                    <w:p>
                      <w:pPr>
                        <w:widowControl w:val="0"/>
                        <w:spacing w:line="1" w:lineRule="exact"/>
                      </w:pPr>
                    </w:p>
                  </w:txbxContent>
                </v:textbox>
                <w10:wrap type="topAndBottom" anchorx="page"/>
              </v:shape>
            </w:pict>
          </mc:Fallback>
        </mc:AlternateConten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高级管理人员的考评机制及激励情况</w:t>
      </w:r>
    </w:p>
    <w:p>
      <w:pPr>
        <w:pStyle w:val="Style13"/>
        <w:keepNext w:val="0"/>
        <w:keepLines w:val="0"/>
        <w:widowControl w:val="0"/>
        <w:shd w:val="clear" w:color="auto" w:fill="auto"/>
        <w:bidi w:val="0"/>
        <w:spacing w:before="0" w:after="40" w:line="317" w:lineRule="exact"/>
        <w:ind w:left="0" w:right="0" w:firstLine="460"/>
        <w:jc w:val="left"/>
      </w:pPr>
      <w:r>
        <w:rPr>
          <w:color w:val="000000"/>
          <w:spacing w:val="0"/>
          <w:w w:val="100"/>
          <w:position w:val="0"/>
        </w:rPr>
        <w:t>报告期内，公司高级管理人员严格按照《公司法》《公司章程》及有关法律法规认真履行职责，积极落实公司股东大会和董事会各项决议。公司高级管理人员依据其在公司的 任职岗位、经营业绩等因素领取相应薪酬，并经董事会薪酬与考核委员会考评。</w:t>
      </w:r>
    </w:p>
    <w:p>
      <w:pPr>
        <w:pStyle w:val="Style13"/>
        <w:keepNext w:val="0"/>
        <w:keepLines w:val="0"/>
        <w:widowControl w:val="0"/>
        <w:shd w:val="clear" w:color="auto" w:fill="auto"/>
        <w:bidi w:val="0"/>
        <w:spacing w:before="0" w:after="380" w:line="326" w:lineRule="exact"/>
        <w:ind w:left="0" w:right="0" w:firstLine="460"/>
        <w:jc w:val="left"/>
      </w:pPr>
      <w:r>
        <w:rPr>
          <w:color w:val="000000"/>
          <w:spacing w:val="0"/>
          <w:w w:val="100"/>
          <w:position w:val="0"/>
        </w:rPr>
        <w:t>公司在激励方面，通过长中短期激励相结合方式，持续地完善高级管理人员的激励机制。公司</w:t>
      </w:r>
      <w:r>
        <w:rPr>
          <w:rFonts w:ascii="Times New Roman" w:eastAsia="Times New Roman" w:hAnsi="Times New Roman" w:cs="Times New Roman"/>
          <w:color w:val="000000"/>
          <w:spacing w:val="0"/>
          <w:w w:val="100"/>
          <w:position w:val="0"/>
        </w:rPr>
        <w:t>2019</w:t>
      </w:r>
      <w:r>
        <w:rPr>
          <w:color w:val="000000"/>
          <w:spacing w:val="0"/>
          <w:w w:val="100"/>
          <w:position w:val="0"/>
        </w:rPr>
        <w:t>年实施的股权激励计划在</w:t>
      </w:r>
      <w:r>
        <w:rPr>
          <w:rFonts w:ascii="Times New Roman" w:eastAsia="Times New Roman" w:hAnsi="Times New Roman" w:cs="Times New Roman"/>
          <w:color w:val="000000"/>
          <w:spacing w:val="0"/>
          <w:w w:val="100"/>
          <w:position w:val="0"/>
        </w:rPr>
        <w:t>2021</w:t>
      </w:r>
      <w:r>
        <w:rPr>
          <w:color w:val="000000"/>
          <w:spacing w:val="0"/>
          <w:w w:val="100"/>
          <w:position w:val="0"/>
        </w:rPr>
        <w:t>年实现第二期行权/解除限售，高级管理人 员的股权激励情况请参见上表内容。</w:t>
      </w:r>
    </w:p>
    <w:p>
      <w:pPr>
        <w:pStyle w:val="Style29"/>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、员工持股计划的实施情况</w:t>
      </w:r>
      <w:bookmarkEnd w:id="373"/>
      <w:bookmarkEnd w:id="374"/>
      <w:bookmarkEnd w:id="376"/>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bidi w:val="0"/>
        <w:spacing w:before="0" w:after="3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、其他员工激励措施</w:t>
      </w:r>
      <w:bookmarkEnd w:id="377"/>
      <w:bookmarkEnd w:id="378"/>
      <w:bookmarkEnd w:id="380"/>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3"/>
        <w:keepNext w:val="0"/>
        <w:keepLines w:val="0"/>
        <w:widowControl w:val="0"/>
        <w:shd w:val="clear" w:color="auto" w:fill="auto"/>
        <w:bidi w:val="0"/>
        <w:spacing w:before="0" w:after="260" w:line="326" w:lineRule="exact"/>
        <w:ind w:left="0" w:right="0" w:firstLine="460"/>
        <w:jc w:val="left"/>
        <w:sectPr>
          <w:footnotePr>
            <w:pos w:val="pageBottom"/>
            <w:numFmt w:val="decimal"/>
            <w:numRestart w:val="continuous"/>
          </w:footnotePr>
          <w:pgSz w:w="16840" w:h="11900" w:orient="landscape"/>
          <w:pgMar w:top="1251" w:right="1357" w:bottom="1697" w:left="1309" w:header="0" w:footer="3" w:gutter="0"/>
          <w:cols w:space="720"/>
          <w:noEndnote/>
          <w:rtlGutter w:val="0"/>
          <w:docGrid w:linePitch="360"/>
        </w:sectPr>
      </w:pPr>
      <w:r>
        <w:rPr>
          <w:color w:val="000000"/>
          <w:spacing w:val="0"/>
          <w:w w:val="100"/>
          <w:position w:val="0"/>
        </w:rPr>
        <w:t>报告期计提股权激励费用</w:t>
      </w:r>
      <w:r>
        <w:rPr>
          <w:rFonts w:ascii="Times New Roman" w:eastAsia="Times New Roman" w:hAnsi="Times New Roman" w:cs="Times New Roman"/>
          <w:color w:val="000000"/>
          <w:spacing w:val="0"/>
          <w:w w:val="100"/>
          <w:position w:val="0"/>
        </w:rPr>
        <w:t>897.27</w:t>
      </w:r>
      <w:r>
        <w:rPr>
          <w:color w:val="000000"/>
          <w:spacing w:val="0"/>
          <w:w w:val="100"/>
          <w:position w:val="0"/>
        </w:rPr>
        <w:t>万元，其中归属于母公司所有者承担的激励费用为</w:t>
      </w:r>
      <w:r>
        <w:rPr>
          <w:rFonts w:ascii="Times New Roman" w:eastAsia="Times New Roman" w:hAnsi="Times New Roman" w:cs="Times New Roman"/>
          <w:color w:val="000000"/>
          <w:spacing w:val="0"/>
          <w:w w:val="100"/>
          <w:position w:val="0"/>
        </w:rPr>
        <w:t>826.18</w:t>
      </w:r>
      <w:r>
        <w:rPr>
          <w:color w:val="000000"/>
          <w:spacing w:val="0"/>
          <w:w w:val="100"/>
          <w:position w:val="0"/>
        </w:rPr>
        <w:t>万元，剔除股权激励费用后归属于上市公司股东的净利润</w:t>
      </w:r>
      <w:r>
        <w:rPr>
          <w:rFonts w:ascii="Times New Roman" w:eastAsia="Times New Roman" w:hAnsi="Times New Roman" w:cs="Times New Roman"/>
          <w:color w:val="000000"/>
          <w:spacing w:val="0"/>
          <w:w w:val="100"/>
          <w:position w:val="0"/>
        </w:rPr>
        <w:t>38,444.46</w:t>
      </w:r>
      <w:r>
        <w:rPr>
          <w:color w:val="000000"/>
          <w:spacing w:val="0"/>
          <w:w w:val="100"/>
          <w:position w:val="0"/>
        </w:rPr>
        <w:t>万元，股权激励 费用占剔除股权激励费用后归属于上市公司股东的净利润的</w:t>
      </w:r>
      <w:r>
        <w:rPr>
          <w:rFonts w:ascii="Times New Roman" w:eastAsia="Times New Roman" w:hAnsi="Times New Roman" w:cs="Times New Roman"/>
          <w:color w:val="000000"/>
          <w:spacing w:val="0"/>
          <w:w w:val="100"/>
          <w:position w:val="0"/>
        </w:rPr>
        <w:t>2.15%</w:t>
      </w:r>
      <w:r>
        <w:rPr>
          <w:color w:val="000000"/>
          <w:spacing w:val="0"/>
          <w:w w:val="100"/>
          <w:position w:val="0"/>
        </w:rPr>
        <w:t>。其中核心技术人员股权激励费用占公司当期股权激励费用的比重为</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25"/>
        <w:keepNext/>
        <w:keepLines/>
        <w:widowControl w:val="0"/>
        <w:shd w:val="clear" w:color="auto" w:fill="auto"/>
        <w:bidi w:val="0"/>
        <w:spacing w:before="26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十三、报告期内的内部控制制度建设及实施情况</w:t>
      </w:r>
      <w:bookmarkEnd w:id="381"/>
      <w:bookmarkEnd w:id="382"/>
      <w:bookmarkEnd w:id="383"/>
    </w:p>
    <w:p>
      <w:pPr>
        <w:pStyle w:val="Style29"/>
        <w:keepNext/>
        <w:keepLines/>
        <w:widowControl w:val="0"/>
        <w:shd w:val="clear" w:color="auto" w:fill="auto"/>
        <w:tabs>
          <w:tab w:pos="368" w:val="left"/>
        </w:tabs>
        <w:bidi w:val="0"/>
        <w:spacing w:before="0" w:after="26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w:t>
        <w:tab/>
        <w:t>内部控制建设及实施情况</w:t>
      </w:r>
      <w:bookmarkEnd w:id="384"/>
      <w:bookmarkEnd w:id="385"/>
      <w:bookmarkEnd w:id="387"/>
    </w:p>
    <w:p>
      <w:pPr>
        <w:pStyle w:val="Style13"/>
        <w:keepNext w:val="0"/>
        <w:keepLines w:val="0"/>
        <w:widowControl w:val="0"/>
        <w:shd w:val="clear" w:color="auto" w:fill="auto"/>
        <w:bidi w:val="0"/>
        <w:spacing w:before="0" w:after="0" w:line="313" w:lineRule="exact"/>
        <w:ind w:left="0" w:right="0"/>
        <w:jc w:val="both"/>
      </w:pPr>
      <w:r>
        <w:rPr>
          <w:color w:val="000000"/>
          <w:spacing w:val="0"/>
          <w:w w:val="100"/>
          <w:position w:val="0"/>
        </w:rPr>
        <w:t>公司坚持以风险导向为原则，树立风险防范意识，已制定了包括公司治理、采购、销售、人力资源、投资等各个方面在 内的一系列的内部管理制度，培育良好的企业精神和内部控制文化，创造全体职工充分了解并履行职责的环境。公司定期对 各项制度进行检查和评估，对公司内部控制体系进行持续的改进及优化，以适应不断变化的外部环境及内部管理的要求。报 告期内，公司根据《企业内部控制基本规范》及其配套指引的规定，结合公司实际情况，对内部控制体系进行适时的更新和 完善，修订了《公司章程》《信息披露事务管理制度》和《重大信息内部报告制度》等内控管理制度，同时进一步加大信息 系统投入和数字化管理的力度，保障各项内控制度的贯彻落实和有效执行。</w:t>
      </w:r>
    </w:p>
    <w:p>
      <w:pPr>
        <w:pStyle w:val="Style13"/>
        <w:keepNext w:val="0"/>
        <w:keepLines w:val="0"/>
        <w:widowControl w:val="0"/>
        <w:shd w:val="clear" w:color="auto" w:fill="auto"/>
        <w:bidi w:val="0"/>
        <w:spacing w:before="0" w:after="320" w:line="313" w:lineRule="exact"/>
        <w:ind w:left="0" w:right="0"/>
        <w:jc w:val="both"/>
      </w:pPr>
      <w:r>
        <w:rPr>
          <w:color w:val="000000"/>
          <w:spacing w:val="0"/>
          <w:w w:val="100"/>
          <w:position w:val="0"/>
        </w:rPr>
        <w:t>公司董事会审计委员会、内部审计部门共同组成公司的风险内控管理组织体系，对公司内部控制管理进行监督和评价， 检查和评估公司重大经营活动的合规性和有效性。报告期内，公司根据通过内部控制体系的运行、分析与评价，有效防范了 经营管理中的风险，促进了内部控制目标的实现。根据公司内部控制重大缺陷的认定情况，</w:t>
      </w:r>
      <w:r>
        <w:rPr>
          <w:color w:val="000000"/>
          <w:spacing w:val="0"/>
          <w:w w:val="100"/>
          <w:position w:val="0"/>
        </w:rPr>
        <w:t>2021</w:t>
      </w:r>
      <w:r>
        <w:rPr>
          <w:color w:val="000000"/>
          <w:spacing w:val="0"/>
          <w:w w:val="100"/>
          <w:position w:val="0"/>
        </w:rPr>
        <w:t>年公司未发现财务报告和非 财务报告内部控制重大缺陷和重要缺陷。</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报告期内发现的内部控制重大缺陷的具体情况</w:t>
      </w:r>
      <w:bookmarkEnd w:id="388"/>
      <w:bookmarkEnd w:id="389"/>
      <w:bookmarkEnd w:id="391"/>
    </w:p>
    <w:p>
      <w:pPr>
        <w:pStyle w:val="Style13"/>
        <w:keepNext w:val="0"/>
        <w:keepLines w:val="0"/>
        <w:widowControl w:val="0"/>
        <w:shd w:val="clear" w:color="auto" w:fill="auto"/>
        <w:bidi w:val="0"/>
        <w:spacing w:before="0" w:after="320" w:line="313" w:lineRule="exact"/>
        <w:ind w:left="0" w:right="0" w:firstLine="0"/>
        <w:jc w:val="left"/>
      </w:pPr>
      <w:r>
        <w:rPr>
          <w:color w:val="000000"/>
          <w:spacing w:val="0"/>
          <w:w w:val="100"/>
          <w:position w:val="0"/>
        </w:rPr>
        <w:t>口是"否</w:t>
      </w:r>
    </w:p>
    <w:p>
      <w:pPr>
        <w:pStyle w:val="Style25"/>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十四、公司报告期内对子公司的管理控制情况</w:t>
      </w:r>
      <w:bookmarkEnd w:id="392"/>
      <w:bookmarkEnd w:id="393"/>
      <w:bookmarkEnd w:id="394"/>
    </w:p>
    <w:tbl>
      <w:tblPr>
        <w:tblOverlap w:val="never"/>
        <w:jc w:val="center"/>
        <w:tblLayout w:type="fixed"/>
      </w:tblPr>
      <w:tblGrid>
        <w:gridCol w:w="1066"/>
        <w:gridCol w:w="1157"/>
        <w:gridCol w:w="1282"/>
        <w:gridCol w:w="1752"/>
        <w:gridCol w:w="1886"/>
        <w:gridCol w:w="1066"/>
        <w:gridCol w:w="137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95" w:name="bookmark395"/>
      <w:bookmarkStart w:id="396" w:name="bookmark396"/>
      <w:bookmarkStart w:id="397" w:name="bookmark397"/>
      <w:r>
        <w:rPr>
          <w:color w:val="000000"/>
          <w:spacing w:val="0"/>
          <w:w w:val="100"/>
          <w:position w:val="0"/>
          <w:sz w:val="24"/>
          <w:szCs w:val="24"/>
        </w:rPr>
        <w:t>十五、内部控制自我评价报告或内部控制审计报告</w:t>
      </w:r>
      <w:bookmarkEnd w:id="395"/>
      <w:bookmarkEnd w:id="396"/>
      <w:bookmarkEnd w:id="397"/>
    </w:p>
    <w:p>
      <w:pPr>
        <w:pStyle w:val="Style29"/>
        <w:keepNext/>
        <w:keepLines/>
        <w:widowControl w:val="0"/>
        <w:shd w:val="clear" w:color="auto" w:fill="auto"/>
        <w:bidi w:val="0"/>
        <w:spacing w:before="0" w:after="32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、内控自我评价报告</w:t>
      </w:r>
      <w:bookmarkEnd w:id="398"/>
      <w:bookmarkEnd w:id="399"/>
      <w:bookmarkEnd w:id="401"/>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:内部控制自我评价报告</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700" w:right="0" w:firstLine="0"/>
              <w:jc w:val="left"/>
            </w:pPr>
            <w:r>
              <w:rPr>
                <w:rFonts w:ascii="Times New Roman" w:eastAsia="Times New Roman" w:hAnsi="Times New Roman" w:cs="Times New Roman"/>
                <w:color w:val="000000"/>
                <w:spacing w:val="0"/>
                <w:w w:val="100"/>
                <w:position w:val="0"/>
              </w:rPr>
              <w:t>90.00%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700" w:right="0" w:firstLine="0"/>
              <w:jc w:val="left"/>
            </w:pPr>
            <w:r>
              <w:rPr>
                <w:rFonts w:ascii="Times New Roman" w:eastAsia="Times New Roman" w:hAnsi="Times New Roman" w:cs="Times New Roman"/>
                <w:color w:val="000000"/>
                <w:spacing w:val="0"/>
                <w:w w:val="100"/>
                <w:position w:val="0"/>
              </w:rPr>
              <w:t>90.00%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7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公司确定的财务报告内部控制缺陷评价</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的定性标准如下：</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出现以下或类似情形的，认定为重大缺</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陷：</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与财务报告相关控制环境无效；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公司确定的非财务报告内部控制缺</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陷评价的定性标准如下：</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出现以下或类似情形的，认定为重大</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缺陷：</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违犯国家法律、法规或规范性</w:t>
            </w:r>
          </w:p>
        </w:tc>
      </w:tr>
    </w:tbl>
    <w:p>
      <w:pPr>
        <w:spacing w:lineRule="exact" w:line="1"/>
        <w:rPr>
          <w:sz w:val="2"/>
          <w:szCs w:val="2"/>
        </w:rPr>
      </w:pPr>
      <w:r>
        <w:br w:type="page"/>
      </w:r>
    </w:p>
    <w:tbl>
      <w:tblPr>
        <w:tblOverlap w:val="never"/>
        <w:jc w:val="center"/>
        <w:tblLayout w:type="fixed"/>
      </w:tblPr>
      <w:tblGrid>
        <w:gridCol w:w="3226"/>
        <w:gridCol w:w="979"/>
        <w:gridCol w:w="2333"/>
        <w:gridCol w:w="658"/>
        <w:gridCol w:w="1478"/>
        <w:gridCol w:w="907"/>
      </w:tblGrid>
      <w:tr>
        <w:trPr>
          <w:trHeight w:val="5616"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pStyle w:val="Style22"/>
              <w:keepNext w:val="0"/>
              <w:keepLines w:val="0"/>
              <w:widowControl w:val="0"/>
              <w:shd w:val="clear" w:color="auto" w:fill="auto"/>
              <w:tabs>
                <w:tab w:pos="418" w:val="left"/>
              </w:tabs>
              <w:bidi w:val="0"/>
              <w:spacing w:before="0" w:after="0" w:line="36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tab/>
            </w:r>
            <w:r>
              <w:rPr>
                <w:color w:val="000000"/>
                <w:spacing w:val="0"/>
                <w:w w:val="100"/>
                <w:position w:val="0"/>
              </w:rPr>
              <w:t>董事、监事和高级管理人员与财务 报告相关舞弊行为；</w:t>
            </w:r>
          </w:p>
          <w:p>
            <w:pPr>
              <w:pStyle w:val="Style22"/>
              <w:keepNext w:val="0"/>
              <w:keepLines w:val="0"/>
              <w:widowControl w:val="0"/>
              <w:shd w:val="clear" w:color="auto" w:fill="auto"/>
              <w:tabs>
                <w:tab w:pos="418" w:val="left"/>
              </w:tabs>
              <w:bidi w:val="0"/>
              <w:spacing w:before="0" w:after="0" w:line="35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tab/>
            </w:r>
            <w:r>
              <w:rPr>
                <w:color w:val="000000"/>
                <w:spacing w:val="0"/>
                <w:w w:val="100"/>
                <w:position w:val="0"/>
              </w:rPr>
              <w:t>外部审计发现当期财务报告存在 重大错报，公司在运行过程中未能发现 该错报；</w:t>
            </w:r>
          </w:p>
          <w:p>
            <w:pPr>
              <w:pStyle w:val="Style22"/>
              <w:keepNext w:val="0"/>
              <w:keepLines w:val="0"/>
              <w:widowControl w:val="0"/>
              <w:shd w:val="clear" w:color="auto" w:fill="auto"/>
              <w:tabs>
                <w:tab w:pos="398" w:val="left"/>
              </w:tabs>
              <w:bidi w:val="0"/>
              <w:spacing w:before="0" w:after="0" w:line="36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tab/>
            </w:r>
            <w:r>
              <w:rPr>
                <w:color w:val="000000"/>
                <w:spacing w:val="0"/>
                <w:w w:val="100"/>
                <w:position w:val="0"/>
              </w:rPr>
              <w:t>重述以前公布的财务报告，以更正 由于舞弊或错误导致的重大错误；</w:t>
            </w:r>
          </w:p>
          <w:p>
            <w:pPr>
              <w:pStyle w:val="Style22"/>
              <w:keepNext w:val="0"/>
              <w:keepLines w:val="0"/>
              <w:widowControl w:val="0"/>
              <w:shd w:val="clear" w:color="auto" w:fill="auto"/>
              <w:tabs>
                <w:tab w:pos="437" w:val="left"/>
              </w:tabs>
              <w:bidi w:val="0"/>
              <w:spacing w:before="0" w:after="0" w:line="36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tab/>
            </w:r>
            <w:r>
              <w:rPr>
                <w:color w:val="000000"/>
                <w:spacing w:val="0"/>
                <w:w w:val="100"/>
                <w:position w:val="0"/>
              </w:rPr>
              <w:t>已经发现并报告给管理层的重大 缺陷在合理的时间内未予改正；</w:t>
            </w:r>
          </w:p>
          <w:p>
            <w:pPr>
              <w:pStyle w:val="Style22"/>
              <w:keepNext w:val="0"/>
              <w:keepLines w:val="0"/>
              <w:widowControl w:val="0"/>
              <w:shd w:val="clear" w:color="auto" w:fill="auto"/>
              <w:tabs>
                <w:tab w:pos="326" w:val="left"/>
              </w:tabs>
              <w:bidi w:val="0"/>
              <w:spacing w:before="0" w:after="0" w:line="35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tab/>
            </w:r>
            <w:r>
              <w:rPr>
                <w:color w:val="000000"/>
                <w:spacing w:val="0"/>
                <w:w w:val="100"/>
                <w:position w:val="0"/>
              </w:rPr>
              <w:t>公司风险评估职能无效；</w:t>
            </w:r>
          </w:p>
          <w:p>
            <w:pPr>
              <w:pStyle w:val="Style22"/>
              <w:keepNext w:val="0"/>
              <w:keepLines w:val="0"/>
              <w:widowControl w:val="0"/>
              <w:shd w:val="clear" w:color="auto" w:fill="auto"/>
              <w:tabs>
                <w:tab w:pos="422" w:val="left"/>
              </w:tabs>
              <w:bidi w:val="0"/>
              <w:spacing w:before="0" w:after="0" w:line="35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7）</w:t>
              <w:tab/>
            </w:r>
            <w:r>
              <w:rPr>
                <w:color w:val="000000"/>
                <w:spacing w:val="0"/>
                <w:w w:val="100"/>
                <w:position w:val="0"/>
              </w:rPr>
              <w:t>公司审计委员会和审计部门对内 部控制的监督无效；</w:t>
            </w:r>
          </w:p>
          <w:p>
            <w:pPr>
              <w:pStyle w:val="Style22"/>
              <w:keepNext w:val="0"/>
              <w:keepLines w:val="0"/>
              <w:widowControl w:val="0"/>
              <w:shd w:val="clear" w:color="auto" w:fill="auto"/>
              <w:tabs>
                <w:tab w:pos="418" w:val="left"/>
              </w:tabs>
              <w:bidi w:val="0"/>
              <w:spacing w:before="0" w:after="0" w:line="35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8）</w:t>
              <w:tab/>
            </w:r>
            <w:r>
              <w:rPr>
                <w:color w:val="000000"/>
                <w:spacing w:val="0"/>
                <w:w w:val="100"/>
                <w:position w:val="0"/>
              </w:rPr>
              <w:t>其他对财务报告使用者作出正确 判断产生重大影响的缺陷。</w:t>
            </w:r>
          </w:p>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其他情形按影响程度分别确定为重要缺 陷或一般缺陷。</w:t>
            </w:r>
          </w:p>
        </w:tc>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文件；</w:t>
            </w:r>
          </w:p>
          <w:p>
            <w:pPr>
              <w:pStyle w:val="Style22"/>
              <w:keepNext w:val="0"/>
              <w:keepLines w:val="0"/>
              <w:widowControl w:val="0"/>
              <w:shd w:val="clear" w:color="auto" w:fill="auto"/>
              <w:tabs>
                <w:tab w:pos="322"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tab/>
            </w:r>
            <w:r>
              <w:rPr>
                <w:color w:val="000000"/>
                <w:spacing w:val="0"/>
                <w:w w:val="100"/>
                <w:position w:val="0"/>
              </w:rPr>
              <w:t>重大决策程序不科学；</w:t>
            </w:r>
          </w:p>
          <w:p>
            <w:pPr>
              <w:pStyle w:val="Style22"/>
              <w:keepNext w:val="0"/>
              <w:keepLines w:val="0"/>
              <w:widowControl w:val="0"/>
              <w:shd w:val="clear" w:color="auto" w:fill="auto"/>
              <w:tabs>
                <w:tab w:pos="322" w:val="left"/>
              </w:tabs>
              <w:bidi w:val="0"/>
              <w:spacing w:before="0" w:after="10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tab/>
            </w:r>
            <w:r>
              <w:rPr>
                <w:color w:val="000000"/>
                <w:spacing w:val="0"/>
                <w:w w:val="100"/>
                <w:position w:val="0"/>
              </w:rPr>
              <w:t>制度缺失可能导致系统性失</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效；</w:t>
            </w:r>
          </w:p>
          <w:p>
            <w:pPr>
              <w:pStyle w:val="Style22"/>
              <w:keepNext w:val="0"/>
              <w:keepLines w:val="0"/>
              <w:widowControl w:val="0"/>
              <w:shd w:val="clear" w:color="auto" w:fill="auto"/>
              <w:tabs>
                <w:tab w:pos="322" w:val="left"/>
              </w:tabs>
              <w:bidi w:val="0"/>
              <w:spacing w:before="0" w:after="10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tab/>
            </w:r>
            <w:r>
              <w:rPr>
                <w:color w:val="000000"/>
                <w:spacing w:val="0"/>
                <w:w w:val="100"/>
                <w:position w:val="0"/>
              </w:rPr>
              <w:t>重大或重要缺陷不能得到整</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改；</w:t>
            </w:r>
          </w:p>
          <w:p>
            <w:pPr>
              <w:pStyle w:val="Style22"/>
              <w:keepNext w:val="0"/>
              <w:keepLines w:val="0"/>
              <w:widowControl w:val="0"/>
              <w:shd w:val="clear" w:color="auto" w:fill="auto"/>
              <w:tabs>
                <w:tab w:pos="326" w:val="left"/>
              </w:tabs>
              <w:bidi w:val="0"/>
              <w:spacing w:before="0" w:after="10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tab/>
            </w:r>
            <w:r>
              <w:rPr>
                <w:color w:val="000000"/>
                <w:spacing w:val="0"/>
                <w:w w:val="100"/>
                <w:position w:val="0"/>
              </w:rPr>
              <w:t>公司声誉造成难以弥补的损</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害；</w:t>
            </w:r>
          </w:p>
          <w:p>
            <w:pPr>
              <w:pStyle w:val="Style22"/>
              <w:keepNext w:val="0"/>
              <w:keepLines w:val="0"/>
              <w:widowControl w:val="0"/>
              <w:shd w:val="clear" w:color="auto" w:fill="auto"/>
              <w:tabs>
                <w:tab w:pos="403"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tab/>
            </w:r>
            <w:r>
              <w:rPr>
                <w:color w:val="000000"/>
                <w:spacing w:val="0"/>
                <w:w w:val="100"/>
                <w:position w:val="0"/>
              </w:rPr>
              <w:t>其他可能对公司造成重大影响 的情形。</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其他情形按影响程度分别确定为重 要缺陷或一般缺陷。</w:t>
            </w:r>
          </w:p>
        </w:tc>
      </w:tr>
      <w:tr>
        <w:trPr>
          <w:trHeight w:val="80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公司确定的财务报告内部控制缺陷评价 的定量标准如下：</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公司确定的非财务报告内部控制缺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陷评价的定量标准如下：</w:t>
            </w: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缺陷类别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重大缺陷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 w:right="0" w:firstLine="0"/>
              <w:jc w:val="both"/>
              <w:rPr>
                <w:sz w:val="16"/>
                <w:szCs w:val="16"/>
              </w:rPr>
            </w:pPr>
            <w:r>
              <w:rPr>
                <w:color w:val="000000"/>
                <w:spacing w:val="0"/>
                <w:w w:val="100"/>
                <w:position w:val="0"/>
                <w:sz w:val="16"/>
                <w:szCs w:val="16"/>
              </w:rPr>
              <w:t>缺陷</w:t>
            </w:r>
          </w:p>
          <w:p>
            <w:pPr>
              <w:pStyle w:val="Style22"/>
              <w:keepNext w:val="0"/>
              <w:keepLines w:val="0"/>
              <w:widowControl w:val="0"/>
              <w:shd w:val="clear" w:color="auto" w:fill="auto"/>
              <w:bidi w:val="0"/>
              <w:spacing w:before="0" w:after="0" w:line="240" w:lineRule="auto"/>
              <w:ind w:left="220" w:right="0" w:firstLine="0"/>
              <w:jc w:val="both"/>
              <w:rPr>
                <w:sz w:val="16"/>
                <w:szCs w:val="16"/>
              </w:rPr>
            </w:pPr>
            <w:r>
              <w:rPr>
                <w:color w:val="000000"/>
                <w:spacing w:val="0"/>
                <w:w w:val="100"/>
                <w:position w:val="0"/>
                <w:sz w:val="16"/>
                <w:szCs w:val="16"/>
              </w:rPr>
              <w:t>认定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06" w:lineRule="exact"/>
              <w:ind w:left="0" w:right="0" w:firstLine="180"/>
              <w:jc w:val="left"/>
              <w:rPr>
                <w:sz w:val="16"/>
                <w:szCs w:val="16"/>
              </w:rPr>
            </w:pPr>
            <w:r>
              <w:rPr>
                <w:color w:val="000000"/>
                <w:spacing w:val="0"/>
                <w:w w:val="100"/>
                <w:position w:val="0"/>
                <w:sz w:val="16"/>
                <w:szCs w:val="16"/>
              </w:rPr>
              <w:t>直接财产损失金 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重大负面 影响</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错报〉营业收入总额的</w:t>
            </w:r>
            <w:r>
              <w:rPr>
                <w:color w:val="000000"/>
                <w:spacing w:val="0"/>
                <w:w w:val="100"/>
                <w:position w:val="0"/>
                <w:sz w:val="16"/>
                <w:szCs w:val="16"/>
              </w:rPr>
              <w:t xml:space="preserve">0. </w:t>
            </w:r>
            <w:r>
              <w:rPr>
                <w:color w:val="000000"/>
                <w:spacing w:val="0"/>
                <w:w w:val="100"/>
                <w:position w:val="0"/>
                <w:sz w:val="16"/>
                <w:szCs w:val="16"/>
              </w:rPr>
              <w:t>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220" w:right="0" w:firstLine="0"/>
              <w:jc w:val="both"/>
              <w:rPr>
                <w:sz w:val="16"/>
                <w:szCs w:val="16"/>
              </w:rPr>
            </w:pPr>
            <w:r>
              <w:rPr>
                <w:color w:val="000000"/>
                <w:spacing w:val="0"/>
                <w:w w:val="100"/>
                <w:position w:val="0"/>
                <w:sz w:val="16"/>
                <w:szCs w:val="16"/>
              </w:rPr>
              <w:t>重大 缺陷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直接财产损失金 额</w:t>
            </w:r>
            <w:r>
              <w:rPr>
                <w:color w:val="000000"/>
                <w:spacing w:val="0"/>
                <w:w w:val="100"/>
                <w:position w:val="0"/>
                <w:sz w:val="16"/>
                <w:szCs w:val="16"/>
              </w:rPr>
              <w:t>m</w:t>
            </w:r>
            <w:r>
              <w:rPr>
                <w:color w:val="000000"/>
                <w:spacing w:val="0"/>
                <w:w w:val="100"/>
                <w:position w:val="0"/>
                <w:sz w:val="16"/>
                <w:szCs w:val="16"/>
              </w:rPr>
              <w:t>营业收入总 额的</w:t>
            </w:r>
            <w:r>
              <w:rPr>
                <w:color w:val="000000"/>
                <w:spacing w:val="0"/>
                <w:w w:val="100"/>
                <w:position w:val="0"/>
                <w:sz w:val="16"/>
                <w:szCs w:val="16"/>
              </w:rPr>
              <w:t>0.5%</w:t>
            </w:r>
            <w:r>
              <w:rPr>
                <w:color w:val="000000"/>
                <w:spacing w:val="0"/>
                <w:w w:val="100"/>
                <w:position w:val="0"/>
                <w:sz w:val="16"/>
                <w:szCs w:val="16"/>
              </w:rPr>
              <w:t>与资产 总额的</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sz w:val="16"/>
                <w:szCs w:val="16"/>
              </w:rPr>
              <w:t>孰低 者</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对公司造 成较大负 面影响并 以公告形 式对外披 露</w:t>
            </w: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错报</w:t>
            </w:r>
            <w:r>
              <w:rPr>
                <w:color w:val="000000"/>
                <w:spacing w:val="0"/>
                <w:w w:val="100"/>
                <w:position w:val="0"/>
                <w:sz w:val="16"/>
                <w:szCs w:val="16"/>
              </w:rPr>
              <w:t>N</w:t>
            </w:r>
            <w:r>
              <w:rPr>
                <w:color w:val="000000"/>
                <w:spacing w:val="0"/>
                <w:w w:val="100"/>
                <w:position w:val="0"/>
                <w:sz w:val="16"/>
                <w:szCs w:val="16"/>
              </w:rPr>
              <w:t>资产总额的</w:t>
            </w:r>
            <w:r>
              <w:rPr>
                <w:color w:val="000000"/>
                <w:spacing w:val="0"/>
                <w:w w:val="100"/>
                <w:position w:val="0"/>
                <w:sz w:val="16"/>
                <w:szCs w:val="16"/>
              </w:rPr>
              <w:t>0.5%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3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缺陷类别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重要缺陷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30"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220" w:right="0" w:firstLine="0"/>
              <w:jc w:val="both"/>
              <w:rPr>
                <w:sz w:val="16"/>
                <w:szCs w:val="16"/>
              </w:rPr>
            </w:pPr>
            <w:r>
              <w:rPr>
                <w:color w:val="000000"/>
                <w:spacing w:val="0"/>
                <w:w w:val="100"/>
                <w:position w:val="0"/>
                <w:sz w:val="16"/>
                <w:szCs w:val="16"/>
              </w:rPr>
              <w:t>重要 缺陷</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7" w:lineRule="exact"/>
              <w:ind w:left="0" w:right="0" w:firstLine="0"/>
              <w:jc w:val="left"/>
              <w:rPr>
                <w:sz w:val="16"/>
                <w:szCs w:val="16"/>
              </w:rPr>
            </w:pPr>
            <w:r>
              <w:rPr>
                <w:color w:val="000000"/>
                <w:spacing w:val="0"/>
                <w:w w:val="100"/>
                <w:position w:val="0"/>
                <w:sz w:val="16"/>
                <w:szCs w:val="16"/>
              </w:rPr>
              <w:t xml:space="preserve">营业收入总额的 </w:t>
            </w:r>
            <w:r>
              <w:rPr>
                <w:color w:val="000000"/>
                <w:spacing w:val="0"/>
                <w:w w:val="100"/>
                <w:position w:val="0"/>
                <w:sz w:val="16"/>
                <w:szCs w:val="16"/>
              </w:rPr>
              <w:t>0.2%</w:t>
            </w:r>
            <w:r>
              <w:rPr>
                <w:color w:val="000000"/>
                <w:spacing w:val="0"/>
                <w:w w:val="100"/>
                <w:position w:val="0"/>
                <w:sz w:val="16"/>
                <w:szCs w:val="16"/>
              </w:rPr>
              <w:t>与资产总额 的</w:t>
            </w:r>
            <w:r>
              <w:rPr>
                <w:color w:val="000000"/>
                <w:spacing w:val="0"/>
                <w:w w:val="100"/>
                <w:position w:val="0"/>
                <w:sz w:val="16"/>
                <w:szCs w:val="16"/>
              </w:rPr>
              <w:t xml:space="preserve">0. </w:t>
            </w:r>
            <w:r>
              <w:rPr>
                <w:color w:val="000000"/>
                <w:spacing w:val="0"/>
                <w:w w:val="100"/>
                <w:position w:val="0"/>
                <w:sz w:val="16"/>
                <w:szCs w:val="16"/>
              </w:rPr>
              <w:t>2%</w:t>
            </w:r>
            <w:r>
              <w:rPr>
                <w:color w:val="000000"/>
                <w:spacing w:val="0"/>
                <w:w w:val="100"/>
                <w:position w:val="0"/>
                <w:sz w:val="16"/>
                <w:szCs w:val="16"/>
              </w:rPr>
              <w:t>孰低者</w:t>
            </w:r>
            <w:r>
              <w:rPr>
                <w:color w:val="000000"/>
                <w:spacing w:val="0"/>
                <w:w w:val="100"/>
                <w:position w:val="0"/>
                <w:sz w:val="16"/>
                <w:szCs w:val="16"/>
              </w:rPr>
              <w:t xml:space="preserve">W </w:t>
            </w:r>
            <w:r>
              <w:rPr>
                <w:color w:val="000000"/>
                <w:spacing w:val="0"/>
                <w:w w:val="100"/>
                <w:position w:val="0"/>
                <w:sz w:val="16"/>
                <w:szCs w:val="16"/>
              </w:rPr>
              <w:t>直接财产损失金 额＜营业收入总额 的</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sz w:val="16"/>
                <w:szCs w:val="16"/>
              </w:rPr>
              <w:t>与资产总 额的</w:t>
            </w:r>
            <w:r>
              <w:rPr>
                <w:color w:val="000000"/>
                <w:spacing w:val="0"/>
                <w:w w:val="100"/>
                <w:position w:val="0"/>
                <w:sz w:val="16"/>
                <w:szCs w:val="16"/>
              </w:rPr>
              <w:t>0.5%</w:t>
            </w:r>
            <w:r>
              <w:rPr>
                <w:color w:val="000000"/>
                <w:spacing w:val="0"/>
                <w:w w:val="100"/>
                <w:position w:val="0"/>
                <w:sz w:val="16"/>
                <w:szCs w:val="16"/>
              </w:rPr>
              <w:t>孰低者</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04" w:lineRule="exact"/>
              <w:ind w:left="0" w:right="0" w:firstLine="0"/>
              <w:jc w:val="both"/>
              <w:rPr>
                <w:sz w:val="16"/>
                <w:szCs w:val="16"/>
              </w:rPr>
            </w:pPr>
            <w:r>
              <w:rPr>
                <w:color w:val="000000"/>
                <w:spacing w:val="0"/>
                <w:w w:val="100"/>
                <w:position w:val="0"/>
                <w:sz w:val="16"/>
                <w:szCs w:val="16"/>
              </w:rPr>
              <w:t>或受到国 家政府部 门处罚但 未对公司 造成负面 影响</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营业收入总额的</w:t>
            </w:r>
            <w:r>
              <w:rPr>
                <w:color w:val="000000"/>
                <w:spacing w:val="0"/>
                <w:w w:val="100"/>
                <w:position w:val="0"/>
                <w:sz w:val="16"/>
                <w:szCs w:val="16"/>
              </w:rPr>
              <w:t>0.2%W</w:t>
            </w:r>
            <w:r>
              <w:rPr>
                <w:color w:val="000000"/>
                <w:spacing w:val="0"/>
                <w:w w:val="100"/>
                <w:position w:val="0"/>
                <w:sz w:val="16"/>
                <w:szCs w:val="16"/>
              </w:rPr>
              <w:t>错报</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〈营业收入总额的</w:t>
            </w:r>
            <w:r>
              <w:rPr>
                <w:color w:val="000000"/>
                <w:spacing w:val="0"/>
                <w:w w:val="100"/>
                <w:position w:val="0"/>
                <w:sz w:val="16"/>
                <w:szCs w:val="16"/>
              </w:rPr>
              <w:t xml:space="preserve">0. </w:t>
            </w:r>
            <w:r>
              <w:rPr>
                <w:color w:val="000000"/>
                <w:spacing w:val="0"/>
                <w:w w:val="100"/>
                <w:position w:val="0"/>
                <w:sz w:val="16"/>
                <w:szCs w:val="16"/>
              </w:rPr>
              <w:t>5%</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资产总额的</w:t>
            </w:r>
            <w:r>
              <w:rPr>
                <w:color w:val="000000"/>
                <w:spacing w:val="0"/>
                <w:w w:val="100"/>
                <w:position w:val="0"/>
                <w:sz w:val="16"/>
                <w:szCs w:val="16"/>
              </w:rPr>
              <w:t>0. 2%W</w:t>
            </w:r>
            <w:r>
              <w:rPr>
                <w:color w:val="000000"/>
                <w:spacing w:val="0"/>
                <w:w w:val="100"/>
                <w:position w:val="0"/>
                <w:sz w:val="16"/>
                <w:szCs w:val="16"/>
              </w:rPr>
              <w:t>错报＜资 产总额的</w:t>
            </w:r>
            <w:r>
              <w:rPr>
                <w:color w:val="000000"/>
                <w:spacing w:val="0"/>
                <w:w w:val="100"/>
                <w:position w:val="0"/>
                <w:sz w:val="16"/>
                <w:szCs w:val="16"/>
              </w:rPr>
              <w:t xml:space="preserve">0. </w:t>
            </w:r>
            <w:r>
              <w:rPr>
                <w:color w:val="000000"/>
                <w:spacing w:val="0"/>
                <w:w w:val="100"/>
                <w:position w:val="0"/>
                <w:sz w:val="16"/>
                <w:szCs w:val="16"/>
              </w:rPr>
              <w:t>5%</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3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缺陷类别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一般缺陷</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错报〈营业收入总额的</w:t>
            </w:r>
            <w:r>
              <w:rPr>
                <w:color w:val="000000"/>
                <w:spacing w:val="0"/>
                <w:w w:val="100"/>
                <w:position w:val="0"/>
                <w:sz w:val="16"/>
                <w:szCs w:val="16"/>
              </w:rPr>
              <w:t xml:space="preserve">0. </w:t>
            </w:r>
            <w:r>
              <w:rPr>
                <w:color w:val="000000"/>
                <w:spacing w:val="0"/>
                <w:w w:val="100"/>
                <w:position w:val="0"/>
                <w:sz w:val="16"/>
                <w:szCs w:val="16"/>
              </w:rPr>
              <w:t>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 w:right="0" w:firstLine="0"/>
              <w:jc w:val="both"/>
              <w:rPr>
                <w:sz w:val="16"/>
                <w:szCs w:val="16"/>
              </w:rPr>
            </w:pPr>
            <w:r>
              <w:rPr>
                <w:color w:val="000000"/>
                <w:spacing w:val="0"/>
                <w:w w:val="100"/>
                <w:position w:val="0"/>
                <w:sz w:val="16"/>
                <w:szCs w:val="16"/>
              </w:rPr>
              <w:t>一般</w:t>
            </w:r>
          </w:p>
          <w:p>
            <w:pPr>
              <w:pStyle w:val="Style22"/>
              <w:keepNext w:val="0"/>
              <w:keepLines w:val="0"/>
              <w:widowControl w:val="0"/>
              <w:shd w:val="clear" w:color="auto" w:fill="auto"/>
              <w:bidi w:val="0"/>
              <w:spacing w:before="0" w:after="0" w:line="240" w:lineRule="auto"/>
              <w:ind w:left="220" w:right="0" w:firstLine="0"/>
              <w:jc w:val="both"/>
              <w:rPr>
                <w:sz w:val="16"/>
                <w:szCs w:val="16"/>
              </w:rPr>
            </w:pPr>
            <w:r>
              <w:rPr>
                <w:color w:val="000000"/>
                <w:spacing w:val="0"/>
                <w:w w:val="100"/>
                <w:position w:val="0"/>
                <w:sz w:val="16"/>
                <w:szCs w:val="16"/>
              </w:rPr>
              <w:t>缺陷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直接财产损失金 额＜营业收入总额 的</w:t>
            </w:r>
            <w:r>
              <w:rPr>
                <w:color w:val="000000"/>
                <w:spacing w:val="0"/>
                <w:w w:val="100"/>
                <w:position w:val="0"/>
                <w:sz w:val="16"/>
                <w:szCs w:val="16"/>
              </w:rPr>
              <w:t xml:space="preserve">0. </w:t>
            </w:r>
            <w:r>
              <w:rPr>
                <w:color w:val="000000"/>
                <w:spacing w:val="0"/>
                <w:w w:val="100"/>
                <w:position w:val="0"/>
                <w:sz w:val="16"/>
                <w:szCs w:val="16"/>
              </w:rPr>
              <w:t>2%</w:t>
            </w:r>
            <w:r>
              <w:rPr>
                <w:color w:val="000000"/>
                <w:spacing w:val="0"/>
                <w:w w:val="100"/>
                <w:position w:val="0"/>
                <w:sz w:val="16"/>
                <w:szCs w:val="16"/>
              </w:rPr>
              <w:t>与资产总 额的</w:t>
            </w:r>
            <w:r>
              <w:rPr>
                <w:color w:val="000000"/>
                <w:spacing w:val="0"/>
                <w:w w:val="100"/>
                <w:position w:val="0"/>
                <w:sz w:val="16"/>
                <w:szCs w:val="16"/>
              </w:rPr>
              <w:t>0.2%</w:t>
            </w:r>
            <w:r>
              <w:rPr>
                <w:color w:val="000000"/>
                <w:spacing w:val="0"/>
                <w:w w:val="100"/>
                <w:position w:val="0"/>
                <w:sz w:val="16"/>
                <w:szCs w:val="16"/>
              </w:rPr>
              <w:t>的孰低 者</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受到省级 （含省级） 以下政府 部门处罚 但 未对公 司造成负 面影响</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错报〈资产总额的</w:t>
            </w:r>
            <w:r>
              <w:rPr>
                <w:color w:val="000000"/>
                <w:spacing w:val="0"/>
                <w:w w:val="100"/>
                <w:position w:val="0"/>
                <w:sz w:val="16"/>
                <w:szCs w:val="16"/>
              </w:rPr>
              <w:t xml:space="preserve">0. </w:t>
            </w:r>
            <w:r>
              <w:rPr>
                <w:color w:val="000000"/>
                <w:spacing w:val="0"/>
                <w:w w:val="100"/>
                <w:position w:val="0"/>
                <w:sz w:val="16"/>
                <w:szCs w:val="16"/>
              </w:rPr>
              <w:t>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9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4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bookmarkStart w:id="402" w:name="bookmark402"/>
            <w:r>
              <w:rPr>
                <w:color w:val="000000"/>
                <w:spacing w:val="0"/>
                <w:w w:val="100"/>
                <w:position w:val="0"/>
              </w:rPr>
              <w:t>非财务报告重要缺陷数量（个）</w:t>
            </w:r>
            <w:bookmarkEnd w:id="402"/>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40" w:right="0" w:firstLine="0"/>
              <w:jc w:val="lef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22"/>
        <w:keepNext w:val="0"/>
        <w:keepLines w:val="0"/>
        <w:widowControl w:val="0"/>
        <w:shd w:val="clear" w:color="auto" w:fill="auto"/>
        <w:bidi w:val="0"/>
        <w:spacing w:before="0" w:after="360" w:line="240" w:lineRule="auto"/>
        <w:ind w:left="0" w:right="0" w:firstLine="0"/>
        <w:jc w:val="left"/>
        <w:rPr>
          <w:sz w:val="20"/>
          <w:szCs w:val="20"/>
        </w:rPr>
      </w:pPr>
      <w:bookmarkStart w:id="403" w:name="bookmark403"/>
      <w:r>
        <w:rPr>
          <w:rFonts w:ascii="Times New Roman" w:eastAsia="Times New Roman" w:hAnsi="Times New Roman" w:cs="Times New Roman"/>
          <w:b/>
          <w:bCs/>
          <w:color w:val="000000"/>
          <w:spacing w:val="0"/>
          <w:w w:val="100"/>
          <w:position w:val="0"/>
          <w:sz w:val="20"/>
          <w:szCs w:val="20"/>
        </w:rPr>
        <w:t>2</w:t>
      </w:r>
      <w:bookmarkEnd w:id="403"/>
      <w:r>
        <w:rPr>
          <w:b/>
          <w:bCs/>
          <w:color w:val="000000"/>
          <w:spacing w:val="0"/>
          <w:w w:val="100"/>
          <w:position w:val="0"/>
          <w:sz w:val="20"/>
          <w:szCs w:val="20"/>
        </w:rPr>
        <w:t>、内部控制审计报告</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966"/>
        <w:gridCol w:w="6614"/>
      </w:tblGrid>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169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按照《企业内部控制审计指引》及中国注册会计师执业准则的相关要求，信永中和会计师事务所（特殊普通合伙）（以 下简称“信永中和”）对公司截止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日的财务报告内部控制的有效性进行了审计，出具了信永中和 </w:t>
            </w:r>
            <w:r>
              <w:rPr>
                <w:rFonts w:ascii="Times New Roman" w:eastAsia="Times New Roman" w:hAnsi="Times New Roman" w:cs="Times New Roman"/>
                <w:color w:val="000000"/>
                <w:spacing w:val="0"/>
                <w:w w:val="100"/>
                <w:position w:val="0"/>
              </w:rPr>
              <w:t>XYZH/2022BJAA10643</w:t>
            </w:r>
            <w:r>
              <w:rPr>
                <w:color w:val="000000"/>
                <w:spacing w:val="0"/>
                <w:w w:val="100"/>
                <w:position w:val="0"/>
              </w:rPr>
              <w:t>《内部控制审计报告》，并发表如下意见：</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信永中和认为，神州数码信息服务股份有限公司于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 有重大方面保持了有效的财务报告内部控制。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:内部控制审计报告</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”是□否</w:t>
      </w:r>
    </w:p>
    <w:p>
      <w:pPr>
        <w:pStyle w:val="Style25"/>
        <w:keepNext/>
        <w:keepLines/>
        <w:widowControl w:val="0"/>
        <w:shd w:val="clear" w:color="auto" w:fill="auto"/>
        <w:bidi w:val="0"/>
        <w:spacing w:before="0" w:after="360" w:line="240" w:lineRule="auto"/>
        <w:ind w:left="0" w:right="0" w:firstLine="0"/>
        <w:jc w:val="left"/>
      </w:pPr>
      <w:bookmarkStart w:id="404" w:name="bookmark404"/>
      <w:bookmarkStart w:id="405" w:name="bookmark405"/>
      <w:bookmarkStart w:id="406" w:name="bookmark406"/>
      <w:r>
        <w:rPr>
          <w:color w:val="000000"/>
          <w:spacing w:val="0"/>
          <w:w w:val="100"/>
          <w:position w:val="0"/>
          <w:sz w:val="24"/>
          <w:szCs w:val="24"/>
        </w:rPr>
        <w:t>十六、上市公司治理专项行动自查问题整改情况</w:t>
      </w:r>
      <w:bookmarkEnd w:id="404"/>
      <w:bookmarkEnd w:id="405"/>
      <w:bookmarkEnd w:id="406"/>
    </w:p>
    <w:p>
      <w:pPr>
        <w:pStyle w:val="Style13"/>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41" w:right="1082" w:bottom="1508" w:left="1056" w:header="0" w:footer="3" w:gutter="0"/>
          <w:cols w:space="720"/>
          <w:noEndnote/>
          <w:rtlGutter w:val="0"/>
          <w:docGrid w:linePitch="360"/>
        </w:sectPr>
      </w:pPr>
      <w:r>
        <w:rPr>
          <w:color w:val="000000"/>
          <w:spacing w:val="0"/>
          <w:w w:val="100"/>
          <w:position w:val="0"/>
        </w:rPr>
        <w:t>不适用。</w:t>
      </w:r>
    </w:p>
    <w:p>
      <w:pPr>
        <w:pStyle w:val="Style10"/>
        <w:keepNext/>
        <w:keepLines/>
        <w:widowControl w:val="0"/>
        <w:shd w:val="clear" w:color="auto" w:fill="auto"/>
        <w:bidi w:val="0"/>
        <w:spacing w:before="580" w:after="520" w:line="240" w:lineRule="auto"/>
        <w:ind w:left="0" w:right="0" w:firstLine="0"/>
        <w:jc w:val="center"/>
      </w:pPr>
      <w:bookmarkStart w:id="407" w:name="bookmark407"/>
      <w:bookmarkStart w:id="408" w:name="bookmark408"/>
      <w:bookmarkStart w:id="409" w:name="bookmark409"/>
      <w:bookmarkStart w:id="410" w:name="bookmark410"/>
      <w:r>
        <w:rPr>
          <w:color w:val="000000"/>
          <w:spacing w:val="0"/>
          <w:w w:val="100"/>
          <w:position w:val="0"/>
        </w:rPr>
        <w:t>第五节环境和社会责任</w:t>
      </w:r>
      <w:bookmarkEnd w:id="408"/>
      <w:bookmarkEnd w:id="409"/>
      <w:bookmarkEnd w:id="410"/>
      <w:bookmarkEnd w:id="407"/>
    </w:p>
    <w:p>
      <w:pPr>
        <w:pStyle w:val="Style25"/>
        <w:keepNext/>
        <w:keepLines/>
        <w:widowControl w:val="0"/>
        <w:shd w:val="clear" w:color="auto" w:fill="auto"/>
        <w:bidi w:val="0"/>
        <w:spacing w:before="0" w:after="380" w:line="240" w:lineRule="auto"/>
        <w:ind w:left="0" w:right="0" w:firstLine="260"/>
        <w:jc w:val="left"/>
      </w:pPr>
      <w:bookmarkStart w:id="411" w:name="bookmark411"/>
      <w:bookmarkStart w:id="412" w:name="bookmark412"/>
      <w:bookmarkStart w:id="413" w:name="bookmark413"/>
      <w:r>
        <w:rPr>
          <w:color w:val="000000"/>
          <w:spacing w:val="0"/>
          <w:w w:val="100"/>
          <w:position w:val="0"/>
          <w:sz w:val="24"/>
          <w:szCs w:val="24"/>
        </w:rPr>
        <w:t>、重大环保问题</w:t>
      </w:r>
      <w:bookmarkEnd w:id="411"/>
      <w:bookmarkEnd w:id="412"/>
      <w:bookmarkEnd w:id="413"/>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90"/>
        <w:gridCol w:w="1234"/>
        <w:gridCol w:w="1229"/>
        <w:gridCol w:w="1238"/>
        <w:gridCol w:w="2587"/>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3"/>
        <w:keepNext w:val="0"/>
        <w:keepLines w:val="0"/>
        <w:widowControl w:val="0"/>
        <w:shd w:val="clear" w:color="auto" w:fill="auto"/>
        <w:bidi w:val="0"/>
        <w:spacing w:before="0" w:after="380" w:line="310" w:lineRule="exact"/>
        <w:ind w:left="0" w:right="0"/>
        <w:jc w:val="both"/>
      </w:pPr>
      <w:r>
        <w:rPr>
          <w:color w:val="000000"/>
          <w:spacing w:val="0"/>
          <w:w w:val="100"/>
          <w:position w:val="0"/>
        </w:rPr>
        <w:t>公司属于软件开发类技术企业，不属于环境保护部门公布的重点排污单位，报告期内不存在因环境问题受到行政处罚的 情况。公司重视环境保护，在数字化建设中打造多样化的节能、低碳、绿色、环保、高效的运行模式，不断提高资源综合利 用效率水平，推进企业与环境的和谐、可持续发展。</w:t>
      </w:r>
      <w:r>
        <w:rPr>
          <w:color w:val="000000"/>
          <w:spacing w:val="0"/>
          <w:w w:val="100"/>
          <w:position w:val="0"/>
        </w:rPr>
        <w:t>2021</w:t>
      </w:r>
      <w:r>
        <w:rPr>
          <w:color w:val="000000"/>
          <w:spacing w:val="0"/>
          <w:w w:val="100"/>
          <w:position w:val="0"/>
        </w:rPr>
        <w:t>年面对全球反复的疫情变化，公司持续提供便利条件支持移动办公， 助力科学防疫，通过企业微信、腾讯会议、</w:t>
      </w:r>
      <w:r>
        <w:rPr>
          <w:rFonts w:ascii="Times New Roman" w:eastAsia="Times New Roman" w:hAnsi="Times New Roman" w:cs="Times New Roman"/>
          <w:color w:val="000000"/>
          <w:spacing w:val="0"/>
          <w:w w:val="100"/>
          <w:position w:val="0"/>
        </w:rPr>
        <w:t>“</w:t>
      </w:r>
      <w:r>
        <w:rPr>
          <w:color w:val="000000"/>
          <w:spacing w:val="0"/>
          <w:w w:val="100"/>
          <w:position w:val="0"/>
        </w:rPr>
        <w:t>神州视讯</w:t>
      </w:r>
      <w:r>
        <w:rPr>
          <w:rFonts w:ascii="Times New Roman" w:eastAsia="Times New Roman" w:hAnsi="Times New Roman" w:cs="Times New Roman"/>
          <w:color w:val="000000"/>
          <w:spacing w:val="0"/>
          <w:w w:val="100"/>
          <w:position w:val="0"/>
        </w:rPr>
        <w:t>”</w:t>
      </w:r>
      <w:r>
        <w:rPr>
          <w:color w:val="000000"/>
          <w:spacing w:val="0"/>
          <w:w w:val="100"/>
          <w:position w:val="0"/>
        </w:rPr>
        <w:t>云视频会议系统提高办公互动性，同时公司已有的神州</w:t>
      </w:r>
      <w:r>
        <w:rPr>
          <w:rFonts w:ascii="Times New Roman" w:eastAsia="Times New Roman" w:hAnsi="Times New Roman" w:cs="Times New Roman"/>
          <w:color w:val="000000"/>
          <w:spacing w:val="0"/>
          <w:w w:val="100"/>
          <w:position w:val="0"/>
        </w:rPr>
        <w:t>E</w:t>
      </w:r>
      <w:r>
        <w:rPr>
          <w:color w:val="000000"/>
          <w:spacing w:val="0"/>
          <w:w w:val="100"/>
          <w:position w:val="0"/>
        </w:rPr>
        <w:t xml:space="preserve">家移动手机 </w:t>
      </w:r>
      <w:r>
        <w:rPr>
          <w:rFonts w:ascii="Times New Roman" w:eastAsia="Times New Roman" w:hAnsi="Times New Roman" w:cs="Times New Roman"/>
          <w:color w:val="000000"/>
          <w:spacing w:val="0"/>
          <w:w w:val="100"/>
          <w:position w:val="0"/>
        </w:rPr>
        <w:t>APP</w:t>
      </w:r>
      <w:r>
        <w:rPr>
          <w:color w:val="000000"/>
          <w:spacing w:val="0"/>
          <w:w w:val="100"/>
          <w:position w:val="0"/>
        </w:rPr>
        <w:t>、</w:t>
      </w:r>
      <w:r>
        <w:rPr>
          <w:rFonts w:ascii="Times New Roman" w:eastAsia="Times New Roman" w:hAnsi="Times New Roman" w:cs="Times New Roman"/>
          <w:color w:val="000000"/>
          <w:spacing w:val="0"/>
          <w:w w:val="100"/>
          <w:position w:val="0"/>
        </w:rPr>
        <w:t>CRM</w:t>
      </w:r>
      <w:r>
        <w:rPr>
          <w:color w:val="000000"/>
          <w:spacing w:val="0"/>
          <w:w w:val="100"/>
          <w:position w:val="0"/>
        </w:rPr>
        <w:t>云系统、量子加密</w:t>
      </w:r>
      <w:r>
        <w:rPr>
          <w:rFonts w:ascii="Times New Roman" w:eastAsia="Times New Roman" w:hAnsi="Times New Roman" w:cs="Times New Roman"/>
          <w:color w:val="000000"/>
          <w:spacing w:val="0"/>
          <w:w w:val="100"/>
          <w:position w:val="0"/>
        </w:rPr>
        <w:t>VPN</w:t>
      </w:r>
      <w:r>
        <w:rPr>
          <w:color w:val="000000"/>
          <w:spacing w:val="0"/>
          <w:w w:val="100"/>
          <w:position w:val="0"/>
        </w:rPr>
        <w:t>等，使员工能够快速掌握公司动态，实现随时随地掌上办公，有效提升办公效率。同时， 公司通过节能降耗，节水节电等措施，努力减少碳排放。</w:t>
      </w:r>
    </w:p>
    <w:p>
      <w:pPr>
        <w:pStyle w:val="Style13"/>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在报告期内为减少其碳排放所采取的措施及效果</w:t>
      </w:r>
    </w:p>
    <w:p>
      <w:pPr>
        <w:pStyle w:val="Style13"/>
        <w:keepNext w:val="0"/>
        <w:keepLines w:val="0"/>
        <w:widowControl w:val="0"/>
        <w:shd w:val="clear" w:color="auto" w:fill="auto"/>
        <w:bidi w:val="0"/>
        <w:spacing w:before="0" w:after="0" w:line="310" w:lineRule="exact"/>
        <w:ind w:left="0" w:right="0" w:firstLine="0"/>
        <w:jc w:val="left"/>
      </w:pPr>
      <w:r>
        <w:rPr>
          <w:color w:val="000000"/>
          <w:spacing w:val="0"/>
          <w:w w:val="100"/>
          <w:position w:val="0"/>
        </w:rPr>
        <w:t>”适用口不适用</w:t>
      </w:r>
    </w:p>
    <w:p>
      <w:pPr>
        <w:pStyle w:val="Style13"/>
        <w:keepNext w:val="0"/>
        <w:keepLines w:val="0"/>
        <w:widowControl w:val="0"/>
        <w:shd w:val="clear" w:color="auto" w:fill="auto"/>
        <w:bidi w:val="0"/>
        <w:spacing w:before="0" w:after="0" w:line="310" w:lineRule="exact"/>
        <w:ind w:left="0" w:right="0"/>
        <w:jc w:val="both"/>
      </w:pPr>
      <w:r>
        <w:rPr>
          <w:color w:val="000000"/>
          <w:spacing w:val="0"/>
          <w:w w:val="100"/>
          <w:position w:val="0"/>
        </w:rPr>
        <w:t>公司推行绿色办公的理念，推行通过办公自动化系统管理物品申购、请示、申请、公文印章使用、财务报销等工作，尽 量减少纸张的使用，鼓励资源综合利用，助力碳减排。公司持续打造高效节能数据中心，通过建设超融合虚拟化计算存储一 体化解决方案，降低硬件服务器数量和能源成本，同时增强业务连续性和灾难恢复功能以减少意外停机，提高系统整体的可 靠性，保证公司的业务连续性。</w:t>
      </w:r>
    </w:p>
    <w:p>
      <w:pPr>
        <w:pStyle w:val="Style13"/>
        <w:keepNext w:val="0"/>
        <w:keepLines w:val="0"/>
        <w:widowControl w:val="0"/>
        <w:shd w:val="clear" w:color="auto" w:fill="auto"/>
        <w:bidi w:val="0"/>
        <w:spacing w:before="0" w:after="0" w:line="310" w:lineRule="exact"/>
        <w:ind w:left="0" w:right="0" w:firstLine="0"/>
        <w:jc w:val="left"/>
      </w:pPr>
      <w:r>
        <w:rPr>
          <w:color w:val="000000"/>
          <w:spacing w:val="0"/>
          <w:w w:val="100"/>
          <w:position w:val="0"/>
        </w:rPr>
        <w:t>未披露其他环境信息的原因</w:t>
      </w:r>
    </w:p>
    <w:p>
      <w:pPr>
        <w:pStyle w:val="Style1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不适用</w:t>
      </w:r>
    </w:p>
    <w:p>
      <w:pPr>
        <w:pStyle w:val="Style25"/>
        <w:keepNext/>
        <w:keepLines/>
        <w:widowControl w:val="0"/>
        <w:shd w:val="clear" w:color="auto" w:fill="auto"/>
        <w:tabs>
          <w:tab w:pos="502" w:val="left"/>
        </w:tabs>
        <w:bidi w:val="0"/>
        <w:spacing w:before="0" w:after="26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sz w:val="24"/>
          <w:szCs w:val="24"/>
        </w:rPr>
        <w:t>二</w:t>
      </w:r>
      <w:bookmarkEnd w:id="416"/>
      <w:r>
        <w:rPr>
          <w:color w:val="000000"/>
          <w:spacing w:val="0"/>
          <w:w w:val="100"/>
          <w:position w:val="0"/>
          <w:sz w:val="24"/>
          <w:szCs w:val="24"/>
        </w:rPr>
        <w:t>、</w:t>
        <w:tab/>
        <w:t>社会责任情况</w:t>
      </w:r>
      <w:bookmarkEnd w:id="414"/>
      <w:bookmarkEnd w:id="415"/>
      <w:bookmarkEnd w:id="417"/>
    </w:p>
    <w:p>
      <w:pPr>
        <w:pStyle w:val="Style1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具体内容请查看公司于同日在巨潮资讯网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w:t>
      </w:r>
      <w:r>
        <w:rPr>
          <w:rFonts w:ascii="Times New Roman" w:eastAsia="Times New Roman" w:hAnsi="Times New Roman" w:cs="Times New Roman"/>
          <w:color w:val="000000"/>
          <w:spacing w:val="0"/>
          <w:w w:val="100"/>
          <w:position w:val="0"/>
        </w:rPr>
        <w:t>202</w:t>
      </w:r>
      <w:r>
        <w:rPr>
          <w:color w:val="000000"/>
          <w:spacing w:val="0"/>
          <w:w w:val="100"/>
          <w:position w:val="0"/>
        </w:rPr>
        <w:t>1</w:t>
      </w:r>
      <w:r>
        <w:rPr>
          <w:color w:val="000000"/>
          <w:spacing w:val="0"/>
          <w:w w:val="100"/>
          <w:position w:val="0"/>
        </w:rPr>
        <w:t>年度社会责任报告》。</w:t>
      </w:r>
    </w:p>
    <w:p>
      <w:pPr>
        <w:pStyle w:val="Style25"/>
        <w:keepNext/>
        <w:keepLines/>
        <w:widowControl w:val="0"/>
        <w:shd w:val="clear" w:color="auto" w:fill="auto"/>
        <w:tabs>
          <w:tab w:pos="507" w:val="left"/>
        </w:tabs>
        <w:bidi w:val="0"/>
        <w:spacing w:before="0" w:after="26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sz w:val="24"/>
          <w:szCs w:val="24"/>
        </w:rPr>
        <w:t>三</w:t>
      </w:r>
      <w:bookmarkEnd w:id="420"/>
      <w:r>
        <w:rPr>
          <w:color w:val="000000"/>
          <w:spacing w:val="0"/>
          <w:w w:val="100"/>
          <w:position w:val="0"/>
          <w:sz w:val="24"/>
          <w:szCs w:val="24"/>
        </w:rPr>
        <w:t>、</w:t>
        <w:tab/>
        <w:t>巩固拓展脱贫攻坚成果、乡村振兴的情况</w:t>
      </w:r>
      <w:bookmarkEnd w:id="418"/>
      <w:bookmarkEnd w:id="419"/>
      <w:bookmarkEnd w:id="421"/>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神州信息长期专注农业农村数字化建设，农业农村场景金融创新助推金融资本下乡，获得农业农村部的认可和各省及业 界的肯定。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日，神州信息发布“神州信息金融科技赋能乡村振兴一张图”，重点解决三方面问题：一是加速推 进农业农村数字化建设，充分运用大数据、物联网技术融合农业场景推进数字农业管理、数字农业的发展。二是推进三农数 字化工作中，沉淀三农数据，并且打通农业、税务等政务数据，数据融通，释放数据价值。未来数据是城乡管理决策、城乡 融合、促进农业产业发展，提升农民信用至关重要的基础资源，要提前做好数据规划。三是要充分发挥金融资本，以金融科 技赋能金融资本下乡促进农业发展和乡村建设，规避金融风险，稳健农业产业发展。通过“农业农村业务数字化</w:t>
      </w:r>
      <w:r>
        <w:rPr>
          <w:rFonts w:ascii="Times New Roman" w:eastAsia="Times New Roman" w:hAnsi="Times New Roman" w:cs="Times New Roman"/>
          <w:color w:val="000000"/>
          <w:spacing w:val="0"/>
          <w:w w:val="100"/>
          <w:position w:val="0"/>
        </w:rPr>
        <w:t>+</w:t>
      </w:r>
      <w:r>
        <w:rPr>
          <w:color w:val="000000"/>
          <w:spacing w:val="0"/>
          <w:w w:val="100"/>
          <w:position w:val="0"/>
        </w:rPr>
        <w:t>农业农村 资产金融化</w:t>
      </w:r>
      <w:r>
        <w:rPr>
          <w:rFonts w:ascii="Times New Roman" w:eastAsia="Times New Roman" w:hAnsi="Times New Roman" w:cs="Times New Roman"/>
          <w:color w:val="000000"/>
          <w:spacing w:val="0"/>
          <w:w w:val="100"/>
          <w:position w:val="0"/>
        </w:rPr>
        <w:t>+</w:t>
      </w:r>
      <w:r>
        <w:rPr>
          <w:color w:val="000000"/>
          <w:spacing w:val="0"/>
          <w:w w:val="100"/>
          <w:position w:val="0"/>
        </w:rPr>
        <w:t xml:space="preserve">农业农村运营持久化”，提供完善的整体解决方案，从夯实农业农村大数据底座、金融赋能三农高质量发展到 未来持续运营服务，助力国家乡村振兴战略全面有效落地，为农业农村现代化发展的总体思路、发展目标、重点任务提供指 </w:t>
      </w:r>
      <w:r>
        <w:rPr>
          <w:color w:val="000000"/>
          <w:spacing w:val="0"/>
          <w:w w:val="100"/>
          <w:position w:val="0"/>
        </w:rPr>
        <w:t>引。</w:t>
      </w:r>
    </w:p>
    <w:p>
      <w:pPr>
        <w:pStyle w:val="Style13"/>
        <w:keepNext w:val="0"/>
        <w:keepLines w:val="0"/>
        <w:widowControl w:val="0"/>
        <w:shd w:val="clear" w:color="auto" w:fill="auto"/>
        <w:bidi w:val="0"/>
        <w:spacing w:before="0" w:after="0" w:line="311" w:lineRule="exact"/>
        <w:ind w:left="0" w:right="0"/>
        <w:jc w:val="left"/>
      </w:pPr>
      <w:r>
        <w:rPr>
          <w:color w:val="000000"/>
          <w:spacing w:val="0"/>
          <w:w w:val="100"/>
          <w:position w:val="0"/>
        </w:rPr>
        <w:t>在数字农业农村建设方面，利用“平台</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服务”的新模式，提供一体化解决方案，打造以智慧乡村云平台、智慧 农业云平台、农业农村大数据为核心的产品体系。实现省、市、县三级“人、事、物”资源联网、可视化展示，全面分析农 业农村发展问题及优势，为全域一体化管理及各级农业农村部门精准决策提供科学指引，助力精准施政。</w:t>
      </w:r>
    </w:p>
    <w:p>
      <w:pPr>
        <w:pStyle w:val="Style13"/>
        <w:keepNext w:val="0"/>
        <w:keepLines w:val="0"/>
        <w:widowControl w:val="0"/>
        <w:shd w:val="clear" w:color="auto" w:fill="auto"/>
        <w:bidi w:val="0"/>
        <w:spacing w:before="0" w:after="0" w:line="311" w:lineRule="exact"/>
        <w:ind w:left="0" w:right="0"/>
        <w:jc w:val="left"/>
      </w:pPr>
      <w:r>
        <w:rPr>
          <w:color w:val="000000"/>
          <w:spacing w:val="0"/>
          <w:w w:val="100"/>
          <w:position w:val="0"/>
        </w:rPr>
        <w:t>在金融赋能三农产品体系方面，以“科技</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场景”的模式，以数据为核心，在政府支持下，以大数据等科技应用 加速农业农村数字化进程，使“三农”资产价值可衡量，吸引资本下乡，使金融服务精准滴灌“三农”，进一步加速农业农 村向数字化转型，赋能新三农。围绕产业金融、乡村金融和普惠金融，通过“搭场景、建平台、做服务”，以三农金融大数 据库为基础，进行农业农村数据的采集、融合管理、建模分析与应用，打通金融与三农，创新金融场景，助推金融下沉三农、 普惠三农。</w:t>
      </w:r>
    </w:p>
    <w:p>
      <w:pPr>
        <w:pStyle w:val="Style13"/>
        <w:keepNext w:val="0"/>
        <w:keepLines w:val="0"/>
        <w:widowControl w:val="0"/>
        <w:shd w:val="clear" w:color="auto" w:fill="auto"/>
        <w:bidi w:val="0"/>
        <w:spacing w:before="0" w:after="0" w:line="311" w:lineRule="exact"/>
        <w:ind w:left="0" w:right="0"/>
        <w:jc w:val="left"/>
      </w:pPr>
      <w:r>
        <w:rPr>
          <w:color w:val="000000"/>
          <w:spacing w:val="0"/>
          <w:w w:val="100"/>
          <w:position w:val="0"/>
        </w:rPr>
        <w:t>此外，神州信息围绕数字化运营服务体系，持续运营助力乡村振兴。采用“线上”与“线下”联动的方式，为农业生产 经营主体和农业服务主体提供一体化方案和一站式服务，包含：农村产权交易运营、三资三务运营、三资产交一体化运营、 宅基地运营等。</w:t>
      </w:r>
    </w:p>
    <w:p>
      <w:pPr>
        <w:pStyle w:val="Style13"/>
        <w:keepNext w:val="0"/>
        <w:keepLines w:val="0"/>
        <w:widowControl w:val="0"/>
        <w:shd w:val="clear" w:color="auto" w:fill="auto"/>
        <w:bidi w:val="0"/>
        <w:spacing w:before="0" w:after="0" w:line="311" w:lineRule="exact"/>
        <w:ind w:left="0" w:right="0"/>
        <w:jc w:val="left"/>
        <w:sectPr>
          <w:footnotePr>
            <w:pos w:val="pageBottom"/>
            <w:numFmt w:val="decimal"/>
            <w:numRestart w:val="continuous"/>
          </w:footnotePr>
          <w:pgSz w:w="11900" w:h="16840"/>
          <w:pgMar w:top="1393" w:right="1018" w:bottom="1585" w:left="1100" w:header="0" w:footer="3" w:gutter="0"/>
          <w:cols w:space="720"/>
          <w:noEndnote/>
          <w:rtlGutter w:val="0"/>
          <w:docGrid w:linePitch="360"/>
        </w:sectPr>
      </w:pPr>
      <w:r>
        <w:rPr>
          <w:color w:val="000000"/>
          <w:spacing w:val="0"/>
          <w:w w:val="100"/>
          <w:position w:val="0"/>
        </w:rPr>
        <w:t>报告期内公司“三农场景”业务开展的具体情况，请见本报告第三节“管理层讨论与分析”之“主营业务分析”的概述 部分。神州信息将继续在农业农村服务领域助力农业农村发展形成人才、土地、资金、产业、信息汇聚的良性循环，实现农 业产业蓬勃发展、生态和谐宜居、民风文明友善、治理公正民主、生活和谐富裕，落地全面乡村振兴的宏伟目标。</w:t>
      </w:r>
    </w:p>
    <w:p>
      <w:pPr>
        <w:pStyle w:val="Style10"/>
        <w:keepNext/>
        <w:keepLines/>
        <w:widowControl w:val="0"/>
        <w:shd w:val="clear" w:color="auto" w:fill="auto"/>
        <w:bidi w:val="0"/>
        <w:spacing w:before="560" w:after="560" w:line="240" w:lineRule="auto"/>
        <w:ind w:left="0" w:right="0" w:firstLine="0"/>
        <w:jc w:val="center"/>
      </w:pPr>
      <w:bookmarkStart w:id="422" w:name="bookmark422"/>
      <w:bookmarkStart w:id="423" w:name="bookmark423"/>
      <w:bookmarkStart w:id="424" w:name="bookmark424"/>
      <w:bookmarkStart w:id="425" w:name="bookmark425"/>
      <w:r>
        <w:rPr>
          <w:color w:val="000000"/>
          <w:spacing w:val="0"/>
          <w:w w:val="100"/>
          <w:position w:val="0"/>
        </w:rPr>
        <w:t>第六节重要事项</w:t>
      </w:r>
      <w:bookmarkEnd w:id="423"/>
      <w:bookmarkEnd w:id="424"/>
      <w:bookmarkEnd w:id="425"/>
      <w:bookmarkEnd w:id="422"/>
    </w:p>
    <w:p>
      <w:pPr>
        <w:pStyle w:val="Style25"/>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一</w:t>
      </w:r>
      <w:bookmarkEnd w:id="428"/>
      <w:r>
        <w:rPr>
          <w:color w:val="000000"/>
          <w:spacing w:val="0"/>
          <w:w w:val="100"/>
          <w:position w:val="0"/>
          <w:sz w:val="24"/>
          <w:szCs w:val="24"/>
        </w:rPr>
        <w:t>、承诺事项履行情况</w:t>
      </w:r>
      <w:bookmarkEnd w:id="426"/>
      <w:bookmarkEnd w:id="427"/>
      <w:bookmarkEnd w:id="429"/>
    </w:p>
    <w:p>
      <w:pPr>
        <w:pStyle w:val="Style29"/>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、公司实际控制人、股东、关联方、收购人以及公司等承诺相关方在报告期内履行完毕及截至报告期末尚未履行完毕的承诺事项</w:t>
      </w:r>
      <w:bookmarkEnd w:id="430"/>
      <w:bookmarkEnd w:id="431"/>
      <w:bookmarkEnd w:id="433"/>
    </w:p>
    <w:p>
      <w:pPr>
        <w:pStyle w:val="Style27"/>
        <w:keepNext w:val="0"/>
        <w:keepLines w:val="0"/>
        <w:widowControl w:val="0"/>
        <w:shd w:val="clear" w:color="auto" w:fill="auto"/>
        <w:bidi w:val="0"/>
        <w:spacing w:before="0" w:after="0" w:line="240" w:lineRule="auto"/>
        <w:ind w:left="11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320"/>
        <w:gridCol w:w="1075"/>
        <w:gridCol w:w="1018"/>
        <w:gridCol w:w="5957"/>
        <w:gridCol w:w="1037"/>
        <w:gridCol w:w="749"/>
        <w:gridCol w:w="3043"/>
      </w:tblGrid>
      <w:tr>
        <w:trPr>
          <w:trHeight w:val="77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59"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both"/>
            </w:pPr>
            <w:r>
              <w:rPr>
                <w:color w:val="000000"/>
                <w:spacing w:val="0"/>
                <w:w w:val="100"/>
                <w:position w:val="0"/>
              </w:rPr>
              <w:t>神码软件、</w:t>
            </w:r>
          </w:p>
          <w:p>
            <w:pPr>
              <w:pStyle w:val="Style22"/>
              <w:keepNext w:val="0"/>
              <w:keepLines w:val="0"/>
              <w:widowControl w:val="0"/>
              <w:shd w:val="clear" w:color="auto" w:fill="auto"/>
              <w:bidi w:val="0"/>
              <w:spacing w:before="0" w:after="0" w:line="320" w:lineRule="exact"/>
              <w:ind w:left="0" w:right="0" w:firstLine="0"/>
              <w:jc w:val="both"/>
            </w:pPr>
            <w:r>
              <w:rPr>
                <w:color w:val="000000"/>
                <w:spacing w:val="0"/>
                <w:w w:val="100"/>
                <w:position w:val="0"/>
              </w:rPr>
              <w:t>天津信锐、 中新创投、 华亿投资、 南京汇庆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《关于资产权属的承诺》：交易对方承诺已履行了神州信息《公司章程》 规定的全额出资义务，持有的股份所对应的注册资本均已按时足额出资到 位；依法拥有神州信息股份的全部法律权益，包括但不限于占有、使用、 收益及处分权；所持有的神州信息股份资产权属清晰，不存在任何权属纠 纷，亦不存在其他法律纠纷；持有的神州信息股份不存在质押、抵押、其 他担保或第三方权益或限制情形，也不存在法院或其他有权机关冻结、查 封、拍卖本合伙企业持有上述股份之情形；持有的神州信息股份过户或者 转移不存在法律障碍。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截至目前，上述承诺仍在履行过程 中，承诺人无违反上述承诺的情况。</w:t>
            </w:r>
          </w:p>
        </w:tc>
      </w:tr>
      <w:tr>
        <w:trPr>
          <w:trHeight w:val="10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华亿投资、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南京汇庆、</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神码软件、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《交易对方关于无违法行为的确认函》：本次交易的交易对方出具了无违 法行为的确认函，确认：公司（合伙企业）及公司（合伙企业）主要管理 人员最近五年未受过与证券市场相关的行政处罚、刑事处罚，没有涉及与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right"/>
        <w:tblLayout w:type="fixed"/>
      </w:tblPr>
      <w:tblGrid>
        <w:gridCol w:w="1080"/>
        <w:gridCol w:w="1018"/>
        <w:gridCol w:w="5957"/>
        <w:gridCol w:w="1037"/>
        <w:gridCol w:w="749"/>
        <w:gridCol w:w="3043"/>
      </w:tblGrid>
      <w:tr>
        <w:trPr>
          <w:trHeight w:val="10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天津信锐、 中新创投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经济纠纷有关的重大民事诉讼或者仲裁；本公司（合伙企业）符合作为上 市公司非公开发行股票发行对象的条件，不存在法律、法规、规章或规范 性文件规定的不得作为上市公司非公开发行股票发行对象的情形。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7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left"/>
            </w:pPr>
            <w:r>
              <w:rPr>
                <w:color w:val="000000"/>
                <w:spacing w:val="0"/>
                <w:w w:val="100"/>
                <w:position w:val="0"/>
              </w:rPr>
              <w:t>《关于标的资产隐形负债的承诺》：就神州信息相关员工的工资、社会保 险及住房公积金等隐性负债可能给上市公司导致的损失，神码软件承诺： 如本次交易完成后，因神州信息或其下属控股</w:t>
            </w:r>
            <w:r>
              <w:rPr>
                <w:rFonts w:ascii="Times New Roman" w:eastAsia="Times New Roman" w:hAnsi="Times New Roman" w:cs="Times New Roman"/>
                <w:color w:val="000000"/>
                <w:spacing w:val="0"/>
                <w:w w:val="100"/>
                <w:position w:val="0"/>
              </w:rPr>
              <w:t>/</w:t>
            </w:r>
            <w:r>
              <w:rPr>
                <w:color w:val="000000"/>
                <w:spacing w:val="0"/>
                <w:w w:val="100"/>
                <w:position w:val="0"/>
              </w:rPr>
              <w:t>控制子公司或分公司就任 何员工的工资、社会保险及住房公积金方面存在违反法律、法规或规范性 文件要求，或违反劳动合同约定，而导致上市公司受到起诉、被提起仲裁、 遭受索赔、受到行政调查或处罚、被判决或被裁决作出赔偿或补偿或承担 其他形式的责任，则神码软件将以现金方式向上市公司补足该等遭受的损 失，以确保上市公司利益不会受到损害。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神码软件出具该承诺时，神州信息拥 有</w:t>
            </w:r>
            <w:r>
              <w:rPr>
                <w:rFonts w:ascii="Times New Roman" w:eastAsia="Times New Roman" w:hAnsi="Times New Roman" w:cs="Times New Roman"/>
                <w:color w:val="000000"/>
                <w:spacing w:val="0"/>
                <w:w w:val="100"/>
                <w:position w:val="0"/>
              </w:rPr>
              <w:t>17</w:t>
            </w:r>
            <w:r>
              <w:rPr>
                <w:color w:val="000000"/>
                <w:spacing w:val="0"/>
                <w:w w:val="100"/>
                <w:position w:val="0"/>
              </w:rPr>
              <w:t>家境内控股子公司及</w:t>
            </w:r>
            <w:r>
              <w:rPr>
                <w:rFonts w:ascii="Times New Roman" w:eastAsia="Times New Roman" w:hAnsi="Times New Roman" w:cs="Times New Roman"/>
                <w:color w:val="000000"/>
                <w:spacing w:val="0"/>
                <w:w w:val="100"/>
                <w:position w:val="0"/>
              </w:rPr>
              <w:t>6</w:t>
            </w:r>
            <w:r>
              <w:rPr>
                <w:color w:val="000000"/>
                <w:spacing w:val="0"/>
                <w:w w:val="100"/>
                <w:position w:val="0"/>
              </w:rPr>
              <w:t>家境内 分公司，除</w:t>
            </w:r>
            <w:r>
              <w:rPr>
                <w:rFonts w:ascii="Times New Roman" w:eastAsia="Times New Roman" w:hAnsi="Times New Roman" w:cs="Times New Roman"/>
                <w:color w:val="000000"/>
                <w:spacing w:val="0"/>
                <w:w w:val="100"/>
                <w:position w:val="0"/>
              </w:rPr>
              <w:t>2</w:t>
            </w:r>
            <w:r>
              <w:rPr>
                <w:color w:val="000000"/>
                <w:spacing w:val="0"/>
                <w:w w:val="100"/>
                <w:position w:val="0"/>
              </w:rPr>
              <w:t>家已完成注销（</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日完成注销）和</w:t>
            </w:r>
            <w:r>
              <w:rPr>
                <w:rFonts w:ascii="Times New Roman" w:eastAsia="Times New Roman" w:hAnsi="Times New Roman" w:cs="Times New Roman"/>
                <w:color w:val="000000"/>
                <w:spacing w:val="0"/>
                <w:w w:val="100"/>
                <w:position w:val="0"/>
              </w:rPr>
              <w:t>1</w:t>
            </w:r>
            <w:r>
              <w:rPr>
                <w:color w:val="000000"/>
                <w:spacing w:val="0"/>
                <w:w w:val="100"/>
                <w:position w:val="0"/>
              </w:rPr>
              <w:t>家拟注 销的子公司（截至目前，已完成注 销）、</w:t>
            </w:r>
            <w:r>
              <w:rPr>
                <w:rFonts w:ascii="Times New Roman" w:eastAsia="Times New Roman" w:hAnsi="Times New Roman" w:cs="Times New Roman"/>
                <w:color w:val="000000"/>
                <w:spacing w:val="0"/>
                <w:w w:val="100"/>
                <w:position w:val="0"/>
              </w:rPr>
              <w:t>2</w:t>
            </w:r>
            <w:r>
              <w:rPr>
                <w:color w:val="000000"/>
                <w:spacing w:val="0"/>
                <w:w w:val="100"/>
                <w:position w:val="0"/>
              </w:rPr>
              <w:t>家无员工的子公司或分公司 夕卜，公司及各该子公司及分公司的社 会保险主管机构均已出具证明或缴 纳记录，确认该等公司及分公司在报 告期内或自设立起不存在欠费或违 反社会保险法规或受到处罚的情形。 就住房公积金守法情况，在神码软件 出具承诺时，上述神州信息子公司及 分公司中，除</w:t>
            </w:r>
            <w:r>
              <w:rPr>
                <w:rFonts w:ascii="Times New Roman" w:eastAsia="Times New Roman" w:hAnsi="Times New Roman" w:cs="Times New Roman"/>
                <w:color w:val="000000"/>
                <w:spacing w:val="0"/>
                <w:w w:val="100"/>
                <w:position w:val="0"/>
              </w:rPr>
              <w:t>1</w:t>
            </w:r>
            <w:r>
              <w:rPr>
                <w:color w:val="000000"/>
                <w:spacing w:val="0"/>
                <w:w w:val="100"/>
                <w:position w:val="0"/>
              </w:rPr>
              <w:t>家已完成注销和</w:t>
            </w:r>
            <w:r>
              <w:rPr>
                <w:rFonts w:ascii="Times New Roman" w:eastAsia="Times New Roman" w:hAnsi="Times New Roman" w:cs="Times New Roman"/>
                <w:color w:val="000000"/>
                <w:spacing w:val="0"/>
                <w:w w:val="100"/>
                <w:position w:val="0"/>
              </w:rPr>
              <w:t xml:space="preserve">1 </w:t>
            </w:r>
            <w:r>
              <w:rPr>
                <w:color w:val="000000"/>
                <w:spacing w:val="0"/>
                <w:w w:val="100"/>
                <w:position w:val="0"/>
              </w:rPr>
              <w:t>家拟注销的子公司（截至目前已注 销）、</w:t>
            </w:r>
            <w:r>
              <w:rPr>
                <w:rFonts w:ascii="Times New Roman" w:eastAsia="Times New Roman" w:hAnsi="Times New Roman" w:cs="Times New Roman"/>
                <w:color w:val="000000"/>
                <w:spacing w:val="0"/>
                <w:w w:val="100"/>
                <w:position w:val="0"/>
              </w:rPr>
              <w:t>2</w:t>
            </w:r>
            <w:r>
              <w:rPr>
                <w:color w:val="000000"/>
                <w:spacing w:val="0"/>
                <w:w w:val="100"/>
                <w:position w:val="0"/>
              </w:rPr>
              <w:t>家无员工的子公司或分公司 夕，公司及各该子公司及分公司的住 房公积金主管机构均已出具证明，确 认该等公司及分公司在报告期内或 自设立起不存在违反住房公积金法 规或受到处罚的情形。综上所述，除 神码软件出具承诺时已注销、正在注 销（目前已注销）以及无员工的分子 公司外，神州信息及其余子公司及分 公司均已取得主管机关确认在报告</w:t>
            </w:r>
          </w:p>
        </w:tc>
      </w:tr>
    </w:tbl>
    <w:p>
      <w:pPr>
        <w:spacing w:lineRule="exact" w:line="1"/>
        <w:rPr>
          <w:sz w:val="2"/>
          <w:szCs w:val="2"/>
        </w:rPr>
      </w:pPr>
      <w:r>
        <w:br w:type="page"/>
      </w:r>
    </w:p>
    <w:tbl>
      <w:tblPr>
        <w:tblOverlap w:val="never"/>
        <w:jc w:val="center"/>
        <w:tblLayout w:type="fixed"/>
      </w:tblPr>
      <w:tblGrid>
        <w:gridCol w:w="1080"/>
        <w:gridCol w:w="1018"/>
        <w:gridCol w:w="5957"/>
        <w:gridCol w:w="1037"/>
        <w:gridCol w:w="749"/>
        <w:gridCol w:w="3043"/>
      </w:tblGrid>
      <w:tr>
        <w:trPr>
          <w:trHeight w:val="3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left"/>
            </w:pPr>
            <w:r>
              <w:rPr>
                <w:color w:val="000000"/>
                <w:spacing w:val="0"/>
                <w:w w:val="100"/>
                <w:position w:val="0"/>
              </w:rPr>
              <w:t>期内或自设立起不存在违反社会保 险、住房公积金法规或受到处罚的情 形，未取得合规确认的子公司目前已 注销、分子公司无员工（不涉及社会 报销及住房公积金事项）；且截至目 前，上市公司未因上述事项发生损 失，因此，未来因员工社会保险、住 房公积金事项可能导致公司发生损 失的风险很小。截至目前，承诺人无 违反上述承诺的情况。</w:t>
            </w:r>
          </w:p>
        </w:tc>
      </w:tr>
      <w:tr>
        <w:trPr>
          <w:trHeight w:val="58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《关于上市公司股利分配政策的承诺》：</w:t>
            </w:r>
            <w:r>
              <w:rPr>
                <w:rFonts w:ascii="Times New Roman" w:eastAsia="Times New Roman" w:hAnsi="Times New Roman" w:cs="Times New Roman"/>
                <w:color w:val="000000"/>
                <w:spacing w:val="0"/>
                <w:w w:val="100"/>
                <w:position w:val="0"/>
              </w:rPr>
              <w:t>1</w:t>
            </w:r>
            <w:r>
              <w:rPr>
                <w:color w:val="000000"/>
                <w:spacing w:val="0"/>
                <w:w w:val="100"/>
                <w:position w:val="0"/>
              </w:rPr>
              <w:t>）、本次重组完成后、我公司 作为上市公司股东期间，我公司将全力支持上市公司履行于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日所公告的经修订后《章程》中有关上市公司分红政策及现金分红的规 定，包括但不限于：①将调整或变更上市公司利润分配政策作为股东大会 特别决议事项；②坚持该等《章程》第一百五十五条所规定的公司利润分 配政策，包括利润分配的原则、程序、形式、现金分红条件、现金分红的 比例及时间、股票股利分配条件、利润分配的决策程序和机制等事项；③ 特别地，本公司承诺，本公司将支持上市公司按照前述《章程》条款进行 分红，以确保上市公司每年以现金方式分配的利润不低于上市公司当年实 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，且任意三个连续会计年度内，上市公司以现金方 式累计分配的利润不少于该三年实现的年均可分配利润的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 交易完成后我公司作为上市公司股东期间，我公司将全力支持上市公司严 格履行于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日公告的《未来三年（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年）股东回 报规划》。该等规划到期后，我公司将支持上市公司及时制定接续性的股 东回报规划，并确保该等回报规划符合上市公司的分红政策。</w:t>
            </w:r>
            <w:r>
              <w:rPr>
                <w:rFonts w:ascii="Times New Roman" w:eastAsia="Times New Roman" w:hAnsi="Times New Roman" w:cs="Times New Roman"/>
                <w:color w:val="000000"/>
                <w:spacing w:val="0"/>
                <w:w w:val="100"/>
                <w:position w:val="0"/>
              </w:rPr>
              <w:t>3</w:t>
            </w:r>
            <w:r>
              <w:rPr>
                <w:color w:val="000000"/>
                <w:spacing w:val="0"/>
                <w:w w:val="100"/>
                <w:position w:val="0"/>
              </w:rPr>
              <w:t>）、为确 保上述承诺实施，如上市公司未来存在未依照前述《章程》及有关《股东 回报规划》进行分红情形，我公司将通过提出股东大会提案、否决有关违 反《章程》或有关《股东回报规划》提案等方式，确保上述承诺得到有效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年度分红方案均已实 施完毕。</w:t>
            </w:r>
            <w:r>
              <w:rPr>
                <w:rFonts w:ascii="Times New Roman" w:eastAsia="Times New Roman" w:hAnsi="Times New Roman" w:cs="Times New Roman"/>
                <w:color w:val="000000"/>
                <w:spacing w:val="0"/>
                <w:w w:val="100"/>
                <w:position w:val="0"/>
              </w:rPr>
              <w:t>2021</w:t>
            </w:r>
            <w:r>
              <w:rPr>
                <w:color w:val="000000"/>
                <w:spacing w:val="0"/>
                <w:w w:val="100"/>
                <w:position w:val="0"/>
              </w:rPr>
              <w:t>年度分红方案为：以 公司总股本扣除回购专户中已回购 股份后的</w:t>
            </w:r>
            <w:r>
              <w:rPr>
                <w:rFonts w:ascii="Times New Roman" w:eastAsia="Times New Roman" w:hAnsi="Times New Roman" w:cs="Times New Roman"/>
                <w:color w:val="000000"/>
                <w:spacing w:val="0"/>
                <w:w w:val="100"/>
                <w:position w:val="0"/>
              </w:rPr>
              <w:t>970,749,237</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 xml:space="preserve">0.40 </w:t>
            </w:r>
            <w:r>
              <w:rPr>
                <w:color w:val="000000"/>
                <w:spacing w:val="0"/>
                <w:w w:val="100"/>
                <w:position w:val="0"/>
              </w:rPr>
              <w:t>元（含税），不送红股，不以公积金 转增股本。本预案将提交公司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年年度股东大会进行审议。综上所 述，截至目前，承诺人无违反上述承 诺的情况。</w:t>
            </w:r>
          </w:p>
        </w:tc>
      </w:tr>
    </w:tbl>
    <w:p>
      <w:pPr>
        <w:spacing w:lineRule="exact" w:line="1"/>
        <w:rPr>
          <w:sz w:val="2"/>
          <w:szCs w:val="2"/>
        </w:rPr>
      </w:pPr>
      <w:r>
        <w:br w:type="page"/>
      </w:r>
    </w:p>
    <w:tbl>
      <w:tblPr>
        <w:tblOverlap w:val="never"/>
        <w:jc w:val="center"/>
        <w:tblLayout w:type="fixed"/>
      </w:tblPr>
      <w:tblGrid>
        <w:gridCol w:w="1320"/>
        <w:gridCol w:w="1075"/>
        <w:gridCol w:w="1018"/>
        <w:gridCol w:w="5957"/>
        <w:gridCol w:w="1037"/>
        <w:gridCol w:w="749"/>
        <w:gridCol w:w="304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9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both"/>
            </w:pPr>
            <w:r>
              <w:rPr>
                <w:color w:val="000000"/>
                <w:spacing w:val="0"/>
                <w:w w:val="100"/>
                <w:position w:val="0"/>
              </w:rPr>
              <w:t>《关于标的资产租赁房屋事项的承诺》：如因租赁房屋权属瑕疵导致神州 信息或其任何现有子公司、分公司无法继续租赁该等房屋而必须搬迁，我 公司将积极协助神州信息或其任何现有子公司、分公司及时寻找合适的替 代性合法经营场所。如神州信息及其任何现有子公司、分公司无法在相关 区域内及时找到合适的替代性合法经营办公场所，我公司承诺对由此给神 州信息或其任何现有子公司、分公司的经营和财务状况造成的任何损失承 担责任；如因上述房屋未履行房屋租赁登记备案手续而致使神州信息或其 任何现有子公司、分公司受到房地产管理部门处罚的，同意无条件代神州 信息或其任何现有子公司、分公司承担所有罚款或处罚，保证神州信息或 其任何现有子公司、分公司不因此受到损失。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截至目前，上述承诺仍在履行过程 中，承诺人无违反上述承诺的情况。</w:t>
            </w:r>
          </w:p>
        </w:tc>
      </w:tr>
      <w:tr>
        <w:trPr>
          <w:trHeight w:val="36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神州控股、 神码软件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关联交易 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《关于规范关联交易的承诺》：神州控股和神码软件就本次重大资产重组 涉及的关联交易问题，承诺如下：①本公司及本公司控制的企业与神州信 息之间不存在显失公平的关联交易。②重组完成后，本公司及本公司控制 的企业将尽量避免或减少与神州信息及其下属子公司之间的关联交易，对 于无法避免或有合理理由存在的关联交易，将与上市公司依法签订规范的 关联交易协议，并按照有关法律、法规、规章、上市规则和其他规范性文 件以及上市公司章程的规定履行批准程序；关联交易价格依照与无关联关 系的独立第三方进行相同或相似交易时的价格确定，保证关联交易价格具 有公允性；保证按照有关法律、法规、上市公司章程的规定履行关联交易 的信息披露义务。本公司保证不利用关联交易非法转移上市公司的资金、 利润，不利用关联交易损害非关联股东的利益。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截至目前，上述承诺仍在履行过程 中，承诺人无违反上述承诺的情况。</w:t>
            </w:r>
          </w:p>
        </w:tc>
      </w:tr>
      <w:tr>
        <w:trPr>
          <w:trHeight w:val="19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神州控股、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《保持上市公司独立性的承诺》：神州控股和神码软件就本次重大资产重 组涉及的上市公司独立性问题承诺如下：（</w:t>
            </w:r>
            <w:r>
              <w:rPr>
                <w:rFonts w:ascii="Times New Roman" w:eastAsia="Times New Roman" w:hAnsi="Times New Roman" w:cs="Times New Roman"/>
                <w:color w:val="000000"/>
                <w:spacing w:val="0"/>
                <w:w w:val="100"/>
                <w:position w:val="0"/>
              </w:rPr>
              <w:t>1</w:t>
            </w: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月神州信息成 立以来，神州信息一直在业务、资产、机构、人员、财务等方面与本公司 或本公司控制的其他企业完全分开，双方的业务、资产、人员、财务和机 构独立，不存在混同情况。（</w:t>
            </w:r>
            <w:r>
              <w:rPr>
                <w:rFonts w:ascii="Times New Roman" w:eastAsia="Times New Roman" w:hAnsi="Times New Roman" w:cs="Times New Roman"/>
                <w:color w:val="000000"/>
                <w:spacing w:val="0"/>
                <w:w w:val="100"/>
                <w:position w:val="0"/>
              </w:rPr>
              <w:t>2</w:t>
            </w:r>
            <w:r>
              <w:rPr>
                <w:color w:val="000000"/>
                <w:spacing w:val="0"/>
                <w:w w:val="100"/>
                <w:position w:val="0"/>
              </w:rPr>
              <w:t>）在重组完成后，保证上市公司在人员、 资产、财务、机构及业务方面继续与本公司或本公司控制的其他企业完全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center"/>
        <w:tblLayout w:type="fixed"/>
      </w:tblPr>
      <w:tblGrid>
        <w:gridCol w:w="1080"/>
        <w:gridCol w:w="1018"/>
        <w:gridCol w:w="5957"/>
        <w:gridCol w:w="1037"/>
        <w:gridCol w:w="749"/>
        <w:gridCol w:w="3043"/>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分开，保持上市公司在业务、资产、人员、财务和机构方面的独立。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1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郭为、神州 控股、神码 软件、阎焱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同业竞争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《关于同业竞争事项的承诺》：（</w:t>
            </w:r>
            <w:r>
              <w:rPr>
                <w:rFonts w:ascii="Times New Roman" w:eastAsia="Times New Roman" w:hAnsi="Times New Roman" w:cs="Times New Roman"/>
                <w:color w:val="000000"/>
                <w:spacing w:val="0"/>
                <w:w w:val="100"/>
                <w:position w:val="0"/>
              </w:rPr>
              <w:t>1</w:t>
            </w:r>
            <w:r>
              <w:rPr>
                <w:color w:val="000000"/>
                <w:spacing w:val="0"/>
                <w:w w:val="100"/>
                <w:position w:val="0"/>
              </w:rPr>
              <w:t>）神州控股承诺：①神州数码控股及 其控制的除神州信息外其他企业的主营业务不包括系统集成服务、技术服 务、应用软件以及</w:t>
            </w:r>
            <w:r>
              <w:rPr>
                <w:rFonts w:ascii="Times New Roman" w:eastAsia="Times New Roman" w:hAnsi="Times New Roman" w:cs="Times New Roman"/>
                <w:color w:val="000000"/>
                <w:spacing w:val="0"/>
                <w:w w:val="100"/>
                <w:position w:val="0"/>
              </w:rPr>
              <w:t>ATM</w:t>
            </w:r>
            <w:r>
              <w:rPr>
                <w:color w:val="000000"/>
                <w:spacing w:val="0"/>
                <w:w w:val="100"/>
                <w:position w:val="0"/>
              </w:rPr>
              <w:t>等金融自助设备业务，与神州信息的主营业务不 存在重叠，双方之间不存在潜在的同业竞争关系；②重组完成后，除上市 公司外，神州数码控股不存在、今后亦不会通过神州数码控股或神州数码 控股可控制的其他企业在任何地方和以任何方式从事对上市公司主营业 务（系统集成服务、技术服务、应用软件以及</w:t>
            </w:r>
            <w:r>
              <w:rPr>
                <w:rFonts w:ascii="Times New Roman" w:eastAsia="Times New Roman" w:hAnsi="Times New Roman" w:cs="Times New Roman"/>
                <w:color w:val="000000"/>
                <w:spacing w:val="0"/>
                <w:w w:val="100"/>
                <w:position w:val="0"/>
              </w:rPr>
              <w:t>ATM</w:t>
            </w:r>
            <w:r>
              <w:rPr>
                <w:color w:val="000000"/>
                <w:spacing w:val="0"/>
                <w:w w:val="100"/>
                <w:position w:val="0"/>
              </w:rPr>
              <w:t>等金融自助设备）构 成或可能构成直接或间接竞争关系的业务（不包括神州数码控股或其附属 公司或其联营公司持有从事竞争性业务的其他上市公司总计</w:t>
            </w:r>
            <w:r>
              <w:rPr>
                <w:rFonts w:ascii="Times New Roman" w:eastAsia="Times New Roman" w:hAnsi="Times New Roman" w:cs="Times New Roman"/>
                <w:color w:val="000000"/>
                <w:spacing w:val="0"/>
                <w:w w:val="100"/>
                <w:position w:val="0"/>
              </w:rPr>
              <w:t>5%</w:t>
            </w:r>
            <w:r>
              <w:rPr>
                <w:color w:val="000000"/>
                <w:spacing w:val="0"/>
                <w:w w:val="100"/>
                <w:position w:val="0"/>
              </w:rPr>
              <w:t>或以下的 权益的情形）。如果神州数码控股将来出现所投资的全资、控股企业从事 的业务与上市公司构成竞争的情况，上市公司有权随时要求神州数码控股 以公允的价格出让其在该等企业中的全部股权，在同等条件下神州数码控 股给予上市公司或其指定的第三方对该等股权的优先购买权，并将尽最大 努力促使有关交易的价格在公平及正常交易原则的基础上确定；若违反上 述承诺，神州数码控股将赔偿上市公司因此而产生的相关损失。神州数码 控股今后作为上市公司直接或间接股东期间，不会利用对上市公司股东地 位损害上市公司及上市公司其他股东（特别是中小股东）的合法权益。（</w:t>
            </w:r>
            <w:r>
              <w:rPr>
                <w:rFonts w:ascii="Times New Roman" w:eastAsia="Times New Roman" w:hAnsi="Times New Roman" w:cs="Times New Roman"/>
                <w:color w:val="000000"/>
                <w:spacing w:val="0"/>
                <w:w w:val="100"/>
                <w:position w:val="0"/>
              </w:rPr>
              <w:t>2</w:t>
            </w:r>
            <w:r>
              <w:rPr>
                <w:color w:val="000000"/>
                <w:spacing w:val="0"/>
                <w:w w:val="100"/>
                <w:position w:val="0"/>
              </w:rPr>
              <w:t>） 神码软件承诺：①本公司及本公司控制的除神州信息外其他企业的主营业 务不包括系统集成服务、技术服务、应用软件以及</w:t>
            </w:r>
            <w:r>
              <w:rPr>
                <w:rFonts w:ascii="Times New Roman" w:eastAsia="Times New Roman" w:hAnsi="Times New Roman" w:cs="Times New Roman"/>
                <w:color w:val="000000"/>
                <w:spacing w:val="0"/>
                <w:w w:val="100"/>
                <w:position w:val="0"/>
              </w:rPr>
              <w:t>ATM</w:t>
            </w:r>
            <w:r>
              <w:rPr>
                <w:color w:val="000000"/>
                <w:spacing w:val="0"/>
                <w:w w:val="100"/>
                <w:position w:val="0"/>
              </w:rPr>
              <w:t>等金融自助设备 业务，与神州信息主营业务不存在重叠，双方之间不存在潜在的同业竞争； ②重组完成后，本公司及本公司的全资子公司、控股子公司或本公司拥有 实际控制权的其他企业将不会从事任何与上市公司目前或未来所从事的 业务发生或可能发生竞争的业务。除神州信息及重组后上市公司外，本公 司不存在、今后亦不会通过任何其他企业在任何地方和以任何方式从事对 重组后上市公司主营业务（系统集成服务、技术服务、应用软件以及</w:t>
            </w:r>
            <w:r>
              <w:rPr>
                <w:rFonts w:ascii="Times New Roman" w:eastAsia="Times New Roman" w:hAnsi="Times New Roman" w:cs="Times New Roman"/>
                <w:color w:val="000000"/>
                <w:spacing w:val="0"/>
                <w:w w:val="100"/>
                <w:position w:val="0"/>
              </w:rPr>
              <w:t xml:space="preserve">ATM </w:t>
            </w:r>
            <w:r>
              <w:rPr>
                <w:color w:val="000000"/>
                <w:spacing w:val="0"/>
                <w:w w:val="100"/>
                <w:position w:val="0"/>
              </w:rPr>
              <w:t>等金融自助设备）构成或可能构成直接或间接竞争关系的业务。如果本 公司将来出现所投资的全资、控股企业从事的业务与重组后上市公司构成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center"/>
        <w:tblLayout w:type="fixed"/>
      </w:tblPr>
      <w:tblGrid>
        <w:gridCol w:w="1080"/>
        <w:gridCol w:w="1018"/>
        <w:gridCol w:w="5957"/>
        <w:gridCol w:w="1037"/>
        <w:gridCol w:w="749"/>
        <w:gridCol w:w="3043"/>
      </w:tblGrid>
      <w:tr>
        <w:trPr>
          <w:trHeight w:val="42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竞争的情况，重组后上市公司有权随时要求本公司以公允的价格出让其在 该等企业中的全部股权，在同等条件下本公司给予重组后上市公司或其指 定的第三方对该等股权的优先购买权，并将尽最大努力促使有关交易的价 格在公平及正常交易原则的基础上确定；若违反上述承诺，本公司将赔偿 重组后上市公司因此而产生的相关损失。本公司今后作为重组后上市公司 控股股东期间，不会利用重组后上市公司股东地位损害重组后上市公司及 其他股东（特别是中小股东）的合法权益。（</w:t>
            </w:r>
            <w:r>
              <w:rPr>
                <w:rFonts w:ascii="Times New Roman" w:eastAsia="Times New Roman" w:hAnsi="Times New Roman" w:cs="Times New Roman"/>
                <w:color w:val="000000"/>
                <w:spacing w:val="0"/>
                <w:w w:val="100"/>
                <w:position w:val="0"/>
              </w:rPr>
              <w:t>3</w:t>
            </w:r>
            <w:r>
              <w:rPr>
                <w:color w:val="000000"/>
                <w:spacing w:val="0"/>
                <w:w w:val="100"/>
                <w:position w:val="0"/>
              </w:rPr>
              <w:t>）郭为先生声明：本人在 神州信息担任董事长，同时通过天津信锐间接持有神州信息</w:t>
            </w:r>
            <w:r>
              <w:rPr>
                <w:rFonts w:ascii="Times New Roman" w:eastAsia="Times New Roman" w:hAnsi="Times New Roman" w:cs="Times New Roman"/>
                <w:color w:val="000000"/>
                <w:spacing w:val="0"/>
                <w:w w:val="100"/>
                <w:position w:val="0"/>
              </w:rPr>
              <w:t>5.39%</w:t>
            </w:r>
            <w:r>
              <w:rPr>
                <w:color w:val="000000"/>
                <w:spacing w:val="0"/>
                <w:w w:val="100"/>
                <w:position w:val="0"/>
              </w:rPr>
              <w:t>股份； 目前不存在且不从事其他与神州信息相同或类似业务，也未直接或以投资 控股等形式经营或为他人经营任何其他与神州信息相同或类似业务。（</w:t>
            </w:r>
            <w:r>
              <w:rPr>
                <w:rFonts w:ascii="Times New Roman" w:eastAsia="Times New Roman" w:hAnsi="Times New Roman" w:cs="Times New Roman"/>
                <w:color w:val="000000"/>
                <w:spacing w:val="0"/>
                <w:w w:val="100"/>
                <w:position w:val="0"/>
              </w:rPr>
              <w:t>4</w:t>
            </w:r>
            <w:r>
              <w:rPr>
                <w:color w:val="000000"/>
                <w:spacing w:val="0"/>
                <w:w w:val="100"/>
                <w:position w:val="0"/>
              </w:rPr>
              <w:t>） 阎焱先生声明：本人在神州数码担任非执行董事；目前不存在且不从事与 神州信息相同或类似业务，也未直接或以投资控股等形式经营或为他人经 营任何与神州信息相同或类似业务。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left"/>
            </w:pPr>
            <w:r>
              <w:rPr>
                <w:color w:val="000000"/>
                <w:spacing w:val="0"/>
                <w:w w:val="100"/>
                <w:position w:val="0"/>
              </w:rPr>
              <w:t>冯健刚、贺 胜龙、蒋 云、王建 林、王宇 飞、王正、 张丹丹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both"/>
            </w:pPr>
            <w:r>
              <w:rPr>
                <w:color w:val="000000"/>
                <w:spacing w:val="0"/>
                <w:w w:val="100"/>
                <w:position w:val="0"/>
              </w:rPr>
              <w:t>《交易对方关于资产权属的承诺》：本次资产重组交易对方冯健刚等七名 自然人就持有的神州信息股份承诺如下：本人所持该等股份，本人确认， 本人已依法履行全部出资义务，该等股份所对应的注册资本均已按时足额 出资到位；本人依法拥有该等股份的全部法律权益，包括但不限于占有、 使用、收益及处分权；本人所持有的该等股份资产权属清晰，不存在任何 权属纠纷，亦不存在其他法律纠纷，不存在质押、抵押、其他担保或第三 方权益或限制情形，也不存在法院或其他有权机关冻结、查封、拍卖本人 持有该等股份之情形；本人持有的该等股份过户或者转移不存在法律障 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截至目前，上述承诺仍在履行过程 中，承诺人无违反上述承诺的情况。</w:t>
            </w:r>
          </w:p>
        </w:tc>
      </w:tr>
      <w:tr>
        <w:trPr>
          <w:trHeight w:val="201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冯健刚、贺 胜龙、蒋 云、王建 林、王宇 飞、王正、 张丹丹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《交易对方关于竞业禁止的承诺》：</w:t>
            </w:r>
            <w:r>
              <w:rPr>
                <w:rFonts w:ascii="Times New Roman" w:eastAsia="Times New Roman" w:hAnsi="Times New Roman" w:cs="Times New Roman"/>
                <w:color w:val="000000"/>
                <w:spacing w:val="0"/>
                <w:w w:val="100"/>
                <w:position w:val="0"/>
              </w:rPr>
              <w:t>1</w:t>
            </w:r>
            <w:r>
              <w:rPr>
                <w:color w:val="000000"/>
                <w:spacing w:val="0"/>
                <w:w w:val="100"/>
                <w:position w:val="0"/>
              </w:rPr>
              <w:t>、冯健刚等</w:t>
            </w:r>
            <w:r>
              <w:rPr>
                <w:rFonts w:ascii="Times New Roman" w:eastAsia="Times New Roman" w:hAnsi="Times New Roman" w:cs="Times New Roman"/>
                <w:color w:val="000000"/>
                <w:spacing w:val="0"/>
                <w:w w:val="100"/>
                <w:position w:val="0"/>
              </w:rPr>
              <w:t>5</w:t>
            </w:r>
            <w:r>
              <w:rPr>
                <w:color w:val="000000"/>
                <w:spacing w:val="0"/>
                <w:w w:val="100"/>
                <w:position w:val="0"/>
              </w:rPr>
              <w:t>名自然人承诺：本次 交易前，除中农信达及其下属子公司外，本人在本次交易前未从事其他与 中农信达相同、相似或有竞争关系的业务（包括但不限于以投资、合作、 承包、租赁、委托经营等方式参与上述业务），亦未在相关单位工作或任 职。本人承诺：自本次交易完成后继续在中农信达任职，任职时间不少于 三年；本次交易完成后将持有神州信息股份或继续在中农信达任职，在前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center"/>
        <w:tblLayout w:type="fixed"/>
      </w:tblPr>
      <w:tblGrid>
        <w:gridCol w:w="1080"/>
        <w:gridCol w:w="1018"/>
        <w:gridCol w:w="5957"/>
        <w:gridCol w:w="1037"/>
        <w:gridCol w:w="749"/>
        <w:gridCol w:w="3043"/>
      </w:tblGrid>
      <w:tr>
        <w:trPr>
          <w:trHeight w:val="77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述继续持股或任职期间及不再持股或离职后三年内，本人及其关系密切的 家庭成员不在中国境内直接或间接从事与中农信达相同、相似或有竞争关 系的业务，也不直接或间接在与中农信达有相同、相似或有竞争关系的业 务单位工作、任职或拥有权益，本人在其他单位兼职的情况，必须经中农 信达股东会或董事会批准同意。同时，本人承诺，本人及本人控制的其他 企业不会直接或间接从事任何与上市公司及其下属公司主要经营业务构 成同业竞争或潜在同业竞争关系的生产与经营，亦不会投资任何与上市公 司及其下属公司主要经营业务构成同业竞争或潜在同业竞争关系的其他 企业；如在上述期间，本人或本人控制的其他企业获得的商业机会与上市 公司及其下属公司主营业务发生同业竞争或可能发生同业竞争的，本人将 立即通知上市公司，并尽力将该商业机会给予上市公司，以避免与上市公 司及下属公司形成同业竞争或潜在同业竞争，以确保上市公司及上市公司 其他股东利益不受损害。</w:t>
            </w:r>
            <w:r>
              <w:rPr>
                <w:rFonts w:ascii="Times New Roman" w:eastAsia="Times New Roman" w:hAnsi="Times New Roman" w:cs="Times New Roman"/>
                <w:color w:val="000000"/>
                <w:spacing w:val="0"/>
                <w:w w:val="100"/>
                <w:position w:val="0"/>
              </w:rPr>
              <w:t>2</w:t>
            </w:r>
            <w:r>
              <w:rPr>
                <w:color w:val="000000"/>
                <w:spacing w:val="0"/>
                <w:w w:val="100"/>
                <w:position w:val="0"/>
              </w:rPr>
              <w:t>、贺胜龙、王正承诺：本次交易前，除中农信 达及其下属子公司外，本人在本次交易前未从事其他与中农信达相同、相 似或有竞争关系的业务（包括但不限于以投资、合作、承包、租赁、委托 经营等方式参与上述业务），亦未在相关单位工作或任职。本人承诺，本 人及本人控制的其他企业不会直接或间接从事任何与上市公司及其下属 公司主要经营业务构成同业竞争或潜在同业竞争关系的生产与经营，亦不 会投资任何与上市公司及其下属公司主要经营业务构成同业竞争或潜在 同业竞争关系的其他企业；如在上述期间，本人或本人控制的其他企业获 得的商业机会与上市公司及其下属公司主营业务发生同业竞争或可能发 生同业竞争的，本人将立即通知上市公司，并尽力将该商业机会给予上市 公司，以避免与上市公司及下属公司形成同业竞争或潜在同业竞争，以确 保上市公司及上市公司其他股东利益不受损害。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冯健刚、贺 胜龙、蒋 云、王建 林、王宇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《交易对方关于无违法行为的确认函》：截至《神州数码信息服务股份有 限公司向特定对象发行股份购买资产并募集配套资金报告书》签署之日， 本人在最近五年未受过任何刑事处罚、证券市场相关的行政处罚，不存在 与经济纠纷有关的重大民事诉讼或仲裁的情况。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center"/>
        <w:tblLayout w:type="fixed"/>
      </w:tblPr>
      <w:tblGrid>
        <w:gridCol w:w="1320"/>
        <w:gridCol w:w="1075"/>
        <w:gridCol w:w="1018"/>
        <w:gridCol w:w="5957"/>
        <w:gridCol w:w="1037"/>
        <w:gridCol w:w="749"/>
        <w:gridCol w:w="3043"/>
      </w:tblGrid>
      <w:tr>
        <w:trPr>
          <w:trHeight w:val="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飞、王正、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冯健刚、贺 胜龙、蒋 云、王建 林、王宇 飞、王正、 张丹丹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left"/>
            </w:pPr>
            <w:r>
              <w:rPr>
                <w:color w:val="000000"/>
                <w:spacing w:val="0"/>
                <w:w w:val="100"/>
                <w:position w:val="0"/>
              </w:rPr>
              <w:t>《关于土地确权合同相关情况的承诺》：若中农信达就上述确权合同未按 照政府采购法、招标投标法以及相关法律规定履行相关签约程序而遭受任 何行政处罚或承担其他法律责任，导致中农信达利益因此受到减损，冯健 冈叭王宇飞、张丹丹、贺胜龙、王正、蒋云及王建林承诺将对中农信达进 行补偿，以保证中农信达利益不受到任何损失，冯健刚、王宇飞、张丹丹、 贺胜龙、王正、蒋云及王建林将对此承担连带责任。若中农信达就上述确 权合同未按照政府采购法、招标投标法以及相关法律规定履行相关签约程 序而导致该等确权合同的有效性以及其他任何方面对中农信达产生任何 不利影响，冯健刚、王宇飞、张丹丹、贺胜龙、王正、蒋云及王建林承诺 将对中农信达进行补偿（包括但不限于因此遭受的全部损失、费用支出 等），以保证中农信达利益不受到任何损失，冯健刚、王宇飞、张丹丹、 贺胜龙、王正、蒋云及王建林将对此承担连带责任。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本承诺函出具日至本公告披露之日 没有出现相关情况。截至目前，上述 承诺仍在履行过程中，承诺人无违反 上述承诺的情况。</w:t>
            </w:r>
          </w:p>
        </w:tc>
      </w:tr>
      <w:tr>
        <w:trPr>
          <w:trHeight w:val="45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神州控股、 神码软件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同业竞争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《关于同业竞争事项的承诺》：神州控股承诺：</w:t>
            </w:r>
            <w:r>
              <w:rPr>
                <w:rFonts w:ascii="Times New Roman" w:eastAsia="Times New Roman" w:hAnsi="Times New Roman" w:cs="Times New Roman"/>
                <w:color w:val="000000"/>
                <w:spacing w:val="0"/>
                <w:w w:val="100"/>
                <w:position w:val="0"/>
              </w:rPr>
              <w:t>1</w:t>
            </w:r>
            <w:r>
              <w:rPr>
                <w:color w:val="000000"/>
                <w:spacing w:val="0"/>
                <w:w w:val="100"/>
                <w:position w:val="0"/>
              </w:rPr>
              <w:t>、神州数码控股及其控 制的除神州信息外其他企业的主营业务不包括：（</w:t>
            </w:r>
            <w:r>
              <w:rPr>
                <w:rFonts w:ascii="Times New Roman" w:eastAsia="Times New Roman" w:hAnsi="Times New Roman" w:cs="Times New Roman"/>
                <w:color w:val="000000"/>
                <w:spacing w:val="0"/>
                <w:w w:val="100"/>
                <w:position w:val="0"/>
              </w:rPr>
              <w:t>1</w:t>
            </w:r>
            <w:r>
              <w:rPr>
                <w:color w:val="000000"/>
                <w:spacing w:val="0"/>
                <w:w w:val="100"/>
                <w:position w:val="0"/>
              </w:rPr>
              <w:t>）神州信息原有主营 业务，即系统集成服务、技术服务、应用软件以及</w:t>
            </w:r>
            <w:r>
              <w:rPr>
                <w:rFonts w:ascii="Times New Roman" w:eastAsia="Times New Roman" w:hAnsi="Times New Roman" w:cs="Times New Roman"/>
                <w:color w:val="000000"/>
                <w:spacing w:val="0"/>
                <w:w w:val="100"/>
                <w:position w:val="0"/>
              </w:rPr>
              <w:t>ATM</w:t>
            </w:r>
            <w:r>
              <w:rPr>
                <w:color w:val="000000"/>
                <w:spacing w:val="0"/>
                <w:w w:val="100"/>
                <w:position w:val="0"/>
              </w:rPr>
              <w:t>等金融自助设备 业务；以及（</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）本次交易完成后神州信息新增的农村信息化业务；神州 数码控股及其控制的除神州信息外其他企业的主营业务与神州信息的主 营业务不存在重叠，双方之间不存在潜在的同业竞争关系。</w:t>
            </w:r>
            <w:r>
              <w:rPr>
                <w:rFonts w:ascii="Times New Roman" w:eastAsia="Times New Roman" w:hAnsi="Times New Roman" w:cs="Times New Roman"/>
                <w:color w:val="000000"/>
                <w:spacing w:val="0"/>
                <w:w w:val="100"/>
                <w:position w:val="0"/>
              </w:rPr>
              <w:t>2</w:t>
            </w:r>
            <w:r>
              <w:rPr>
                <w:color w:val="000000"/>
                <w:spacing w:val="0"/>
                <w:w w:val="100"/>
                <w:position w:val="0"/>
              </w:rPr>
              <w:t>、本次交易 完成后，除上市公司外，神码控股不存在、今后亦不会通过神州数码控股 或神州数码控股可控制的其他企业在任何地方和以任何方式从事对上市 公司主营业务（系统集成服务、技术服务、应用软件、</w:t>
            </w:r>
            <w:r>
              <w:rPr>
                <w:rFonts w:ascii="Times New Roman" w:eastAsia="Times New Roman" w:hAnsi="Times New Roman" w:cs="Times New Roman"/>
                <w:color w:val="000000"/>
                <w:spacing w:val="0"/>
                <w:w w:val="100"/>
                <w:position w:val="0"/>
              </w:rPr>
              <w:t>ATM</w:t>
            </w:r>
            <w:r>
              <w:rPr>
                <w:color w:val="000000"/>
                <w:spacing w:val="0"/>
                <w:w w:val="100"/>
                <w:position w:val="0"/>
              </w:rPr>
              <w:t>等金融自助 设备、农村信息化）构成或可能构成直接或间接竞争关系的业务（不包括 神州数码控股或其附属公司或其联营公司持有从事竞争性业务的其他上 市公司总计</w:t>
            </w:r>
            <w:r>
              <w:rPr>
                <w:rFonts w:ascii="Times New Roman" w:eastAsia="Times New Roman" w:hAnsi="Times New Roman" w:cs="Times New Roman"/>
                <w:color w:val="000000"/>
                <w:spacing w:val="0"/>
                <w:w w:val="100"/>
                <w:position w:val="0"/>
              </w:rPr>
              <w:t>5%</w:t>
            </w:r>
            <w:r>
              <w:rPr>
                <w:color w:val="000000"/>
                <w:spacing w:val="0"/>
                <w:w w:val="100"/>
                <w:position w:val="0"/>
              </w:rPr>
              <w:t>或以下的权益的情形）。如果神州数码控股将来出现所投 资的全资、控股企业从事的业务与上市公司构成竞争的情况，上市公司有 权随时要求神州数码控股以公允的价格出让其在该等企业中的全部股权，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center"/>
        <w:tblLayout w:type="fixed"/>
      </w:tblPr>
      <w:tblGrid>
        <w:gridCol w:w="1080"/>
        <w:gridCol w:w="1018"/>
        <w:gridCol w:w="5957"/>
        <w:gridCol w:w="1037"/>
        <w:gridCol w:w="749"/>
        <w:gridCol w:w="3043"/>
      </w:tblGrid>
      <w:tr>
        <w:trPr>
          <w:trHeight w:val="81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left"/>
            </w:pPr>
            <w:r>
              <w:rPr>
                <w:color w:val="000000"/>
                <w:spacing w:val="0"/>
                <w:w w:val="100"/>
                <w:position w:val="0"/>
              </w:rPr>
              <w:t>在同等条件下神州数码控股给予上市公司或其指定的第三方对该等股权 的优先购买权，并将尽最大努力促使有关交易的价格在公平及正常交易原 则的基础上确定；若违反上述承诺，神州数码控股将赔偿上市公司因此而 产生的相关损失。神州数码控股今后作为上市公司直接或间接股东期间， 不会利用对上市公司股东地位损害上市公司及上市公司其他股东（特别是 中小股东）的合法权益。神码软件承诺：</w:t>
            </w:r>
            <w:r>
              <w:rPr>
                <w:rFonts w:ascii="Times New Roman" w:eastAsia="Times New Roman" w:hAnsi="Times New Roman" w:cs="Times New Roman"/>
                <w:color w:val="000000"/>
                <w:spacing w:val="0"/>
                <w:w w:val="100"/>
                <w:position w:val="0"/>
              </w:rPr>
              <w:t>1</w:t>
            </w:r>
            <w:r>
              <w:rPr>
                <w:color w:val="000000"/>
                <w:spacing w:val="0"/>
                <w:w w:val="100"/>
                <w:position w:val="0"/>
              </w:rPr>
              <w:t>、本公司及本公司控制的除神 州信息外其他企业的主营业务不包括：（</w:t>
            </w:r>
            <w:r>
              <w:rPr>
                <w:rFonts w:ascii="Times New Roman" w:eastAsia="Times New Roman" w:hAnsi="Times New Roman" w:cs="Times New Roman"/>
                <w:color w:val="000000"/>
                <w:spacing w:val="0"/>
                <w:w w:val="100"/>
                <w:position w:val="0"/>
              </w:rPr>
              <w:t>1</w:t>
            </w:r>
            <w:r>
              <w:rPr>
                <w:color w:val="000000"/>
                <w:spacing w:val="0"/>
                <w:w w:val="100"/>
                <w:position w:val="0"/>
              </w:rPr>
              <w:t>）神州信息原有主营业务，即 系统集成服务、技术服务、应用软件以及</w:t>
            </w:r>
            <w:r>
              <w:rPr>
                <w:rFonts w:ascii="Times New Roman" w:eastAsia="Times New Roman" w:hAnsi="Times New Roman" w:cs="Times New Roman"/>
                <w:color w:val="000000"/>
                <w:spacing w:val="0"/>
                <w:w w:val="100"/>
                <w:position w:val="0"/>
              </w:rPr>
              <w:t>ATM</w:t>
            </w:r>
            <w:r>
              <w:rPr>
                <w:color w:val="000000"/>
                <w:spacing w:val="0"/>
                <w:w w:val="100"/>
                <w:position w:val="0"/>
              </w:rPr>
              <w:t>等金融自助设备业务；以 及（</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）本次交易完成后神州信息新增的农村信息化业务；神州数码控股 及其控制的除神州信息外其他企业的主营业务与神州信息的主营业务不 存在重叠，双方之间不存在潜在的同业竞争关系。</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 本公司及本公司的全资子公司、控股子公司或本公司拥有实际控制权的其 他企业将不会从事任何与上市公司目前或未来所从事的业务发生或可能 发生竞争的业务。除神州信息外，本公司不存在、今后亦不会通过任何其 他企业在任何地方和以任何方式从事对本次交易完成后上市公司主营业 务（系统集成服务、技术服务、应用软件、</w:t>
            </w:r>
            <w:r>
              <w:rPr>
                <w:rFonts w:ascii="Times New Roman" w:eastAsia="Times New Roman" w:hAnsi="Times New Roman" w:cs="Times New Roman"/>
                <w:color w:val="000000"/>
                <w:spacing w:val="0"/>
                <w:w w:val="100"/>
                <w:position w:val="0"/>
              </w:rPr>
              <w:t>ATM</w:t>
            </w:r>
            <w:r>
              <w:rPr>
                <w:color w:val="000000"/>
                <w:spacing w:val="0"/>
                <w:w w:val="100"/>
                <w:position w:val="0"/>
              </w:rPr>
              <w:t>等金融自助设备、农村 信息化）构成或可能构成直接或间接竞争关系的业务。如果本公司将来 出现所投资的全资、控股企业从事的业务与本次交易后上市公司构成竞争 的情况，本次交易后上市公司有权随时要求本公司以公允的价格出让其在 该等企业中的全部股权，在同等条件下本公司给予本次交易后上市公司或 其指定的第三方对该等股权的优先购买权，并将尽最大努力促使有关交易 的价格在公平及正常交易原则的基础上确定；若违反上述承诺，本公司将 赔偿本次交易后上市公司因此而产生的相关损失。本公司今后作为本次交 易后上市公司控股股东期间，不会利用本次交易后上市公司股东地位损害 本次交易后上市公司及其他股东（特别是中小股东）的合法权益。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神州控股、 神码软件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关联交易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《关于规范关联交易的承诺》：</w:t>
            </w:r>
            <w:r>
              <w:rPr>
                <w:rFonts w:ascii="Times New Roman" w:eastAsia="Times New Roman" w:hAnsi="Times New Roman" w:cs="Times New Roman"/>
                <w:color w:val="000000"/>
                <w:spacing w:val="0"/>
                <w:w w:val="100"/>
                <w:position w:val="0"/>
              </w:rPr>
              <w:t>1</w:t>
            </w:r>
            <w:r>
              <w:rPr>
                <w:color w:val="000000"/>
                <w:spacing w:val="0"/>
                <w:w w:val="100"/>
                <w:position w:val="0"/>
              </w:rPr>
              <w:t>、本公司及本公司控制的企业与神州信 息之间不存在显失公平的关联交易。</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、本次交易完成后，本公司及本公 司控制的企业将尽量避免或减少与神州信息及其下属子公司之间的关联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center"/>
        <w:tblLayout w:type="fixed"/>
      </w:tblPr>
      <w:tblGrid>
        <w:gridCol w:w="1320"/>
        <w:gridCol w:w="1075"/>
        <w:gridCol w:w="1018"/>
        <w:gridCol w:w="5957"/>
        <w:gridCol w:w="1037"/>
        <w:gridCol w:w="749"/>
        <w:gridCol w:w="3043"/>
      </w:tblGrid>
      <w:tr>
        <w:trPr>
          <w:trHeight w:val="23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交易，对于无法避免或有合理理由存在的关联交易，将与上市公司依法签 订规范的关联交易协议，并按照有关法律、法规、规章、上市规则和其他 规范性文件以及上市公司章程的规定履行批准程序；关联交易价格依照与 无关联关系的独立第三方进行相同或相似交易时的价格确定，保证关联交 易价格具有公允性；保证按照有关法律、法规、上市公司章程的规定履行 关联交易的信息披露义务。本公司保证不利用关联交易非法转移上市公司 的资金、利润，不利用关联交易损害非关联股东的利益。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3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神州控股、 神码软件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《关于保持上市公司独立性的承诺》：</w:t>
            </w:r>
            <w:r>
              <w:rPr>
                <w:rFonts w:ascii="Times New Roman" w:eastAsia="Times New Roman" w:hAnsi="Times New Roman" w:cs="Times New Roman"/>
                <w:color w:val="000000"/>
                <w:spacing w:val="0"/>
                <w:w w:val="100"/>
                <w:position w:val="0"/>
              </w:rPr>
              <w:t>1</w:t>
            </w: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月神州信息成立以 来，神州信息一直在业务、资产、机构、人员、财务等方面与本公司及本 公司控制的其他企业完全分开，双方的业务、资产、人员、财务和机构独 立，不存在混同情况。</w:t>
            </w:r>
            <w:r>
              <w:rPr>
                <w:rFonts w:ascii="Times New Roman" w:eastAsia="Times New Roman" w:hAnsi="Times New Roman" w:cs="Times New Roman"/>
                <w:color w:val="000000"/>
                <w:spacing w:val="0"/>
                <w:w w:val="100"/>
                <w:position w:val="0"/>
              </w:rPr>
              <w:t>2</w:t>
            </w:r>
            <w:r>
              <w:rPr>
                <w:color w:val="000000"/>
                <w:spacing w:val="0"/>
                <w:w w:val="100"/>
                <w:position w:val="0"/>
              </w:rPr>
              <w:t>、本公司承诺，在本次交易完成后，保证上市公 司在人员、资产、财务、机构及业务方面继续与本公司及本公司控制的其 他企业完全分开，保持上市公司在业务、资产、人员、财务和机构方面的 独立。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截至目前，上述承诺仍在履行过程 中，承诺人无违反上述承诺的情况。</w:t>
            </w:r>
          </w:p>
        </w:tc>
      </w:tr>
      <w:tr>
        <w:trPr>
          <w:trHeight w:val="45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left"/>
            </w:pPr>
            <w:r>
              <w:rPr>
                <w:color w:val="000000"/>
                <w:spacing w:val="0"/>
                <w:w w:val="100"/>
                <w:position w:val="0"/>
              </w:rPr>
              <w:t>程艳云、吴 冬华、南京 博飞信投 资管理有 限公司、上 海瑞经达 创业投资 有限公司、 南京明通 投资管理 中心（有限 合伙）、南 京凯腾瑞 杰创业投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《交易对方关于提供资料真实、准确和完整的承诺》：</w:t>
            </w:r>
            <w:r>
              <w:rPr>
                <w:rFonts w:ascii="Times New Roman" w:eastAsia="Times New Roman" w:hAnsi="Times New Roman" w:cs="Times New Roman"/>
                <w:color w:val="000000"/>
                <w:spacing w:val="0"/>
                <w:w w:val="100"/>
                <w:position w:val="0"/>
              </w:rPr>
              <w:t>1</w:t>
            </w:r>
            <w:r>
              <w:rPr>
                <w:color w:val="000000"/>
                <w:spacing w:val="0"/>
                <w:w w:val="100"/>
                <w:position w:val="0"/>
              </w:rPr>
              <w:t>、保证为本次交 易所提供的有关信息均为真实、准确和完整的，不存在虚假记载、误导性 陈述或者重大遗漏；</w:t>
            </w:r>
            <w:r>
              <w:rPr>
                <w:rFonts w:ascii="Times New Roman" w:eastAsia="Times New Roman" w:hAnsi="Times New Roman" w:cs="Times New Roman"/>
                <w:color w:val="000000"/>
                <w:spacing w:val="0"/>
                <w:w w:val="100"/>
                <w:position w:val="0"/>
              </w:rPr>
              <w:t>2</w:t>
            </w:r>
            <w:r>
              <w:rPr>
                <w:color w:val="000000"/>
                <w:spacing w:val="0"/>
                <w:w w:val="100"/>
                <w:position w:val="0"/>
              </w:rPr>
              <w:t>、保证向参与本次交易的各中介机构所提供的资料 均为真实、准确、完整的原始书面资料或副本资料，资料副本或复印件与 其原始资料或原件一致；所有文件的签名、印章均是真实的，不存在任何 虚假记载、误导性陈述或者重大遗漏；</w:t>
            </w:r>
            <w:r>
              <w:rPr>
                <w:rFonts w:ascii="Times New Roman" w:eastAsia="Times New Roman" w:hAnsi="Times New Roman" w:cs="Times New Roman"/>
                <w:color w:val="000000"/>
                <w:spacing w:val="0"/>
                <w:w w:val="100"/>
                <w:position w:val="0"/>
              </w:rPr>
              <w:t>3</w:t>
            </w:r>
            <w:r>
              <w:rPr>
                <w:color w:val="000000"/>
                <w:spacing w:val="0"/>
                <w:w w:val="100"/>
                <w:position w:val="0"/>
              </w:rPr>
              <w:t>、保证为本次交易所出具的说明 及确认均为真实、准确和完整的，不存在任何虚假记载、误导性陈述或者 重大遗漏；保证已履行了法定的披露和报告义务，不存在应当披露而未披 露的合同、协议、安排或其他事项；</w:t>
            </w:r>
            <w:r>
              <w:rPr>
                <w:rFonts w:ascii="Times New Roman" w:eastAsia="Times New Roman" w:hAnsi="Times New Roman" w:cs="Times New Roman"/>
                <w:color w:val="000000"/>
                <w:spacing w:val="0"/>
                <w:w w:val="100"/>
                <w:position w:val="0"/>
              </w:rPr>
              <w:t>4</w:t>
            </w:r>
            <w:r>
              <w:rPr>
                <w:color w:val="000000"/>
                <w:spacing w:val="0"/>
                <w:w w:val="100"/>
                <w:position w:val="0"/>
              </w:rPr>
              <w:t>、如本次交易所提供或披露的信息 涉嫌虚假记载、误导性陈述或者重大遗漏，被司法机关立案侦查或者被中 国证监会立案调查的，在形成调查结论以前，不转让在该上市公司拥有权 益的股份，并于收到立案稽查通知的两个交易日内将暂停转让的书面申请 和股票账户提交上市公司董事会，由董事会代其向证券交易所和登记结算 公司申请锁定；未在两个交易日内提交锁定申请的，授权董事会核实后直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center"/>
        <w:tblLayout w:type="fixed"/>
      </w:tblPr>
      <w:tblGrid>
        <w:gridCol w:w="1080"/>
        <w:gridCol w:w="1018"/>
        <w:gridCol w:w="5957"/>
        <w:gridCol w:w="1037"/>
        <w:gridCol w:w="749"/>
        <w:gridCol w:w="3043"/>
      </w:tblGrid>
      <w:tr>
        <w:trPr>
          <w:trHeight w:val="23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资企业（有 限合伙）、 陈大龙、李 晶、吴秀 兰、常杰、 王计斌、施 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接向证券交易所和登记结算公司报送本人的身份信息和账户信息并申请 锁定；董事会未向证券交易所和登记结算公司报送本人的身份信息和账户 信息的，授权证券交易所和登记结算公司直接锁定相关股份。如调查结论 发现存在违法违规情节，本人承诺锁定股份自愿用于相关投资者赔偿安 排。</w:t>
            </w:r>
            <w:r>
              <w:rPr>
                <w:rFonts w:ascii="Times New Roman" w:eastAsia="Times New Roman" w:hAnsi="Times New Roman" w:cs="Times New Roman"/>
                <w:color w:val="000000"/>
                <w:spacing w:val="0"/>
                <w:w w:val="100"/>
                <w:position w:val="0"/>
              </w:rPr>
              <w:t>5</w:t>
            </w:r>
            <w:r>
              <w:rPr>
                <w:color w:val="000000"/>
                <w:spacing w:val="0"/>
                <w:w w:val="100"/>
                <w:position w:val="0"/>
              </w:rPr>
              <w:t>、如因提供的信息存在虚假记载、误导性陈述或者重大遗漏，给上 市公司或者投资者造成损失的，将依法承担个别和连带的法律责任。如违 反上述声明和承诺，本人愿意承担相应的法律责任。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left"/>
            </w:pPr>
            <w:r>
              <w:rPr>
                <w:color w:val="000000"/>
                <w:spacing w:val="0"/>
                <w:w w:val="100"/>
                <w:position w:val="0"/>
              </w:rPr>
              <w:t>程艳云、吴 冬华、南京 博飞信投 资管理有 限公司、上 海瑞经达 创业投资 有限公司、 南京明通 投资管理 中心（有限 合伙）、南 京凯腾瑞 杰创业投 资企业（有 限合伙）、 陈大龙、李 晶、吴秀 兰、常杰、 王计斌、施 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《交易对方关于其他事项的承诺》：</w:t>
            </w:r>
            <w:r>
              <w:rPr>
                <w:rFonts w:ascii="Times New Roman" w:eastAsia="Times New Roman" w:hAnsi="Times New Roman" w:cs="Times New Roman"/>
                <w:color w:val="000000"/>
                <w:spacing w:val="0"/>
                <w:w w:val="100"/>
                <w:position w:val="0"/>
              </w:rPr>
              <w:t>1</w:t>
            </w:r>
            <w:r>
              <w:rPr>
                <w:color w:val="000000"/>
                <w:spacing w:val="0"/>
                <w:w w:val="100"/>
                <w:position w:val="0"/>
              </w:rPr>
              <w:t>、本人最近五年内未受过与证券市 场相关的行政处罚、刑事处罚，不存在被立案调查的情况，也不存在与经 济纠纷有关的重大民事诉讼或仲裁事项。</w:t>
            </w:r>
            <w:r>
              <w:rPr>
                <w:rFonts w:ascii="Times New Roman" w:eastAsia="Times New Roman" w:hAnsi="Times New Roman" w:cs="Times New Roman"/>
                <w:color w:val="000000"/>
                <w:spacing w:val="0"/>
                <w:w w:val="100"/>
                <w:position w:val="0"/>
              </w:rPr>
              <w:t>2</w:t>
            </w:r>
            <w:r>
              <w:rPr>
                <w:color w:val="000000"/>
                <w:spacing w:val="0"/>
                <w:w w:val="100"/>
                <w:position w:val="0"/>
              </w:rPr>
              <w:t>、本人在最近五年内不存在违 反诚信的情况，包括但不限于未按期偿还大额债务、未履行承诺、被中国 证券监督管理委员会采取行政监管措施或受到证券交易所纪律处分的情 况等。</w:t>
            </w:r>
            <w:r>
              <w:rPr>
                <w:rFonts w:ascii="Times New Roman" w:eastAsia="Times New Roman" w:hAnsi="Times New Roman" w:cs="Times New Roman"/>
                <w:color w:val="000000"/>
                <w:spacing w:val="0"/>
                <w:w w:val="100"/>
                <w:position w:val="0"/>
              </w:rPr>
              <w:t>3</w:t>
            </w:r>
            <w:r>
              <w:rPr>
                <w:color w:val="000000"/>
                <w:spacing w:val="0"/>
                <w:w w:val="100"/>
                <w:position w:val="0"/>
              </w:rPr>
              <w:t>、本人与上市公司不存在关联关系，也不存在向上市公司推荐董 事或者高级管理人员的情况。</w:t>
            </w:r>
            <w:r>
              <w:rPr>
                <w:rFonts w:ascii="Times New Roman" w:eastAsia="Times New Roman" w:hAnsi="Times New Roman" w:cs="Times New Roman"/>
                <w:color w:val="000000"/>
                <w:spacing w:val="0"/>
                <w:w w:val="100"/>
                <w:position w:val="0"/>
              </w:rPr>
              <w:t>4</w:t>
            </w:r>
            <w:r>
              <w:rPr>
                <w:color w:val="000000"/>
                <w:spacing w:val="0"/>
                <w:w w:val="100"/>
                <w:position w:val="0"/>
              </w:rPr>
              <w:t>、本人已经履行了华苏科技《公司章程》 中规定的出资义务，该等股份出资已全部足额到位，通过受让取得的股权 其转让价款均依约付清；该等股份的资产权属清晰，不存在信托持股、委 托持股等任何权属纠纷，亦不存在其他任何潜在法律权属纠纷；该等股份 不存在质押、抵押、其他担保或第三方权益限制情形，也不存在法院或其 他有权机关冻结、查封、拍卖该等股份之情形；本人依法拥有该等股份的 占有、使用、收益及处分权，该等股份的股权过户或者转移不存在法律障 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center"/>
        <w:tblLayout w:type="fixed"/>
      </w:tblPr>
      <w:tblGrid>
        <w:gridCol w:w="1080"/>
        <w:gridCol w:w="1018"/>
        <w:gridCol w:w="5957"/>
        <w:gridCol w:w="1037"/>
        <w:gridCol w:w="749"/>
        <w:gridCol w:w="3043"/>
      </w:tblGrid>
      <w:tr>
        <w:trPr>
          <w:trHeight w:val="3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神码软件、 神州控股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关联交易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left"/>
            </w:pPr>
            <w:r>
              <w:rPr>
                <w:color w:val="000000"/>
                <w:spacing w:val="0"/>
                <w:w w:val="100"/>
                <w:position w:val="0"/>
              </w:rPr>
              <w:t>《关于规范关联交易的承诺函》：</w:t>
            </w:r>
            <w:r>
              <w:rPr>
                <w:rFonts w:ascii="Times New Roman" w:eastAsia="Times New Roman" w:hAnsi="Times New Roman" w:cs="Times New Roman"/>
                <w:color w:val="000000"/>
                <w:spacing w:val="0"/>
                <w:w w:val="100"/>
                <w:position w:val="0"/>
              </w:rPr>
              <w:t>1</w:t>
            </w:r>
            <w:r>
              <w:rPr>
                <w:color w:val="000000"/>
                <w:spacing w:val="0"/>
                <w:w w:val="100"/>
                <w:position w:val="0"/>
              </w:rPr>
              <w:t>、本公司及本公司控制的企业与神州 信息之间不存在显失公平的关联交易。</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、本次交易完成后，本公司及本 公司控制的企业将尽量避免或减少与神州信息及其下属子公司之间的关 联交易，对于无法避免或有合理理由存在的关联交易，将与上市公司依法 签订规范的关联交易协议，并按照有关法律、法规、规章、上市规则和其 他规范性文件以及上市公司章程的规定履行批准程序；关联交易价格依照 与无关联关系的独立第三方进行相同或相似交易时的价格确定，保证关联 交易价格具有公允性；保证按照有关法律、法规、上市公司章程的规定履 行关联交易的信息披露义务。本公司保证不利用关联交易非法转移上市公 司的资金、利润，不利用关联交易损害非关联股东的利益。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截至目前，上述承诺仍在履行过程 中，承诺人无违反上述承诺的情况。</w:t>
            </w:r>
          </w:p>
        </w:tc>
      </w:tr>
      <w:tr>
        <w:trPr>
          <w:trHeight w:val="58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神码软件、 神州控股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同业竞争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left"/>
            </w:pPr>
            <w:r>
              <w:rPr>
                <w:color w:val="000000"/>
                <w:spacing w:val="0"/>
                <w:w w:val="100"/>
                <w:position w:val="0"/>
              </w:rPr>
              <w:t>《关于避免同业竞争的承诺函》：</w:t>
            </w:r>
            <w:r>
              <w:rPr>
                <w:rFonts w:ascii="Times New Roman" w:eastAsia="Times New Roman" w:hAnsi="Times New Roman" w:cs="Times New Roman"/>
                <w:color w:val="000000"/>
                <w:spacing w:val="0"/>
                <w:w w:val="100"/>
                <w:position w:val="0"/>
              </w:rPr>
              <w:t>1</w:t>
            </w:r>
            <w:r>
              <w:rPr>
                <w:color w:val="000000"/>
                <w:spacing w:val="0"/>
                <w:w w:val="100"/>
                <w:position w:val="0"/>
              </w:rPr>
              <w:t>、本公司及本公司控制的除神州信息 外其他企业的主营业务不包括：（</w:t>
            </w:r>
            <w:r>
              <w:rPr>
                <w:rFonts w:ascii="Times New Roman" w:eastAsia="Times New Roman" w:hAnsi="Times New Roman" w:cs="Times New Roman"/>
                <w:color w:val="000000"/>
                <w:spacing w:val="0"/>
                <w:w w:val="100"/>
                <w:position w:val="0"/>
              </w:rPr>
              <w:t>1</w:t>
            </w:r>
            <w:r>
              <w:rPr>
                <w:color w:val="000000"/>
                <w:spacing w:val="0"/>
                <w:w w:val="100"/>
                <w:position w:val="0"/>
              </w:rPr>
              <w:t>）神州信息原有主营业务，即系统集 成服务、技术服务、农业信息化、应用软件以及金融专用设备相关业务； 以及（</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）本次交易完成后神州信息新增的通信网络技术服务业务。</w:t>
            </w:r>
            <w:r>
              <w:rPr>
                <w:rFonts w:ascii="Times New Roman" w:eastAsia="Times New Roman" w:hAnsi="Times New Roman" w:cs="Times New Roman"/>
                <w:color w:val="000000"/>
                <w:spacing w:val="0"/>
                <w:w w:val="100"/>
                <w:position w:val="0"/>
              </w:rPr>
              <w:t>2</w:t>
            </w:r>
            <w:r>
              <w:rPr>
                <w:color w:val="000000"/>
                <w:spacing w:val="0"/>
                <w:w w:val="100"/>
                <w:position w:val="0"/>
              </w:rPr>
              <w:t>、本 次交易完成后，本公司及本公司的全资子公司、控股子公司或本公司拥有 实际控制权的其他企业将不会从事任何与上市公司目前或未来所从事的 业务发生或可能发生竞争的业务。除神州信息外，本公司不存在、今后亦 不会通过任何其他企业在任何地方和以任何方式从事对本次交易完成后 上市公司主营业务（系统集成服务、技术服务、应用软件、</w:t>
            </w:r>
            <w:r>
              <w:rPr>
                <w:rFonts w:ascii="Times New Roman" w:eastAsia="Times New Roman" w:hAnsi="Times New Roman" w:cs="Times New Roman"/>
                <w:color w:val="000000"/>
                <w:spacing w:val="0"/>
                <w:w w:val="100"/>
                <w:position w:val="0"/>
              </w:rPr>
              <w:t>ATM</w:t>
            </w:r>
            <w:r>
              <w:rPr>
                <w:color w:val="000000"/>
                <w:spacing w:val="0"/>
                <w:w w:val="100"/>
                <w:position w:val="0"/>
              </w:rPr>
              <w:t>等金融 自助设备、农村信息化、通信网络技术服务业务）构成或可能构成直接 或间接竞争关系的业务。如果本公司将来出现所投资的全资、控股企业从 事的业务与本次交易后上市公司构成竞争的情况，本次交易后上市公司有 权随时要求本公司以公允的价格出让其在该等企业中的全部股权，在同等 条件下本公司给予本次交易后上市公司或其指定的第三方对该等股权的 优先购买权，并将尽最大努力促使有关交易的价格在公平及正常交易原则 的基础上确定；若违反上述承诺，本公司将赔偿本次交易后上市公司因此 而产生的相关损失。本公司今后作为本次交易后上市公司控股股东期间， 不会利用本次交易后上市公司股东地位损害本次交易后上市公司及其他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center"/>
        <w:tblLayout w:type="fixed"/>
      </w:tblPr>
      <w:tblGrid>
        <w:gridCol w:w="1320"/>
        <w:gridCol w:w="1075"/>
        <w:gridCol w:w="1018"/>
        <w:gridCol w:w="5957"/>
        <w:gridCol w:w="1037"/>
        <w:gridCol w:w="749"/>
        <w:gridCol w:w="304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股东（特别是中小股东）的合法权益。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神码软件、 神州控股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《关于保证上市公司独立性的承诺函》：在本次交易完成后，保证上市公 司在人员、资产、财务、机构及业务方面继续与本公司及本公司控制的其 他企业完全分开，保持上市公司在业务、资产、人员、财务和机构方面的 独立。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截至目前，上述承诺仍在履行过程 中，承诺人无违反上述承诺的情况。</w:t>
            </w:r>
          </w:p>
        </w:tc>
      </w:tr>
      <w:tr>
        <w:trPr>
          <w:trHeight w:val="361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《关于因信息披露不实被立案调查后股份锁定的承诺函》：如本次交易所 提供或披露的信息涉嫌虚假记载、误导性陈述或者重大遗漏，被司法机关 立案侦查或者被中国证监会立案调查的，在形成调查结论以前，不转让在 该上市公司拥有权益的股份，并于收到立案稽查通知的两个交易日内将暂 停转让的书面申请和股票账户提交上市公司董事会，由董事会代其向证券 交易所和登记结算公司申请锁定；未在两个交易日内提交锁定申请的，授 权董事会核实后直接向证券交易所和登记结算公司报送本人或本单位的 身份信息和账户信息并申请锁定；董事会未向证券交易所和登记结算公司 报送本人或本单位的身份信息和账户信息的，授权证券交易所和登记结算 公司直接锁定相关股份。如调查结论发现存在违法违规情节，本人或本单 位承诺锁定股份自愿用于相关投资者赔偿安排。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截至目前，上述承诺仍在履行过程 中，承诺人无违反上述承诺的情况。</w:t>
            </w:r>
          </w:p>
        </w:tc>
      </w:tr>
      <w:tr>
        <w:trPr>
          <w:trHeight w:val="3907"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神州信息 及其董事、 监事及高 级管理人 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both"/>
            </w:pPr>
            <w:r>
              <w:rPr>
                <w:color w:val="000000"/>
                <w:spacing w:val="0"/>
                <w:w w:val="100"/>
                <w:position w:val="0"/>
              </w:rPr>
              <w:t>《上市公司全体董事、监事及高级管理人员关于提供资料真实性、准确性 和完整性的承诺书》：本公司及全体董事、监事、高级管理人员承诺并保 证神州数码信息服务股份有限公司发行股份及支付现金购买资产并募集 配套资金之资产重组申请文件内容的真实、准确、完整，不存在虚假记载、 误导性陈述或重大遗漏。如本次交易所提供或披露的信息涉嫌虚假记载、 误导性陈述或者重大遗漏，被司法机关立案侦查或者被中国证监会立案调 查的，在形成调查结论以前，不转让在该上市公司拥有权益的股份，并于 收到立案稽查通知的两个交易日内将暂停转让的书面申请和股票账户提 交上市公司董事会，由董事会代其向证券交易所和登记结算公司申请锁 定；未在两个交易日内提交锁定申请的，授权董事会核实后直接向证券交 易所和登记结算公司报送本人或本单位的身份信息和账户信息并申请锁 定；董事会未向证券交易所和登记结算公司报送本人或本单位的身份信息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center"/>
        <w:tblLayout w:type="fixed"/>
      </w:tblPr>
      <w:tblGrid>
        <w:gridCol w:w="1080"/>
        <w:gridCol w:w="1018"/>
        <w:gridCol w:w="5957"/>
        <w:gridCol w:w="1037"/>
        <w:gridCol w:w="749"/>
        <w:gridCol w:w="3043"/>
      </w:tblGrid>
      <w:tr>
        <w:trPr>
          <w:trHeight w:val="10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和账户信息的，授权证券交易所和登记结算公司直接锁定相关股份。如调 查结论发现存在违法违规情节，本人或本单位承诺锁定股份自愿用于相关 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神州信息 及其董事、 监事及高 级管理人 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《上市公司全体董事、监事及高级管理人员关于提供资料真实性、准确性 和完整性的承诺书》：本公司及全体董事、监事、高级管理人员承诺并保 证神州数码信息服务股份有限公司发行股份及支付现金购买资产并募集 配套资金之资产重组申请文件内容的真实、准确、完整，不存在虚假记载、 误导性陈述或重大遗漏。如本次交易所提供或披露的信息涉嫌虚假记载、 误导性陈述或者重大遗漏，被司法机关立案侦查或者被中国证监会立案调 查的，在形成调查结论以前，不转让在该上市公司拥有权益的股份，并于 收到立案稽查通知的两个交易日内将暂停转让的书面申请和股票账户提 交上市公司董事会，由董事会代其向证券交易所和登记结算公司申请锁 定；未在两个交易日内提交锁定申请的，授权董事会核实后直接向证券交 易所和登记结算公司报送本人或本单位的身份信息和账户信息并申请锁 定；董事会未向证券交易所和登记结算公司报送本人或本单位的身份信息 和账户信息的，授权证券交易所和登记结算公司直接锁定相关股份。如调 查结论发现存在违法违规情节，本人或本单位承诺锁定股份自愿用于相关 投资者赔偿安排。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截至目前，上述承诺仍在履行过程 中，承诺人无违反上述承诺的情况。</w:t>
            </w:r>
          </w:p>
        </w:tc>
      </w:tr>
      <w:tr>
        <w:trPr>
          <w:trHeight w:val="330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神州信息 全体董事 及高级管 理人员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《上市公司董事、高级管理人员关于公司资产重组摊薄即期回报采取填补 措施的承诺》：</w:t>
            </w:r>
            <w:r>
              <w:rPr>
                <w:rFonts w:ascii="Times New Roman" w:eastAsia="Times New Roman" w:hAnsi="Times New Roman" w:cs="Times New Roman"/>
                <w:color w:val="000000"/>
                <w:spacing w:val="0"/>
                <w:w w:val="100"/>
                <w:position w:val="0"/>
              </w:rPr>
              <w:t>1</w:t>
            </w:r>
            <w:r>
              <w:rPr>
                <w:color w:val="000000"/>
                <w:spacing w:val="0"/>
                <w:w w:val="100"/>
                <w:position w:val="0"/>
              </w:rPr>
              <w:t>、承诺不得无偿或以不公平条件向其他单位或者个人输 送利益，也不得采用其他方式损害公司利益；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、承诺对董事和高级管理 人员的职务消费行为进行约束；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、承诺不动用公司资产从事与其履行职 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、承诺由董事会或薪酬委员会制定的薪酬制 度与公司填补回报措施的执行情况相挂钩；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、承诺拟公布的公司股权激 励的行权条件与公司填补回报措施的执行情况相挂钩；作为填补回报措施 相关责任主体之一，若违反上述承诺或拒不履行上述承诺，本人同意按照 中国证监会和深圳证券交易所等监管制定或发布的相关规定、规则，对本 人作出相关处罚或采取相关管理措施。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截至目前，上述承诺仍在履行过程 中，承诺人无违反上述承诺的情况。</w:t>
            </w:r>
          </w:p>
        </w:tc>
      </w:tr>
    </w:tbl>
    <w:p>
      <w:pPr>
        <w:spacing w:lineRule="exact" w:line="1"/>
        <w:rPr>
          <w:sz w:val="2"/>
          <w:szCs w:val="2"/>
        </w:rPr>
      </w:pPr>
      <w:r>
        <w:br w:type="page"/>
      </w:r>
    </w:p>
    <w:tbl>
      <w:tblPr>
        <w:tblOverlap w:val="never"/>
        <w:jc w:val="center"/>
        <w:tblLayout w:type="fixed"/>
      </w:tblPr>
      <w:tblGrid>
        <w:gridCol w:w="1320"/>
        <w:gridCol w:w="1075"/>
        <w:gridCol w:w="1018"/>
        <w:gridCol w:w="5957"/>
        <w:gridCol w:w="1037"/>
        <w:gridCol w:w="749"/>
        <w:gridCol w:w="3043"/>
      </w:tblGrid>
      <w:tr>
        <w:trPr>
          <w:trHeight w:val="109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行或再融资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不为激励对象依本激励计划获取有关股票期权或限制性股票提供贷款以 及其他任何形式的财务资助，包括为其贷款提供担保。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截至目前，上述承诺仍在履行过程 中，承诺人无违反上述承诺的情况。</w:t>
            </w:r>
          </w:p>
        </w:tc>
      </w:tr>
      <w:tr>
        <w:trPr>
          <w:trHeight w:val="201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5"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年股 票期权与 限制性股 票激励计 划激励对 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pPr>
            <w:r>
              <w:rPr>
                <w:color w:val="000000"/>
                <w:spacing w:val="0"/>
                <w:w w:val="100"/>
                <w:position w:val="0"/>
              </w:rPr>
              <w:t>若公司因信息披露文件中有虚假记载、误导性陈述或者重大遗漏，导致不 符合授予权益或行使权益安排的，激励对象自相关信息披露文件被确认存 在虚假记载、误导性陈述或者重大遗漏后，将由股权激励计划所获得的全 部利益返还公司。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截至目前，上述承诺仍在履行过程 中，承诺人无违反上述承诺的情况。</w:t>
            </w:r>
          </w:p>
        </w:tc>
      </w:tr>
      <w:tr>
        <w:trPr>
          <w:trHeight w:val="490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日，公司第七届董事会</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年第四次临时董事会审议通过 了《关于制定</w:t>
            </w:r>
            <w:r>
              <w:rPr>
                <w:color w:val="000000"/>
                <w:spacing w:val="0"/>
                <w:w w:val="100"/>
                <w:position w:val="0"/>
              </w:rPr>
              <w:t>〈</w:t>
            </w:r>
            <w:r>
              <w:rPr>
                <w:color w:val="000000"/>
                <w:spacing w:val="0"/>
                <w:w w:val="100"/>
                <w:position w:val="0"/>
              </w:rPr>
              <w:t>证券投资内控制度</w:t>
            </w:r>
            <w:r>
              <w:rPr>
                <w:color w:val="000000"/>
                <w:spacing w:val="0"/>
                <w:w w:val="100"/>
                <w:position w:val="0"/>
              </w:rPr>
              <w:t>〉</w:t>
            </w:r>
            <w:r>
              <w:rPr>
                <w:color w:val="000000"/>
                <w:spacing w:val="0"/>
                <w:w w:val="100"/>
                <w:position w:val="0"/>
              </w:rPr>
              <w:t>的议案》、《关于使用自有资金进行证 券投资暨关联交易的议案》，董事会同意公司使用不超过（含）人民币</w:t>
            </w:r>
            <w:r>
              <w:rPr>
                <w:rFonts w:ascii="Times New Roman" w:eastAsia="Times New Roman" w:hAnsi="Times New Roman" w:cs="Times New Roman"/>
                <w:color w:val="000000"/>
                <w:spacing w:val="0"/>
                <w:w w:val="100"/>
                <w:position w:val="0"/>
              </w:rPr>
              <w:t xml:space="preserve">2.4 </w:t>
            </w:r>
            <w:r>
              <w:rPr>
                <w:color w:val="000000"/>
                <w:spacing w:val="0"/>
                <w:w w:val="100"/>
                <w:position w:val="0"/>
              </w:rPr>
              <w:t>亿元的自有资金进行证券投资，包括投资境内外股票、证券投资基金等有 价证券等，包括但不限于购买关联方如神州数码集团股份有限公司等公司 的股票。本人郭为作为公司董事长以及神州数码集团股份有限公司（以下 简称''神州数码</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的控股股东和实际控制人，针对本次证券投资事宜郑重 承诺如下：一、本人将确保：（一）公司在业务、资产、机构、人员、财 务等方面与神州数码完全分开，双方的业务、资产、人员、财务和机构完 全独立，不存在混同情况；（二）公司的董事会和其他内部机构严格按照 法定程序独立运作，本人不会以任何方式影响公司在本次证券投资中的决 策或具体操作。二、本人将严格遵守避免内幕交易的各项规定，本人不存 在也不会向公司管理层或具体操作人员透露任何关于神州数码的相关信 息，或者利用神州数码的内幕信息在价格敏感期内建议公司进行证券交易 活动。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截至目前，上述承诺仍在履行过程 中，承诺人无违反上述承诺的情况。</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针对本次融信软件将其持有的融信云</w:t>
            </w:r>
            <w:r>
              <w:rPr>
                <w:rFonts w:ascii="Times New Roman" w:eastAsia="Times New Roman" w:hAnsi="Times New Roman" w:cs="Times New Roman"/>
                <w:color w:val="000000"/>
                <w:spacing w:val="0"/>
                <w:w w:val="100"/>
                <w:position w:val="0"/>
              </w:rPr>
              <w:t>35%</w:t>
            </w:r>
            <w:r>
              <w:rPr>
                <w:color w:val="000000"/>
                <w:spacing w:val="0"/>
                <w:w w:val="100"/>
                <w:position w:val="0"/>
              </w:rPr>
              <w:t>的股权转让给君信宜知事项，公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截至目前，上述承诺仍在履行过程</w:t>
            </w:r>
          </w:p>
        </w:tc>
      </w:tr>
    </w:tbl>
    <w:p>
      <w:pPr>
        <w:spacing w:lineRule="exact" w:line="1"/>
        <w:rPr>
          <w:sz w:val="2"/>
          <w:szCs w:val="2"/>
        </w:rPr>
      </w:pPr>
      <w:r>
        <w:br w:type="page"/>
      </w:r>
    </w:p>
    <w:tbl>
      <w:tblPr>
        <w:tblOverlap w:val="never"/>
        <w:jc w:val="center"/>
        <w:tblLayout w:type="fixed"/>
      </w:tblPr>
      <w:tblGrid>
        <w:gridCol w:w="1320"/>
        <w:gridCol w:w="1075"/>
        <w:gridCol w:w="1018"/>
        <w:gridCol w:w="5957"/>
        <w:gridCol w:w="1037"/>
        <w:gridCol w:w="749"/>
        <w:gridCol w:w="3043"/>
      </w:tblGrid>
      <w:tr>
        <w:trPr>
          <w:trHeight w:val="650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司就下述事项向君信宜知作如下承诺：</w:t>
            </w:r>
            <w:r>
              <w:rPr>
                <w:rFonts w:ascii="Times New Roman" w:eastAsia="Times New Roman" w:hAnsi="Times New Roman" w:cs="Times New Roman"/>
                <w:color w:val="000000"/>
                <w:spacing w:val="0"/>
                <w:w w:val="100"/>
                <w:position w:val="0"/>
              </w:rPr>
              <w:t>1</w:t>
            </w:r>
            <w:r>
              <w:rPr>
                <w:color w:val="000000"/>
                <w:spacing w:val="0"/>
                <w:w w:val="100"/>
                <w:position w:val="0"/>
              </w:rPr>
              <w:t>、君信宜知完成本次投资后，公 司将不会与融信云的任何直接</w:t>
            </w:r>
            <w:r>
              <w:rPr>
                <w:rFonts w:ascii="Times New Roman" w:eastAsia="Times New Roman" w:hAnsi="Times New Roman" w:cs="Times New Roman"/>
                <w:color w:val="000000"/>
                <w:spacing w:val="0"/>
                <w:w w:val="100"/>
                <w:position w:val="0"/>
              </w:rPr>
              <w:t>/</w:t>
            </w:r>
            <w:r>
              <w:rPr>
                <w:color w:val="000000"/>
                <w:spacing w:val="0"/>
                <w:w w:val="100"/>
                <w:position w:val="0"/>
              </w:rPr>
              <w:t>间接股东以任何形式就融信云的经营管理 谋求一致行动关系。</w:t>
            </w:r>
            <w:r>
              <w:rPr>
                <w:rFonts w:ascii="Times New Roman" w:eastAsia="Times New Roman" w:hAnsi="Times New Roman" w:cs="Times New Roman"/>
                <w:color w:val="000000"/>
                <w:spacing w:val="0"/>
                <w:w w:val="100"/>
                <w:position w:val="0"/>
              </w:rPr>
              <w:t>2</w:t>
            </w:r>
            <w:r>
              <w:rPr>
                <w:color w:val="000000"/>
                <w:spacing w:val="0"/>
                <w:w w:val="100"/>
                <w:position w:val="0"/>
              </w:rPr>
              <w:t>、在君信宜知完成本次投资后的</w:t>
            </w:r>
            <w:r>
              <w:rPr>
                <w:rFonts w:ascii="Times New Roman" w:eastAsia="Times New Roman" w:hAnsi="Times New Roman" w:cs="Times New Roman"/>
                <w:color w:val="000000"/>
                <w:spacing w:val="0"/>
                <w:w w:val="100"/>
                <w:position w:val="0"/>
              </w:rPr>
              <w:t>5</w:t>
            </w:r>
            <w:r>
              <w:rPr>
                <w:color w:val="000000"/>
                <w:spacing w:val="0"/>
                <w:w w:val="100"/>
                <w:position w:val="0"/>
              </w:rPr>
              <w:t>年内，公司同意 融信云在不损害相关品牌价值的基础上继续无偿使用神码融信</w:t>
            </w:r>
            <w:r>
              <w:rPr>
                <w:rFonts w:ascii="Times New Roman" w:eastAsia="Times New Roman" w:hAnsi="Times New Roman" w:cs="Times New Roman"/>
                <w:color w:val="000000"/>
                <w:spacing w:val="0"/>
                <w:w w:val="100"/>
                <w:position w:val="0"/>
              </w:rPr>
              <w:t>/</w:t>
            </w:r>
            <w:r>
              <w:rPr>
                <w:color w:val="000000"/>
                <w:spacing w:val="0"/>
                <w:w w:val="100"/>
                <w:position w:val="0"/>
              </w:rPr>
              <w:t>神州信息 品牌。</w:t>
            </w:r>
            <w:r>
              <w:rPr>
                <w:rFonts w:ascii="Times New Roman" w:eastAsia="Times New Roman" w:hAnsi="Times New Roman" w:cs="Times New Roman"/>
                <w:color w:val="000000"/>
                <w:spacing w:val="0"/>
                <w:w w:val="100"/>
                <w:position w:val="0"/>
              </w:rPr>
              <w:t>3</w:t>
            </w:r>
            <w:r>
              <w:rPr>
                <w:color w:val="000000"/>
                <w:spacing w:val="0"/>
                <w:w w:val="100"/>
                <w:position w:val="0"/>
              </w:rPr>
              <w:t>、君信宜知完成本次投资后，公司将责成融信软件积极与融信云 共同维护银监会关于非驻场集中式外包服务监管评估体系的资格，积极配 合银监会组织的监管核查，并保证在融信云存续期间内，不会因融信软件 的故意或过失而丧失上述资格。</w:t>
            </w:r>
            <w:r>
              <w:rPr>
                <w:rFonts w:ascii="Times New Roman" w:eastAsia="Times New Roman" w:hAnsi="Times New Roman" w:cs="Times New Roman"/>
                <w:color w:val="000000"/>
                <w:spacing w:val="0"/>
                <w:w w:val="100"/>
                <w:position w:val="0"/>
              </w:rPr>
              <w:t>4</w:t>
            </w:r>
            <w:r>
              <w:rPr>
                <w:color w:val="000000"/>
                <w:spacing w:val="0"/>
                <w:w w:val="100"/>
                <w:position w:val="0"/>
              </w:rPr>
              <w:t>、君信宜知完成本次投资后</w:t>
            </w:r>
            <w:r>
              <w:rPr>
                <w:rFonts w:ascii="Times New Roman" w:eastAsia="Times New Roman" w:hAnsi="Times New Roman" w:cs="Times New Roman"/>
                <w:color w:val="000000"/>
                <w:spacing w:val="0"/>
                <w:w w:val="100"/>
                <w:position w:val="0"/>
              </w:rPr>
              <w:t>5</w:t>
            </w:r>
            <w:r>
              <w:rPr>
                <w:color w:val="000000"/>
                <w:spacing w:val="0"/>
                <w:w w:val="100"/>
                <w:position w:val="0"/>
              </w:rPr>
              <w:t>年内，或 者在融信软件、公司直接或间接持有融信云股权不低于</w:t>
            </w:r>
            <w:r>
              <w:rPr>
                <w:rFonts w:ascii="Times New Roman" w:eastAsia="Times New Roman" w:hAnsi="Times New Roman" w:cs="Times New Roman"/>
                <w:color w:val="000000"/>
                <w:spacing w:val="0"/>
                <w:w w:val="100"/>
                <w:position w:val="0"/>
              </w:rPr>
              <w:t>10%</w:t>
            </w:r>
            <w:r>
              <w:rPr>
                <w:color w:val="000000"/>
                <w:spacing w:val="0"/>
                <w:w w:val="100"/>
                <w:position w:val="0"/>
              </w:rPr>
              <w:t>期间（以其中 期限较长者为准），公司承诺不直接或间接从事与融信云业务相竞争的活 动，以及不会与君信宜知控股股东的竞争对手合资或合作运营与融信云进 行竞争的业务。（</w:t>
            </w:r>
            <w:r>
              <w:rPr>
                <w:rFonts w:ascii="Times New Roman" w:eastAsia="Times New Roman" w:hAnsi="Times New Roman" w:cs="Times New Roman"/>
                <w:color w:val="000000"/>
                <w:spacing w:val="0"/>
                <w:w w:val="100"/>
                <w:position w:val="0"/>
              </w:rPr>
              <w:t>1</w:t>
            </w:r>
            <w:r>
              <w:rPr>
                <w:color w:val="000000"/>
                <w:spacing w:val="0"/>
                <w:w w:val="100"/>
                <w:position w:val="0"/>
              </w:rPr>
              <w:t>）与融信云竞争的业务包括：中小银行云托管服务、 互联网金融运营服务、互联网开放平台（即互联网核心）运营。（</w:t>
            </w:r>
            <w:r>
              <w:rPr>
                <w:rFonts w:ascii="Times New Roman" w:eastAsia="Times New Roman" w:hAnsi="Times New Roman" w:cs="Times New Roman"/>
                <w:color w:val="000000"/>
                <w:spacing w:val="0"/>
                <w:w w:val="100"/>
                <w:position w:val="0"/>
              </w:rPr>
              <w:t>2</w:t>
            </w:r>
            <w:r>
              <w:rPr>
                <w:color w:val="000000"/>
                <w:spacing w:val="0"/>
                <w:w w:val="100"/>
                <w:position w:val="0"/>
              </w:rPr>
              <w:t>）君 信宜知控股股东的竞争对手包括：阿里巴巴、蚂蚁金服、网商银行及其关 联方；百度、百信银行及其关联方；中国平安及其关联方；苏宁云商及其 关联方；美团及其关联方。</w:t>
            </w:r>
            <w:r>
              <w:rPr>
                <w:rFonts w:ascii="Times New Roman" w:eastAsia="Times New Roman" w:hAnsi="Times New Roman" w:cs="Times New Roman"/>
                <w:color w:val="000000"/>
                <w:spacing w:val="0"/>
                <w:w w:val="100"/>
                <w:position w:val="0"/>
              </w:rPr>
              <w:t>5</w:t>
            </w:r>
            <w:r>
              <w:rPr>
                <w:color w:val="000000"/>
                <w:spacing w:val="0"/>
                <w:w w:val="100"/>
                <w:position w:val="0"/>
              </w:rPr>
              <w:t>、公司承诺，将在最短时间内责成</w:t>
            </w:r>
            <w:r>
              <w:rPr>
                <w:rFonts w:ascii="Times New Roman" w:eastAsia="Times New Roman" w:hAnsi="Times New Roman" w:cs="Times New Roman"/>
                <w:color w:val="000000"/>
                <w:spacing w:val="0"/>
                <w:w w:val="100"/>
                <w:position w:val="0"/>
              </w:rPr>
              <w:t>/</w:t>
            </w:r>
            <w:r>
              <w:rPr>
                <w:color w:val="000000"/>
                <w:spacing w:val="0"/>
                <w:w w:val="100"/>
                <w:position w:val="0"/>
              </w:rPr>
              <w:t>配合融信 云、融信软件完成本次投资中交易文件中所载的任何先决条件，以尽快促 成君信宜知完成本次投资。</w:t>
            </w:r>
            <w:r>
              <w:rPr>
                <w:rFonts w:ascii="Times New Roman" w:eastAsia="Times New Roman" w:hAnsi="Times New Roman" w:cs="Times New Roman"/>
                <w:color w:val="000000"/>
                <w:spacing w:val="0"/>
                <w:w w:val="100"/>
                <w:position w:val="0"/>
              </w:rPr>
              <w:t>6</w:t>
            </w:r>
            <w:r>
              <w:rPr>
                <w:color w:val="000000"/>
                <w:spacing w:val="0"/>
                <w:w w:val="100"/>
                <w:position w:val="0"/>
              </w:rPr>
              <w:t>、公司承诺，因违反上述承诺及</w:t>
            </w:r>
            <w:r>
              <w:rPr>
                <w:rFonts w:ascii="Times New Roman" w:eastAsia="Times New Roman" w:hAnsi="Times New Roman" w:cs="Times New Roman"/>
                <w:color w:val="000000"/>
                <w:spacing w:val="0"/>
                <w:w w:val="100"/>
                <w:position w:val="0"/>
              </w:rPr>
              <w:t>/</w:t>
            </w:r>
            <w:r>
              <w:rPr>
                <w:color w:val="000000"/>
                <w:spacing w:val="0"/>
                <w:w w:val="100"/>
                <w:position w:val="0"/>
              </w:rPr>
              <w:t>或违反上市 公司信息披露义务而致使融信云或君信宜知受到的任何损害，公司将根据 法律的规定承担全部责任。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中，承诺人无违反上述承诺的情况。</w:t>
            </w:r>
          </w:p>
        </w:tc>
      </w:tr>
      <w:tr>
        <w:trPr>
          <w:trHeight w:val="41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56"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如承诺超期未履行完毕的，应当详细说明 未完成履行的具体原因及下一步的工作 计划</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6840" w:h="11900" w:orient="landscape"/>
          <w:pgMar w:top="1134" w:right="982" w:bottom="1449" w:left="1659" w:header="0" w:footer="3" w:gutter="0"/>
          <w:cols w:space="720"/>
          <w:noEndnote/>
          <w:rtlGutter w:val="0"/>
          <w:docGrid w:linePitch="360"/>
        </w:sectPr>
      </w:pPr>
    </w:p>
    <w:p>
      <w:pPr>
        <w:pStyle w:val="Style29"/>
        <w:keepNext/>
        <w:keepLines/>
        <w:widowControl w:val="0"/>
        <w:shd w:val="clear" w:color="auto" w:fill="auto"/>
        <w:bidi w:val="0"/>
        <w:spacing w:before="220" w:after="260" w:line="317" w:lineRule="exact"/>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、公司资产或项目存在盈利预测，且报告期仍处在盈利预测期间，公司就资产或项目达到原盈利预测及 其原因做出说明</w:t>
      </w:r>
      <w:bookmarkEnd w:id="434"/>
      <w:bookmarkEnd w:id="435"/>
      <w:bookmarkEnd w:id="437"/>
    </w:p>
    <w:p>
      <w:pPr>
        <w:pStyle w:val="Style13"/>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口适用”不适用</w:t>
      </w:r>
    </w:p>
    <w:p>
      <w:pPr>
        <w:pStyle w:val="Style25"/>
        <w:keepNext/>
        <w:keepLines/>
        <w:widowControl w:val="0"/>
        <w:shd w:val="clear" w:color="auto" w:fill="auto"/>
        <w:tabs>
          <w:tab w:pos="512" w:val="left"/>
        </w:tabs>
        <w:bidi w:val="0"/>
        <w:spacing w:before="0" w:after="260" w:line="322" w:lineRule="exact"/>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二</w:t>
      </w:r>
      <w:bookmarkEnd w:id="440"/>
      <w:r>
        <w:rPr>
          <w:color w:val="000000"/>
          <w:spacing w:val="0"/>
          <w:w w:val="100"/>
          <w:position w:val="0"/>
          <w:sz w:val="24"/>
          <w:szCs w:val="24"/>
        </w:rPr>
        <w:t>、</w:t>
        <w:tab/>
        <w:t>控股股东及其他关联方对上市公司的非经营性占用资金情况</w:t>
      </w:r>
      <w:bookmarkEnd w:id="438"/>
      <w:bookmarkEnd w:id="439"/>
      <w:bookmarkEnd w:id="441"/>
    </w:p>
    <w:p>
      <w:pPr>
        <w:pStyle w:val="Style13"/>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17" w:val="left"/>
        </w:tabs>
        <w:bidi w:val="0"/>
        <w:spacing w:before="0" w:after="260" w:line="322" w:lineRule="exact"/>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三</w:t>
      </w:r>
      <w:bookmarkEnd w:id="444"/>
      <w:r>
        <w:rPr>
          <w:color w:val="000000"/>
          <w:spacing w:val="0"/>
          <w:w w:val="100"/>
          <w:position w:val="0"/>
          <w:sz w:val="24"/>
          <w:szCs w:val="24"/>
        </w:rPr>
        <w:t>、</w:t>
        <w:tab/>
        <w:t>违规对外担保情况</w:t>
      </w:r>
      <w:bookmarkEnd w:id="442"/>
      <w:bookmarkEnd w:id="443"/>
      <w:bookmarkEnd w:id="445"/>
    </w:p>
    <w:p>
      <w:pPr>
        <w:pStyle w:val="Style13"/>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517" w:val="left"/>
        </w:tabs>
        <w:bidi w:val="0"/>
        <w:spacing w:before="0" w:after="260" w:line="322" w:lineRule="exact"/>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四</w:t>
      </w:r>
      <w:bookmarkEnd w:id="448"/>
      <w:r>
        <w:rPr>
          <w:color w:val="000000"/>
          <w:spacing w:val="0"/>
          <w:w w:val="100"/>
          <w:position w:val="0"/>
          <w:sz w:val="24"/>
          <w:szCs w:val="24"/>
        </w:rPr>
        <w:t>、</w:t>
        <w:tab/>
        <w:t>董事会对最近一期“非标准审计报告”相关情况的说明</w:t>
      </w:r>
      <w:bookmarkEnd w:id="446"/>
      <w:bookmarkEnd w:id="447"/>
      <w:bookmarkEnd w:id="449"/>
    </w:p>
    <w:p>
      <w:pPr>
        <w:pStyle w:val="Style13"/>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口适用”不适用</w:t>
      </w:r>
    </w:p>
    <w:p>
      <w:pPr>
        <w:pStyle w:val="Style25"/>
        <w:keepNext/>
        <w:keepLines/>
        <w:widowControl w:val="0"/>
        <w:shd w:val="clear" w:color="auto" w:fill="auto"/>
        <w:tabs>
          <w:tab w:pos="517" w:val="left"/>
        </w:tabs>
        <w:bidi w:val="0"/>
        <w:spacing w:before="0" w:after="260" w:line="322" w:lineRule="exact"/>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五</w:t>
      </w:r>
      <w:bookmarkEnd w:id="452"/>
      <w:r>
        <w:rPr>
          <w:color w:val="000000"/>
          <w:spacing w:val="0"/>
          <w:w w:val="100"/>
          <w:position w:val="0"/>
          <w:sz w:val="24"/>
          <w:szCs w:val="24"/>
        </w:rPr>
        <w:t>、</w:t>
        <w:tab/>
        <w:t>董事会、监事会、独立董事（如有）对会计师事务所本报告期“非标准审计报告”的说 明</w:t>
      </w:r>
      <w:bookmarkEnd w:id="450"/>
      <w:bookmarkEnd w:id="451"/>
      <w:bookmarkEnd w:id="453"/>
    </w:p>
    <w:p>
      <w:pPr>
        <w:pStyle w:val="Style13"/>
        <w:keepNext w:val="0"/>
        <w:keepLines w:val="0"/>
        <w:widowControl w:val="0"/>
        <w:shd w:val="clear" w:color="auto" w:fill="auto"/>
        <w:bidi w:val="0"/>
        <w:spacing w:before="0" w:after="320" w:line="317" w:lineRule="exact"/>
        <w:ind w:left="0" w:right="0" w:firstLine="0"/>
        <w:jc w:val="both"/>
      </w:pPr>
      <w:r>
        <w:rPr>
          <w:color w:val="000000"/>
          <w:spacing w:val="0"/>
          <w:w w:val="100"/>
          <w:position w:val="0"/>
        </w:rPr>
        <w:t>口适用”不适用</w:t>
      </w:r>
    </w:p>
    <w:p>
      <w:pPr>
        <w:pStyle w:val="Style25"/>
        <w:keepNext/>
        <w:keepLines/>
        <w:widowControl w:val="0"/>
        <w:shd w:val="clear" w:color="auto" w:fill="auto"/>
        <w:tabs>
          <w:tab w:pos="517" w:val="left"/>
        </w:tabs>
        <w:bidi w:val="0"/>
        <w:spacing w:before="0" w:after="260" w:line="322" w:lineRule="exact"/>
        <w:ind w:left="0" w:right="0" w:firstLine="0"/>
        <w:jc w:val="both"/>
      </w:pPr>
      <w:bookmarkStart w:id="454" w:name="bookmark454"/>
      <w:bookmarkStart w:id="455" w:name="bookmark455"/>
      <w:bookmarkStart w:id="456" w:name="bookmark456"/>
      <w:bookmarkStart w:id="457" w:name="bookmark457"/>
      <w:r>
        <w:rPr>
          <w:color w:val="000000"/>
          <w:spacing w:val="0"/>
          <w:w w:val="100"/>
          <w:position w:val="0"/>
          <w:sz w:val="24"/>
          <w:szCs w:val="24"/>
        </w:rPr>
        <w:t>六</w:t>
      </w:r>
      <w:bookmarkEnd w:id="456"/>
      <w:r>
        <w:rPr>
          <w:color w:val="000000"/>
          <w:spacing w:val="0"/>
          <w:w w:val="100"/>
          <w:position w:val="0"/>
          <w:sz w:val="24"/>
          <w:szCs w:val="24"/>
        </w:rPr>
        <w:t>、</w:t>
        <w:tab/>
        <w:t>与上年度财务报告相比，会计政策、会计估计变更或重大会计差错更正的情况说明</w:t>
      </w:r>
      <w:bookmarkEnd w:id="454"/>
      <w:bookmarkEnd w:id="455"/>
      <w:bookmarkEnd w:id="457"/>
    </w:p>
    <w:p>
      <w:pPr>
        <w:pStyle w:val="Style13"/>
        <w:keepNext w:val="0"/>
        <w:keepLines w:val="0"/>
        <w:widowControl w:val="0"/>
        <w:shd w:val="clear" w:color="auto" w:fill="auto"/>
        <w:bidi w:val="0"/>
        <w:spacing w:before="0" w:after="40" w:line="317" w:lineRule="exact"/>
        <w:ind w:left="0" w:right="0" w:firstLine="0"/>
        <w:jc w:val="both"/>
      </w:pPr>
      <w:r>
        <w:rPr>
          <w:color w:val="000000"/>
          <w:spacing w:val="0"/>
          <w:w w:val="100"/>
          <w:position w:val="0"/>
        </w:rPr>
        <w:t>”适用口不适用</w:t>
      </w:r>
    </w:p>
    <w:p>
      <w:pPr>
        <w:pStyle w:val="Style13"/>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年，财政部颁布了修订的《企业会计准则第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），根据新租赁准则执行期限的 要求，本集团自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日开始按照新修订的租赁准则进行会计处理，对首次执行日前已存在的合同，选择不重新评 估其是否为租赁或者包含租赁，并根据衔接规定，对可比期间信息不予调整，首次执行日新租赁准则与现行租赁准则的差异 追溯调整本报告期期初留存收益。</w:t>
      </w:r>
    </w:p>
    <w:p>
      <w:pPr>
        <w:pStyle w:val="Style13"/>
        <w:keepNext w:val="0"/>
        <w:keepLines w:val="0"/>
        <w:widowControl w:val="0"/>
        <w:shd w:val="clear" w:color="auto" w:fill="auto"/>
        <w:bidi w:val="0"/>
        <w:spacing w:before="0" w:after="80" w:line="322" w:lineRule="exact"/>
        <w:ind w:left="0" w:right="0"/>
        <w:jc w:val="both"/>
      </w:pPr>
      <w:r>
        <w:rPr>
          <w:color w:val="000000"/>
          <w:spacing w:val="0"/>
          <w:w w:val="100"/>
          <w:position w:val="0"/>
        </w:rPr>
        <w:t>本集团对首次执行日之前租赁资产属于低价值资产的经营租赁或将于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个月内完成的经营租赁，采用简化处理，未确 认使用权资产和租赁负债。</w:t>
      </w:r>
    </w:p>
    <w:tbl>
      <w:tblPr>
        <w:tblOverlap w:val="never"/>
        <w:jc w:val="center"/>
        <w:tblLayout w:type="fixed"/>
      </w:tblPr>
      <w:tblGrid>
        <w:gridCol w:w="2256"/>
        <w:gridCol w:w="2419"/>
        <w:gridCol w:w="2405"/>
        <w:gridCol w:w="2582"/>
      </w:tblGrid>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新租赁准则调整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27,315,839.14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27,315,839.14</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4,785,136.52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-187,609.21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4,597,527.31</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9,554,230.27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9,554,230.27</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17,573,999.66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17,573,999.66</w:t>
            </w:r>
          </w:p>
        </w:tc>
      </w:tr>
    </w:tbl>
    <w:p>
      <w:pPr>
        <w:pStyle w:val="Style25"/>
        <w:keepNext/>
        <w:keepLines/>
        <w:widowControl w:val="0"/>
        <w:shd w:val="clear" w:color="auto" w:fill="auto"/>
        <w:tabs>
          <w:tab w:pos="517" w:val="left"/>
        </w:tabs>
        <w:bidi w:val="0"/>
        <w:spacing w:before="0" w:after="360" w:line="240" w:lineRule="auto"/>
        <w:ind w:left="0" w:right="0" w:firstLine="0"/>
        <w:jc w:val="both"/>
      </w:pPr>
      <w:bookmarkStart w:id="458" w:name="bookmark458"/>
      <w:bookmarkStart w:id="459" w:name="bookmark459"/>
      <w:bookmarkStart w:id="460" w:name="bookmark460"/>
      <w:bookmarkStart w:id="461" w:name="bookmark461"/>
      <w:r>
        <w:rPr>
          <w:color w:val="000000"/>
          <w:spacing w:val="0"/>
          <w:w w:val="100"/>
          <w:position w:val="0"/>
          <w:sz w:val="24"/>
          <w:szCs w:val="24"/>
        </w:rPr>
        <w:t>七</w:t>
      </w:r>
      <w:bookmarkEnd w:id="460"/>
      <w:r>
        <w:rPr>
          <w:color w:val="000000"/>
          <w:spacing w:val="0"/>
          <w:w w:val="100"/>
          <w:position w:val="0"/>
          <w:sz w:val="24"/>
          <w:szCs w:val="24"/>
        </w:rPr>
        <w:t>、</w:t>
        <w:tab/>
        <w:t>与上年度财务报告相比，合并报表范围发生变化的情况说明</w:t>
      </w:r>
      <w:bookmarkEnd w:id="458"/>
      <w:bookmarkEnd w:id="459"/>
      <w:bookmarkEnd w:id="461"/>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与上年相比，本年因注销减少南京神州金信电子科技有限公司、广州神州金信电子科技有限公司。</w:t>
      </w:r>
    </w:p>
    <w:p>
      <w:pPr>
        <w:pStyle w:val="Style25"/>
        <w:keepNext/>
        <w:keepLines/>
        <w:widowControl w:val="0"/>
        <w:shd w:val="clear" w:color="auto" w:fill="auto"/>
        <w:tabs>
          <w:tab w:pos="517" w:val="left"/>
        </w:tabs>
        <w:bidi w:val="0"/>
        <w:spacing w:before="0" w:after="360" w:line="240" w:lineRule="auto"/>
        <w:ind w:left="0" w:right="0" w:firstLine="0"/>
        <w:jc w:val="both"/>
      </w:pPr>
      <w:bookmarkStart w:id="462" w:name="bookmark462"/>
      <w:bookmarkStart w:id="463" w:name="bookmark463"/>
      <w:bookmarkStart w:id="464" w:name="bookmark464"/>
      <w:bookmarkStart w:id="465" w:name="bookmark465"/>
      <w:r>
        <w:rPr>
          <w:color w:val="000000"/>
          <w:spacing w:val="0"/>
          <w:w w:val="100"/>
          <w:position w:val="0"/>
          <w:sz w:val="24"/>
          <w:szCs w:val="24"/>
        </w:rPr>
        <w:t>八</w:t>
      </w:r>
      <w:bookmarkEnd w:id="464"/>
      <w:r>
        <w:rPr>
          <w:color w:val="000000"/>
          <w:spacing w:val="0"/>
          <w:w w:val="100"/>
          <w:position w:val="0"/>
          <w:sz w:val="24"/>
          <w:szCs w:val="24"/>
        </w:rPr>
        <w:t>、</w:t>
        <w:tab/>
        <w:t>聘任、解聘会计师事务所情况</w:t>
      </w:r>
      <w:bookmarkEnd w:id="462"/>
      <w:bookmarkEnd w:id="463"/>
      <w:bookmarkEnd w:id="46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唐炫、李丽华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w:t>
            </w:r>
            <w:r>
              <w:rPr>
                <w:rFonts w:ascii="Times New Roman" w:eastAsia="Times New Roman" w:hAnsi="Times New Roman" w:cs="Times New Roman"/>
                <w:color w:val="000000"/>
                <w:spacing w:val="0"/>
                <w:w w:val="100"/>
                <w:position w:val="0"/>
              </w:rPr>
              <w:t>3</w:t>
            </w:r>
            <w:r>
              <w:rPr>
                <w:color w:val="000000"/>
                <w:spacing w:val="0"/>
                <w:w w:val="100"/>
                <w:position w:val="0"/>
              </w:rPr>
              <w:t>年、李丽华</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3"/>
        <w:keepNext w:val="0"/>
        <w:keepLines w:val="0"/>
        <w:widowControl w:val="0"/>
        <w:shd w:val="clear" w:color="auto" w:fill="auto"/>
        <w:bidi w:val="0"/>
        <w:spacing w:before="0" w:after="40" w:line="307" w:lineRule="exact"/>
        <w:ind w:left="0" w:right="0" w:firstLine="0"/>
        <w:jc w:val="both"/>
      </w:pPr>
      <w:r>
        <w:rPr>
          <w:color w:val="000000"/>
          <w:spacing w:val="0"/>
          <w:w w:val="100"/>
          <w:position w:val="0"/>
        </w:rPr>
        <w:t>当期是否改聘会计师事务所</w:t>
      </w:r>
    </w:p>
    <w:p>
      <w:pPr>
        <w:pStyle w:val="Style13"/>
        <w:keepNext w:val="0"/>
        <w:keepLines w:val="0"/>
        <w:widowControl w:val="0"/>
        <w:shd w:val="clear" w:color="auto" w:fill="auto"/>
        <w:bidi w:val="0"/>
        <w:spacing w:before="0" w:after="40" w:line="307" w:lineRule="exact"/>
        <w:ind w:left="0" w:right="0" w:firstLine="0"/>
        <w:jc w:val="both"/>
      </w:pPr>
      <w:r>
        <w:rPr>
          <w:color w:val="000000"/>
          <w:spacing w:val="0"/>
          <w:w w:val="100"/>
          <w:position w:val="0"/>
        </w:rPr>
        <w:t>口是"否</w:t>
      </w:r>
    </w:p>
    <w:p>
      <w:pPr>
        <w:pStyle w:val="Style13"/>
        <w:keepNext w:val="0"/>
        <w:keepLines w:val="0"/>
        <w:widowControl w:val="0"/>
        <w:shd w:val="clear" w:color="auto" w:fill="auto"/>
        <w:bidi w:val="0"/>
        <w:spacing w:before="0" w:after="40" w:line="307" w:lineRule="exact"/>
        <w:ind w:left="0" w:right="0" w:firstLine="0"/>
        <w:jc w:val="both"/>
      </w:pPr>
      <w:r>
        <w:rPr>
          <w:color w:val="000000"/>
          <w:spacing w:val="0"/>
          <w:w w:val="100"/>
          <w:position w:val="0"/>
        </w:rPr>
        <w:t>聘请内部控制审计会计师事务所、财务顾问或保荐人情况</w:t>
      </w:r>
    </w:p>
    <w:p>
      <w:pPr>
        <w:pStyle w:val="Style13"/>
        <w:keepNext w:val="0"/>
        <w:keepLines w:val="0"/>
        <w:widowControl w:val="0"/>
        <w:shd w:val="clear" w:color="auto" w:fill="auto"/>
        <w:bidi w:val="0"/>
        <w:spacing w:before="0" w:after="40" w:line="307" w:lineRule="exact"/>
        <w:ind w:left="0" w:right="0" w:firstLine="0"/>
        <w:jc w:val="both"/>
      </w:pPr>
      <w:r>
        <w:rPr>
          <w:color w:val="000000"/>
          <w:spacing w:val="0"/>
          <w:w w:val="100"/>
          <w:position w:val="0"/>
        </w:rPr>
        <w:t>”适用口不适用</w:t>
      </w:r>
    </w:p>
    <w:p>
      <w:pPr>
        <w:pStyle w:val="Style13"/>
        <w:keepNext w:val="0"/>
        <w:keepLines w:val="0"/>
        <w:widowControl w:val="0"/>
        <w:shd w:val="clear" w:color="auto" w:fill="auto"/>
        <w:bidi w:val="0"/>
        <w:spacing w:before="0" w:after="360" w:line="307" w:lineRule="exact"/>
        <w:ind w:left="0" w:right="0"/>
        <w:jc w:val="left"/>
      </w:pPr>
      <w:r>
        <w:rPr>
          <w:color w:val="000000"/>
          <w:spacing w:val="0"/>
          <w:w w:val="100"/>
          <w:position w:val="0"/>
        </w:rPr>
        <w:t>报告期内，公司聘请信永中和会计师事务所（特殊普通合伙）为</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年度内部控制审计机构，审计费用为人民币</w:t>
      </w:r>
      <w:r>
        <w:rPr>
          <w:color w:val="000000"/>
          <w:spacing w:val="0"/>
          <w:w w:val="100"/>
          <w:position w:val="0"/>
        </w:rPr>
        <w:t>35</w:t>
      </w:r>
      <w:r>
        <w:rPr>
          <w:color w:val="000000"/>
          <w:spacing w:val="0"/>
          <w:w w:val="100"/>
          <w:position w:val="0"/>
        </w:rPr>
        <w:t>万元 （不包括在上述</w:t>
      </w:r>
      <w:r>
        <w:rPr>
          <w:color w:val="000000"/>
          <w:spacing w:val="0"/>
          <w:w w:val="100"/>
          <w:position w:val="0"/>
        </w:rPr>
        <w:t>215</w:t>
      </w:r>
      <w:r>
        <w:rPr>
          <w:color w:val="000000"/>
          <w:spacing w:val="0"/>
          <w:w w:val="100"/>
          <w:position w:val="0"/>
        </w:rPr>
        <w:t>万元内），公司尚未支付</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年度内部控制审计费。</w:t>
      </w:r>
    </w:p>
    <w:p>
      <w:pPr>
        <w:pStyle w:val="Style25"/>
        <w:keepNext/>
        <w:keepLines/>
        <w:widowControl w:val="0"/>
        <w:shd w:val="clear" w:color="auto" w:fill="auto"/>
        <w:bidi w:val="0"/>
        <w:spacing w:before="0" w:after="26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九</w:t>
      </w:r>
      <w:bookmarkEnd w:id="468"/>
      <w:r>
        <w:rPr>
          <w:color w:val="000000"/>
          <w:spacing w:val="0"/>
          <w:w w:val="100"/>
          <w:position w:val="0"/>
          <w:sz w:val="24"/>
          <w:szCs w:val="24"/>
        </w:rPr>
        <w:t>、年度报告披露后面临退市情况</w:t>
      </w:r>
      <w:bookmarkEnd w:id="466"/>
      <w:bookmarkEnd w:id="467"/>
      <w:bookmarkEnd w:id="469"/>
    </w:p>
    <w:p>
      <w:pPr>
        <w:pStyle w:val="Style13"/>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口适用”不适用</w:t>
      </w:r>
    </w:p>
    <w:p>
      <w:pPr>
        <w:pStyle w:val="Style25"/>
        <w:keepNext/>
        <w:keepLines/>
        <w:widowControl w:val="0"/>
        <w:shd w:val="clear" w:color="auto" w:fill="auto"/>
        <w:bidi w:val="0"/>
        <w:spacing w:before="0" w:after="260" w:line="240" w:lineRule="auto"/>
        <w:ind w:left="0" w:right="0" w:firstLine="0"/>
        <w:jc w:val="left"/>
      </w:pPr>
      <w:bookmarkStart w:id="470" w:name="bookmark470"/>
      <w:bookmarkStart w:id="471" w:name="bookmark471"/>
      <w:bookmarkStart w:id="472" w:name="bookmark472"/>
      <w:r>
        <w:rPr>
          <w:color w:val="000000"/>
          <w:spacing w:val="0"/>
          <w:w w:val="100"/>
          <w:position w:val="0"/>
          <w:sz w:val="24"/>
          <w:szCs w:val="24"/>
        </w:rPr>
        <w:t>十、破产重整相关事项</w:t>
      </w:r>
      <w:bookmarkEnd w:id="470"/>
      <w:bookmarkEnd w:id="471"/>
      <w:bookmarkEnd w:id="472"/>
    </w:p>
    <w:p>
      <w:pPr>
        <w:pStyle w:val="Style1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260" w:line="240" w:lineRule="auto"/>
        <w:ind w:left="0" w:right="0" w:firstLine="0"/>
        <w:jc w:val="left"/>
      </w:pPr>
      <w:bookmarkStart w:id="473" w:name="bookmark473"/>
      <w:bookmarkStart w:id="474" w:name="bookmark474"/>
      <w:bookmarkStart w:id="475" w:name="bookmark475"/>
      <w:r>
        <w:rPr>
          <w:color w:val="000000"/>
          <w:spacing w:val="0"/>
          <w:w w:val="100"/>
          <w:position w:val="0"/>
          <w:sz w:val="24"/>
          <w:szCs w:val="24"/>
        </w:rPr>
        <w:t>十一、重大诉讼、仲裁事项</w:t>
      </w:r>
      <w:bookmarkEnd w:id="473"/>
      <w:bookmarkEnd w:id="474"/>
      <w:bookmarkEnd w:id="475"/>
    </w:p>
    <w:p>
      <w:pPr>
        <w:pStyle w:val="Style13"/>
        <w:keepNext w:val="0"/>
        <w:keepLines w:val="0"/>
        <w:widowControl w:val="0"/>
        <w:shd w:val="clear" w:color="auto" w:fill="auto"/>
        <w:bidi w:val="0"/>
        <w:spacing w:before="0" w:after="260" w:line="307" w:lineRule="exact"/>
        <w:ind w:left="0" w:right="0" w:firstLine="0"/>
        <w:jc w:val="left"/>
      </w:pPr>
      <w:r>
        <w:rPr>
          <w:color w:val="000000"/>
          <w:spacing w:val="0"/>
          <w:w w:val="100"/>
          <w:position w:val="0"/>
        </w:rPr>
        <w:t>”适用口不适用</w:t>
      </w:r>
      <w:r>
        <w:br w:type="page"/>
      </w:r>
    </w:p>
    <w:tbl>
      <w:tblPr>
        <w:tblOverlap w:val="never"/>
        <w:jc w:val="center"/>
        <w:tblLayout w:type="fixed"/>
      </w:tblPr>
      <w:tblGrid>
        <w:gridCol w:w="1142"/>
        <w:gridCol w:w="950"/>
        <w:gridCol w:w="782"/>
        <w:gridCol w:w="1949"/>
        <w:gridCol w:w="1373"/>
        <w:gridCol w:w="979"/>
        <w:gridCol w:w="830"/>
        <w:gridCol w:w="1574"/>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基本情况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是否形</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成预计</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有关该案的基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北京市海淀区人民法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院作出《案件受理通知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本情况详见公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司在巨潮资讯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有关该案的基本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情况详见公司在</w:t>
            </w: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78"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因供应商安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日，北京市海淀区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rPr>
              <w:t>http://www.cnin</w:t>
            </w:r>
            <w:r>
              <w:fldChar w:fldCharType="end"/>
            </w:r>
          </w:p>
        </w:tc>
      </w:tr>
      <w:tr>
        <w:trPr>
          <w:trHeight w:val="16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力博发集团 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安力博发</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未按要求交 付货物，信 息系统向北 京市海淀区</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4,672</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人民法院作出（</w:t>
            </w:r>
            <w:r>
              <w:rPr>
                <w:rFonts w:ascii="Times New Roman" w:eastAsia="Times New Roman" w:hAnsi="Times New Roman" w:cs="Times New Roman"/>
                <w:color w:val="000000"/>
                <w:spacing w:val="0"/>
                <w:w w:val="100"/>
                <w:position w:val="0"/>
              </w:rPr>
              <w:t>2014</w:t>
            </w:r>
            <w:r>
              <w:rPr>
                <w:color w:val="000000"/>
                <w:spacing w:val="0"/>
                <w:w w:val="100"/>
                <w:position w:val="0"/>
              </w:rPr>
              <w:t>） 海民（商）初字第</w:t>
            </w:r>
            <w:r>
              <w:rPr>
                <w:rFonts w:ascii="Times New Roman" w:eastAsia="Times New Roman" w:hAnsi="Times New Roman" w:cs="Times New Roman"/>
                <w:color w:val="000000"/>
                <w:spacing w:val="0"/>
                <w:w w:val="100"/>
                <w:position w:val="0"/>
              </w:rPr>
              <w:t xml:space="preserve">17530 </w:t>
            </w:r>
            <w:r>
              <w:rPr>
                <w:color w:val="000000"/>
                <w:spacing w:val="0"/>
                <w:w w:val="100"/>
                <w:position w:val="0"/>
              </w:rPr>
              <w:t xml:space="preserve">号《民事判决书》，判 决如下：安力博发于本 判决生效后十日内偿 付信息系统价款 </w:t>
            </w:r>
            <w:r>
              <w:rPr>
                <w:rFonts w:ascii="Times New Roman" w:eastAsia="Times New Roman" w:hAnsi="Times New Roman" w:cs="Times New Roman"/>
                <w:color w:val="000000"/>
                <w:spacing w:val="0"/>
                <w:w w:val="100"/>
                <w:position w:val="0"/>
              </w:rPr>
              <w:t>38,876,998</w:t>
            </w:r>
            <w:r>
              <w:rPr>
                <w:color w:val="000000"/>
                <w:spacing w:val="0"/>
                <w:w w:val="100"/>
                <w:position w:val="0"/>
              </w:rPr>
              <w:t>元及利息损</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ninfo.com.cn</w:t>
            </w:r>
            <w:r>
              <w:rPr>
                <w:color w:val="000000"/>
                <w:spacing w:val="0"/>
                <w:w w:val="100"/>
                <w:position w:val="0"/>
              </w:rPr>
              <w:t xml:space="preserve">） </w:t>
            </w:r>
            <w:r>
              <w:rPr>
                <w:color w:val="000000"/>
                <w:spacing w:val="0"/>
                <w:w w:val="100"/>
                <w:position w:val="0"/>
              </w:rPr>
              <w:t>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日披露的</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《诉讼公告》、</w:t>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日披露的</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年半年</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本案一审 判决已经 生效，截 至本报告 披露日暂 无执行结 果。</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31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fo.com.cn</w:t>
            </w:r>
            <w:r>
              <w:rPr>
                <w:color w:val="000000"/>
                <w:spacing w:val="0"/>
                <w:w w:val="100"/>
                <w:position w:val="0"/>
              </w:rPr>
              <w:t>)</w:t>
            </w:r>
            <w:r>
              <w:rPr>
                <w:color w:val="000000"/>
                <w:spacing w:val="0"/>
                <w:w w:val="100"/>
                <w:position w:val="0"/>
              </w:rPr>
              <w:t>于</w:t>
            </w: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披露的《诉讼公</w:t>
            </w: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p>
        </w:tc>
      </w:tr>
      <w:tr>
        <w:trPr>
          <w:trHeight w:val="30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日披露的</w:t>
            </w:r>
          </w:p>
        </w:tc>
      </w:tr>
      <w:tr>
        <w:trPr>
          <w:trHeight w:val="31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年半年度</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w:t>
            </w:r>
            <w:r>
              <w:rPr>
                <w:rFonts w:ascii="Times New Roman" w:eastAsia="Times New Roman" w:hAnsi="Times New Roman" w:cs="Times New Roman"/>
                <w:color w:val="000000"/>
                <w:spacing w:val="0"/>
                <w:w w:val="100"/>
                <w:position w:val="0"/>
              </w:rPr>
              <w:t>'</w:t>
            </w:r>
            <w:r>
              <w:rPr>
                <w:color w:val="000000"/>
                <w:spacing w:val="0"/>
                <w:w w:val="100"/>
                <w:position w:val="0"/>
              </w:rPr>
              <w:t>重大诉讼</w:t>
            </w: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人民法院提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失 </w:t>
            </w:r>
            <w:r>
              <w:rPr>
                <w:rFonts w:ascii="Times New Roman" w:eastAsia="Times New Roman" w:hAnsi="Times New Roman" w:cs="Times New Roman"/>
                <w:color w:val="000000"/>
                <w:spacing w:val="0"/>
                <w:w w:val="100"/>
                <w:position w:val="0"/>
              </w:rPr>
              <w:t xml:space="preserve">7,849,265.9 </w:t>
            </w:r>
            <w:r>
              <w:rPr>
                <w:color w:val="000000"/>
                <w:spacing w:val="0"/>
                <w:w w:val="100"/>
                <w:position w:val="0"/>
              </w:rPr>
              <w:t>元。案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度报告》''重大</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仲裁事项</w:t>
            </w:r>
            <w:r>
              <w:rPr>
                <w:rFonts w:ascii="Times New Roman" w:eastAsia="Times New Roman" w:hAnsi="Times New Roman" w:cs="Times New Roman"/>
                <w:color w:val="000000"/>
                <w:spacing w:val="0"/>
                <w:w w:val="100"/>
                <w:position w:val="0"/>
              </w:rPr>
              <w:t>'</w:t>
            </w:r>
            <w:r>
              <w:rPr>
                <w:color w:val="000000"/>
                <w:spacing w:val="0"/>
                <w:w w:val="100"/>
                <w:position w:val="0"/>
              </w:rPr>
              <w:t>部分及</w:t>
            </w:r>
          </w:p>
        </w:tc>
      </w:tr>
      <w:tr>
        <w:trPr>
          <w:trHeight w:val="245"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起诉讼。</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件受理费</w:t>
            </w:r>
            <w:r>
              <w:rPr>
                <w:rFonts w:ascii="Times New Roman" w:eastAsia="Times New Roman" w:hAnsi="Times New Roman" w:cs="Times New Roman"/>
                <w:color w:val="000000"/>
                <w:spacing w:val="0"/>
                <w:w w:val="100"/>
                <w:position w:val="0"/>
              </w:rPr>
              <w:t>137,716</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（信息系统公司已预 交），由安力博发负担，</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诉讼仲裁事项</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部分及</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0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披露的《诉讼进展</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公告》内容。</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于本判决生效后</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的《诉讼进展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内交纳。</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公告》内容。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报告期内新增 案件中已审结 金额约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报告期内新增案件金</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2,796.49 </w:t>
            </w:r>
            <w:r>
              <w:rPr>
                <w:color w:val="000000"/>
                <w:spacing w:val="0"/>
                <w:w w:val="100"/>
                <w:position w:val="0"/>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生的以及以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额约</w:t>
            </w:r>
            <w:r>
              <w:rPr>
                <w:rFonts w:ascii="Times New Roman" w:eastAsia="Times New Roman" w:hAnsi="Times New Roman" w:cs="Times New Roman"/>
                <w:color w:val="000000"/>
                <w:spacing w:val="0"/>
                <w:w w:val="100"/>
                <w:position w:val="0"/>
              </w:rPr>
              <w:t>8245.27</w:t>
            </w:r>
            <w:r>
              <w:rPr>
                <w:color w:val="000000"/>
                <w:spacing w:val="0"/>
                <w:w w:val="100"/>
                <w:position w:val="0"/>
              </w:rPr>
              <w:t>万元；以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以往年度发生</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已审结部 分按判 决、裁决 结果执行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往年度发生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往年度发生延续至本</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延续至本年度</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延续至本年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20,764.31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年度案件金额约</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案件中已审结</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度的其他诉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12519.04</w:t>
            </w:r>
            <w:r>
              <w:rPr>
                <w:color w:val="000000"/>
                <w:spacing w:val="0"/>
                <w:w w:val="100"/>
                <w:position w:val="0"/>
              </w:rPr>
              <w:t>万元，部分尚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金额约</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讼、仲裁等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待开庭、部分正在审</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7,408.49 </w:t>
            </w:r>
            <w:r>
              <w:rPr>
                <w:color w:val="000000"/>
                <w:spacing w:val="0"/>
                <w:w w:val="100"/>
                <w:position w:val="0"/>
              </w:rPr>
              <w:t>万元，</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96"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案件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理、部分已审结。</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未审结案件尚 在审理中，对 公司无重大影 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r>
        <w:rPr>
          <w:color w:val="000000"/>
          <w:spacing w:val="0"/>
          <w:w w:val="100"/>
          <w:position w:val="0"/>
          <w:sz w:val="24"/>
          <w:szCs w:val="24"/>
        </w:rPr>
        <w:t>十二、处罚及整改情况</w:t>
      </w:r>
      <w:bookmarkEnd w:id="476"/>
      <w:bookmarkEnd w:id="477"/>
      <w:bookmarkEnd w:id="478"/>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60" w:line="240" w:lineRule="auto"/>
        <w:ind w:left="0" w:right="0" w:firstLine="0"/>
        <w:jc w:val="left"/>
      </w:pPr>
      <w:bookmarkStart w:id="479" w:name="bookmark479"/>
      <w:bookmarkStart w:id="480" w:name="bookmark480"/>
      <w:bookmarkStart w:id="481" w:name="bookmark481"/>
      <w:r>
        <w:rPr>
          <w:color w:val="000000"/>
          <w:spacing w:val="0"/>
          <w:w w:val="100"/>
          <w:position w:val="0"/>
          <w:sz w:val="24"/>
          <w:szCs w:val="24"/>
        </w:rPr>
        <w:t>十三、公司及其控股股东、实际控制人的诚信状况</w:t>
      </w:r>
      <w:bookmarkEnd w:id="479"/>
      <w:bookmarkEnd w:id="480"/>
      <w:bookmarkEnd w:id="481"/>
    </w:p>
    <w:p>
      <w:pPr>
        <w:pStyle w:val="Style1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094" w:bottom="1748" w:left="1086" w:header="0" w:footer="3" w:gutter="0"/>
          <w:cols w:space="720"/>
          <w:noEndnote/>
          <w:rtlGutter w:val="0"/>
          <w:docGrid w:linePitch="360"/>
        </w:sectPr>
      </w:pPr>
      <w:r>
        <w:rPr>
          <w:color w:val="000000"/>
          <w:spacing w:val="0"/>
          <w:w w:val="100"/>
          <w:position w:val="0"/>
        </w:rPr>
        <w:t>口适用”不适用</w:t>
      </w:r>
    </w:p>
    <w:p>
      <w:pPr>
        <w:pStyle w:val="Style25"/>
        <w:keepNext/>
        <w:keepLines/>
        <w:widowControl w:val="0"/>
        <w:shd w:val="clear" w:color="auto" w:fill="auto"/>
        <w:bidi w:val="0"/>
        <w:spacing w:before="0" w:after="360" w:line="240" w:lineRule="auto"/>
        <w:ind w:left="0" w:right="0" w:firstLine="0"/>
        <w:jc w:val="left"/>
      </w:pPr>
      <w:bookmarkStart w:id="482" w:name="bookmark482"/>
      <w:bookmarkStart w:id="483" w:name="bookmark483"/>
      <w:bookmarkStart w:id="484" w:name="bookmark484"/>
      <w:r>
        <w:rPr>
          <w:color w:val="000000"/>
          <w:spacing w:val="0"/>
          <w:w w:val="100"/>
          <w:position w:val="0"/>
          <w:sz w:val="24"/>
          <w:szCs w:val="24"/>
        </w:rPr>
        <w:t>十四、重大关联交易</w:t>
      </w:r>
      <w:bookmarkEnd w:id="482"/>
      <w:bookmarkEnd w:id="483"/>
      <w:bookmarkEnd w:id="484"/>
    </w:p>
    <w:p>
      <w:pPr>
        <w:pStyle w:val="Style29"/>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、与日常经营相关的关联交易</w:t>
      </w:r>
      <w:bookmarkEnd w:id="485"/>
      <w:bookmarkEnd w:id="486"/>
      <w:bookmarkEnd w:id="488"/>
    </w:p>
    <w:p>
      <w:pPr>
        <w:pStyle w:val="Style27"/>
        <w:keepNext w:val="0"/>
        <w:keepLines w:val="0"/>
        <w:widowControl w:val="0"/>
        <w:shd w:val="clear" w:color="auto" w:fill="auto"/>
        <w:bidi w:val="0"/>
        <w:spacing w:before="0" w:after="0" w:line="240" w:lineRule="auto"/>
        <w:ind w:left="110" w:right="0" w:firstLine="0"/>
        <w:jc w:val="left"/>
      </w:pPr>
      <w:r>
        <w:rPr>
          <w:color w:val="000000"/>
          <w:spacing w:val="0"/>
          <w:w w:val="100"/>
          <w:position w:val="0"/>
        </w:rPr>
        <w:t>”适用口不适用</w:t>
      </w:r>
    </w:p>
    <w:tbl>
      <w:tblPr>
        <w:tblOverlap w:val="never"/>
        <w:jc w:val="center"/>
        <w:tblLayout w:type="fixed"/>
      </w:tblPr>
      <w:tblGrid>
        <w:gridCol w:w="1162"/>
        <w:gridCol w:w="1190"/>
        <w:gridCol w:w="715"/>
        <w:gridCol w:w="1142"/>
        <w:gridCol w:w="926"/>
        <w:gridCol w:w="720"/>
        <w:gridCol w:w="1090"/>
        <w:gridCol w:w="936"/>
        <w:gridCol w:w="941"/>
        <w:gridCol w:w="782"/>
        <w:gridCol w:w="931"/>
        <w:gridCol w:w="869"/>
        <w:gridCol w:w="1282"/>
        <w:gridCol w:w="1483"/>
      </w:tblGrid>
      <w:tr>
        <w:trPr>
          <w:trHeight w:val="137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关联</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交易</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关联</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交易</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关联交易</w:t>
            </w:r>
          </w:p>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金额（万</w:t>
            </w:r>
          </w:p>
          <w:p>
            <w:pPr>
              <w:pStyle w:val="Style2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占同类交</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易金额的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获批的交</w:t>
            </w:r>
          </w:p>
          <w:p>
            <w:pPr>
              <w:pStyle w:val="Style2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易额度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过获批</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披露索引</w:t>
            </w:r>
          </w:p>
        </w:tc>
      </w:tr>
      <w:tr>
        <w:trPr>
          <w:trHeight w:val="13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神州数码控 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受同一控股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股东及最终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控制方控制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销售商品、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技术服务或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10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神州数码集 团股份有限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神州数码集 团股份有限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技术服务或 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北京神州邦</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邦技术服务</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销售商品、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技术服务或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10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中国南方航</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空股份有限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董监高在外 任职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销售商品、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技术服务或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73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神州数码控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受同一控股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股东及最终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市场价 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4,842.14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按照合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同进行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市场价 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2021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http://www.cni</w:t>
            </w:r>
            <w:r>
              <w:fldChar w:fldCharType="end"/>
            </w:r>
          </w:p>
        </w:tc>
      </w:tr>
    </w:tbl>
    <w:p>
      <w:pPr>
        <w:spacing w:lineRule="exact" w:line="1"/>
        <w:rPr>
          <w:sz w:val="2"/>
          <w:szCs w:val="2"/>
        </w:rPr>
      </w:pPr>
      <w:r>
        <w:br w:type="page"/>
      </w:r>
    </w:p>
    <w:tbl>
      <w:tblPr>
        <w:tblOverlap w:val="never"/>
        <w:jc w:val="center"/>
        <w:tblLayout w:type="fixed"/>
      </w:tblPr>
      <w:tblGrid>
        <w:gridCol w:w="1162"/>
        <w:gridCol w:w="1190"/>
        <w:gridCol w:w="715"/>
        <w:gridCol w:w="1142"/>
        <w:gridCol w:w="926"/>
        <w:gridCol w:w="720"/>
        <w:gridCol w:w="1090"/>
        <w:gridCol w:w="936"/>
        <w:gridCol w:w="941"/>
        <w:gridCol w:w="782"/>
        <w:gridCol w:w="931"/>
        <w:gridCol w:w="869"/>
        <w:gridCol w:w="1282"/>
        <w:gridCol w:w="1483"/>
      </w:tblGrid>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控制方控制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nfo.com.cn</w:t>
            </w:r>
            <w:r>
              <w:rPr>
                <w:color w:val="000000"/>
                <w:spacing w:val="0"/>
                <w:w w:val="100"/>
                <w:position w:val="0"/>
              </w:rPr>
              <w:t>)</w:t>
            </w:r>
          </w:p>
        </w:tc>
      </w:tr>
      <w:tr>
        <w:trPr>
          <w:trHeight w:val="13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神州数码控 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受同一控股 股东及最终 控制方控制 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采购行政办 公服务、货 运服务及其 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1,436.79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神州数码集 团股份有限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24,189.2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13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神州数码集 团股份有限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5" w:lineRule="exact"/>
              <w:ind w:left="0" w:right="0" w:firstLine="0"/>
              <w:jc w:val="left"/>
            </w:pPr>
            <w:r>
              <w:rPr>
                <w:color w:val="000000"/>
                <w:spacing w:val="0"/>
                <w:w w:val="100"/>
                <w:position w:val="0"/>
              </w:rPr>
              <w:t>采购行政办 公服务、货 运服务及其 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2,770.94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10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邦技术服务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采购商品及 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20,419.05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40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54,660.98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016"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按类别对本期将发生的日 常关联交易进行总金额预 计的，在报告期内的实际履 行情况</w:t>
            </w:r>
          </w:p>
        </w:tc>
        <w:tc>
          <w:tcPr>
            <w:gridSpan w:val="1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年关联方交易情况：对神州控股关联销售预计</w:t>
            </w:r>
            <w:r>
              <w:rPr>
                <w:rFonts w:ascii="Times New Roman" w:eastAsia="Times New Roman" w:hAnsi="Times New Roman" w:cs="Times New Roman"/>
                <w:color w:val="000000"/>
                <w:spacing w:val="0"/>
                <w:w w:val="100"/>
                <w:position w:val="0"/>
              </w:rPr>
              <w:t>11,000.00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113.66</w:t>
            </w:r>
            <w:r>
              <w:rPr>
                <w:color w:val="000000"/>
                <w:spacing w:val="0"/>
                <w:w w:val="100"/>
                <w:position w:val="0"/>
              </w:rPr>
              <w:t>万元；对神州控股关联采购商品预计</w:t>
            </w:r>
            <w:r>
              <w:rPr>
                <w:rFonts w:ascii="Times New Roman" w:eastAsia="Times New Roman" w:hAnsi="Times New Roman" w:cs="Times New Roman"/>
                <w:color w:val="000000"/>
                <w:spacing w:val="0"/>
                <w:w w:val="100"/>
                <w:position w:val="0"/>
              </w:rPr>
              <w:t>41,000.00</w:t>
            </w:r>
            <w:r>
              <w:rPr>
                <w:color w:val="000000"/>
                <w:spacing w:val="0"/>
                <w:w w:val="100"/>
                <w:position w:val="0"/>
              </w:rPr>
              <w:t xml:space="preserve">万元，实际履行 </w:t>
            </w:r>
            <w:r>
              <w:rPr>
                <w:rFonts w:ascii="Times New Roman" w:eastAsia="Times New Roman" w:hAnsi="Times New Roman" w:cs="Times New Roman"/>
                <w:color w:val="000000"/>
                <w:spacing w:val="0"/>
                <w:w w:val="100"/>
                <w:position w:val="0"/>
              </w:rPr>
              <w:t>4,842.14</w:t>
            </w:r>
            <w:r>
              <w:rPr>
                <w:color w:val="000000"/>
                <w:spacing w:val="0"/>
                <w:w w:val="100"/>
                <w:position w:val="0"/>
              </w:rPr>
              <w:t>万元;对神州控股关联采购行政办公服务、货运服务及其它预计</w:t>
            </w:r>
            <w:r>
              <w:rPr>
                <w:rFonts w:ascii="Times New Roman" w:eastAsia="Times New Roman" w:hAnsi="Times New Roman" w:cs="Times New Roman"/>
                <w:color w:val="000000"/>
                <w:spacing w:val="0"/>
                <w:w w:val="100"/>
                <w:position w:val="0"/>
              </w:rPr>
              <w:t>1,600.00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1,436.79</w:t>
            </w:r>
            <w:r>
              <w:rPr>
                <w:color w:val="000000"/>
                <w:spacing w:val="0"/>
                <w:w w:val="100"/>
                <w:position w:val="0"/>
              </w:rPr>
              <w:t>万元;对神州数码关联销售商品预计</w:t>
            </w:r>
            <w:r>
              <w:rPr>
                <w:rFonts w:ascii="Times New Roman" w:eastAsia="Times New Roman" w:hAnsi="Times New Roman" w:cs="Times New Roman"/>
                <w:color w:val="000000"/>
                <w:spacing w:val="0"/>
                <w:w w:val="100"/>
                <w:position w:val="0"/>
              </w:rPr>
              <w:t xml:space="preserve">3,500.00 </w:t>
            </w:r>
            <w:r>
              <w:rPr>
                <w:color w:val="000000"/>
                <w:spacing w:val="0"/>
                <w:w w:val="100"/>
                <w:position w:val="0"/>
              </w:rPr>
              <w:t>万元，实际履行</w:t>
            </w:r>
            <w:r>
              <w:rPr>
                <w:rFonts w:ascii="Times New Roman" w:eastAsia="Times New Roman" w:hAnsi="Times New Roman" w:cs="Times New Roman"/>
                <w:color w:val="000000"/>
                <w:spacing w:val="0"/>
                <w:w w:val="100"/>
                <w:position w:val="0"/>
              </w:rPr>
              <w:t>0</w:t>
            </w:r>
            <w:r>
              <w:rPr>
                <w:color w:val="000000"/>
                <w:spacing w:val="0"/>
                <w:w w:val="100"/>
                <w:position w:val="0"/>
              </w:rPr>
              <w:t>万元；对神州数码关联销售技术服务或劳务预计</w:t>
            </w:r>
            <w:r>
              <w:rPr>
                <w:rFonts w:ascii="Times New Roman" w:eastAsia="Times New Roman" w:hAnsi="Times New Roman" w:cs="Times New Roman"/>
                <w:color w:val="000000"/>
                <w:spacing w:val="0"/>
                <w:w w:val="100"/>
                <w:position w:val="0"/>
              </w:rPr>
              <w:t>4,000.00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110.06</w:t>
            </w:r>
            <w:r>
              <w:rPr>
                <w:color w:val="000000"/>
                <w:spacing w:val="0"/>
                <w:w w:val="100"/>
                <w:position w:val="0"/>
              </w:rPr>
              <w:t>万元；对神州数码关联采购商品预计</w:t>
            </w:r>
            <w:r>
              <w:rPr>
                <w:rFonts w:ascii="Times New Roman" w:eastAsia="Times New Roman" w:hAnsi="Times New Roman" w:cs="Times New Roman"/>
                <w:color w:val="000000"/>
                <w:spacing w:val="0"/>
                <w:w w:val="100"/>
                <w:position w:val="0"/>
              </w:rPr>
              <w:t>40,000.00</w:t>
            </w:r>
            <w:r>
              <w:rPr>
                <w:color w:val="000000"/>
                <w:spacing w:val="0"/>
                <w:w w:val="100"/>
                <w:position w:val="0"/>
              </w:rPr>
              <w:t>万 元，实际履行</w:t>
            </w:r>
            <w:r>
              <w:rPr>
                <w:rFonts w:ascii="Times New Roman" w:eastAsia="Times New Roman" w:hAnsi="Times New Roman" w:cs="Times New Roman"/>
                <w:color w:val="000000"/>
                <w:spacing w:val="0"/>
                <w:w w:val="100"/>
                <w:position w:val="0"/>
              </w:rPr>
              <w:t>24,189.2</w:t>
            </w:r>
            <w:r>
              <w:rPr>
                <w:color w:val="000000"/>
                <w:spacing w:val="0"/>
                <w:w w:val="100"/>
                <w:position w:val="0"/>
              </w:rPr>
              <w:t>万元；对神州数码关联采购行政办公服务、货运服务及其它预计</w:t>
            </w:r>
            <w:r>
              <w:rPr>
                <w:rFonts w:ascii="Times New Roman" w:eastAsia="Times New Roman" w:hAnsi="Times New Roman" w:cs="Times New Roman"/>
                <w:color w:val="000000"/>
                <w:spacing w:val="0"/>
                <w:w w:val="100"/>
                <w:position w:val="0"/>
              </w:rPr>
              <w:t>4,800.00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2,770.94</w:t>
            </w:r>
            <w:r>
              <w:rPr>
                <w:color w:val="000000"/>
                <w:spacing w:val="0"/>
                <w:w w:val="100"/>
                <w:position w:val="0"/>
              </w:rPr>
              <w:t>万元；对神州邦邦关联采 购商品及其他预计</w:t>
            </w:r>
            <w:r>
              <w:rPr>
                <w:rFonts w:ascii="Times New Roman" w:eastAsia="Times New Roman" w:hAnsi="Times New Roman" w:cs="Times New Roman"/>
                <w:color w:val="000000"/>
                <w:spacing w:val="0"/>
                <w:w w:val="100"/>
                <w:position w:val="0"/>
              </w:rPr>
              <w:t>40,000.00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20,419.05</w:t>
            </w:r>
            <w:r>
              <w:rPr>
                <w:color w:val="000000"/>
                <w:spacing w:val="0"/>
                <w:w w:val="100"/>
                <w:position w:val="0"/>
              </w:rPr>
              <w:t>万元；对神州邦邦关联销售商品、技术服务或劳务预计</w:t>
            </w:r>
            <w:r>
              <w:rPr>
                <w:rFonts w:ascii="Times New Roman" w:eastAsia="Times New Roman" w:hAnsi="Times New Roman" w:cs="Times New Roman"/>
                <w:color w:val="000000"/>
                <w:spacing w:val="0"/>
                <w:w w:val="100"/>
                <w:position w:val="0"/>
              </w:rPr>
              <w:t>1,000.00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169.91</w:t>
            </w:r>
            <w:r>
              <w:rPr>
                <w:color w:val="000000"/>
                <w:spacing w:val="0"/>
                <w:w w:val="100"/>
                <w:position w:val="0"/>
              </w:rPr>
              <w:t>万元； 对南方航空关联销售预计</w:t>
            </w:r>
            <w:r>
              <w:rPr>
                <w:rFonts w:ascii="Times New Roman" w:eastAsia="Times New Roman" w:hAnsi="Times New Roman" w:cs="Times New Roman"/>
                <w:color w:val="000000"/>
                <w:spacing w:val="0"/>
                <w:w w:val="100"/>
                <w:position w:val="0"/>
              </w:rPr>
              <w:t>9,000.00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609.23</w:t>
            </w:r>
            <w:r>
              <w:rPr>
                <w:color w:val="000000"/>
                <w:spacing w:val="0"/>
                <w:w w:val="100"/>
                <w:position w:val="0"/>
              </w:rPr>
              <w:t>万元。</w:t>
            </w:r>
          </w:p>
        </w:tc>
      </w:tr>
      <w:tr>
        <w:trPr>
          <w:trHeight w:val="734"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交易价格与市场参考价格 差异较大的原因</w:t>
            </w:r>
          </w:p>
        </w:tc>
        <w:tc>
          <w:tcPr>
            <w:gridSpan w:val="1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114" w:right="1340" w:bottom="1449" w:left="1330" w:header="0" w:footer="3" w:gutter="0"/>
          <w:cols w:space="720"/>
          <w:noEndnote/>
          <w:rtlGutter w:val="0"/>
          <w:docGrid w:linePitch="360"/>
        </w:sectPr>
      </w:pPr>
    </w:p>
    <w:p>
      <w:pPr>
        <w:pStyle w:val="Style13"/>
        <w:keepNext w:val="0"/>
        <w:keepLines w:val="0"/>
        <w:widowControl w:val="0"/>
        <w:shd w:val="clear" w:color="auto" w:fill="auto"/>
        <w:bidi w:val="0"/>
        <w:spacing w:before="0" w:after="340" w:line="307" w:lineRule="exact"/>
        <w:ind w:left="0" w:right="0" w:firstLine="0"/>
        <w:jc w:val="left"/>
      </w:pPr>
      <w:r>
        <w:rPr>
          <w:color w:val="000000"/>
          <w:spacing w:val="0"/>
          <w:w w:val="100"/>
          <w:position w:val="0"/>
        </w:rPr>
        <w:t>注：公司分别于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日召开第八届董事会第九次会议、第八届董事会第十二次会议审议通过了《关 于预计</w:t>
      </w:r>
      <w:r>
        <w:rPr>
          <w:color w:val="000000"/>
          <w:spacing w:val="0"/>
          <w:w w:val="100"/>
          <w:position w:val="0"/>
        </w:rPr>
        <w:t>2021</w:t>
      </w:r>
      <w:r>
        <w:rPr>
          <w:color w:val="000000"/>
          <w:spacing w:val="0"/>
          <w:w w:val="100"/>
          <w:position w:val="0"/>
        </w:rPr>
        <w:t>年度日常关联交易额度的议案》、《关于增加</w:t>
      </w:r>
      <w:r>
        <w:rPr>
          <w:color w:val="000000"/>
          <w:spacing w:val="0"/>
          <w:w w:val="100"/>
          <w:position w:val="0"/>
        </w:rPr>
        <w:t>2021</w:t>
      </w:r>
      <w:r>
        <w:rPr>
          <w:color w:val="000000"/>
          <w:spacing w:val="0"/>
          <w:w w:val="100"/>
          <w:position w:val="0"/>
        </w:rPr>
        <w:t>年度日常关联交易额度的议案》。</w:t>
      </w:r>
    </w:p>
    <w:p>
      <w:pPr>
        <w:pStyle w:val="Style29"/>
        <w:keepNext/>
        <w:keepLines/>
        <w:widowControl w:val="0"/>
        <w:shd w:val="clear" w:color="auto" w:fill="auto"/>
        <w:tabs>
          <w:tab w:pos="378" w:val="left"/>
        </w:tabs>
        <w:bidi w:val="0"/>
        <w:spacing w:before="0" w:after="26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2</w:t>
      </w:r>
      <w:bookmarkEnd w:id="491"/>
      <w:r>
        <w:rPr>
          <w:color w:val="000000"/>
          <w:spacing w:val="0"/>
          <w:w w:val="100"/>
          <w:position w:val="0"/>
        </w:rPr>
        <w:t>、</w:t>
        <w:tab/>
        <w:t>资产或股权收购、出售发生的关联交易</w:t>
      </w:r>
      <w:bookmarkEnd w:id="489"/>
      <w:bookmarkEnd w:id="490"/>
      <w:bookmarkEnd w:id="492"/>
    </w:p>
    <w:p>
      <w:pPr>
        <w:pStyle w:val="Style1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26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t>共同对外投资的关联交易</w:t>
      </w:r>
      <w:bookmarkEnd w:id="493"/>
      <w:bookmarkEnd w:id="494"/>
      <w:bookmarkEnd w:id="496"/>
    </w:p>
    <w:p>
      <w:pPr>
        <w:pStyle w:val="Style1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26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4</w:t>
      </w:r>
      <w:bookmarkEnd w:id="499"/>
      <w:r>
        <w:rPr>
          <w:color w:val="000000"/>
          <w:spacing w:val="0"/>
          <w:w w:val="100"/>
          <w:position w:val="0"/>
        </w:rPr>
        <w:t>、</w:t>
        <w:tab/>
        <w:t>关联债权债务往来</w:t>
      </w:r>
      <w:bookmarkEnd w:id="497"/>
      <w:bookmarkEnd w:id="498"/>
      <w:bookmarkEnd w:id="500"/>
    </w:p>
    <w:p>
      <w:pPr>
        <w:pStyle w:val="Style1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5</w:t>
      </w:r>
      <w:bookmarkEnd w:id="503"/>
      <w:r>
        <w:rPr>
          <w:color w:val="000000"/>
          <w:spacing w:val="0"/>
          <w:w w:val="100"/>
          <w:position w:val="0"/>
        </w:rPr>
        <w:t>、</w:t>
        <w:tab/>
        <w:t>与存在关联关系的财务公司的往来情况</w:t>
      </w:r>
      <w:bookmarkEnd w:id="501"/>
      <w:bookmarkEnd w:id="502"/>
      <w:bookmarkEnd w:id="504"/>
    </w:p>
    <w:p>
      <w:pPr>
        <w:pStyle w:val="Style1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6</w:t>
      </w:r>
      <w:bookmarkEnd w:id="507"/>
      <w:r>
        <w:rPr>
          <w:color w:val="000000"/>
          <w:spacing w:val="0"/>
          <w:w w:val="100"/>
          <w:position w:val="0"/>
        </w:rPr>
        <w:t>、</w:t>
        <w:tab/>
        <w:t>公司控股的财务公司与关联方的往来情况</w:t>
      </w:r>
      <w:bookmarkEnd w:id="505"/>
      <w:bookmarkEnd w:id="506"/>
      <w:bookmarkEnd w:id="508"/>
    </w:p>
    <w:p>
      <w:pPr>
        <w:pStyle w:val="Style1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7</w:t>
      </w:r>
      <w:bookmarkEnd w:id="511"/>
      <w:r>
        <w:rPr>
          <w:color w:val="000000"/>
          <w:spacing w:val="0"/>
          <w:w w:val="100"/>
          <w:position w:val="0"/>
        </w:rPr>
        <w:t>、</w:t>
        <w:tab/>
        <w:t>其他重大关联交易</w:t>
      </w:r>
      <w:bookmarkEnd w:id="509"/>
      <w:bookmarkEnd w:id="510"/>
      <w:bookmarkEnd w:id="512"/>
    </w:p>
    <w:p>
      <w:pPr>
        <w:pStyle w:val="Style1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40" w:line="240" w:lineRule="auto"/>
        <w:ind w:left="0" w:right="0" w:firstLine="0"/>
        <w:jc w:val="left"/>
      </w:pPr>
      <w:bookmarkStart w:id="513" w:name="bookmark513"/>
      <w:bookmarkStart w:id="514" w:name="bookmark514"/>
      <w:bookmarkStart w:id="515" w:name="bookmark515"/>
      <w:r>
        <w:rPr>
          <w:color w:val="000000"/>
          <w:spacing w:val="0"/>
          <w:w w:val="100"/>
          <w:position w:val="0"/>
          <w:sz w:val="24"/>
          <w:szCs w:val="24"/>
        </w:rPr>
        <w:t>十五、重大合同及其履行情况</w:t>
      </w:r>
      <w:bookmarkEnd w:id="513"/>
      <w:bookmarkEnd w:id="514"/>
      <w:bookmarkEnd w:id="515"/>
    </w:p>
    <w:p>
      <w:pPr>
        <w:pStyle w:val="Style29"/>
        <w:keepNext/>
        <w:keepLines/>
        <w:widowControl w:val="0"/>
        <w:shd w:val="clear" w:color="auto" w:fill="auto"/>
        <w:bidi w:val="0"/>
        <w:spacing w:before="0" w:after="34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、托管、承包、租赁事项情况</w:t>
      </w:r>
      <w:bookmarkEnd w:id="516"/>
      <w:bookmarkEnd w:id="517"/>
      <w:bookmarkEnd w:id="519"/>
    </w:p>
    <w:p>
      <w:pPr>
        <w:pStyle w:val="Style37"/>
        <w:keepNext/>
        <w:keepLines/>
        <w:widowControl w:val="0"/>
        <w:numPr>
          <w:ilvl w:val="0"/>
          <w:numId w:val="11"/>
        </w:numPr>
        <w:shd w:val="clear" w:color="auto" w:fill="auto"/>
        <w:bidi w:val="0"/>
        <w:spacing w:before="0" w:after="260" w:line="240" w:lineRule="auto"/>
        <w:ind w:left="0" w:right="0" w:firstLine="0"/>
        <w:jc w:val="left"/>
      </w:pPr>
      <w:bookmarkStart w:id="520" w:name="bookmark520"/>
      <w:bookmarkStart w:id="521" w:name="bookmark521"/>
      <w:bookmarkStart w:id="522" w:name="bookmark522"/>
      <w:bookmarkStart w:id="523" w:name="bookmark523"/>
      <w:bookmarkEnd w:id="522"/>
      <w:r>
        <w:rPr>
          <w:color w:val="000000"/>
          <w:spacing w:val="0"/>
          <w:w w:val="100"/>
          <w:position w:val="0"/>
        </w:rPr>
        <w:t>托管情况</w:t>
      </w:r>
      <w:bookmarkEnd w:id="520"/>
      <w:bookmarkEnd w:id="521"/>
      <w:bookmarkEnd w:id="523"/>
    </w:p>
    <w:p>
      <w:pPr>
        <w:pStyle w:val="Style1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260" w:line="307" w:lineRule="exact"/>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4"/>
      <w:bookmarkEnd w:id="525"/>
      <w:bookmarkEnd w:id="527"/>
    </w:p>
    <w:p>
      <w:pPr>
        <w:pStyle w:val="Style13"/>
        <w:keepNext w:val="0"/>
        <w:keepLines w:val="0"/>
        <w:widowControl w:val="0"/>
        <w:shd w:val="clear" w:color="auto" w:fill="auto"/>
        <w:bidi w:val="0"/>
        <w:spacing w:before="0" w:after="40" w:line="311"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40" w:line="311" w:lineRule="exact"/>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8"/>
      <w:bookmarkEnd w:id="529"/>
      <w:bookmarkEnd w:id="531"/>
    </w:p>
    <w:p>
      <w:pPr>
        <w:pStyle w:val="Style13"/>
        <w:keepNext w:val="0"/>
        <w:keepLines w:val="0"/>
        <w:widowControl w:val="0"/>
        <w:shd w:val="clear" w:color="auto" w:fill="auto"/>
        <w:bidi w:val="0"/>
        <w:spacing w:before="0" w:after="40" w:line="311" w:lineRule="exact"/>
        <w:ind w:left="0" w:right="0" w:firstLine="0"/>
        <w:jc w:val="left"/>
      </w:pPr>
      <w:r>
        <w:rPr>
          <w:color w:val="000000"/>
          <w:spacing w:val="0"/>
          <w:w w:val="100"/>
          <w:position w:val="0"/>
        </w:rPr>
        <w:t>”适用口不适用</w:t>
      </w:r>
    </w:p>
    <w:p>
      <w:pPr>
        <w:pStyle w:val="Style13"/>
        <w:keepNext w:val="0"/>
        <w:keepLines w:val="0"/>
        <w:widowControl w:val="0"/>
        <w:shd w:val="clear" w:color="auto" w:fill="auto"/>
        <w:bidi w:val="0"/>
        <w:spacing w:before="0" w:after="40" w:line="311" w:lineRule="exact"/>
        <w:ind w:left="0" w:right="0" w:firstLine="0"/>
        <w:jc w:val="left"/>
      </w:pPr>
      <w:r>
        <w:rPr>
          <w:color w:val="000000"/>
          <w:spacing w:val="0"/>
          <w:w w:val="100"/>
          <w:position w:val="0"/>
        </w:rPr>
        <w:t>租赁情况说明</w:t>
      </w:r>
    </w:p>
    <w:p>
      <w:pPr>
        <w:pStyle w:val="Style13"/>
        <w:keepNext w:val="0"/>
        <w:keepLines w:val="0"/>
        <w:widowControl w:val="0"/>
        <w:shd w:val="clear" w:color="auto" w:fill="auto"/>
        <w:bidi w:val="0"/>
        <w:spacing w:before="0" w:after="0" w:line="311" w:lineRule="exact"/>
        <w:ind w:left="0" w:right="0"/>
        <w:jc w:val="both"/>
      </w:pPr>
      <w:r>
        <w:rPr>
          <w:color w:val="000000"/>
          <w:spacing w:val="0"/>
          <w:w w:val="100"/>
          <w:position w:val="0"/>
        </w:rPr>
        <w:t>根据公司发展规划和聚焦金融科技战略布局，为满足公司及子公司办公需求，公司全资子公司北京神州数字科技有限公 司（以下简称</w:t>
      </w:r>
      <w:r>
        <w:rPr>
          <w:rFonts w:ascii="Times New Roman" w:eastAsia="Times New Roman" w:hAnsi="Times New Roman" w:cs="Times New Roman"/>
          <w:color w:val="000000"/>
          <w:spacing w:val="0"/>
          <w:w w:val="100"/>
          <w:position w:val="0"/>
        </w:rPr>
        <w:t>“</w:t>
      </w:r>
      <w:r>
        <w:rPr>
          <w:color w:val="000000"/>
          <w:spacing w:val="0"/>
          <w:w w:val="100"/>
          <w:position w:val="0"/>
        </w:rPr>
        <w:t>神州数字</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日与北京新动力金科资产运营管理有限公司（以下简称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新动力</w:t>
      </w:r>
      <w:r>
        <w:rPr>
          <w:rFonts w:ascii="Times New Roman" w:eastAsia="Times New Roman" w:hAnsi="Times New Roman" w:cs="Times New Roman"/>
          <w:color w:val="000000"/>
          <w:spacing w:val="0"/>
          <w:w w:val="100"/>
          <w:position w:val="0"/>
        </w:rPr>
        <w:t>”</w:t>
      </w:r>
      <w:r>
        <w:rPr>
          <w:color w:val="000000"/>
          <w:spacing w:val="0"/>
          <w:w w:val="100"/>
          <w:position w:val="0"/>
        </w:rPr>
        <w:t>）签订了《写字 楼租赁合同》，租赁其位于北京市西城区西直门外大街</w:t>
      </w:r>
      <w:r>
        <w:rPr>
          <w:rFonts w:ascii="Times New Roman" w:eastAsia="Times New Roman" w:hAnsi="Times New Roman" w:cs="Times New Roman"/>
          <w:color w:val="000000"/>
          <w:spacing w:val="0"/>
          <w:w w:val="100"/>
          <w:position w:val="0"/>
        </w:rPr>
        <w:t>136</w:t>
      </w:r>
      <w:r>
        <w:rPr>
          <w:color w:val="000000"/>
          <w:spacing w:val="0"/>
          <w:w w:val="100"/>
          <w:position w:val="0"/>
        </w:rPr>
        <w:t>号部分楼层区域，建筑面积约为</w:t>
      </w:r>
      <w:r>
        <w:rPr>
          <w:rFonts w:ascii="Times New Roman" w:eastAsia="Times New Roman" w:hAnsi="Times New Roman" w:cs="Times New Roman"/>
          <w:color w:val="000000"/>
          <w:spacing w:val="0"/>
          <w:w w:val="100"/>
          <w:position w:val="0"/>
        </w:rPr>
        <w:t>2,511.05</w:t>
      </w:r>
      <w:r>
        <w:rPr>
          <w:color w:val="000000"/>
          <w:spacing w:val="0"/>
          <w:w w:val="100"/>
          <w:position w:val="0"/>
        </w:rPr>
        <w:t>平方米，租赁期限为</w:t>
      </w:r>
      <w:r>
        <w:rPr>
          <w:rFonts w:ascii="Times New Roman" w:eastAsia="Times New Roman" w:hAnsi="Times New Roman" w:cs="Times New Roman"/>
          <w:color w:val="000000"/>
          <w:spacing w:val="0"/>
          <w:w w:val="100"/>
          <w:position w:val="0"/>
        </w:rPr>
        <w:t>5</w:t>
      </w:r>
      <w:r>
        <w:rPr>
          <w:color w:val="000000"/>
          <w:spacing w:val="0"/>
          <w:w w:val="100"/>
          <w:position w:val="0"/>
        </w:rPr>
        <w:t>年，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日，神州数字与新动力签订了《写字楼租赁合同补充协议》，根据原 合同的条件和条款向新动力承租建筑面积约</w:t>
      </w:r>
      <w:r>
        <w:rPr>
          <w:rFonts w:ascii="Times New Roman" w:eastAsia="Times New Roman" w:hAnsi="Times New Roman" w:cs="Times New Roman"/>
          <w:color w:val="000000"/>
          <w:spacing w:val="0"/>
          <w:w w:val="100"/>
          <w:position w:val="0"/>
        </w:rPr>
        <w:t>531.4</w:t>
      </w:r>
      <w:r>
        <w:rPr>
          <w:rFonts w:ascii="Times New Roman" w:eastAsia="Times New Roman" w:hAnsi="Times New Roman" w:cs="Times New Roman"/>
          <w:color w:val="000000"/>
          <w:spacing w:val="0"/>
          <w:w w:val="100"/>
          <w:position w:val="0"/>
        </w:rPr>
        <w:t>0</w:t>
      </w:r>
      <w:r>
        <w:rPr>
          <w:color w:val="000000"/>
          <w:spacing w:val="0"/>
          <w:w w:val="100"/>
          <w:position w:val="0"/>
        </w:rPr>
        <w:t>平方米，本补充协议生效后，神州数字最终租赁房屋建筑面积约为</w:t>
      </w:r>
      <w:r>
        <w:rPr>
          <w:rFonts w:ascii="Times New Roman" w:eastAsia="Times New Roman" w:hAnsi="Times New Roman" w:cs="Times New Roman"/>
          <w:color w:val="000000"/>
          <w:spacing w:val="0"/>
          <w:w w:val="100"/>
          <w:position w:val="0"/>
        </w:rPr>
        <w:t xml:space="preserve">3042.45 </w:t>
      </w:r>
      <w:r>
        <w:rPr>
          <w:color w:val="000000"/>
          <w:spacing w:val="0"/>
          <w:w w:val="100"/>
          <w:position w:val="0"/>
        </w:rPr>
        <w:t>平方米。本租赁合同租赁期限为</w:t>
      </w:r>
      <w:r>
        <w:rPr>
          <w:rFonts w:ascii="Times New Roman" w:eastAsia="Times New Roman" w:hAnsi="Times New Roman" w:cs="Times New Roman"/>
          <w:color w:val="000000"/>
          <w:spacing w:val="0"/>
          <w:w w:val="100"/>
          <w:position w:val="0"/>
        </w:rPr>
        <w:t>5</w:t>
      </w:r>
      <w:r>
        <w:rPr>
          <w:color w:val="000000"/>
          <w:spacing w:val="0"/>
          <w:w w:val="100"/>
          <w:position w:val="0"/>
        </w:rPr>
        <w:t>年，本次新增租赁面积后，租金累计约为</w:t>
      </w:r>
      <w:r>
        <w:rPr>
          <w:rFonts w:ascii="Times New Roman" w:eastAsia="Times New Roman" w:hAnsi="Times New Roman" w:cs="Times New Roman"/>
          <w:color w:val="000000"/>
          <w:spacing w:val="0"/>
          <w:w w:val="100"/>
          <w:position w:val="0"/>
        </w:rPr>
        <w:t>8,439.85</w:t>
      </w:r>
      <w:r>
        <w:rPr>
          <w:color w:val="000000"/>
          <w:spacing w:val="0"/>
          <w:w w:val="100"/>
          <w:position w:val="0"/>
        </w:rPr>
        <w:t>万元。</w:t>
      </w:r>
    </w:p>
    <w:p>
      <w:pPr>
        <w:pStyle w:val="Style13"/>
        <w:keepNext w:val="0"/>
        <w:keepLines w:val="0"/>
        <w:widowControl w:val="0"/>
        <w:shd w:val="clear" w:color="auto" w:fill="auto"/>
        <w:bidi w:val="0"/>
        <w:spacing w:before="0" w:after="340" w:line="311" w:lineRule="exact"/>
        <w:ind w:left="0" w:right="0"/>
        <w:jc w:val="both"/>
      </w:pPr>
      <w:r>
        <w:rPr>
          <w:color w:val="000000"/>
          <w:spacing w:val="0"/>
          <w:w w:val="100"/>
          <w:position w:val="0"/>
        </w:rPr>
        <w:t>上述具体情况详见公司分别于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及《证券时报》披 露的《关于子公司签署房屋租赁合同的公告》（公告编号：</w:t>
      </w:r>
      <w:r>
        <w:rPr>
          <w:rFonts w:ascii="Times New Roman" w:eastAsia="Times New Roman" w:hAnsi="Times New Roman" w:cs="Times New Roman"/>
          <w:color w:val="000000"/>
          <w:spacing w:val="0"/>
          <w:w w:val="100"/>
          <w:position w:val="0"/>
        </w:rPr>
        <w:t xml:space="preserve">2020-111 </w:t>
      </w:r>
      <w:r>
        <w:rPr>
          <w:color w:val="000000"/>
          <w:spacing w:val="0"/>
          <w:w w:val="100"/>
          <w:position w:val="0"/>
        </w:rPr>
        <w:t>）、《关于子公司签署房屋租赁合同补充协议的公告》 （公告编号：</w:t>
      </w:r>
      <w:r>
        <w:rPr>
          <w:rFonts w:ascii="Times New Roman" w:eastAsia="Times New Roman" w:hAnsi="Times New Roman" w:cs="Times New Roman"/>
          <w:color w:val="000000"/>
          <w:spacing w:val="0"/>
          <w:w w:val="100"/>
          <w:position w:val="0"/>
        </w:rPr>
        <w:t>2020-138</w:t>
      </w:r>
      <w:r>
        <w:rPr>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40" w:line="311"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3"/>
        <w:keepNext w:val="0"/>
        <w:keepLines w:val="0"/>
        <w:widowControl w:val="0"/>
        <w:shd w:val="clear" w:color="auto" w:fill="auto"/>
        <w:bidi w:val="0"/>
        <w:spacing w:before="0" w:after="40" w:line="311"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40" w:line="311"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9"/>
        <w:keepNext/>
        <w:keepLines/>
        <w:widowControl w:val="0"/>
        <w:shd w:val="clear" w:color="auto" w:fill="auto"/>
        <w:bidi w:val="0"/>
        <w:spacing w:before="0" w:after="28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2</w:t>
      </w:r>
      <w:bookmarkEnd w:id="534"/>
      <w:r>
        <w:rPr>
          <w:color w:val="000000"/>
          <w:spacing w:val="0"/>
          <w:w w:val="100"/>
          <w:position w:val="0"/>
        </w:rPr>
        <w:t>、重大担保</w:t>
      </w:r>
      <w:bookmarkEnd w:id="532"/>
      <w:bookmarkEnd w:id="533"/>
      <w:bookmarkEnd w:id="535"/>
    </w:p>
    <w:p>
      <w:pPr>
        <w:pStyle w:val="Style13"/>
        <w:keepNext w:val="0"/>
        <w:keepLines w:val="0"/>
        <w:widowControl w:val="0"/>
        <w:shd w:val="clear" w:color="auto" w:fill="auto"/>
        <w:bidi w:val="0"/>
        <w:spacing w:before="0" w:after="140" w:line="311" w:lineRule="exact"/>
        <w:ind w:left="0" w:right="0" w:firstLine="0"/>
        <w:jc w:val="left"/>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037"/>
        <w:gridCol w:w="835"/>
        <w:gridCol w:w="931"/>
        <w:gridCol w:w="931"/>
        <w:gridCol w:w="1013"/>
        <w:gridCol w:w="845"/>
        <w:gridCol w:w="931"/>
        <w:gridCol w:w="667"/>
        <w:gridCol w:w="797"/>
        <w:gridCol w:w="797"/>
        <w:gridCol w:w="797"/>
      </w:tblGrid>
      <w:tr>
        <w:trPr>
          <w:trHeight w:val="40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度相关</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公告披</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实际发</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实际担保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反担 保情 况</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（如</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担保额</w:t>
            </w:r>
          </w:p>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度相关 公告披 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实际发</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实际担保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10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5,200.86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037"/>
        <w:gridCol w:w="835"/>
        <w:gridCol w:w="931"/>
        <w:gridCol w:w="931"/>
        <w:gridCol w:w="1013"/>
        <w:gridCol w:w="845"/>
        <w:gridCol w:w="931"/>
        <w:gridCol w:w="667"/>
        <w:gridCol w:w="797"/>
        <w:gridCol w:w="797"/>
        <w:gridCol w:w="797"/>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信息系统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融信软件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6,192.93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融信软件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7,703.97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南京华苏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6,105.84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12,555.56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信息系统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6,307.87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融信软件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北京中农 信达信息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6,338.77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037"/>
        <w:gridCol w:w="835"/>
        <w:gridCol w:w="931"/>
        <w:gridCol w:w="931"/>
        <w:gridCol w:w="1013"/>
        <w:gridCol w:w="845"/>
        <w:gridCol w:w="931"/>
        <w:gridCol w:w="667"/>
        <w:gridCol w:w="797"/>
        <w:gridCol w:w="797"/>
        <w:gridCol w:w="797"/>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服务有限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融信软件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南京华苏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4,447.77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信息系统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融信软件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北京中农 信达信息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18,522.6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6,930.67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信息系统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4,985.72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融信软件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信息服务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股份有限</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5,241.75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037"/>
        <w:gridCol w:w="835"/>
        <w:gridCol w:w="931"/>
        <w:gridCol w:w="931"/>
        <w:gridCol w:w="1013"/>
        <w:gridCol w:w="845"/>
        <w:gridCol w:w="931"/>
        <w:gridCol w:w="667"/>
        <w:gridCol w:w="797"/>
        <w:gridCol w:w="797"/>
        <w:gridCol w:w="797"/>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信息系统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4,537.66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信息系统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2,253.43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融信软件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信息系统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信息系统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南京华苏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3,418.99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037"/>
        <w:gridCol w:w="835"/>
        <w:gridCol w:w="931"/>
        <w:gridCol w:w="931"/>
        <w:gridCol w:w="1013"/>
        <w:gridCol w:w="845"/>
        <w:gridCol w:w="931"/>
        <w:gridCol w:w="667"/>
        <w:gridCol w:w="797"/>
        <w:gridCol w:w="797"/>
        <w:gridCol w:w="797"/>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系统集成 服务有限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 系统集成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Digital</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China</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Advanced</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Systems</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287,765.8</w:t>
            </w:r>
          </w:p>
        </w:tc>
      </w:tr>
      <w:tr>
        <w:trPr>
          <w:trHeight w:val="710"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712,200</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112,531.78</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实际发</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实际担保</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反担 保情 况</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（如</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是否为</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关联方</w:t>
            </w:r>
          </w:p>
          <w:p>
            <w:pPr>
              <w:pStyle w:val="Style2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担保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 融信软件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信息系统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融信软件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Digital</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China</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Advanced</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Systems</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报告期内对子公司担保实际发生额合计</w:t>
            </w: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4,393.95</w:t>
            </w:r>
          </w:p>
        </w:tc>
      </w:tr>
      <w:tr>
        <w:trPr>
          <w:trHeight w:val="715"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53,258</w:t>
            </w:r>
          </w:p>
        </w:tc>
        <w:tc>
          <w:tcPr>
            <w:gridSpan w:val="5"/>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报告期末对子公司实际担保余额合计</w:t>
            </w: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spacing w:lineRule="exact" w:line="1"/>
        <w:rPr>
          <w:sz w:val="2"/>
          <w:szCs w:val="2"/>
        </w:rPr>
      </w:pPr>
      <w:r>
        <w:br w:type="page"/>
      </w:r>
    </w:p>
    <w:tbl>
      <w:tblPr>
        <w:tblOverlap w:val="never"/>
        <w:jc w:val="center"/>
        <w:tblLayout w:type="fixed"/>
      </w:tblPr>
      <w:tblGrid>
        <w:gridCol w:w="2448"/>
        <w:gridCol w:w="1286"/>
        <w:gridCol w:w="1858"/>
        <w:gridCol w:w="3989"/>
      </w:tblGrid>
      <w:tr>
        <w:trPr>
          <w:trHeight w:val="40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生额合计</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292,159.75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765,458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 额合计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112,631.78</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为股东、实际控制人及其关联方提供担保的余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 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23,062.34</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23,062.34</w:t>
            </w:r>
          </w:p>
        </w:tc>
      </w:tr>
    </w:tbl>
    <w:p>
      <w:pPr>
        <w:widowControl w:val="0"/>
        <w:spacing w:after="79" w:line="1" w:lineRule="exact"/>
      </w:pP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29"/>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3</w:t>
      </w:r>
      <w:bookmarkEnd w:id="538"/>
      <w:r>
        <w:rPr>
          <w:color w:val="000000"/>
          <w:spacing w:val="0"/>
          <w:w w:val="100"/>
          <w:position w:val="0"/>
        </w:rPr>
        <w:t>、委托他人进行现金资产管理情况</w:t>
      </w:r>
      <w:bookmarkEnd w:id="536"/>
      <w:bookmarkEnd w:id="537"/>
      <w:bookmarkEnd w:id="539"/>
    </w:p>
    <w:p>
      <w:pPr>
        <w:pStyle w:val="Style37"/>
        <w:keepNext/>
        <w:keepLines/>
        <w:widowControl w:val="0"/>
        <w:shd w:val="clear" w:color="auto" w:fill="auto"/>
        <w:bidi w:val="0"/>
        <w:spacing w:before="0" w:after="36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40"/>
      <w:bookmarkEnd w:id="541"/>
      <w:bookmarkEnd w:id="543"/>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354"/>
        <w:gridCol w:w="1699"/>
        <w:gridCol w:w="1699"/>
        <w:gridCol w:w="1704"/>
        <w:gridCol w:w="155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委托理财的资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逾期未收回理财</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已计提减值金额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143,610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201,610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13"/>
        <w:keepNext w:val="0"/>
        <w:keepLines w:val="0"/>
        <w:widowControl w:val="0"/>
        <w:shd w:val="clear" w:color="auto" w:fill="auto"/>
        <w:bidi w:val="0"/>
        <w:spacing w:before="0" w:after="0" w:line="350" w:lineRule="exact"/>
        <w:ind w:left="0" w:right="0" w:firstLine="0"/>
        <w:jc w:val="left"/>
      </w:pPr>
      <w:r>
        <w:rPr>
          <w:color w:val="000000"/>
          <w:spacing w:val="0"/>
          <w:w w:val="100"/>
          <w:position w:val="0"/>
        </w:rPr>
        <w:t>单项金额重大或安全性较低、流动性较差的高风险委托理财具体情况 口适用”不适用</w:t>
      </w:r>
    </w:p>
    <w:p>
      <w:pPr>
        <w:pStyle w:val="Style13"/>
        <w:keepNext w:val="0"/>
        <w:keepLines w:val="0"/>
        <w:widowControl w:val="0"/>
        <w:shd w:val="clear" w:color="auto" w:fill="auto"/>
        <w:bidi w:val="0"/>
        <w:spacing w:before="0" w:after="0" w:line="350" w:lineRule="exact"/>
        <w:ind w:left="0" w:right="0" w:firstLine="0"/>
        <w:jc w:val="left"/>
      </w:pPr>
      <w:r>
        <w:rPr>
          <w:color w:val="000000"/>
          <w:spacing w:val="0"/>
          <w:w w:val="100"/>
          <w:position w:val="0"/>
        </w:rPr>
        <w:t>委托理财出现预期无法收回本金或存在其他可能导致减值的情形</w:t>
      </w:r>
    </w:p>
    <w:p>
      <w:pPr>
        <w:pStyle w:val="Style1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口适用”不适用</w:t>
      </w:r>
    </w:p>
    <w:p>
      <w:pPr>
        <w:pStyle w:val="Style37"/>
        <w:keepNext/>
        <w:keepLines/>
        <w:widowControl w:val="0"/>
        <w:shd w:val="clear" w:color="auto" w:fill="auto"/>
        <w:bidi w:val="0"/>
        <w:spacing w:before="0" w:after="36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44"/>
      <w:bookmarkEnd w:id="545"/>
      <w:bookmarkEnd w:id="547"/>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77" w:bottom="1469" w:left="1050" w:header="0" w:footer="3" w:gutter="0"/>
          <w:cols w:space="720"/>
          <w:noEndnote/>
          <w:rtlGutter w:val="0"/>
          <w:docGrid w:linePitch="360"/>
        </w:sectPr>
      </w:pPr>
      <w:r>
        <w:rPr>
          <w:color w:val="000000"/>
          <w:spacing w:val="0"/>
          <w:w w:val="100"/>
          <w:position w:val="0"/>
        </w:rPr>
        <w:t>公司报告期不存在委托贷款。</w:t>
      </w:r>
    </w:p>
    <w:p>
      <w:pPr>
        <w:pStyle w:val="Style29"/>
        <w:keepNext/>
        <w:keepLines/>
        <w:widowControl w:val="0"/>
        <w:shd w:val="clear" w:color="auto" w:fill="auto"/>
        <w:bidi w:val="0"/>
        <w:spacing w:before="0" w:after="38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4</w:t>
      </w:r>
      <w:bookmarkEnd w:id="550"/>
      <w:r>
        <w:rPr>
          <w:color w:val="000000"/>
          <w:spacing w:val="0"/>
          <w:w w:val="100"/>
          <w:position w:val="0"/>
        </w:rPr>
        <w:t>、其他重大合同</w:t>
      </w:r>
      <w:bookmarkEnd w:id="548"/>
      <w:bookmarkEnd w:id="549"/>
      <w:bookmarkEnd w:id="551"/>
    </w:p>
    <w:p>
      <w:pPr>
        <w:pStyle w:val="Style27"/>
        <w:keepNext w:val="0"/>
        <w:keepLines w:val="0"/>
        <w:widowControl w:val="0"/>
        <w:shd w:val="clear" w:color="auto" w:fill="auto"/>
        <w:bidi w:val="0"/>
        <w:spacing w:before="0" w:after="0" w:line="240" w:lineRule="auto"/>
        <w:ind w:left="10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181"/>
        <w:gridCol w:w="1090"/>
        <w:gridCol w:w="1133"/>
        <w:gridCol w:w="946"/>
        <w:gridCol w:w="883"/>
        <w:gridCol w:w="850"/>
        <w:gridCol w:w="720"/>
        <w:gridCol w:w="605"/>
        <w:gridCol w:w="600"/>
        <w:gridCol w:w="859"/>
        <w:gridCol w:w="638"/>
        <w:gridCol w:w="701"/>
        <w:gridCol w:w="797"/>
        <w:gridCol w:w="787"/>
        <w:gridCol w:w="2381"/>
      </w:tblGrid>
      <w:tr>
        <w:trPr>
          <w:trHeight w:val="169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合同订立</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对方名称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合同标的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合同签订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合同涉 及资产 的账面 价值（万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5" w:lineRule="exact"/>
              <w:ind w:left="0" w:right="0" w:firstLine="0"/>
              <w:jc w:val="center"/>
            </w:pPr>
            <w:r>
              <w:rPr>
                <w:color w:val="000000"/>
                <w:spacing w:val="0"/>
                <w:w w:val="100"/>
                <w:position w:val="0"/>
              </w:rPr>
              <w:t>合同涉 及资产 的评估 价值（万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5" w:lineRule="exact"/>
              <w:ind w:left="0" w:right="0" w:firstLine="0"/>
              <w:jc w:val="center"/>
            </w:pPr>
            <w:r>
              <w:rPr>
                <w:color w:val="000000"/>
                <w:spacing w:val="0"/>
                <w:w w:val="100"/>
                <w:position w:val="0"/>
              </w:rPr>
              <w:t>评估 机构 名称 （如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评估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基准</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交易价</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格（万</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3"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神州数码系 统集成服务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华为技术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网络与机房</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运维业务</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外包采购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履行完 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巨潮资讯网《关于控股子公 司签署重大经营合同的自愿 披露公告》</w:t>
            </w:r>
            <w:r>
              <w:rPr>
                <w:color w:val="000000"/>
                <w:spacing w:val="0"/>
                <w:w w:val="100"/>
                <w:position w:val="0"/>
              </w:rPr>
              <w:t>（</w:t>
            </w:r>
            <w:r>
              <w:rPr>
                <w:rFonts w:ascii="Times New Roman" w:eastAsia="Times New Roman" w:hAnsi="Times New Roman" w:cs="Times New Roman"/>
                <w:color w:val="000000"/>
                <w:spacing w:val="0"/>
                <w:w w:val="100"/>
                <w:position w:val="0"/>
              </w:rPr>
              <w:t>2018-123</w:t>
            </w:r>
            <w:r>
              <w:rPr>
                <w:color w:val="000000"/>
                <w:spacing w:val="0"/>
                <w:w w:val="100"/>
                <w:position w:val="0"/>
              </w:rPr>
              <w:t>）</w:t>
            </w:r>
          </w:p>
        </w:tc>
      </w:tr>
      <w:tr>
        <w:trPr>
          <w:trHeight w:val="13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神州远景</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（西安）科 技发展有限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烟台市大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烟台苹果大</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数据中心项</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 行中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both"/>
            </w:pPr>
            <w:r>
              <w:rPr>
                <w:color w:val="000000"/>
                <w:spacing w:val="0"/>
                <w:w w:val="100"/>
                <w:position w:val="0"/>
              </w:rPr>
              <w:t>巨潮资讯网《关于控股子公 司签署重要经营合同的自愿 信息披露公告）</w:t>
            </w:r>
            <w:r>
              <w:rPr>
                <w:color w:val="000000"/>
                <w:spacing w:val="0"/>
                <w:w w:val="100"/>
                <w:position w:val="0"/>
              </w:rPr>
              <w:t>（</w:t>
            </w:r>
            <w:r>
              <w:rPr>
                <w:rFonts w:ascii="Times New Roman" w:eastAsia="Times New Roman" w:hAnsi="Times New Roman" w:cs="Times New Roman"/>
                <w:color w:val="000000"/>
                <w:spacing w:val="0"/>
                <w:w w:val="100"/>
                <w:position w:val="0"/>
              </w:rPr>
              <w:t>2020-050</w:t>
            </w:r>
            <w:r>
              <w:rPr>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北京中农信 达信息技术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陕西省农</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村信用社</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联合社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银农直联管</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理平台采购</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政府</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正在履 行中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巨潮资讯网《关于控股子公 司签署重要经营合同的自愿 信息披露公告）</w:t>
            </w:r>
            <w:r>
              <w:rPr>
                <w:color w:val="000000"/>
                <w:spacing w:val="0"/>
                <w:w w:val="100"/>
                <w:position w:val="0"/>
              </w:rPr>
              <w:t>（</w:t>
            </w:r>
            <w:r>
              <w:rPr>
                <w:rFonts w:ascii="Times New Roman" w:eastAsia="Times New Roman" w:hAnsi="Times New Roman" w:cs="Times New Roman"/>
                <w:color w:val="000000"/>
                <w:spacing w:val="0"/>
                <w:w w:val="100"/>
                <w:position w:val="0"/>
              </w:rPr>
              <w:t>2020-055</w:t>
            </w:r>
            <w:r>
              <w:rPr>
                <w:color w:val="000000"/>
                <w:spacing w:val="0"/>
                <w:w w:val="100"/>
                <w:position w:val="0"/>
              </w:rPr>
              <w:t>）</w:t>
            </w:r>
          </w:p>
        </w:tc>
      </w:tr>
      <w:tr>
        <w:trPr>
          <w:trHeight w:val="13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北京中农信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达信息技术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江苏省互</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联网农业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5" w:lineRule="exact"/>
              <w:ind w:left="0" w:right="0" w:firstLine="0"/>
              <w:jc w:val="both"/>
            </w:pPr>
            <w:r>
              <w:rPr>
                <w:color w:val="000000"/>
                <w:spacing w:val="0"/>
                <w:w w:val="100"/>
                <w:position w:val="0"/>
              </w:rPr>
              <w:t>江苏省农村 及政务信息 化业务整合 优化项目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正在履 行中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巨潮资讯网《关于控股子公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司签署重要经营合同的自愿</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性信息披露公告》</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2020-133</w:t>
            </w:r>
            <w:r>
              <w:rPr>
                <w:color w:val="000000"/>
                <w:spacing w:val="0"/>
                <w:w w:val="100"/>
                <w:position w:val="0"/>
              </w:rPr>
              <w:t>）</w:t>
            </w:r>
          </w:p>
        </w:tc>
      </w:tr>
      <w:tr>
        <w:trPr>
          <w:trHeight w:val="170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北京中农信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达信息技术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both"/>
            </w:pPr>
            <w:r>
              <w:rPr>
                <w:color w:val="000000"/>
                <w:spacing w:val="0"/>
                <w:w w:val="100"/>
                <w:position w:val="0"/>
              </w:rPr>
              <w:t>中国农业 银行股份 有限公司 天津市分 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both"/>
            </w:pPr>
            <w:r>
              <w:rPr>
                <w:color w:val="000000"/>
                <w:spacing w:val="0"/>
                <w:w w:val="100"/>
                <w:position w:val="0"/>
              </w:rPr>
              <w:t>“银农直</w:t>
            </w:r>
          </w:p>
          <w:p>
            <w:pPr>
              <w:pStyle w:val="Style22"/>
              <w:keepNext w:val="0"/>
              <w:keepLines w:val="0"/>
              <w:widowControl w:val="0"/>
              <w:shd w:val="clear" w:color="auto" w:fill="auto"/>
              <w:bidi w:val="0"/>
              <w:spacing w:before="0" w:after="0" w:line="324" w:lineRule="exact"/>
              <w:ind w:left="0" w:right="0" w:firstLine="0"/>
              <w:jc w:val="both"/>
            </w:pPr>
            <w:r>
              <w:rPr>
                <w:color w:val="000000"/>
                <w:spacing w:val="0"/>
                <w:w w:val="100"/>
                <w:position w:val="0"/>
              </w:rPr>
              <w:t>连”升级及 技术服务项 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440" w:after="0" w:line="240" w:lineRule="auto"/>
              <w:ind w:left="0" w:right="0" w:firstLine="0"/>
              <w:jc w:val="left"/>
            </w:pPr>
            <w:r>
              <w:rPr>
                <w:rFonts w:ascii="Times New Roman" w:eastAsia="Times New Roman" w:hAnsi="Times New Roman" w:cs="Times New Roman"/>
                <w:color w:val="000000"/>
                <w:spacing w:val="0"/>
                <w:w w:val="100"/>
                <w:position w:val="0"/>
              </w:rPr>
              <w:t>5,831.74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 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正在履 行中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巨潮资讯网《关于全资子公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司签署重要经营合同的自愿</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性信息披露公告》</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2021-048</w:t>
            </w:r>
            <w:r>
              <w:rPr>
                <w:color w:val="000000"/>
                <w:spacing w:val="0"/>
                <w:w w:val="100"/>
                <w:position w:val="0"/>
              </w:rPr>
              <w:t>）</w:t>
            </w:r>
          </w:p>
        </w:tc>
      </w:tr>
    </w:tbl>
    <w:p>
      <w:pPr>
        <w:sectPr>
          <w:footnotePr>
            <w:pos w:val="pageBottom"/>
            <w:numFmt w:val="decimal"/>
            <w:numRestart w:val="continuous"/>
          </w:footnotePr>
          <w:pgSz w:w="16840" w:h="11900" w:orient="landscape"/>
          <w:pgMar w:top="1146" w:right="1335" w:bottom="1361" w:left="1335" w:header="0" w:footer="3" w:gutter="0"/>
          <w:cols w:space="720"/>
          <w:noEndnote/>
          <w:rtlGutter w:val="0"/>
          <w:docGrid w:linePitch="360"/>
        </w:sectPr>
      </w:pPr>
    </w:p>
    <w:p>
      <w:pPr>
        <w:pStyle w:val="Style25"/>
        <w:keepNext/>
        <w:keepLines/>
        <w:widowControl w:val="0"/>
        <w:shd w:val="clear" w:color="auto" w:fill="auto"/>
        <w:bidi w:val="0"/>
        <w:spacing w:before="0" w:after="260" w:line="240" w:lineRule="auto"/>
        <w:ind w:left="0" w:right="0" w:firstLine="0"/>
        <w:jc w:val="left"/>
      </w:pPr>
      <w:bookmarkStart w:id="552" w:name="bookmark552"/>
      <w:bookmarkStart w:id="553" w:name="bookmark553"/>
      <w:bookmarkStart w:id="554" w:name="bookmark554"/>
      <w:r>
        <w:rPr>
          <w:color w:val="000000"/>
          <w:spacing w:val="0"/>
          <w:w w:val="100"/>
          <w:position w:val="0"/>
          <w:sz w:val="24"/>
          <w:szCs w:val="24"/>
        </w:rPr>
        <w:t>十六、其他重大事项的说明</w:t>
      </w:r>
      <w:bookmarkEnd w:id="552"/>
      <w:bookmarkEnd w:id="553"/>
      <w:bookmarkEnd w:id="554"/>
    </w:p>
    <w:p>
      <w:pPr>
        <w:pStyle w:val="Style13"/>
        <w:keepNext w:val="0"/>
        <w:keepLines w:val="0"/>
        <w:widowControl w:val="0"/>
        <w:shd w:val="clear" w:color="auto" w:fill="auto"/>
        <w:bidi w:val="0"/>
        <w:spacing w:before="0" w:after="40" w:line="310" w:lineRule="exact"/>
        <w:ind w:left="0" w:right="0" w:firstLine="0"/>
        <w:jc w:val="left"/>
      </w:pPr>
      <w:r>
        <w:rPr>
          <w:color w:val="000000"/>
          <w:spacing w:val="0"/>
          <w:w w:val="100"/>
          <w:position w:val="0"/>
        </w:rPr>
        <w:t>”适用口不适用</w:t>
      </w:r>
    </w:p>
    <w:p>
      <w:pPr>
        <w:pStyle w:val="Style13"/>
        <w:keepNext w:val="0"/>
        <w:keepLines w:val="0"/>
        <w:widowControl w:val="0"/>
        <w:shd w:val="clear" w:color="auto" w:fill="auto"/>
        <w:bidi w:val="0"/>
        <w:spacing w:before="0" w:after="40" w:line="310" w:lineRule="exact"/>
        <w:ind w:left="0" w:right="0" w:firstLine="360"/>
        <w:jc w:val="both"/>
      </w:pPr>
      <w:bookmarkStart w:id="555" w:name="bookmark555"/>
      <w:r>
        <w:rPr>
          <w:b/>
          <w:bCs/>
          <w:color w:val="000000"/>
          <w:spacing w:val="0"/>
          <w:w w:val="100"/>
          <w:position w:val="0"/>
        </w:rPr>
        <w:t>（</w:t>
      </w:r>
      <w:bookmarkEnd w:id="555"/>
      <w:r>
        <w:rPr>
          <w:b/>
          <w:bCs/>
          <w:color w:val="000000"/>
          <w:spacing w:val="0"/>
          <w:w w:val="100"/>
          <w:position w:val="0"/>
        </w:rPr>
        <w:t>一）捐赠情况说明</w:t>
      </w:r>
    </w:p>
    <w:p>
      <w:pPr>
        <w:pStyle w:val="Style13"/>
        <w:keepNext w:val="0"/>
        <w:keepLines w:val="0"/>
        <w:widowControl w:val="0"/>
        <w:shd w:val="clear" w:color="auto" w:fill="auto"/>
        <w:tabs>
          <w:tab w:pos="694" w:val="left"/>
        </w:tabs>
        <w:bidi w:val="0"/>
        <w:spacing w:before="0" w:after="40" w:line="310" w:lineRule="exact"/>
        <w:ind w:left="0" w:right="0" w:firstLine="360"/>
        <w:jc w:val="both"/>
      </w:pPr>
      <w:bookmarkStart w:id="556" w:name="bookmark556"/>
      <w:r>
        <w:rPr>
          <w:rFonts w:ascii="Times New Roman" w:eastAsia="Times New Roman" w:hAnsi="Times New Roman" w:cs="Times New Roman"/>
          <w:color w:val="000000"/>
          <w:spacing w:val="0"/>
          <w:w w:val="100"/>
          <w:position w:val="0"/>
        </w:rPr>
        <w:t>1</w:t>
      </w:r>
      <w:bookmarkEnd w:id="556"/>
      <w:r>
        <w:rPr>
          <w:color w:val="000000"/>
          <w:spacing w:val="0"/>
          <w:w w:val="100"/>
          <w:position w:val="0"/>
        </w:rPr>
        <w:t>、</w:t>
        <w:tab/>
        <w:t>关于向中国科学技术大学捐赠的情况</w:t>
      </w:r>
    </w:p>
    <w:p>
      <w:pPr>
        <w:pStyle w:val="Style13"/>
        <w:keepNext w:val="0"/>
        <w:keepLines w:val="0"/>
        <w:widowControl w:val="0"/>
        <w:shd w:val="clear" w:color="auto" w:fill="auto"/>
        <w:bidi w:val="0"/>
        <w:spacing w:before="0" w:after="40" w:line="310" w:lineRule="exact"/>
        <w:ind w:left="0" w:right="0" w:firstLine="360"/>
        <w:jc w:val="both"/>
      </w:pPr>
      <w:r>
        <w:rPr>
          <w:color w:val="000000"/>
          <w:spacing w:val="0"/>
          <w:w w:val="100"/>
          <w:position w:val="0"/>
        </w:rPr>
        <w:t>为助力公司与中国科学技术大学产学研融合工作，促进公司自身研发能力和技术水平的提升，支持中国科学技术大学人 才培养及在数字智能决策领域积极开展金融科技相关研究和研发，公司第八届董事会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日审议通过了《关于向中国科学技术大学教育基金会捐赠的议案》，同意公司以自有资金分三年（具体时间以捐赠实际完成 为准）向中国科学技术大学教育基金会捐赠人民币</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13"/>
        <w:keepNext w:val="0"/>
        <w:keepLines w:val="0"/>
        <w:widowControl w:val="0"/>
        <w:shd w:val="clear" w:color="auto" w:fill="auto"/>
        <w:tabs>
          <w:tab w:pos="714" w:val="left"/>
        </w:tabs>
        <w:bidi w:val="0"/>
        <w:spacing w:before="0" w:after="40" w:line="310" w:lineRule="exact"/>
        <w:ind w:left="0" w:right="0" w:firstLine="360"/>
        <w:jc w:val="both"/>
      </w:pPr>
      <w:bookmarkStart w:id="557" w:name="bookmark557"/>
      <w:r>
        <w:rPr>
          <w:rFonts w:ascii="Times New Roman" w:eastAsia="Times New Roman" w:hAnsi="Times New Roman" w:cs="Times New Roman"/>
          <w:color w:val="000000"/>
          <w:spacing w:val="0"/>
          <w:w w:val="100"/>
          <w:position w:val="0"/>
        </w:rPr>
        <w:t>2</w:t>
      </w:r>
      <w:bookmarkEnd w:id="557"/>
      <w:r>
        <w:rPr>
          <w:color w:val="000000"/>
          <w:spacing w:val="0"/>
          <w:w w:val="100"/>
          <w:position w:val="0"/>
        </w:rPr>
        <w:t>、</w:t>
        <w:tab/>
        <w:t>关于向东润公益基金会捐赠的进展情况</w:t>
      </w:r>
    </w:p>
    <w:p>
      <w:pPr>
        <w:pStyle w:val="Style13"/>
        <w:keepNext w:val="0"/>
        <w:keepLines w:val="0"/>
        <w:widowControl w:val="0"/>
        <w:shd w:val="clear" w:color="auto" w:fill="auto"/>
        <w:bidi w:val="0"/>
        <w:spacing w:before="0" w:after="140" w:line="305" w:lineRule="exact"/>
        <w:ind w:left="0" w:right="0" w:firstLine="360"/>
        <w:jc w:val="both"/>
      </w:pPr>
      <w:r>
        <w:rPr>
          <w:color w:val="000000"/>
          <w:spacing w:val="0"/>
          <w:w w:val="100"/>
          <w:position w:val="0"/>
        </w:rPr>
        <w:t>为帮助贫困偏远地区的青少年提供更公平的教育机会，帮助贫困学生更好地成长与发展，并为国家科学人才培育做出贡 献，公司第八届董事会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日审议通过了《关于向东润公益基金会捐赠的议案》，同意由 公司或控股子公司以自有资金向东润公益基金会捐赠人民币</w:t>
      </w:r>
      <w:r>
        <w:rPr>
          <w:rFonts w:ascii="Times New Roman" w:eastAsia="Times New Roman" w:hAnsi="Times New Roman" w:cs="Times New Roman"/>
          <w:color w:val="000000"/>
          <w:spacing w:val="0"/>
          <w:w w:val="100"/>
          <w:position w:val="0"/>
        </w:rPr>
        <w:t>12</w:t>
      </w:r>
      <w:r>
        <w:rPr>
          <w:color w:val="000000"/>
          <w:spacing w:val="0"/>
          <w:w w:val="100"/>
          <w:position w:val="0"/>
        </w:rPr>
        <w:t>万元。</w:t>
      </w:r>
    </w:p>
    <w:p>
      <w:pPr>
        <w:pStyle w:val="Style13"/>
        <w:keepNext w:val="0"/>
        <w:keepLines w:val="0"/>
        <w:widowControl w:val="0"/>
        <w:shd w:val="clear" w:color="auto" w:fill="auto"/>
        <w:bidi w:val="0"/>
        <w:spacing w:before="0" w:after="140" w:line="240" w:lineRule="auto"/>
        <w:ind w:left="0" w:right="0" w:firstLine="360"/>
        <w:jc w:val="both"/>
      </w:pPr>
      <w:bookmarkStart w:id="558" w:name="bookmark558"/>
      <w:r>
        <w:rPr>
          <w:b/>
          <w:bCs/>
          <w:color w:val="000000"/>
          <w:spacing w:val="0"/>
          <w:w w:val="100"/>
          <w:position w:val="0"/>
        </w:rPr>
        <w:t>（</w:t>
      </w:r>
      <w:bookmarkEnd w:id="558"/>
      <w:r>
        <w:rPr>
          <w:b/>
          <w:bCs/>
          <w:color w:val="000000"/>
          <w:spacing w:val="0"/>
          <w:w w:val="100"/>
          <w:position w:val="0"/>
        </w:rPr>
        <w:t>二）其他重要事项</w:t>
      </w:r>
    </w:p>
    <w:p>
      <w:pPr>
        <w:pStyle w:val="Style13"/>
        <w:keepNext w:val="0"/>
        <w:keepLines w:val="0"/>
        <w:widowControl w:val="0"/>
        <w:shd w:val="clear" w:color="auto" w:fill="auto"/>
        <w:bidi w:val="0"/>
        <w:spacing w:before="0" w:after="80" w:line="240" w:lineRule="auto"/>
        <w:ind w:left="0" w:right="0" w:firstLine="360"/>
        <w:jc w:val="both"/>
      </w:pPr>
      <w:r>
        <w:rPr>
          <w:color w:val="000000"/>
          <w:spacing w:val="0"/>
          <w:w w:val="100"/>
          <w:position w:val="0"/>
        </w:rPr>
        <w:t>报告期内，公司信息披露索引如下:</w:t>
      </w:r>
    </w:p>
    <w:tbl>
      <w:tblPr>
        <w:tblOverlap w:val="never"/>
        <w:jc w:val="center"/>
        <w:tblLayout w:type="fixed"/>
      </w:tblPr>
      <w:tblGrid>
        <w:gridCol w:w="845"/>
        <w:gridCol w:w="5256"/>
        <w:gridCol w:w="1555"/>
        <w:gridCol w:w="931"/>
        <w:gridCol w:w="1061"/>
      </w:tblGrid>
      <w:tr>
        <w:trPr>
          <w:trHeight w:val="108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刊载的报刊名称及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刊载日期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刊载的互联</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网网站及检</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索路径</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关于股份回购进展情况的公告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2021/1/4</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.cninfo.com.c</w:t>
            </w:r>
          </w:p>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关于获得政府补助的公告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2021/1/6</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关于下属子公司获得高新技术企业证书的公告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2021/1/7</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关于下属子公司获得高新技术企业证书的公告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2021/1/9</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关于为子公司提供担保的进展公告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A11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2021/1/13</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关于回购股份比例达到</w:t>
            </w:r>
            <w:r>
              <w:rPr>
                <w:rFonts w:ascii="Times New Roman" w:eastAsia="Times New Roman" w:hAnsi="Times New Roman" w:cs="Times New Roman"/>
                <w:color w:val="000000"/>
                <w:spacing w:val="0"/>
                <w:w w:val="100"/>
                <w:position w:val="0"/>
              </w:rPr>
              <w:t>1%</w:t>
            </w:r>
            <w:r>
              <w:rPr>
                <w:color w:val="000000"/>
                <w:spacing w:val="0"/>
                <w:w w:val="100"/>
                <w:position w:val="0"/>
              </w:rPr>
              <w:t>暨回购进展的公告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2021/1/14</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关于下属子公司获得高新技术企业证书的公告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2021/1/16</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年度日常关联交易预计事项的提示性公告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2021/1/27</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关于股份回购完成暨股份变动的公告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2021/1/28</w:t>
            </w: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关于公司控股股东部分股份补充质押的公告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2021/2/10</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关于部分高级管理人员股份减持计划时间过半的进展公告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2021/3/6</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年度业绩说明会并征集问题的公告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2021/3/27</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第八届董事会第九次会议决议公告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B330,331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2021/3/28</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年年度报告摘要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B330,331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2021/3/31</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B330,331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2021/3/31</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关于拟续聘</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B330,331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2021/3/31</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年度日常关联交易预计公告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B330,331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2021/3/31</w:t>
            </w: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关于变更剩余募集资金用途用于永久补充流动资金的公告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B330,331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2021/3/31</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left"/>
        <w:tblLayout w:type="fixed"/>
      </w:tblPr>
      <w:tblGrid>
        <w:gridCol w:w="845"/>
        <w:gridCol w:w="5256"/>
        <w:gridCol w:w="1555"/>
        <w:gridCol w:w="941"/>
      </w:tblGrid>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年度股东大会通知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B330,331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关于变更公司会计政策的公告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B330,331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B330,331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第八届监事会第九次会议决议公告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B330,331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年度审计报告补充公告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年年度股东大会的提示性公告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2021/4/22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年年度股东大会决议公告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2021/4/24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年第一季度报告正文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2021/4/28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B330,331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2021/4/28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关于公司控股股东股票质押式回购交易到期购回的公告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关于公司控股股东股票质押式回购交易提前购回的公告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2021/5/13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关于为子公司提供担保的进展公告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2021/5/19</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关于部分高级管理人员减持计划期限届满暨实施情况的公告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年年度权益分派实施公告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以上股东减持股份的预披露公告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关于为控股子公司提供担保的进展公告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2021/7/14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2021/8/18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年半度业绩说明会并征集问题的公告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第八届董事会第十一次会议决议公告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关于为控股子公司提供财务资助的公告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年度第一次临时股东大会的通知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第八届监事会第十一次会议决议公告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关于为控股子公司提供担保的进展公告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关于召开</w:t>
            </w:r>
            <w:r>
              <w:rPr>
                <w:rFonts w:ascii="Times New Roman" w:eastAsia="Times New Roman" w:hAnsi="Times New Roman" w:cs="Times New Roman"/>
                <w:color w:val="333333"/>
                <w:spacing w:val="0"/>
                <w:w w:val="100"/>
                <w:position w:val="0"/>
              </w:rPr>
              <w:t>2021</w:t>
            </w:r>
            <w:r>
              <w:rPr>
                <w:color w:val="333333"/>
                <w:spacing w:val="0"/>
                <w:w w:val="100"/>
                <w:position w:val="0"/>
              </w:rPr>
              <w:t>年度第一次临时股东大会的提示性公告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2021/9/10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关于为控股子公司提供担保的公告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2021/9/14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年度第一次临时股东大会决议公告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2021/9/15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关于下属子公司入选高新技术企业公示名单的公告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2021/9/15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关于全资子公司签署重要经营合同的自愿性信息披露公告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2021/9/24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以上股东股份减持计划时间过半的进展公告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2021/10/9</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年第一次临时会议决议公告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2021/10/13</w:t>
            </w:r>
          </w:p>
        </w:tc>
      </w:tr>
    </w:tbl>
    <w:p>
      <w:pPr>
        <w:sectPr>
          <w:footnotePr>
            <w:pos w:val="pageBottom"/>
            <w:numFmt w:val="decimal"/>
            <w:numRestart w:val="continuous"/>
          </w:footnotePr>
          <w:pgSz w:w="11900" w:h="16840"/>
          <w:pgMar w:top="1441" w:right="1112" w:bottom="1715" w:left="1112" w:header="0" w:footer="3" w:gutter="0"/>
          <w:cols w:space="720"/>
          <w:noEndnote/>
          <w:rtlGutter w:val="0"/>
          <w:docGrid w:linePitch="360"/>
        </w:sectPr>
      </w:pPr>
    </w:p>
    <w:tbl>
      <w:tblPr>
        <w:tblOverlap w:val="never"/>
        <w:jc w:val="center"/>
        <w:tblLayout w:type="fixed"/>
      </w:tblPr>
      <w:tblGrid>
        <w:gridCol w:w="845"/>
        <w:gridCol w:w="5256"/>
        <w:gridCol w:w="1555"/>
        <w:gridCol w:w="941"/>
      </w:tblGrid>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关于向中国科学技术大学教育基金会捐赠的公告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2021/10/13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关于公司控股股东股票质押式回购交易到期购回的公告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2021/10/14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关于下属子公司高新技术企业证书即将到期的公告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2021/10/23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第八届董事会第十二次会议决议公告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2021/10/28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2021/10/28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关于增加</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年度日常关联交易额度的公告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2021/10/28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2021/10/28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第八届监事会第十二次会议决议公告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2021/10/28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第八届董事会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年股权激励计划部分股票期权的公告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2021/11/3</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年股票期权与限制性股票激励计划第二个行权期</w:t>
            </w:r>
            <w:r>
              <w:rPr>
                <w:rFonts w:ascii="Times New Roman" w:eastAsia="Times New Roman" w:hAnsi="Times New Roman" w:cs="Times New Roman"/>
                <w:color w:val="000000"/>
                <w:spacing w:val="0"/>
                <w:w w:val="100"/>
                <w:position w:val="0"/>
              </w:rPr>
              <w:t>/</w:t>
            </w:r>
            <w:r>
              <w:rPr>
                <w:color w:val="000000"/>
                <w:spacing w:val="0"/>
                <w:w w:val="100"/>
                <w:position w:val="0"/>
              </w:rPr>
              <w:t>解除限 售期行权</w:t>
            </w:r>
            <w:r>
              <w:rPr>
                <w:rFonts w:ascii="Times New Roman" w:eastAsia="Times New Roman" w:hAnsi="Times New Roman" w:cs="Times New Roman"/>
                <w:color w:val="000000"/>
                <w:spacing w:val="0"/>
                <w:w w:val="100"/>
                <w:position w:val="0"/>
              </w:rPr>
              <w:t>/</w:t>
            </w:r>
            <w:r>
              <w:rPr>
                <w:color w:val="000000"/>
                <w:spacing w:val="0"/>
                <w:w w:val="100"/>
                <w:position w:val="0"/>
              </w:rPr>
              <w:t>解除限售条件成就的公告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第八届监事会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2021/11/3</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关于下属子公司再次获得高新技术企业证书的公告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年股权激励计划部分股票期权注销完成的公告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2021/11/9</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2 019</w:t>
            </w:r>
            <w:r>
              <w:rPr>
                <w:color w:val="000000"/>
                <w:spacing w:val="0"/>
                <w:w w:val="100"/>
                <w:position w:val="0"/>
              </w:rPr>
              <w:t>年股权激励计划限制性股票第二期解除限售上市流通的提 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2021/11/9</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年股权激励计划第二个行权期采用自主行权模式的提示性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r>
              <w:rPr>
                <w:color w:val="000000"/>
                <w:spacing w:val="0"/>
                <w:w w:val="100"/>
                <w:position w:val="0"/>
              </w:rPr>
              <w:t>(</w:t>
            </w:r>
            <w:r>
              <w:rPr>
                <w:rFonts w:ascii="Times New Roman" w:eastAsia="Times New Roman" w:hAnsi="Times New Roman" w:cs="Times New Roman"/>
                <w:color w:val="000000"/>
                <w:spacing w:val="0"/>
                <w:w w:val="100"/>
                <w:position w:val="0"/>
              </w:rPr>
              <w:t>2020-11-16</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2021/11/15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关于公司控股股东部分股份解除质押的公告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2021/11/13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关于为全资子公司提供担保的公告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2021/11/17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关于为控股子公司提供担保的进展公告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2021/11/18</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关于参加</w:t>
            </w:r>
            <w:r>
              <w:rPr>
                <w:rFonts w:ascii="Times New Roman" w:eastAsia="Times New Roman" w:hAnsi="Times New Roman" w:cs="Times New Roman"/>
                <w:color w:val="000000"/>
                <w:spacing w:val="0"/>
                <w:w w:val="100"/>
                <w:position w:val="0"/>
              </w:rPr>
              <w:t>2021</w:t>
            </w:r>
            <w:r>
              <w:rPr>
                <w:color w:val="000000"/>
                <w:spacing w:val="0"/>
                <w:w w:val="100"/>
                <w:position w:val="0"/>
              </w:rPr>
              <w:t>深圳辖区“沟通传递价值，交流创造良好生态”上市 公司投资者网上集体接待日活动的公告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2021/11/25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关于下属子公司入选高新技术企业公示名单的公告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关于公司控股股东股票质押式回购交易提前购回的公告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关于获得政府补助的公告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2021/12/18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第八届董事会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2021/12/21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关于向东润公益基金会捐赠的公告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2021/12/21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关于为子公司提供担保的进展公告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2021/12/21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2021/12/23</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关于公司控股股东进行股票质押的公告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2021/12/29</w:t>
            </w:r>
          </w:p>
        </w:tc>
      </w:tr>
    </w:tbl>
    <w:p>
      <w:pPr>
        <w:sectPr>
          <w:footnotePr>
            <w:pos w:val="pageBottom"/>
            <w:numFmt w:val="decimal"/>
            <w:numRestart w:val="continuous"/>
          </w:footnotePr>
          <w:pgSz w:w="11900" w:h="16840"/>
          <w:pgMar w:top="1441" w:right="2173" w:bottom="1441" w:left="1131" w:header="0" w:footer="3" w:gutter="0"/>
          <w:cols w:space="720"/>
          <w:noEndnote/>
          <w:rtlGutter w:val="0"/>
          <w:docGrid w:linePitch="360"/>
        </w:sectPr>
      </w:pPr>
    </w:p>
    <w:tbl>
      <w:tblPr>
        <w:tblOverlap w:val="never"/>
        <w:jc w:val="center"/>
        <w:tblLayout w:type="fixed"/>
      </w:tblPr>
      <w:tblGrid>
        <w:gridCol w:w="845"/>
        <w:gridCol w:w="5256"/>
        <w:gridCol w:w="1555"/>
        <w:gridCol w:w="941"/>
      </w:tblGrid>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w:t>
            </w:r>
            <w:r>
              <w:rPr>
                <w:color w:val="000000"/>
                <w:spacing w:val="0"/>
                <w:w w:val="100"/>
                <w:position w:val="0"/>
              </w:rPr>
              <w:t>一一</w:t>
            </w:r>
            <w:r>
              <w:rPr>
                <w:color w:val="000000"/>
                <w:spacing w:val="0"/>
                <w:w w:val="100"/>
                <w:position w:val="0"/>
              </w:rPr>
              <w:t>翟斌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w:t>
            </w:r>
            <w:r>
              <w:rPr>
                <w:color w:val="000000"/>
                <w:spacing w:val="0"/>
                <w:w w:val="100"/>
                <w:position w:val="0"/>
              </w:rPr>
              <w:t>一一</w:t>
            </w:r>
            <w:r>
              <w:rPr>
                <w:color w:val="000000"/>
                <w:spacing w:val="0"/>
                <w:w w:val="100"/>
                <w:position w:val="0"/>
              </w:rPr>
              <w:t>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独立董事候选人声明一罗婷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独立董事候选人声明一王永利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独立董事候选人声明一王巍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B157-158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独立董事提名人声明一翟斌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独立董事提名人声明一黄辉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独立董事提名人声明一罗婷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独立董事提名人声明一王永利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独立董事提名人声明一王巍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关于预计公司及下属子公司</w:t>
            </w:r>
            <w:r>
              <w:rPr>
                <w:rFonts w:ascii="Times New Roman" w:eastAsia="Times New Roman" w:hAnsi="Times New Roman" w:cs="Times New Roman"/>
                <w:color w:val="000000"/>
                <w:spacing w:val="0"/>
                <w:w w:val="100"/>
                <w:position w:val="0"/>
              </w:rPr>
              <w:t>2022</w:t>
            </w:r>
            <w:r>
              <w:rPr>
                <w:color w:val="000000"/>
                <w:spacing w:val="0"/>
                <w:w w:val="100"/>
                <w:position w:val="0"/>
              </w:rPr>
              <w:t>年担保额度的公告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B158-159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关于预计</w:t>
            </w:r>
            <w:r>
              <w:rPr>
                <w:rFonts w:ascii="Times New Roman" w:eastAsia="Times New Roman" w:hAnsi="Times New Roman" w:cs="Times New Roman"/>
                <w:color w:val="000000"/>
                <w:spacing w:val="0"/>
                <w:w w:val="100"/>
                <w:position w:val="0"/>
              </w:rPr>
              <w:t>2022</w:t>
            </w:r>
            <w:r>
              <w:rPr>
                <w:color w:val="000000"/>
                <w:spacing w:val="0"/>
                <w:w w:val="100"/>
                <w:position w:val="0"/>
              </w:rPr>
              <w:t>年度固定收益类投资及委托理财额度的公告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关于为控股子公司提供财务资助的公告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年度日常关联交易预计公告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关于预计</w:t>
            </w:r>
            <w:r>
              <w:rPr>
                <w:rFonts w:ascii="Times New Roman" w:eastAsia="Times New Roman" w:hAnsi="Times New Roman" w:cs="Times New Roman"/>
                <w:color w:val="000000"/>
                <w:spacing w:val="0"/>
                <w:w w:val="100"/>
                <w:position w:val="0"/>
              </w:rPr>
              <w:t>2022</w:t>
            </w:r>
            <w:r>
              <w:rPr>
                <w:color w:val="000000"/>
                <w:spacing w:val="0"/>
                <w:w w:val="100"/>
                <w:position w:val="0"/>
              </w:rPr>
              <w:t>年度关联银行开展存贷款业务的公告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2022</w:t>
            </w:r>
            <w:r>
              <w:rPr>
                <w:color w:val="000000"/>
                <w:spacing w:val="0"/>
                <w:w w:val="100"/>
                <w:position w:val="0"/>
              </w:rPr>
              <w:t>年度第一次临时股东大会的通知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年第二次临时会议决议公告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bl>
    <w:p>
      <w:pPr>
        <w:widowControl w:val="0"/>
        <w:spacing w:after="619" w:line="1" w:lineRule="exact"/>
      </w:pPr>
    </w:p>
    <w:p>
      <w:pPr>
        <w:pStyle w:val="Style25"/>
        <w:keepNext/>
        <w:keepLines/>
        <w:widowControl w:val="0"/>
        <w:shd w:val="clear" w:color="auto" w:fill="auto"/>
        <w:bidi w:val="0"/>
        <w:spacing w:before="0" w:after="360" w:line="240" w:lineRule="auto"/>
        <w:ind w:left="0" w:right="0" w:firstLine="0"/>
        <w:jc w:val="left"/>
      </w:pPr>
      <w:bookmarkStart w:id="559" w:name="bookmark559"/>
      <w:bookmarkStart w:id="560" w:name="bookmark560"/>
      <w:bookmarkStart w:id="561" w:name="bookmark561"/>
      <w:r>
        <w:rPr>
          <w:color w:val="000000"/>
          <w:spacing w:val="0"/>
          <w:w w:val="100"/>
          <w:position w:val="0"/>
          <w:sz w:val="24"/>
          <w:szCs w:val="24"/>
        </w:rPr>
        <w:t>十七、公司子公司重大事项</w:t>
      </w:r>
      <w:bookmarkEnd w:id="559"/>
      <w:bookmarkEnd w:id="560"/>
      <w:bookmarkEnd w:id="561"/>
    </w:p>
    <w:p>
      <w:pPr>
        <w:pStyle w:val="Style13"/>
        <w:keepNext w:val="0"/>
        <w:keepLines w:val="0"/>
        <w:widowControl w:val="0"/>
        <w:shd w:val="clear" w:color="auto" w:fill="auto"/>
        <w:bidi w:val="0"/>
        <w:spacing w:before="0" w:after="500" w:line="240" w:lineRule="auto"/>
        <w:ind w:left="0" w:right="0" w:firstLine="0"/>
        <w:jc w:val="left"/>
        <w:sectPr>
          <w:footnotePr>
            <w:pos w:val="pageBottom"/>
            <w:numFmt w:val="decimal"/>
            <w:numRestart w:val="continuous"/>
          </w:footnotePr>
          <w:pgSz w:w="11900" w:h="16840"/>
          <w:pgMar w:top="1441" w:right="2173" w:bottom="1441" w:left="111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0" w:after="380" w:line="240" w:lineRule="auto"/>
        <w:ind w:left="0" w:right="0" w:firstLine="0"/>
        <w:jc w:val="center"/>
      </w:pPr>
      <w:bookmarkStart w:id="562" w:name="bookmark562"/>
      <w:bookmarkStart w:id="563" w:name="bookmark563"/>
      <w:bookmarkStart w:id="564" w:name="bookmark564"/>
      <w:bookmarkStart w:id="565" w:name="bookmark565"/>
      <w:r>
        <w:rPr>
          <w:color w:val="000000"/>
          <w:spacing w:val="0"/>
          <w:w w:val="100"/>
          <w:position w:val="0"/>
        </w:rPr>
        <w:t>第七节股份变动及股东情况</w:t>
      </w:r>
      <w:bookmarkEnd w:id="563"/>
      <w:bookmarkEnd w:id="564"/>
      <w:bookmarkEnd w:id="565"/>
      <w:bookmarkEnd w:id="562"/>
    </w:p>
    <w:p>
      <w:pPr>
        <w:pStyle w:val="Style25"/>
        <w:keepNext/>
        <w:keepLines/>
        <w:widowControl w:val="0"/>
        <w:shd w:val="clear" w:color="auto" w:fill="auto"/>
        <w:bidi w:val="0"/>
        <w:spacing w:before="0" w:after="28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一</w:t>
      </w:r>
      <w:bookmarkEnd w:id="568"/>
      <w:r>
        <w:rPr>
          <w:color w:val="000000"/>
          <w:spacing w:val="0"/>
          <w:w w:val="100"/>
          <w:position w:val="0"/>
          <w:sz w:val="24"/>
          <w:szCs w:val="24"/>
        </w:rPr>
        <w:t>、股份变动情况</w:t>
      </w:r>
      <w:bookmarkEnd w:id="566"/>
      <w:bookmarkEnd w:id="567"/>
      <w:bookmarkEnd w:id="569"/>
    </w:p>
    <w:p>
      <w:pPr>
        <w:pStyle w:val="Style29"/>
        <w:keepNext/>
        <w:keepLines/>
        <w:widowControl w:val="0"/>
        <w:shd w:val="clear" w:color="auto" w:fill="auto"/>
        <w:bidi w:val="0"/>
        <w:spacing w:before="0" w:after="28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color w:val="000000"/>
          <w:spacing w:val="0"/>
          <w:w w:val="100"/>
          <w:position w:val="0"/>
        </w:rPr>
        <w:t>、股份变动情况</w:t>
      </w:r>
      <w:bookmarkEnd w:id="570"/>
      <w:bookmarkEnd w:id="571"/>
      <w:bookmarkEnd w:id="573"/>
    </w:p>
    <w:p>
      <w:pPr>
        <w:pStyle w:val="Style27"/>
        <w:keepNext w:val="0"/>
        <w:keepLines w:val="0"/>
        <w:widowControl w:val="0"/>
        <w:shd w:val="clear" w:color="auto" w:fill="auto"/>
        <w:bidi w:val="0"/>
        <w:spacing w:before="0" w:after="0" w:line="240" w:lineRule="auto"/>
        <w:ind w:left="13330" w:right="0" w:firstLine="0"/>
        <w:jc w:val="left"/>
      </w:pPr>
      <w:r>
        <w:rPr>
          <w:color w:val="000000"/>
          <w:spacing w:val="0"/>
          <w:w w:val="100"/>
          <w:position w:val="0"/>
        </w:rPr>
        <w:t>单位：股</w:t>
      </w:r>
    </w:p>
    <w:tbl>
      <w:tblPr>
        <w:tblOverlap w:val="never"/>
        <w:jc w:val="center"/>
        <w:tblLayout w:type="fixed"/>
      </w:tblPr>
      <w:tblGrid>
        <w:gridCol w:w="3302"/>
        <w:gridCol w:w="1214"/>
        <w:gridCol w:w="1219"/>
        <w:gridCol w:w="1214"/>
        <w:gridCol w:w="1219"/>
        <w:gridCol w:w="1214"/>
        <w:gridCol w:w="1214"/>
        <w:gridCol w:w="1224"/>
        <w:gridCol w:w="1171"/>
        <w:gridCol w:w="1186"/>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1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10,341,803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10,044,403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10,341,803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10,044,403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10,341,803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10,044,403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965,427,024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3,975,601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4,273,001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969,700,025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98.97%</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965,427,024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3,975,601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4,273,001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969,700,025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98.97%</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975,768,827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3,975,601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3,975,601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979,744,428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sectPr>
          <w:footnotePr>
            <w:pos w:val="pageBottom"/>
            <w:numFmt w:val="decimal"/>
            <w:numRestart w:val="continuous"/>
          </w:footnotePr>
          <w:pgSz w:w="16840" w:h="11900" w:orient="landscape"/>
          <w:pgMar w:top="1150" w:right="1330" w:bottom="1360" w:left="1330" w:header="0" w:footer="3" w:gutter="0"/>
          <w:cols w:space="720"/>
          <w:noEndnote/>
          <w:rtlGutter w:val="0"/>
          <w:docGrid w:linePitch="360"/>
        </w:sectPr>
      </w:pPr>
    </w:p>
    <w:p>
      <w:pPr>
        <w:pStyle w:val="Style13"/>
        <w:keepNext w:val="0"/>
        <w:keepLines w:val="0"/>
        <w:widowControl w:val="0"/>
        <w:shd w:val="clear" w:color="auto" w:fill="auto"/>
        <w:bidi w:val="0"/>
        <w:spacing w:before="0" w:after="0" w:line="316" w:lineRule="exact"/>
        <w:ind w:left="0" w:right="0" w:firstLine="0"/>
        <w:jc w:val="both"/>
      </w:pPr>
      <w:r>
        <w:rPr>
          <w:color w:val="000000"/>
          <w:spacing w:val="0"/>
          <w:w w:val="100"/>
          <w:position w:val="0"/>
        </w:rPr>
        <w:t>股份变动的原因</w:t>
      </w:r>
    </w:p>
    <w:p>
      <w:pPr>
        <w:pStyle w:val="Style13"/>
        <w:keepNext w:val="0"/>
        <w:keepLines w:val="0"/>
        <w:widowControl w:val="0"/>
        <w:shd w:val="clear" w:color="auto" w:fill="auto"/>
        <w:bidi w:val="0"/>
        <w:spacing w:before="0" w:after="0" w:line="316" w:lineRule="exact"/>
        <w:ind w:left="0" w:right="0" w:firstLine="0"/>
        <w:jc w:val="both"/>
      </w:pPr>
      <w:r>
        <w:rPr>
          <w:color w:val="000000"/>
          <w:spacing w:val="0"/>
          <w:w w:val="100"/>
          <w:position w:val="0"/>
        </w:rPr>
        <w:t>”适用口不适用</w:t>
      </w:r>
    </w:p>
    <w:p>
      <w:pPr>
        <w:pStyle w:val="Style13"/>
        <w:keepNext w:val="0"/>
        <w:keepLines w:val="0"/>
        <w:widowControl w:val="0"/>
        <w:shd w:val="clear" w:color="auto" w:fill="auto"/>
        <w:bidi w:val="0"/>
        <w:spacing w:before="0" w:after="0" w:line="316" w:lineRule="exact"/>
        <w:ind w:left="0" w:right="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日，公司第八届董事会</w:t>
      </w:r>
      <w:r>
        <w:rPr>
          <w:color w:val="000000"/>
          <w:spacing w:val="0"/>
          <w:w w:val="100"/>
          <w:position w:val="0"/>
        </w:rPr>
        <w:t>2021</w:t>
      </w:r>
      <w:r>
        <w:rPr>
          <w:color w:val="000000"/>
          <w:spacing w:val="0"/>
          <w:w w:val="100"/>
          <w:position w:val="0"/>
        </w:rPr>
        <w:t>年第二次临时会议和第八届监事会</w:t>
      </w:r>
      <w:r>
        <w:rPr>
          <w:color w:val="000000"/>
          <w:spacing w:val="0"/>
          <w:w w:val="100"/>
          <w:position w:val="0"/>
        </w:rPr>
        <w:t>2021</w:t>
      </w:r>
      <w:r>
        <w:rPr>
          <w:color w:val="000000"/>
          <w:spacing w:val="0"/>
          <w:w w:val="100"/>
          <w:position w:val="0"/>
        </w:rPr>
        <w:t>年第一次临时会议审议通过了《关 于</w:t>
      </w:r>
      <w:r>
        <w:rPr>
          <w:color w:val="000000"/>
          <w:spacing w:val="0"/>
          <w:w w:val="100"/>
          <w:position w:val="0"/>
        </w:rPr>
        <w:t>2019</w:t>
      </w:r>
      <w:r>
        <w:rPr>
          <w:color w:val="000000"/>
          <w:spacing w:val="0"/>
          <w:w w:val="100"/>
          <w:position w:val="0"/>
        </w:rPr>
        <w:t>年股票期权与限制性股票激励计划第二个行权期/解除限售期行权/解除限售条件成就的议案》，同意为符合行权条件 的</w:t>
      </w:r>
      <w:r>
        <w:rPr>
          <w:color w:val="000000"/>
          <w:spacing w:val="0"/>
          <w:w w:val="100"/>
          <w:position w:val="0"/>
        </w:rPr>
        <w:t>93</w:t>
      </w:r>
      <w:r>
        <w:rPr>
          <w:color w:val="000000"/>
          <w:spacing w:val="0"/>
          <w:w w:val="100"/>
          <w:position w:val="0"/>
        </w:rPr>
        <w:t>名激励对象办理第二行权期</w:t>
      </w:r>
      <w:r>
        <w:rPr>
          <w:color w:val="000000"/>
          <w:spacing w:val="0"/>
          <w:w w:val="100"/>
          <w:position w:val="0"/>
        </w:rPr>
        <w:t>1,011</w:t>
      </w:r>
      <w:r>
        <w:rPr>
          <w:color w:val="000000"/>
          <w:spacing w:val="0"/>
          <w:w w:val="100"/>
          <w:position w:val="0"/>
        </w:rPr>
        <w:t>万份股票期权的行权手续，为符合解除限售条件的</w:t>
      </w:r>
      <w:r>
        <w:rPr>
          <w:color w:val="000000"/>
          <w:spacing w:val="0"/>
          <w:w w:val="100"/>
          <w:position w:val="0"/>
        </w:rPr>
        <w:t>15</w:t>
      </w:r>
      <w:r>
        <w:rPr>
          <w:color w:val="000000"/>
          <w:spacing w:val="0"/>
          <w:w w:val="100"/>
          <w:position w:val="0"/>
        </w:rPr>
        <w:t>名激励对象办理第二个解除限售 期</w:t>
      </w:r>
      <w:r>
        <w:rPr>
          <w:color w:val="000000"/>
          <w:spacing w:val="0"/>
          <w:w w:val="100"/>
          <w:position w:val="0"/>
        </w:rPr>
        <w:t>332.5</w:t>
      </w:r>
      <w:r>
        <w:rPr>
          <w:color w:val="000000"/>
          <w:spacing w:val="0"/>
          <w:w w:val="100"/>
          <w:position w:val="0"/>
        </w:rPr>
        <w:t>0</w:t>
      </w:r>
      <w:r>
        <w:rPr>
          <w:color w:val="000000"/>
          <w:spacing w:val="0"/>
          <w:w w:val="100"/>
          <w:position w:val="0"/>
        </w:rPr>
        <w:t>万股限制性股票的解除限售手续。公司分别于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日披露了《关于</w:t>
      </w:r>
      <w:r>
        <w:rPr>
          <w:color w:val="000000"/>
          <w:spacing w:val="0"/>
          <w:w w:val="100"/>
          <w:position w:val="0"/>
        </w:rPr>
        <w:t>2019</w:t>
      </w:r>
      <w:r>
        <w:rPr>
          <w:color w:val="000000"/>
          <w:spacing w:val="0"/>
          <w:w w:val="100"/>
          <w:position w:val="0"/>
        </w:rPr>
        <w:t>年股权激励计划 限制性股票第二期解除限售上市流通的提示性公告》、《关于</w:t>
      </w:r>
      <w:r>
        <w:rPr>
          <w:color w:val="000000"/>
          <w:spacing w:val="0"/>
          <w:w w:val="100"/>
          <w:position w:val="0"/>
        </w:rPr>
        <w:t>2019</w:t>
      </w:r>
      <w:r>
        <w:rPr>
          <w:color w:val="000000"/>
          <w:spacing w:val="0"/>
          <w:w w:val="100"/>
          <w:position w:val="0"/>
        </w:rPr>
        <w:t>年股权激励计划第二个行权期采用自主行权模式的提示性 公告》。</w:t>
      </w:r>
    </w:p>
    <w:p>
      <w:pPr>
        <w:pStyle w:val="Style13"/>
        <w:keepNext w:val="0"/>
        <w:keepLines w:val="0"/>
        <w:widowControl w:val="0"/>
        <w:shd w:val="clear" w:color="auto" w:fill="auto"/>
        <w:bidi w:val="0"/>
        <w:spacing w:before="0" w:after="340" w:line="316" w:lineRule="exact"/>
        <w:ind w:left="0" w:right="0"/>
        <w:jc w:val="both"/>
      </w:pPr>
      <w:r>
        <w:rPr>
          <w:color w:val="000000"/>
          <w:spacing w:val="0"/>
          <w:w w:val="100"/>
          <w:position w:val="0"/>
        </w:rPr>
        <w:t>本报告期内，激励对象累计行权</w:t>
      </w:r>
      <w:r>
        <w:rPr>
          <w:color w:val="000000"/>
          <w:spacing w:val="0"/>
          <w:w w:val="100"/>
          <w:position w:val="0"/>
        </w:rPr>
        <w:t>3, 975, 601</w:t>
      </w:r>
      <w:r>
        <w:rPr>
          <w:color w:val="000000"/>
          <w:spacing w:val="0"/>
          <w:w w:val="100"/>
          <w:position w:val="0"/>
        </w:rPr>
        <w:t>股，公司无限售条件股份增加</w:t>
      </w:r>
      <w:r>
        <w:rPr>
          <w:color w:val="000000"/>
          <w:spacing w:val="0"/>
          <w:w w:val="100"/>
          <w:position w:val="0"/>
        </w:rPr>
        <w:t>3, 975, 601</w:t>
      </w:r>
      <w:r>
        <w:rPr>
          <w:color w:val="000000"/>
          <w:spacing w:val="0"/>
          <w:w w:val="100"/>
          <w:position w:val="0"/>
        </w:rPr>
        <w:t>股。</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日，公司</w:t>
      </w:r>
      <w:r>
        <w:rPr>
          <w:color w:val="000000"/>
          <w:spacing w:val="0"/>
          <w:w w:val="100"/>
          <w:position w:val="0"/>
        </w:rPr>
        <w:t xml:space="preserve">3,325,000 </w:t>
      </w:r>
      <w:r>
        <w:rPr>
          <w:color w:val="000000"/>
          <w:spacing w:val="0"/>
          <w:w w:val="100"/>
          <w:position w:val="0"/>
        </w:rPr>
        <w:t>股股权激励限售股解除限售并上市流通，同时因</w:t>
      </w:r>
      <w:r>
        <w:rPr>
          <w:color w:val="000000"/>
          <w:spacing w:val="0"/>
          <w:w w:val="100"/>
          <w:position w:val="0"/>
        </w:rPr>
        <w:t>2021</w:t>
      </w:r>
      <w:r>
        <w:rPr>
          <w:color w:val="000000"/>
          <w:spacing w:val="0"/>
          <w:w w:val="100"/>
          <w:position w:val="0"/>
        </w:rPr>
        <w:t>年新增高管人员、已离职高管人员持股变化等原因，导致有限售条件股 份减少</w:t>
      </w:r>
      <w:r>
        <w:rPr>
          <w:color w:val="000000"/>
          <w:spacing w:val="0"/>
          <w:w w:val="100"/>
          <w:position w:val="0"/>
        </w:rPr>
        <w:t>297,400</w:t>
      </w:r>
      <w:r>
        <w:rPr>
          <w:color w:val="000000"/>
          <w:spacing w:val="0"/>
          <w:w w:val="100"/>
          <w:position w:val="0"/>
        </w:rPr>
        <w:t>股，无限售条件股份增加</w:t>
      </w:r>
      <w:r>
        <w:rPr>
          <w:color w:val="000000"/>
          <w:spacing w:val="0"/>
          <w:w w:val="100"/>
          <w:position w:val="0"/>
        </w:rPr>
        <w:t>297,400</w:t>
      </w:r>
      <w:r>
        <w:rPr>
          <w:color w:val="000000"/>
          <w:spacing w:val="0"/>
          <w:w w:val="100"/>
          <w:position w:val="0"/>
        </w:rPr>
        <w:t>股。综上，总股本增加</w:t>
      </w:r>
      <w:r>
        <w:rPr>
          <w:color w:val="000000"/>
          <w:spacing w:val="0"/>
          <w:w w:val="100"/>
          <w:position w:val="0"/>
        </w:rPr>
        <w:t>3, 975, 601</w:t>
      </w:r>
      <w:r>
        <w:rPr>
          <w:color w:val="000000"/>
          <w:spacing w:val="0"/>
          <w:w w:val="100"/>
          <w:position w:val="0"/>
        </w:rPr>
        <w:t>股，由</w:t>
      </w:r>
      <w:r>
        <w:rPr>
          <w:color w:val="000000"/>
          <w:spacing w:val="0"/>
          <w:w w:val="100"/>
          <w:position w:val="0"/>
        </w:rPr>
        <w:t>975, 768, 827</w:t>
      </w:r>
      <w:r>
        <w:rPr>
          <w:color w:val="000000"/>
          <w:spacing w:val="0"/>
          <w:w w:val="100"/>
          <w:position w:val="0"/>
        </w:rPr>
        <w:t>股增加至</w:t>
      </w:r>
      <w:r>
        <w:rPr>
          <w:color w:val="000000"/>
          <w:spacing w:val="0"/>
          <w:w w:val="100"/>
          <w:position w:val="0"/>
        </w:rPr>
        <w:t xml:space="preserve">979, 744, 428 </w:t>
      </w:r>
      <w:r>
        <w:rPr>
          <w:color w:val="000000"/>
          <w:spacing w:val="0"/>
          <w:w w:val="100"/>
          <w:position w:val="0"/>
        </w:rPr>
        <w:t>股。</w:t>
      </w:r>
    </w:p>
    <w:p>
      <w:pPr>
        <w:pStyle w:val="Style13"/>
        <w:keepNext w:val="0"/>
        <w:keepLines w:val="0"/>
        <w:widowControl w:val="0"/>
        <w:shd w:val="clear" w:color="auto" w:fill="auto"/>
        <w:bidi w:val="0"/>
        <w:spacing w:before="0" w:after="0" w:line="316" w:lineRule="exact"/>
        <w:ind w:left="0" w:right="0" w:firstLine="0"/>
        <w:jc w:val="left"/>
      </w:pPr>
      <w:r>
        <w:rPr>
          <w:color w:val="000000"/>
          <w:spacing w:val="0"/>
          <w:w w:val="100"/>
          <w:position w:val="0"/>
        </w:rPr>
        <w:t>股份变动的批准情况</w:t>
      </w:r>
    </w:p>
    <w:p>
      <w:pPr>
        <w:pStyle w:val="Style13"/>
        <w:keepNext w:val="0"/>
        <w:keepLines w:val="0"/>
        <w:widowControl w:val="0"/>
        <w:shd w:val="clear" w:color="auto" w:fill="auto"/>
        <w:bidi w:val="0"/>
        <w:spacing w:before="0" w:after="0" w:line="316" w:lineRule="exact"/>
        <w:ind w:left="0" w:right="0" w:firstLine="0"/>
        <w:jc w:val="left"/>
      </w:pPr>
      <w:r>
        <w:rPr>
          <w:color w:val="000000"/>
          <w:spacing w:val="0"/>
          <w:w w:val="100"/>
          <w:position w:val="0"/>
        </w:rPr>
        <w:t>”适用口不适用</w:t>
      </w:r>
    </w:p>
    <w:p>
      <w:pPr>
        <w:pStyle w:val="Style13"/>
        <w:keepNext w:val="0"/>
        <w:keepLines w:val="0"/>
        <w:widowControl w:val="0"/>
        <w:shd w:val="clear" w:color="auto" w:fill="auto"/>
        <w:bidi w:val="0"/>
        <w:spacing w:before="0" w:after="340" w:line="31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第四节公司治理</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十二、公司股权激励计划、员工持股计划或其他员工激励措施的实施情况匚</w:t>
      </w:r>
    </w:p>
    <w:p>
      <w:pPr>
        <w:pStyle w:val="Style13"/>
        <w:keepNext w:val="0"/>
        <w:keepLines w:val="0"/>
        <w:widowControl w:val="0"/>
        <w:shd w:val="clear" w:color="auto" w:fill="auto"/>
        <w:bidi w:val="0"/>
        <w:spacing w:before="0" w:after="0" w:line="316" w:lineRule="exact"/>
        <w:ind w:left="0" w:right="0" w:firstLine="0"/>
        <w:jc w:val="left"/>
      </w:pPr>
      <w:r>
        <w:rPr>
          <w:color w:val="000000"/>
          <w:spacing w:val="0"/>
          <w:w w:val="100"/>
          <w:position w:val="0"/>
        </w:rPr>
        <w:t>股份变动的过户情况</w:t>
      </w:r>
    </w:p>
    <w:p>
      <w:pPr>
        <w:pStyle w:val="Style13"/>
        <w:keepNext w:val="0"/>
        <w:keepLines w:val="0"/>
        <w:widowControl w:val="0"/>
        <w:shd w:val="clear" w:color="auto" w:fill="auto"/>
        <w:bidi w:val="0"/>
        <w:spacing w:before="0" w:after="0" w:line="316" w:lineRule="exact"/>
        <w:ind w:left="0" w:right="0" w:firstLine="0"/>
        <w:jc w:val="left"/>
      </w:pPr>
      <w:r>
        <w:rPr>
          <w:color w:val="000000"/>
          <w:spacing w:val="0"/>
          <w:w w:val="100"/>
          <w:position w:val="0"/>
        </w:rPr>
        <w:t>”适用口不适用</w:t>
      </w:r>
    </w:p>
    <w:p>
      <w:pPr>
        <w:pStyle w:val="Style13"/>
        <w:keepNext w:val="0"/>
        <w:keepLines w:val="0"/>
        <w:widowControl w:val="0"/>
        <w:shd w:val="clear" w:color="auto" w:fill="auto"/>
        <w:bidi w:val="0"/>
        <w:spacing w:before="0" w:after="340" w:line="31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第四节公司治理”的</w:t>
      </w:r>
      <w:r>
        <w:rPr>
          <w:rFonts w:ascii="Times New Roman" w:eastAsia="Times New Roman" w:hAnsi="Times New Roman" w:cs="Times New Roman"/>
          <w:color w:val="000000"/>
          <w:spacing w:val="0"/>
          <w:w w:val="100"/>
          <w:position w:val="0"/>
        </w:rPr>
        <w:t>“</w:t>
      </w:r>
      <w:r>
        <w:rPr>
          <w:color w:val="000000"/>
          <w:spacing w:val="0"/>
          <w:w w:val="100"/>
          <w:position w:val="0"/>
        </w:rPr>
        <w:t>十二、公司股权激励计划、员工持股计划或其他员工激励措施的实施情况七</w:t>
      </w:r>
    </w:p>
    <w:p>
      <w:pPr>
        <w:pStyle w:val="Style13"/>
        <w:keepNext w:val="0"/>
        <w:keepLines w:val="0"/>
        <w:widowControl w:val="0"/>
        <w:shd w:val="clear" w:color="auto" w:fill="auto"/>
        <w:bidi w:val="0"/>
        <w:spacing w:before="0" w:after="0" w:line="346"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 ”适用口不适用</w:t>
      </w:r>
    </w:p>
    <w:p>
      <w:pPr>
        <w:pStyle w:val="Style13"/>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本报告期内，因公司</w:t>
      </w:r>
      <w:r>
        <w:rPr>
          <w:color w:val="000000"/>
          <w:spacing w:val="0"/>
          <w:w w:val="100"/>
          <w:position w:val="0"/>
        </w:rPr>
        <w:t>2019</w:t>
      </w:r>
      <w:r>
        <w:rPr>
          <w:color w:val="000000"/>
          <w:spacing w:val="0"/>
          <w:w w:val="100"/>
          <w:position w:val="0"/>
        </w:rPr>
        <w:t>年股权激励计划之部分限制性股票回购注销及股票期权自主行权，公司总股本由</w:t>
      </w:r>
      <w:r>
        <w:rPr>
          <w:color w:val="000000"/>
          <w:spacing w:val="0"/>
          <w:w w:val="100"/>
          <w:position w:val="0"/>
        </w:rPr>
        <w:t xml:space="preserve">975, 768, 827 </w:t>
      </w:r>
      <w:r>
        <w:rPr>
          <w:color w:val="000000"/>
          <w:spacing w:val="0"/>
          <w:w w:val="100"/>
          <w:position w:val="0"/>
        </w:rPr>
        <w:t>股增加至</w:t>
      </w:r>
      <w:r>
        <w:rPr>
          <w:color w:val="000000"/>
          <w:spacing w:val="0"/>
          <w:w w:val="100"/>
          <w:position w:val="0"/>
        </w:rPr>
        <w:t>979, 744, 428</w:t>
      </w:r>
      <w:r>
        <w:rPr>
          <w:color w:val="000000"/>
          <w:spacing w:val="0"/>
          <w:w w:val="100"/>
          <w:position w:val="0"/>
        </w:rPr>
        <w:t>股。按照变动后的新股本</w:t>
      </w:r>
      <w:r>
        <w:rPr>
          <w:color w:val="000000"/>
          <w:spacing w:val="0"/>
          <w:w w:val="100"/>
          <w:position w:val="0"/>
        </w:rPr>
        <w:t>979, 744, 428</w:t>
      </w:r>
      <w:r>
        <w:rPr>
          <w:color w:val="000000"/>
          <w:spacing w:val="0"/>
          <w:w w:val="100"/>
          <w:position w:val="0"/>
        </w:rPr>
        <w:t>股计算，并在此基础上考虑已回购股份的影响，</w:t>
      </w:r>
      <w:r>
        <w:rPr>
          <w:color w:val="000000"/>
          <w:spacing w:val="0"/>
          <w:w w:val="100"/>
          <w:position w:val="0"/>
        </w:rPr>
        <w:t>2021</w:t>
      </w:r>
      <w:r>
        <w:rPr>
          <w:color w:val="000000"/>
          <w:spacing w:val="0"/>
          <w:w w:val="100"/>
          <w:position w:val="0"/>
        </w:rPr>
        <w:t>年度基本每 股收益、稀释每股收益和归属于公司普通股股东的每股净资产分别为</w:t>
      </w:r>
      <w:r>
        <w:rPr>
          <w:color w:val="000000"/>
          <w:spacing w:val="0"/>
          <w:w w:val="100"/>
          <w:position w:val="0"/>
        </w:rPr>
        <w:t>0.3862</w:t>
      </w:r>
      <w:r>
        <w:rPr>
          <w:color w:val="000000"/>
          <w:spacing w:val="0"/>
          <w:w w:val="100"/>
          <w:position w:val="0"/>
        </w:rPr>
        <w:t>元、</w:t>
      </w:r>
      <w:r>
        <w:rPr>
          <w:color w:val="000000"/>
          <w:spacing w:val="0"/>
          <w:w w:val="100"/>
          <w:position w:val="0"/>
        </w:rPr>
        <w:t xml:space="preserve">0. </w:t>
      </w:r>
      <w:r>
        <w:rPr>
          <w:color w:val="000000"/>
          <w:spacing w:val="0"/>
          <w:w w:val="100"/>
          <w:position w:val="0"/>
        </w:rPr>
        <w:t>3860</w:t>
      </w:r>
      <w:r>
        <w:rPr>
          <w:color w:val="000000"/>
          <w:spacing w:val="0"/>
          <w:w w:val="100"/>
          <w:position w:val="0"/>
        </w:rPr>
        <w:t>元、</w:t>
      </w:r>
      <w:r>
        <w:rPr>
          <w:color w:val="000000"/>
          <w:spacing w:val="0"/>
          <w:w w:val="100"/>
          <w:position w:val="0"/>
        </w:rPr>
        <w:t>6.12</w:t>
      </w:r>
      <w:r>
        <w:rPr>
          <w:color w:val="000000"/>
          <w:spacing w:val="0"/>
          <w:w w:val="100"/>
          <w:position w:val="0"/>
        </w:rPr>
        <w:t>元。</w:t>
      </w:r>
    </w:p>
    <w:p>
      <w:pPr>
        <w:pStyle w:val="Style13"/>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公司认为必要或证券监管机构要求披露的其他内容</w:t>
      </w:r>
    </w:p>
    <w:p>
      <w:pPr>
        <w:pStyle w:val="Style13"/>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口适用”不适用</w:t>
      </w:r>
    </w:p>
    <w:p>
      <w:pPr>
        <w:pStyle w:val="Style29"/>
        <w:keepNext/>
        <w:keepLines/>
        <w:widowControl w:val="0"/>
        <w:shd w:val="clear" w:color="auto" w:fill="auto"/>
        <w:bidi w:val="0"/>
        <w:spacing w:before="0" w:after="26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、限售股份变动情况</w:t>
      </w:r>
      <w:bookmarkEnd w:id="574"/>
      <w:bookmarkEnd w:id="575"/>
      <w:bookmarkEnd w:id="577"/>
    </w:p>
    <w:p>
      <w:pPr>
        <w:pStyle w:val="Style13"/>
        <w:keepNext w:val="0"/>
        <w:keepLines w:val="0"/>
        <w:widowControl w:val="0"/>
        <w:shd w:val="clear" w:color="auto" w:fill="auto"/>
        <w:bidi w:val="0"/>
        <w:spacing w:before="0" w:after="120" w:line="316" w:lineRule="exact"/>
        <w:ind w:left="0" w:right="0" w:firstLine="0"/>
        <w:jc w:val="both"/>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27"/>
        <w:gridCol w:w="1080"/>
        <w:gridCol w:w="989"/>
        <w:gridCol w:w="1027"/>
        <w:gridCol w:w="1066"/>
        <w:gridCol w:w="1488"/>
        <w:gridCol w:w="290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本期解除</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高管锁定股及股 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日解除限售，期末均为高管锁定 股，按相关规则执行</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李侃遐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高管锁定股及股 权激励限售股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日解除限售，期末均为高管锁定</w:t>
            </w:r>
          </w:p>
        </w:tc>
      </w:tr>
    </w:tbl>
    <w:p>
      <w:pPr>
        <w:spacing w:lineRule="exact" w:line="1"/>
        <w:rPr>
          <w:sz w:val="2"/>
          <w:szCs w:val="2"/>
        </w:rPr>
      </w:pPr>
      <w:r>
        <w:br w:type="page"/>
      </w:r>
    </w:p>
    <w:tbl>
      <w:tblPr>
        <w:tblOverlap w:val="never"/>
        <w:jc w:val="center"/>
        <w:tblLayout w:type="fixed"/>
      </w:tblPr>
      <w:tblGrid>
        <w:gridCol w:w="1027"/>
        <w:gridCol w:w="1080"/>
        <w:gridCol w:w="989"/>
        <w:gridCol w:w="1027"/>
        <w:gridCol w:w="1066"/>
        <w:gridCol w:w="1488"/>
        <w:gridCol w:w="290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股，按相关规则执行</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闫光明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高管锁定股及股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日解除限售，期末均为高管锁定 股，按相关规则执行</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高管锁定股及股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日解除限售，期末均为高管锁定 股，按相关规则执行</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高管锁定股及股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日解除限售，期末均为高管锁定 股，按相关规则执行</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高管锁定股及股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日解除限售，期末均为高管锁定 股，按相关规则执行</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郝晋瑞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高管锁定股及股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日解除限售，期末均为高管锁定 股，按相关规则执行</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崔晓天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高管锁定股及股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日解除限售，期末均为高管锁定 股，按相关规则执行</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高管锁定股及股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日解除限售，期末均为高管锁定 股，按相关规则执行</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唐智峰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131,625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131,625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高管锁定股按相关规则执行</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于宏志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高管锁定股按相关规则执行</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马洪杰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84,375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高管锁定股及股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日解除限售，期末均为高管锁定 股，按相关规则执行</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55,350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高管锁定股按相关规则执行</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其他已离 任高管锁 定股及股 权激励限 售股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6,406,003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6,424,753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高管锁定股及股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日解除限售，期末均为高管锁定 股，按相关规则执行</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其他股权</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激励限售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股权激励限售股于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日解除限售</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10,341,803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-297,400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10,044,403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keepLines/>
        <w:widowControl w:val="0"/>
        <w:shd w:val="clear" w:color="auto" w:fill="auto"/>
        <w:bidi w:val="0"/>
        <w:spacing w:before="0" w:after="36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sz w:val="24"/>
          <w:szCs w:val="24"/>
        </w:rPr>
        <w:t>二</w:t>
      </w:r>
      <w:bookmarkEnd w:id="580"/>
      <w:r>
        <w:rPr>
          <w:color w:val="000000"/>
          <w:spacing w:val="0"/>
          <w:w w:val="100"/>
          <w:position w:val="0"/>
          <w:sz w:val="24"/>
          <w:szCs w:val="24"/>
        </w:rPr>
        <w:t>、证券发行与上市情况</w:t>
      </w:r>
      <w:bookmarkEnd w:id="578"/>
      <w:bookmarkEnd w:id="579"/>
      <w:bookmarkEnd w:id="581"/>
    </w:p>
    <w:p>
      <w:pPr>
        <w:pStyle w:val="Style29"/>
        <w:keepNext/>
        <w:keepLines/>
        <w:widowControl w:val="0"/>
        <w:shd w:val="clear" w:color="auto" w:fill="auto"/>
        <w:tabs>
          <w:tab w:pos="368" w:val="left"/>
        </w:tabs>
        <w:bidi w:val="0"/>
        <w:spacing w:before="0" w:line="240" w:lineRule="auto"/>
        <w:ind w:left="0" w:right="0" w:firstLine="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w:t>
        <w:tab/>
        <w:t>报告期内证券发行（不含优先股）情况</w:t>
      </w:r>
      <w:bookmarkEnd w:id="582"/>
      <w:bookmarkEnd w:id="583"/>
      <w:bookmarkEnd w:id="585"/>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both"/>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bookmarkEnd w:id="588"/>
      <w:r>
        <w:rPr>
          <w:color w:val="000000"/>
          <w:spacing w:val="0"/>
          <w:w w:val="100"/>
          <w:position w:val="0"/>
        </w:rPr>
        <w:t>、</w:t>
        <w:tab/>
        <w:t>公司股份总数及股东结构的变动、公司资产和负债结构的变动情况说明</w:t>
      </w:r>
      <w:bookmarkEnd w:id="586"/>
      <w:bookmarkEnd w:id="587"/>
      <w:bookmarkEnd w:id="589"/>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公司股份总数变动的具体情况请参见本报告</w:t>
      </w:r>
      <w:r>
        <w:rPr>
          <w:rFonts w:ascii="Times New Roman" w:eastAsia="Times New Roman" w:hAnsi="Times New Roman" w:cs="Times New Roman"/>
          <w:color w:val="000000"/>
          <w:spacing w:val="0"/>
          <w:w w:val="100"/>
          <w:position w:val="0"/>
        </w:rPr>
        <w:t>“</w:t>
      </w:r>
      <w:r>
        <w:rPr>
          <w:color w:val="000000"/>
          <w:spacing w:val="0"/>
          <w:w w:val="100"/>
          <w:position w:val="0"/>
        </w:rPr>
        <w:t>第七节股份变动及股东情况</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股份变动情况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公司股本结构的变动情况为：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314"/>
        <w:gridCol w:w="1454"/>
        <w:gridCol w:w="1584"/>
        <w:gridCol w:w="1397"/>
        <w:gridCol w:w="1728"/>
        <w:gridCol w:w="1176"/>
      </w:tblGrid>
      <w:tr>
        <w:trPr>
          <w:trHeight w:val="43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股份类型</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本次变动数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r>
      <w:tr>
        <w:trPr>
          <w:trHeight w:val="4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比例</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一、有限售条件的流通股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10,341,803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10,044,403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二、无限售条件的流通股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965,427,024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969,700,025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98.97%</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975,768,827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3,975,601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979,744,428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439" w:line="1" w:lineRule="exact"/>
      </w:pPr>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公司资产和负债结构的变动情况为</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单位：元</w:t>
      </w:r>
    </w:p>
    <w:tbl>
      <w:tblPr>
        <w:tblOverlap w:val="never"/>
        <w:jc w:val="center"/>
        <w:tblLayout w:type="fixed"/>
      </w:tblPr>
      <w:tblGrid>
        <w:gridCol w:w="2146"/>
        <w:gridCol w:w="1709"/>
        <w:gridCol w:w="2040"/>
        <w:gridCol w:w="1733"/>
        <w:gridCol w:w="2035"/>
      </w:tblGrid>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w:t>
            </w:r>
            <w:r>
              <w:rPr>
                <w:rFonts w:ascii="Times New Roman" w:eastAsia="Times New Roman" w:hAnsi="Times New Roman" w:cs="Times New Roman"/>
                <w:color w:val="000000"/>
                <w:spacing w:val="0"/>
                <w:w w:val="100"/>
                <w:position w:val="0"/>
              </w:rPr>
              <w:t>/</w:t>
            </w:r>
            <w:r>
              <w:rPr>
                <w:color w:val="000000"/>
                <w:spacing w:val="0"/>
                <w:w w:val="100"/>
                <w:position w:val="0"/>
              </w:rPr>
              <w:t>总负债的比例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w:t>
            </w:r>
            <w:r>
              <w:rPr>
                <w:rFonts w:ascii="Times New Roman" w:eastAsia="Times New Roman" w:hAnsi="Times New Roman" w:cs="Times New Roman"/>
                <w:color w:val="000000"/>
                <w:spacing w:val="0"/>
                <w:w w:val="100"/>
                <w:position w:val="0"/>
              </w:rPr>
              <w:t>/</w:t>
            </w:r>
            <w:r>
              <w:rPr>
                <w:color w:val="000000"/>
                <w:spacing w:val="0"/>
                <w:w w:val="100"/>
                <w:position w:val="0"/>
              </w:rPr>
              <w:t>总负债的比例</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9,636,840,041.66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9,320,042,082.14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77.33%</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2,784,865,961.50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2,731,820,753.38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22.67%</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12,421,706,003.16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12,051,862,835.52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6,287,187,322.60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6,309,209,567.23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99.11%</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108,370,526.70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56,785,673.05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6,395,557,849.30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6,365,995,240.28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6,026,148,153.86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5,685,867,595.24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47.18%</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归属母公司所有者权益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5,913,688,914.34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5,585,144,941.02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46.34%</w:t>
            </w:r>
          </w:p>
        </w:tc>
      </w:tr>
    </w:tbl>
    <w:p>
      <w:pPr>
        <w:widowControl w:val="0"/>
        <w:spacing w:after="659" w:line="1" w:lineRule="exact"/>
      </w:pPr>
    </w:p>
    <w:p>
      <w:pPr>
        <w:pStyle w:val="Style29"/>
        <w:keepNext/>
        <w:keepLines/>
        <w:widowControl w:val="0"/>
        <w:shd w:val="clear" w:color="auto" w:fill="auto"/>
        <w:bidi w:val="0"/>
        <w:spacing w:before="0" w:line="240" w:lineRule="auto"/>
        <w:ind w:left="0" w:right="0" w:firstLine="0"/>
        <w:jc w:val="both"/>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3</w:t>
      </w:r>
      <w:bookmarkEnd w:id="592"/>
      <w:r>
        <w:rPr>
          <w:color w:val="000000"/>
          <w:spacing w:val="0"/>
          <w:w w:val="100"/>
          <w:position w:val="0"/>
        </w:rPr>
        <w:t>、现存的内部职工股情况</w:t>
      </w:r>
      <w:bookmarkEnd w:id="590"/>
      <w:bookmarkEnd w:id="591"/>
      <w:bookmarkEnd w:id="593"/>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适用”不适用</w:t>
      </w:r>
      <w:r>
        <w:br w:type="page"/>
      </w:r>
    </w:p>
    <w:p>
      <w:pPr>
        <w:pStyle w:val="Style25"/>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三</w:t>
      </w:r>
      <w:bookmarkEnd w:id="596"/>
      <w:r>
        <w:rPr>
          <w:color w:val="000000"/>
          <w:spacing w:val="0"/>
          <w:w w:val="100"/>
          <w:position w:val="0"/>
          <w:sz w:val="24"/>
          <w:szCs w:val="24"/>
        </w:rPr>
        <w:t>、股东和实际控制人情况</w:t>
      </w:r>
      <w:bookmarkEnd w:id="594"/>
      <w:bookmarkEnd w:id="595"/>
      <w:bookmarkEnd w:id="597"/>
    </w:p>
    <w:p>
      <w:pPr>
        <w:pStyle w:val="Style29"/>
        <w:keepNext/>
        <w:keepLines/>
        <w:widowControl w:val="0"/>
        <w:shd w:val="clear" w:color="auto" w:fill="auto"/>
        <w:bidi w:val="0"/>
        <w:spacing w:before="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、公司股东数量及持股情况</w:t>
      </w:r>
      <w:bookmarkEnd w:id="598"/>
      <w:bookmarkEnd w:id="599"/>
      <w:bookmarkEnd w:id="6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98"/>
        <w:gridCol w:w="806"/>
        <w:gridCol w:w="346"/>
        <w:gridCol w:w="830"/>
        <w:gridCol w:w="326"/>
        <w:gridCol w:w="821"/>
        <w:gridCol w:w="1013"/>
        <w:gridCol w:w="514"/>
        <w:gridCol w:w="446"/>
        <w:gridCol w:w="456"/>
        <w:gridCol w:w="667"/>
        <w:gridCol w:w="586"/>
        <w:gridCol w:w="288"/>
        <w:gridCol w:w="88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70,979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80,101</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报告期末表决权 恢复的优先股股 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前上一月末表决 权恢复的优先股 股东总数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75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持有无限售</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条件的股份</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60" w:lineRule="exact"/>
              <w:ind w:left="0" w:right="0" w:firstLine="0"/>
              <w:jc w:val="center"/>
            </w:pPr>
            <w:r>
              <w:rPr>
                <w:color w:val="000000"/>
                <w:spacing w:val="0"/>
                <w:w w:val="100"/>
                <w:position w:val="0"/>
              </w:rPr>
              <w:t>质押、标记或冻结 情况</w:t>
            </w:r>
          </w:p>
        </w:tc>
      </w:tr>
      <w:tr>
        <w:trPr>
          <w:trHeight w:val="75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神州数码软件有 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39.76%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389,540,110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389,540,110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128,884,000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中新苏州工业园 区创业投资有限 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6.60%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64,675,937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64,675,937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昆山市申昌科技 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49,708,280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49,708,280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Infinity I-China Investments(Israel ),L.P</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13,130,434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13,130,434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13,130,434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程艳云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8,465,822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-62,104.00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8,465,822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0.78%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7,635,638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5,726,728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1,908,910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香港中央结算有 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0.68%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6,687,859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3,115,151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6,687,859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王宇飞</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0.60%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5,917,875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-950,625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5,917,875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贺胜龙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0.36%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3,565,000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云南国际信托有 限公司一云南信 托•大西部丝绸之 路</w:t>
            </w:r>
            <w:r>
              <w:rPr>
                <w:rFonts w:ascii="Times New Roman" w:eastAsia="Times New Roman" w:hAnsi="Times New Roman" w:cs="Times New Roman"/>
                <w:color w:val="000000"/>
                <w:spacing w:val="0"/>
                <w:w w:val="100"/>
                <w:position w:val="0"/>
              </w:rPr>
              <w:t>1</w:t>
            </w:r>
            <w:r>
              <w:rPr>
                <w:color w:val="000000"/>
                <w:spacing w:val="0"/>
                <w:w w:val="100"/>
                <w:position w:val="0"/>
              </w:rPr>
              <w:t>号集合资金 信托计划</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2,346,499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2,346,499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华亿投资</w:t>
            </w:r>
            <w:r>
              <w:rPr>
                <w:rFonts w:ascii="Times New Roman" w:eastAsia="Times New Roman" w:hAnsi="Times New Roman" w:cs="Times New Roman"/>
                <w:color w:val="000000"/>
                <w:spacing w:val="0"/>
                <w:w w:val="100"/>
                <w:position w:val="0"/>
              </w:rPr>
              <w:t>2013</w:t>
            </w:r>
            <w:r>
              <w:rPr>
                <w:color w:val="000000"/>
                <w:spacing w:val="0"/>
                <w:w w:val="100"/>
                <w:position w:val="0"/>
              </w:rPr>
              <w:t>年度认购公司非公开发行股份的价格为</w:t>
            </w:r>
            <w:r>
              <w:rPr>
                <w:rFonts w:ascii="Times New Roman" w:eastAsia="Times New Roman" w:hAnsi="Times New Roman" w:cs="Times New Roman"/>
                <w:color w:val="000000"/>
                <w:spacing w:val="0"/>
                <w:w w:val="100"/>
                <w:position w:val="0"/>
              </w:rPr>
              <w:t>9.44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股，认购股份数量为 </w:t>
            </w:r>
            <w:r>
              <w:rPr>
                <w:rFonts w:ascii="Times New Roman" w:eastAsia="Times New Roman" w:hAnsi="Times New Roman" w:cs="Times New Roman"/>
                <w:color w:val="000000"/>
                <w:spacing w:val="0"/>
                <w:w w:val="100"/>
                <w:position w:val="0"/>
              </w:rPr>
              <w:t>9,358,417</w:t>
            </w:r>
            <w:r>
              <w:rPr>
                <w:color w:val="000000"/>
                <w:spacing w:val="0"/>
                <w:w w:val="100"/>
                <w:position w:val="0"/>
              </w:rPr>
              <w:t>股，自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日起，限售期为</w:t>
            </w:r>
            <w:r>
              <w:rPr>
                <w:rFonts w:ascii="Times New Roman" w:eastAsia="Times New Roman" w:hAnsi="Times New Roman" w:cs="Times New Roman"/>
                <w:color w:val="000000"/>
                <w:spacing w:val="0"/>
                <w:w w:val="100"/>
                <w:position w:val="0"/>
              </w:rPr>
              <w:t>36</w:t>
            </w:r>
            <w:r>
              <w:rPr>
                <w:color w:val="000000"/>
                <w:spacing w:val="0"/>
                <w:w w:val="100"/>
                <w:position w:val="0"/>
              </w:rPr>
              <w:t>个月。</w:t>
            </w:r>
            <w:r>
              <w:rPr>
                <w:rFonts w:ascii="Times New Roman" w:eastAsia="Times New Roman" w:hAnsi="Times New Roman" w:cs="Times New Roman"/>
                <w:color w:val="000000"/>
                <w:spacing w:val="0"/>
                <w:w w:val="100"/>
                <w:position w:val="0"/>
              </w:rPr>
              <w:t>2015</w:t>
            </w:r>
            <w:r>
              <w:rPr>
                <w:color w:val="000000"/>
                <w:spacing w:val="0"/>
                <w:w w:val="100"/>
                <w:position w:val="0"/>
              </w:rPr>
              <w:t>年半年度实施资本 公积金</w:t>
            </w:r>
            <w:r>
              <w:rPr>
                <w:rFonts w:ascii="Times New Roman" w:eastAsia="Times New Roman" w:hAnsi="Times New Roman" w:cs="Times New Roman"/>
                <w:color w:val="000000"/>
                <w:spacing w:val="0"/>
                <w:w w:val="100"/>
                <w:position w:val="0"/>
              </w:rPr>
              <w:t>10</w:t>
            </w:r>
            <w:r>
              <w:rPr>
                <w:color w:val="000000"/>
                <w:spacing w:val="0"/>
                <w:w w:val="100"/>
                <w:position w:val="0"/>
              </w:rPr>
              <w:t>转</w:t>
            </w:r>
            <w:r>
              <w:rPr>
                <w:rFonts w:ascii="Times New Roman" w:eastAsia="Times New Roman" w:hAnsi="Times New Roman" w:cs="Times New Roman"/>
                <w:color w:val="000000"/>
                <w:spacing w:val="0"/>
                <w:w w:val="100"/>
                <w:position w:val="0"/>
              </w:rPr>
              <w:t>10</w:t>
            </w:r>
            <w:r>
              <w:rPr>
                <w:color w:val="000000"/>
                <w:spacing w:val="0"/>
                <w:w w:val="100"/>
                <w:position w:val="0"/>
              </w:rPr>
              <w:t>股后，华亿投资的股份增至</w:t>
            </w:r>
            <w:r>
              <w:rPr>
                <w:rFonts w:ascii="Times New Roman" w:eastAsia="Times New Roman" w:hAnsi="Times New Roman" w:cs="Times New Roman"/>
                <w:color w:val="000000"/>
                <w:spacing w:val="0"/>
                <w:w w:val="100"/>
                <w:position w:val="0"/>
              </w:rPr>
              <w:t>18,716,834</w:t>
            </w:r>
            <w:r>
              <w:rPr>
                <w:color w:val="000000"/>
                <w:spacing w:val="0"/>
                <w:w w:val="100"/>
                <w:position w:val="0"/>
              </w:rPr>
              <w:t>股。上述股份已于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日解除限售并上市流通。</w:t>
            </w:r>
          </w:p>
        </w:tc>
      </w:tr>
    </w:tbl>
    <w:p>
      <w:pPr>
        <w:spacing w:lineRule="exact" w:line="1"/>
        <w:rPr>
          <w:sz w:val="2"/>
          <w:szCs w:val="2"/>
        </w:rPr>
      </w:pPr>
      <w:r>
        <w:br w:type="page"/>
      </w:r>
    </w:p>
    <w:tbl>
      <w:tblPr>
        <w:tblOverlap w:val="never"/>
        <w:jc w:val="center"/>
        <w:tblLayout w:type="fixed"/>
      </w:tblPr>
      <w:tblGrid>
        <w:gridCol w:w="2750"/>
        <w:gridCol w:w="1243"/>
        <w:gridCol w:w="2280"/>
        <w:gridCol w:w="2136"/>
        <w:gridCol w:w="117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除公司回购专用证券账户外，神码软件与前十大其他股东均不存在关联关系。吴冬华 与程艳云系夫妻关系。</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 放弃表决权情况的说明</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名股东中存在回购专户的 特别说明</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公司回购证券专用账户本报告期末持有的普通股份数量为</w:t>
            </w:r>
            <w:r>
              <w:rPr>
                <w:rFonts w:ascii="Times New Roman" w:eastAsia="Times New Roman" w:hAnsi="Times New Roman" w:cs="Times New Roman"/>
                <w:color w:val="000000"/>
                <w:spacing w:val="0"/>
                <w:w w:val="100"/>
                <w:position w:val="0"/>
              </w:rPr>
              <w:t>12,864,476</w:t>
            </w:r>
            <w:r>
              <w:rPr>
                <w:color w:val="000000"/>
                <w:spacing w:val="0"/>
                <w:w w:val="100"/>
                <w:position w:val="0"/>
              </w:rPr>
              <w:t xml:space="preserve">股，持股比例为 </w:t>
            </w:r>
            <w:r>
              <w:rPr>
                <w:rFonts w:ascii="Times New Roman" w:eastAsia="Times New Roman" w:hAnsi="Times New Roman" w:cs="Times New Roman"/>
                <w:color w:val="000000"/>
                <w:spacing w:val="0"/>
                <w:w w:val="100"/>
                <w:position w:val="0"/>
              </w:rPr>
              <w:t>1.31%</w:t>
            </w:r>
            <w:r>
              <w:rPr>
                <w:color w:val="000000"/>
                <w:spacing w:val="0"/>
                <w:w w:val="100"/>
                <w:position w:val="0"/>
              </w:rPr>
              <w:t>。</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报告期末持有无限售条件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389,540,110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389,540,110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中新苏州工业园区创业投资有限公司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64,675,937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64,675,937</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昆山市申昌科技有限公司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49,708,280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49,708,280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Infinity I-China Investments(Israel),L.P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13,130,434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13,130,434</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程艳云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8,465,822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8,465,822</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6,687,859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6,687,859</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王宇飞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5,917,875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5,917,875</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贺胜龙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3,565,000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3,565,000</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云南国际信托有限公司一云南信托</w:t>
            </w:r>
            <w:r>
              <w:rPr>
                <w:color w:val="000000"/>
                <w:spacing w:val="0"/>
                <w:w w:val="100"/>
                <w:position w:val="0"/>
              </w:rPr>
              <w:t>•</w:t>
            </w:r>
            <w:r>
              <w:rPr>
                <w:color w:val="000000"/>
                <w:spacing w:val="0"/>
                <w:w w:val="100"/>
                <w:position w:val="0"/>
              </w:rPr>
              <w:t>大西部丝绸 之路</w:t>
            </w:r>
            <w:r>
              <w:rPr>
                <w:rFonts w:ascii="Times New Roman" w:eastAsia="Times New Roman" w:hAnsi="Times New Roman" w:cs="Times New Roman"/>
                <w:color w:val="000000"/>
                <w:spacing w:val="0"/>
                <w:w w:val="100"/>
                <w:position w:val="0"/>
              </w:rPr>
              <w:t>1</w:t>
            </w:r>
            <w:r>
              <w:rPr>
                <w:color w:val="000000"/>
                <w:spacing w:val="0"/>
                <w:w w:val="100"/>
                <w:position w:val="0"/>
              </w:rPr>
              <w:t>号集合资金信托计划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2,346,499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2,346,499</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2,243,863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2,243,863</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除公司回购专用证券账户外，神码软件与前十大其他股东均不存在关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联关系。吴冬华与程艳云系夫妻关系。</w:t>
            </w:r>
          </w:p>
        </w:tc>
      </w:tr>
      <w:tr>
        <w:trPr>
          <w:trHeight w:val="1344"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名普通股股东参与融资融券业务情况说明</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程艳云通过普通证券账户持有本公司股份</w:t>
            </w:r>
            <w:r>
              <w:rPr>
                <w:rFonts w:ascii="Times New Roman" w:eastAsia="Times New Roman" w:hAnsi="Times New Roman" w:cs="Times New Roman"/>
                <w:color w:val="000000"/>
                <w:spacing w:val="0"/>
                <w:w w:val="100"/>
                <w:position w:val="0"/>
              </w:rPr>
              <w:t>5,244,422</w:t>
            </w:r>
            <w:r>
              <w:rPr>
                <w:color w:val="000000"/>
                <w:spacing w:val="0"/>
                <w:w w:val="100"/>
                <w:position w:val="0"/>
              </w:rPr>
              <w:t>股，通过信用证 券账户持有本公司股份</w:t>
            </w:r>
            <w:r>
              <w:rPr>
                <w:rFonts w:ascii="Times New Roman" w:eastAsia="Times New Roman" w:hAnsi="Times New Roman" w:cs="Times New Roman"/>
                <w:color w:val="000000"/>
                <w:spacing w:val="0"/>
                <w:w w:val="100"/>
                <w:position w:val="0"/>
              </w:rPr>
              <w:t>3,221,400</w:t>
            </w:r>
            <w:r>
              <w:rPr>
                <w:color w:val="000000"/>
                <w:spacing w:val="0"/>
                <w:w w:val="100"/>
                <w:position w:val="0"/>
              </w:rPr>
              <w:t>股。王宇飞通过普通证券账户持有 本公司股份</w:t>
            </w:r>
            <w:r>
              <w:rPr>
                <w:rFonts w:ascii="Times New Roman" w:eastAsia="Times New Roman" w:hAnsi="Times New Roman" w:cs="Times New Roman"/>
                <w:color w:val="000000"/>
                <w:spacing w:val="0"/>
                <w:w w:val="100"/>
                <w:position w:val="0"/>
              </w:rPr>
              <w:t>2,402,681</w:t>
            </w:r>
            <w:r>
              <w:rPr>
                <w:color w:val="000000"/>
                <w:spacing w:val="0"/>
                <w:w w:val="100"/>
                <w:position w:val="0"/>
              </w:rPr>
              <w:t xml:space="preserve">股，通过信用证券账户持有本公司股份 </w:t>
            </w:r>
            <w:r>
              <w:rPr>
                <w:rFonts w:ascii="Times New Roman" w:eastAsia="Times New Roman" w:hAnsi="Times New Roman" w:cs="Times New Roman"/>
                <w:color w:val="000000"/>
                <w:spacing w:val="0"/>
                <w:w w:val="100"/>
                <w:position w:val="0"/>
              </w:rPr>
              <w:t xml:space="preserve">3,515,194 </w:t>
            </w:r>
            <w:r>
              <w:rPr>
                <w:color w:val="000000"/>
                <w:spacing w:val="0"/>
                <w:w w:val="100"/>
                <w:position w:val="0"/>
              </w:rPr>
              <w:t>股。</w:t>
            </w:r>
          </w:p>
        </w:tc>
      </w:tr>
    </w:tbl>
    <w:p>
      <w:pPr>
        <w:pStyle w:val="Style1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13"/>
        <w:keepNext w:val="0"/>
        <w:keepLines w:val="0"/>
        <w:widowControl w:val="0"/>
        <w:shd w:val="clear" w:color="auto" w:fill="auto"/>
        <w:bidi w:val="0"/>
        <w:spacing w:before="0" w:after="34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24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、公司控股股东情况</w:t>
      </w:r>
      <w:bookmarkEnd w:id="602"/>
      <w:bookmarkEnd w:id="603"/>
      <w:bookmarkEnd w:id="605"/>
    </w:p>
    <w:p>
      <w:pPr>
        <w:pStyle w:val="Style13"/>
        <w:keepNext w:val="0"/>
        <w:keepLines w:val="0"/>
        <w:widowControl w:val="0"/>
        <w:shd w:val="clear" w:color="auto" w:fill="auto"/>
        <w:bidi w:val="0"/>
        <w:spacing w:before="0" w:after="0" w:line="355" w:lineRule="exact"/>
        <w:ind w:left="0" w:right="0" w:firstLine="0"/>
        <w:jc w:val="left"/>
      </w:pPr>
      <w:r>
        <w:rPr>
          <w:color w:val="000000"/>
          <w:spacing w:val="0"/>
          <w:w w:val="100"/>
          <w:position w:val="0"/>
        </w:rPr>
        <w:t>控股股东性质：控股主体性质不明确</w:t>
      </w:r>
    </w:p>
    <w:p>
      <w:pPr>
        <w:pStyle w:val="Style13"/>
        <w:keepNext w:val="0"/>
        <w:keepLines w:val="0"/>
        <w:widowControl w:val="0"/>
        <w:shd w:val="clear" w:color="auto" w:fill="auto"/>
        <w:bidi w:val="0"/>
        <w:spacing w:before="0" w:after="80" w:line="355" w:lineRule="exact"/>
        <w:ind w:left="0" w:right="0" w:firstLine="0"/>
        <w:jc w:val="left"/>
      </w:pPr>
      <w:r>
        <w:rPr>
          <w:color w:val="000000"/>
          <w:spacing w:val="0"/>
          <w:w w:val="100"/>
          <w:position w:val="0"/>
        </w:rPr>
        <w:t>控股股东类型：法人</w:t>
      </w:r>
    </w:p>
    <w:tbl>
      <w:tblPr>
        <w:tblOverlap w:val="never"/>
        <w:jc w:val="center"/>
        <w:tblLayout w:type="fixed"/>
      </w:tblPr>
      <w:tblGrid>
        <w:gridCol w:w="2270"/>
        <w:gridCol w:w="2304"/>
        <w:gridCol w:w="1718"/>
        <w:gridCol w:w="1930"/>
        <w:gridCol w:w="13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91110108735130180K</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r>
      <w:tr>
        <w:trPr>
          <w:trHeight w:val="408"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控股股东报告期内变更</w:t>
      </w:r>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6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、公司实际控制人及其一致行动人</w:t>
      </w:r>
      <w:bookmarkEnd w:id="606"/>
      <w:bookmarkEnd w:id="607"/>
      <w:bookmarkEnd w:id="609"/>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实际控制人性质：无实际控制人</w:t>
      </w:r>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实际控制人类型：不存在</w:t>
      </w:r>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公司不存在实际控制人情况的说明</w:t>
      </w:r>
    </w:p>
    <w:p>
      <w:pPr>
        <w:pStyle w:val="Style13"/>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公司的控股股东为神码软件。神州控股为神码软件的间接控股股东，鉴于神州控股的第一大股东为广州市城市建设投资 集团有限公司，持有神州控股少于</w:t>
      </w:r>
      <w:r>
        <w:rPr>
          <w:rFonts w:ascii="Times New Roman" w:eastAsia="Times New Roman" w:hAnsi="Times New Roman" w:cs="Times New Roman"/>
          <w:color w:val="000000"/>
          <w:spacing w:val="0"/>
          <w:w w:val="100"/>
          <w:position w:val="0"/>
        </w:rPr>
        <w:t>30%</w:t>
      </w:r>
      <w:r>
        <w:rPr>
          <w:color w:val="000000"/>
          <w:spacing w:val="0"/>
          <w:w w:val="100"/>
          <w:position w:val="0"/>
        </w:rPr>
        <w:t>股权，股权结构分散。据此，神州控股任何股东均不能实际控制神州控股（即其无控 股股东），因此公司无实际控制人。</w:t>
      </w:r>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rPr>
        <w:t>10%</w:t>
      </w:r>
      <w:r>
        <w:rPr>
          <w:color w:val="000000"/>
          <w:spacing w:val="0"/>
          <w:w w:val="100"/>
          <w:position w:val="0"/>
        </w:rPr>
        <w:t>以上的股东情况</w:t>
      </w:r>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w:t>
      </w:r>
    </w:p>
    <w:p>
      <w:pPr>
        <w:pStyle w:val="Style13"/>
        <w:keepNext w:val="0"/>
        <w:keepLines w:val="0"/>
        <w:widowControl w:val="0"/>
        <w:shd w:val="clear" w:color="auto" w:fill="auto"/>
        <w:bidi w:val="0"/>
        <w:spacing w:before="0" w:after="40" w:line="312" w:lineRule="exact"/>
        <w:ind w:left="0" w:right="0" w:firstLine="0"/>
        <w:jc w:val="left"/>
      </w:pPr>
      <w:r>
        <w:rPr>
          <w:color w:val="000000"/>
          <w:spacing w:val="0"/>
          <w:w w:val="100"/>
          <w:position w:val="0"/>
        </w:rPr>
        <w:t>法人</w:t>
      </w:r>
    </w:p>
    <w:p>
      <w:pPr>
        <w:pStyle w:val="Style13"/>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最终控制层面持股情况</w:t>
      </w:r>
    </w:p>
    <w:tbl>
      <w:tblPr>
        <w:tblOverlap w:val="never"/>
        <w:jc w:val="center"/>
        <w:tblLayout w:type="fixed"/>
      </w:tblPr>
      <w:tblGrid>
        <w:gridCol w:w="2270"/>
        <w:gridCol w:w="1910"/>
        <w:gridCol w:w="1738"/>
        <w:gridCol w:w="2030"/>
        <w:gridCol w:w="162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最终控制层面股东名称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广州城投甲子投资合伙企 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广州城投佳朋产业投 资基金管理有限公司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91440101MA59EFAJ00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广州广电运通金融电子股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黄跃珍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914401017163404737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通用设备制造业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Dragon City International</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Investment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Yip Chi Yu</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最终控制层面股东报告期 内控制的其他境内外上市 公司的股权情况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64"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广州广电运通金融电子股份有限公司在报告期内控制的其他境内外上市公司的股权情 况，详见广州广电运通金融电子股份有限公司披露的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22"/>
              <w:keepNext w:val="0"/>
              <w:keepLines w:val="0"/>
              <w:widowControl w:val="0"/>
              <w:shd w:val="clear" w:color="auto" w:fill="auto"/>
              <w:tabs>
                <w:tab w:pos="278"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未知广州城投甲子投资合伙企业（有限合伙）及</w:t>
            </w:r>
            <w:r>
              <w:rPr>
                <w:rFonts w:ascii="Times New Roman" w:eastAsia="Times New Roman" w:hAnsi="Times New Roman" w:cs="Times New Roman"/>
                <w:color w:val="000000"/>
                <w:spacing w:val="0"/>
                <w:w w:val="100"/>
                <w:position w:val="0"/>
              </w:rPr>
              <w:t>Dragon City International Investment</w:t>
            </w:r>
            <w:r>
              <w:rPr>
                <w:color w:val="000000"/>
                <w:spacing w:val="0"/>
                <w:w w:val="100"/>
                <w:position w:val="0"/>
              </w:rPr>
              <w:t>在 报告期内控制的其他境内外上市公司的股权情况。</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公司报告期实际控制人未发生变更。</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304415" cy="282257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2304415" cy="2822575"/>
                    </a:xfrm>
                    <a:prstGeom prst="rect"/>
                  </pic:spPr>
                </pic:pic>
              </a:graphicData>
            </a:graphic>
          </wp:inline>
        </w:drawing>
      </w:r>
    </w:p>
    <w:p>
      <w:pPr>
        <w:widowControl w:val="0"/>
        <w:spacing w:after="35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4</w:t>
      </w:r>
      <w:bookmarkEnd w:id="61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10"/>
      <w:bookmarkEnd w:id="611"/>
      <w:bookmarkEnd w:id="613"/>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5</w:t>
      </w:r>
      <w:bookmarkEnd w:id="61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4"/>
      <w:bookmarkEnd w:id="615"/>
      <w:bookmarkEnd w:id="617"/>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6</w:t>
      </w:r>
      <w:bookmarkEnd w:id="620"/>
      <w:r>
        <w:rPr>
          <w:color w:val="000000"/>
          <w:spacing w:val="0"/>
          <w:w w:val="100"/>
          <w:position w:val="0"/>
        </w:rPr>
        <w:t>、</w:t>
        <w:tab/>
        <w:t>控股股东、实际控制人、重组方及其他承诺主体股份限制减持情况</w:t>
      </w:r>
      <w:bookmarkEnd w:id="618"/>
      <w:bookmarkEnd w:id="619"/>
      <w:bookmarkEnd w:id="621"/>
    </w:p>
    <w:p>
      <w:pPr>
        <w:pStyle w:val="Style13"/>
        <w:keepNext w:val="0"/>
        <w:keepLines w:val="0"/>
        <w:widowControl w:val="0"/>
        <w:shd w:val="clear" w:color="auto" w:fill="auto"/>
        <w:bidi w:val="0"/>
        <w:spacing w:before="0" w:after="360" w:line="240" w:lineRule="auto"/>
        <w:ind w:left="0" w:right="0" w:firstLine="0"/>
        <w:jc w:val="both"/>
      </w:pPr>
      <w:bookmarkStart w:id="622" w:name="bookmark622"/>
      <w:r>
        <w:rPr>
          <w:color w:val="000000"/>
          <w:spacing w:val="0"/>
          <w:w w:val="100"/>
          <w:position w:val="0"/>
        </w:rPr>
        <w:t>口适用”不适用</w:t>
      </w:r>
      <w:bookmarkEnd w:id="622"/>
      <w:r>
        <w:br w:type="page"/>
      </w:r>
    </w:p>
    <w:p>
      <w:pPr>
        <w:pStyle w:val="Style32"/>
        <w:keepNext w:val="0"/>
        <w:keepLines w:val="0"/>
        <w:widowControl w:val="0"/>
        <w:shd w:val="clear" w:color="auto" w:fill="auto"/>
        <w:bidi w:val="0"/>
        <w:spacing w:before="0" w:line="240" w:lineRule="auto"/>
        <w:ind w:left="0" w:right="0" w:firstLine="0"/>
        <w:jc w:val="left"/>
      </w:pPr>
      <w:bookmarkStart w:id="623" w:name="bookmark623"/>
      <w:r>
        <w:rPr>
          <w:color w:val="000000"/>
          <w:spacing w:val="0"/>
          <w:w w:val="100"/>
          <w:position w:val="0"/>
          <w:sz w:val="24"/>
          <w:szCs w:val="24"/>
        </w:rPr>
        <w:t>四</w:t>
      </w:r>
      <w:bookmarkEnd w:id="623"/>
      <w:r>
        <w:rPr>
          <w:color w:val="000000"/>
          <w:spacing w:val="0"/>
          <w:w w:val="100"/>
          <w:position w:val="0"/>
          <w:sz w:val="24"/>
          <w:szCs w:val="24"/>
        </w:rPr>
        <w:t>、股份回购在报告期的具体实施情况</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1205"/>
        <w:gridCol w:w="1200"/>
        <w:gridCol w:w="1195"/>
        <w:gridCol w:w="1195"/>
        <w:gridCol w:w="1195"/>
        <w:gridCol w:w="1195"/>
        <w:gridCol w:w="1195"/>
        <w:gridCol w:w="1200"/>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方案披露时 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拟回购股份</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占总股本的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回购用途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已回购数量</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已回购数量 占股权激励 计划所涉及 的标的股票 的比例（如 有）</w:t>
            </w:r>
          </w:p>
        </w:tc>
      </w:tr>
      <w:tr>
        <w:trPr>
          <w:trHeight w:val="352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按照回购资 金上限人民 币</w:t>
            </w:r>
            <w:r>
              <w:rPr>
                <w:rFonts w:ascii="Times New Roman" w:eastAsia="Times New Roman" w:hAnsi="Times New Roman" w:cs="Times New Roman"/>
                <w:color w:val="000000"/>
                <w:spacing w:val="0"/>
                <w:w w:val="100"/>
                <w:position w:val="0"/>
              </w:rPr>
              <w:t>2</w:t>
            </w:r>
            <w:r>
              <w:rPr>
                <w:color w:val="000000"/>
                <w:spacing w:val="0"/>
                <w:w w:val="100"/>
                <w:position w:val="0"/>
              </w:rPr>
              <w:t>亿元、 回购</w:t>
            </w:r>
            <w:r>
              <w:rPr>
                <w:rFonts w:ascii="Times New Roman" w:eastAsia="Times New Roman" w:hAnsi="Times New Roman" w:cs="Times New Roman"/>
                <w:color w:val="000000"/>
                <w:spacing w:val="0"/>
                <w:w w:val="100"/>
                <w:position w:val="0"/>
              </w:rPr>
              <w:t>A</w:t>
            </w:r>
            <w:r>
              <w:rPr>
                <w:color w:val="000000"/>
                <w:spacing w:val="0"/>
                <w:w w:val="100"/>
                <w:position w:val="0"/>
              </w:rPr>
              <w:t>股股 份价格上限 人民币</w:t>
            </w:r>
            <w:r>
              <w:rPr>
                <w:rFonts w:ascii="Times New Roman" w:eastAsia="Times New Roman" w:hAnsi="Times New Roman" w:cs="Times New Roman"/>
                <w:color w:val="000000"/>
                <w:spacing w:val="0"/>
                <w:w w:val="100"/>
                <w:position w:val="0"/>
              </w:rPr>
              <w:t xml:space="preserve">25.5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股测算， 公司本次回 购股份数量 约为</w:t>
            </w:r>
            <w:r>
              <w:rPr>
                <w:rFonts w:ascii="Times New Roman" w:eastAsia="Times New Roman" w:hAnsi="Times New Roman" w:cs="Times New Roman"/>
                <w:color w:val="000000"/>
                <w:spacing w:val="0"/>
                <w:w w:val="100"/>
                <w:position w:val="0"/>
              </w:rPr>
              <w:t xml:space="preserve">784.31 </w:t>
            </w:r>
            <w:r>
              <w:rPr>
                <w:color w:val="000000"/>
                <w:spacing w:val="0"/>
                <w:w w:val="100"/>
                <w:position w:val="0"/>
              </w:rPr>
              <w:t>万股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测算回购股 份数量约占 方案披露时 公司总股本 的 </w:t>
            </w:r>
            <w:r>
              <w:rPr>
                <w:rFonts w:ascii="Times New Roman" w:eastAsia="Times New Roman" w:hAnsi="Times New Roman" w:cs="Times New Roman"/>
                <w:color w:val="000000"/>
                <w:spacing w:val="0"/>
                <w:w w:val="100"/>
                <w:position w:val="0"/>
              </w:rPr>
              <w:t>0.8082%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2</w:t>
            </w:r>
            <w:r>
              <w:rPr>
                <w:color w:val="000000"/>
                <w:spacing w:val="0"/>
                <w:w w:val="100"/>
                <w:position w:val="0"/>
              </w:rPr>
              <w:t>亿 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日召开的 董事会审议 通过本次回 购方案之日 起</w:t>
            </w:r>
            <w:r>
              <w:rPr>
                <w:rFonts w:ascii="Times New Roman" w:eastAsia="Times New Roman" w:hAnsi="Times New Roman" w:cs="Times New Roman"/>
                <w:color w:val="000000"/>
                <w:spacing w:val="0"/>
                <w:w w:val="100"/>
                <w:position w:val="0"/>
              </w:rPr>
              <w:t>12</w:t>
            </w:r>
            <w:r>
              <w:rPr>
                <w:color w:val="000000"/>
                <w:spacing w:val="0"/>
                <w:w w:val="100"/>
                <w:position w:val="0"/>
              </w:rPr>
              <w:t>个月内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用于实施公 司员工持股 计划或股权 激励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12,864,476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13"/>
        <w:keepNext w:val="0"/>
        <w:keepLines w:val="0"/>
        <w:widowControl w:val="0"/>
        <w:shd w:val="clear" w:color="auto" w:fill="auto"/>
        <w:bidi w:val="0"/>
        <w:spacing w:before="0" w:after="240" w:line="341" w:lineRule="exact"/>
        <w:ind w:left="0" w:right="0" w:firstLine="0"/>
        <w:jc w:val="left"/>
        <w:sectPr>
          <w:footnotePr>
            <w:pos w:val="pageBottom"/>
            <w:numFmt w:val="decimal"/>
            <w:numRestart w:val="continuous"/>
          </w:footnotePr>
          <w:pgSz w:w="11900" w:h="16840"/>
          <w:pgMar w:top="1376" w:right="1137" w:bottom="1463" w:left="1081" w:header="0" w:footer="3" w:gutter="0"/>
          <w:cols w:space="720"/>
          <w:noEndnote/>
          <w:rtlGutter w:val="0"/>
          <w:docGrid w:linePitch="360"/>
        </w:sectPr>
      </w:pPr>
      <w:r>
        <w:rPr>
          <w:color w:val="000000"/>
          <w:spacing w:val="0"/>
          <w:w w:val="100"/>
          <w:position w:val="0"/>
        </w:rPr>
        <w:t>采用集中竞价方式减持回购股份的实施进展情况 口适用”不适用</w:t>
      </w:r>
    </w:p>
    <w:p>
      <w:pPr>
        <w:widowControl w:val="0"/>
        <w:spacing w:line="1" w:lineRule="exact"/>
      </w:pPr>
      <w:r>
        <mc:AlternateContent>
          <mc:Choice Requires="wps">
            <w:drawing>
              <wp:anchor distT="0" distB="279400" distL="0" distR="0" simplePos="0" relativeHeight="125829382" behindDoc="0" locked="0" layoutInCell="1" allowOverlap="1">
                <wp:simplePos x="0" y="0"/>
                <wp:positionH relativeFrom="page">
                  <wp:posOffset>2696210</wp:posOffset>
                </wp:positionH>
                <wp:positionV relativeFrom="paragraph">
                  <wp:posOffset>0</wp:posOffset>
                </wp:positionV>
                <wp:extent cx="2164080" cy="243840"/>
                <wp:wrapTopAndBottom/>
                <wp:docPr id="7" name="Shape 7"/>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24" w:name="bookmark624"/>
                            <w:bookmarkStart w:id="625" w:name="bookmark625"/>
                            <w:bookmarkStart w:id="626" w:name="bookmark626"/>
                            <w:bookmarkStart w:id="627" w:name="bookmark627"/>
                            <w:r>
                              <w:rPr>
                                <w:color w:val="000000"/>
                                <w:spacing w:val="0"/>
                                <w:w w:val="100"/>
                                <w:position w:val="0"/>
                              </w:rPr>
                              <w:t>第八节优先股相关情况</w:t>
                            </w:r>
                            <w:bookmarkEnd w:id="625"/>
                            <w:bookmarkEnd w:id="626"/>
                            <w:bookmarkEnd w:id="627"/>
                            <w:bookmarkEnd w:id="624"/>
                          </w:p>
                        </w:txbxContent>
                      </wps:txbx>
                      <wps:bodyPr wrap="none" lIns="0" tIns="0" rIns="0" bIns="0">
                        <a:noAutoFit/>
                      </wps:bodyPr>
                    </wps:wsp>
                  </a:graphicData>
                </a:graphic>
              </wp:anchor>
            </w:drawing>
          </mc:Choice>
          <mc:Fallback>
            <w:pict>
              <v:shape id="_x0000_s1033" type="#_x0000_t202" style="position:absolute;margin-left:212.30000000000001pt;margin-top:0;width:170.40000000000001pt;height:19.199999999999999pt;z-index:-125829371;mso-wrap-distance-left:0;mso-wrap-distance-right:0;mso-wrap-distance-bottom:22.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24" w:name="bookmark624"/>
                      <w:bookmarkStart w:id="625" w:name="bookmark625"/>
                      <w:bookmarkStart w:id="626" w:name="bookmark626"/>
                      <w:bookmarkStart w:id="627" w:name="bookmark627"/>
                      <w:r>
                        <w:rPr>
                          <w:color w:val="000000"/>
                          <w:spacing w:val="0"/>
                          <w:w w:val="100"/>
                          <w:position w:val="0"/>
                        </w:rPr>
                        <w:t>第八节优先股相关情况</w:t>
                      </w:r>
                      <w:bookmarkEnd w:id="625"/>
                      <w:bookmarkEnd w:id="626"/>
                      <w:bookmarkEnd w:id="627"/>
                      <w:bookmarkEnd w:id="624"/>
                    </w:p>
                  </w:txbxContent>
                </v:textbox>
                <w10:wrap type="topAndBottom" anchorx="page"/>
              </v:shape>
            </w:pict>
          </mc:Fallback>
        </mc:AlternateConten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4" w:bottom="1935" w:left="1112"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28" w:name="bookmark628"/>
      <w:bookmarkStart w:id="629" w:name="bookmark629"/>
      <w:bookmarkStart w:id="630" w:name="bookmark630"/>
      <w:bookmarkStart w:id="631" w:name="bookmark631"/>
      <w:r>
        <w:rPr>
          <w:color w:val="000000"/>
          <w:spacing w:val="0"/>
          <w:w w:val="100"/>
          <w:position w:val="0"/>
        </w:rPr>
        <w:t>第九节债券相关情况</w:t>
      </w:r>
      <w:bookmarkEnd w:id="629"/>
      <w:bookmarkEnd w:id="630"/>
      <w:bookmarkEnd w:id="631"/>
      <w:bookmarkEnd w:id="628"/>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194" w:bottom="1940" w:left="1112" w:header="0" w:footer="3" w:gutter="0"/>
          <w:cols w:space="720"/>
          <w:noEndnote/>
          <w:rtlGutter w:val="0"/>
          <w:docGrid w:linePitch="360"/>
        </w:sectPr>
      </w:pPr>
      <w:bookmarkStart w:id="632" w:name="bookmark632"/>
      <w:r>
        <w:rPr>
          <w:color w:val="000000"/>
          <w:spacing w:val="0"/>
          <w:w w:val="100"/>
          <w:position w:val="0"/>
        </w:rPr>
        <w:t>口适用</w:t>
      </w:r>
      <w:r>
        <w:rPr>
          <w:color w:val="000000"/>
          <w:spacing w:val="0"/>
          <w:w w:val="100"/>
          <w:position w:val="0"/>
        </w:rPr>
        <w:t>J</w:t>
      </w:r>
      <w:r>
        <w:rPr>
          <w:color w:val="000000"/>
          <w:spacing w:val="0"/>
          <w:w w:val="100"/>
          <w:position w:val="0"/>
        </w:rPr>
        <w:t>不适用</w:t>
      </w:r>
      <w:bookmarkEnd w:id="632"/>
    </w:p>
    <w:p>
      <w:pPr>
        <w:pStyle w:val="Style4"/>
        <w:keepNext w:val="0"/>
        <w:keepLines w:val="0"/>
        <w:widowControl w:val="0"/>
        <w:shd w:val="clear" w:color="auto" w:fill="auto"/>
        <w:bidi w:val="0"/>
        <w:spacing w:before="540" w:after="540" w:line="240" w:lineRule="auto"/>
        <w:ind w:left="0" w:right="0" w:firstLine="0"/>
        <w:jc w:val="center"/>
      </w:pPr>
      <w:bookmarkStart w:id="634" w:name="bookmark634"/>
      <w:r>
        <w:rPr>
          <w:color w:val="000000"/>
          <w:spacing w:val="0"/>
          <w:w w:val="100"/>
          <w:position w:val="0"/>
        </w:rPr>
        <w:t>第十节财务报告</w:t>
      </w:r>
      <w:bookmarkEnd w:id="634"/>
    </w:p>
    <w:p>
      <w:pPr>
        <w:pStyle w:val="Style25"/>
        <w:keepNext/>
        <w:keepLines/>
        <w:widowControl w:val="0"/>
        <w:shd w:val="clear" w:color="auto" w:fill="auto"/>
        <w:bidi w:val="0"/>
        <w:spacing w:before="0" w:after="300" w:line="240" w:lineRule="auto"/>
        <w:ind w:left="0" w:right="0" w:firstLine="260"/>
        <w:jc w:val="both"/>
      </w:pPr>
      <w:bookmarkStart w:id="635" w:name="bookmark635"/>
      <w:bookmarkStart w:id="636" w:name="bookmark636"/>
      <w:bookmarkStart w:id="637" w:name="bookmark637"/>
      <w:r>
        <w:rPr>
          <w:color w:val="000000"/>
          <w:spacing w:val="0"/>
          <w:w w:val="100"/>
          <w:position w:val="0"/>
          <w:sz w:val="24"/>
          <w:szCs w:val="24"/>
        </w:rPr>
        <w:t>、审计报告</w:t>
      </w:r>
      <w:bookmarkEnd w:id="635"/>
      <w:bookmarkEnd w:id="636"/>
      <w:bookmarkEnd w:id="63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2022BJAA10642</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唐炫、李丽华</w:t>
            </w:r>
          </w:p>
        </w:tc>
      </w:tr>
    </w:tbl>
    <w:p>
      <w:pPr>
        <w:pStyle w:val="Style27"/>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39" w:line="1" w:lineRule="exact"/>
      </w:pPr>
    </w:p>
    <w:p>
      <w:pPr>
        <w:pStyle w:val="Style13"/>
        <w:keepNext w:val="0"/>
        <w:keepLines w:val="0"/>
        <w:widowControl w:val="0"/>
        <w:shd w:val="clear" w:color="auto" w:fill="auto"/>
        <w:bidi w:val="0"/>
        <w:spacing w:before="0" w:after="300" w:line="312" w:lineRule="exact"/>
        <w:ind w:left="0" w:right="0" w:firstLine="0"/>
        <w:jc w:val="both"/>
        <w:rPr>
          <w:sz w:val="22"/>
          <w:szCs w:val="22"/>
        </w:rPr>
      </w:pPr>
      <w:r>
        <w:rPr>
          <w:b/>
          <w:bCs/>
          <w:color w:val="000000"/>
          <w:spacing w:val="0"/>
          <w:w w:val="100"/>
          <w:position w:val="0"/>
          <w:sz w:val="18"/>
          <w:szCs w:val="18"/>
        </w:rPr>
        <w:t>神州数码信息服务股份有限公司全体股东</w:t>
      </w:r>
      <w:r>
        <w:rPr>
          <w:b/>
          <w:bCs/>
          <w:color w:val="000000"/>
          <w:spacing w:val="0"/>
          <w:w w:val="100"/>
          <w:position w:val="0"/>
          <w:sz w:val="22"/>
          <w:szCs w:val="22"/>
        </w:rPr>
        <w:t>：</w:t>
      </w:r>
    </w:p>
    <w:p>
      <w:pPr>
        <w:pStyle w:val="Style13"/>
        <w:keepNext w:val="0"/>
        <w:keepLines w:val="0"/>
        <w:widowControl w:val="0"/>
        <w:shd w:val="clear" w:color="auto" w:fill="auto"/>
        <w:tabs>
          <w:tab w:pos="435" w:val="left"/>
        </w:tabs>
        <w:bidi w:val="0"/>
        <w:spacing w:before="0" w:after="0" w:line="312" w:lineRule="exact"/>
        <w:ind w:left="0" w:right="0" w:firstLine="0"/>
        <w:jc w:val="both"/>
      </w:pPr>
      <w:bookmarkStart w:id="638" w:name="bookmark638"/>
      <w:r>
        <w:rPr>
          <w:b/>
          <w:bCs/>
          <w:color w:val="000000"/>
          <w:spacing w:val="0"/>
          <w:w w:val="100"/>
          <w:position w:val="0"/>
        </w:rPr>
        <w:t>一</w:t>
      </w:r>
      <w:bookmarkEnd w:id="638"/>
      <w:r>
        <w:rPr>
          <w:b/>
          <w:bCs/>
          <w:color w:val="000000"/>
          <w:spacing w:val="0"/>
          <w:w w:val="100"/>
          <w:position w:val="0"/>
        </w:rPr>
        <w:t>、</w:t>
        <w:tab/>
        <w:t>审计意见</w:t>
      </w:r>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我们审计了神州数码信息服务股份有限公司（以下简称神州信息）财务报表，包括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 产负债表，</w:t>
      </w:r>
      <w:r>
        <w:rPr>
          <w:color w:val="000000"/>
          <w:spacing w:val="0"/>
          <w:w w:val="100"/>
          <w:position w:val="0"/>
        </w:rPr>
        <w:t>2021</w:t>
      </w:r>
      <w:r>
        <w:rPr>
          <w:color w:val="000000"/>
          <w:spacing w:val="0"/>
          <w:w w:val="100"/>
          <w:position w:val="0"/>
        </w:rPr>
        <w:t>年度的合并及母公司利润表、合并及母公司现金流量表、合并及母公司股东权益变动表以及相关财务报表附 注。</w:t>
      </w:r>
    </w:p>
    <w:p>
      <w:pPr>
        <w:pStyle w:val="Style13"/>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我们认为，后附的财务报表在所有重大方面按照企业会计准则的规定编制，公允反映了神州信息</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 并及母公司财务状况以及</w:t>
      </w:r>
      <w:r>
        <w:rPr>
          <w:color w:val="000000"/>
          <w:spacing w:val="0"/>
          <w:w w:val="100"/>
          <w:position w:val="0"/>
        </w:rPr>
        <w:t>2021</w:t>
      </w:r>
      <w:r>
        <w:rPr>
          <w:color w:val="000000"/>
          <w:spacing w:val="0"/>
          <w:w w:val="100"/>
          <w:position w:val="0"/>
        </w:rPr>
        <w:t>年度的合并及母公司经营成果和现金流量。</w:t>
      </w:r>
    </w:p>
    <w:p>
      <w:pPr>
        <w:pStyle w:val="Style13"/>
        <w:keepNext w:val="0"/>
        <w:keepLines w:val="0"/>
        <w:widowControl w:val="0"/>
        <w:shd w:val="clear" w:color="auto" w:fill="auto"/>
        <w:tabs>
          <w:tab w:pos="435" w:val="left"/>
        </w:tabs>
        <w:bidi w:val="0"/>
        <w:spacing w:before="0" w:after="0" w:line="312" w:lineRule="exact"/>
        <w:ind w:left="0" w:right="0" w:firstLine="0"/>
        <w:jc w:val="both"/>
      </w:pPr>
      <w:bookmarkStart w:id="639" w:name="bookmark639"/>
      <w:r>
        <w:rPr>
          <w:b/>
          <w:bCs/>
          <w:color w:val="000000"/>
          <w:spacing w:val="0"/>
          <w:w w:val="100"/>
          <w:position w:val="0"/>
        </w:rPr>
        <w:t>二</w:t>
      </w:r>
      <w:bookmarkEnd w:id="639"/>
      <w:r>
        <w:rPr>
          <w:b/>
          <w:bCs/>
          <w:color w:val="000000"/>
          <w:spacing w:val="0"/>
          <w:w w:val="100"/>
          <w:position w:val="0"/>
        </w:rPr>
        <w:t>、</w:t>
        <w:tab/>
        <w:t>形成审计意见的基础</w:t>
      </w:r>
    </w:p>
    <w:p>
      <w:pPr>
        <w:pStyle w:val="Style13"/>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一步阐述了我们在这些准则下的责任。按照中国注册会计师职业道德守则，我们独立于神州信息，并履行了职业道德方面的 其他责任。我们相信，我们获取的审计证据是充分、适当的，为发表审计意见提供了基础。</w:t>
      </w:r>
    </w:p>
    <w:p>
      <w:pPr>
        <w:pStyle w:val="Style13"/>
        <w:keepNext w:val="0"/>
        <w:keepLines w:val="0"/>
        <w:widowControl w:val="0"/>
        <w:shd w:val="clear" w:color="auto" w:fill="auto"/>
        <w:bidi w:val="0"/>
        <w:spacing w:before="0" w:after="0" w:line="312" w:lineRule="exact"/>
        <w:ind w:left="0" w:right="0" w:firstLine="0"/>
        <w:jc w:val="both"/>
      </w:pPr>
      <w:bookmarkStart w:id="640" w:name="bookmark640"/>
      <w:r>
        <w:rPr>
          <w:b/>
          <w:bCs/>
          <w:color w:val="000000"/>
          <w:spacing w:val="0"/>
          <w:w w:val="100"/>
          <w:position w:val="0"/>
        </w:rPr>
        <w:t>三</w:t>
      </w:r>
      <w:bookmarkEnd w:id="640"/>
      <w:r>
        <w:rPr>
          <w:b/>
          <w:bCs/>
          <w:color w:val="000000"/>
          <w:spacing w:val="0"/>
          <w:w w:val="100"/>
          <w:position w:val="0"/>
        </w:rPr>
        <w:t>、关键审计事项</w:t>
      </w:r>
    </w:p>
    <w:p>
      <w:pPr>
        <w:pStyle w:val="Style1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tbl>
      <w:tblPr>
        <w:tblOverlap w:val="never"/>
        <w:jc w:val="center"/>
        <w:tblLayout w:type="fixed"/>
      </w:tblPr>
      <w:tblGrid>
        <w:gridCol w:w="4258"/>
        <w:gridCol w:w="5112"/>
      </w:tblGrid>
      <w:tr>
        <w:trPr>
          <w:trHeight w:val="35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营业收入的确认事项</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317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神州信息营业收入主要包括系统集成收入、软件开发及 技术服务收入，如附注七、</w:t>
            </w:r>
            <w:r>
              <w:rPr>
                <w:color w:val="000000"/>
                <w:spacing w:val="0"/>
                <w:w w:val="100"/>
                <w:position w:val="0"/>
              </w:rPr>
              <w:t>37</w:t>
            </w:r>
            <w:r>
              <w:rPr>
                <w:color w:val="000000"/>
                <w:spacing w:val="0"/>
                <w:w w:val="100"/>
                <w:position w:val="0"/>
              </w:rPr>
              <w:t>所述，</w:t>
            </w:r>
            <w:r>
              <w:rPr>
                <w:color w:val="000000"/>
                <w:spacing w:val="0"/>
                <w:w w:val="100"/>
                <w:position w:val="0"/>
              </w:rPr>
              <w:t>2021</w:t>
            </w:r>
            <w:r>
              <w:rPr>
                <w:color w:val="000000"/>
                <w:spacing w:val="0"/>
                <w:w w:val="100"/>
                <w:position w:val="0"/>
              </w:rPr>
              <w:t>年度营业收入 为</w:t>
            </w:r>
            <w:r>
              <w:rPr>
                <w:color w:val="000000"/>
                <w:spacing w:val="0"/>
                <w:w w:val="100"/>
                <w:position w:val="0"/>
              </w:rPr>
              <w:t>1,135,568.47</w:t>
            </w:r>
            <w:r>
              <w:rPr>
                <w:color w:val="000000"/>
                <w:spacing w:val="0"/>
                <w:w w:val="100"/>
                <w:position w:val="0"/>
              </w:rPr>
              <w:t>万元，金额重大且为关键业绩指标，根 据附注五、</w:t>
            </w:r>
            <w:r>
              <w:rPr>
                <w:color w:val="000000"/>
                <w:spacing w:val="0"/>
                <w:w w:val="100"/>
                <w:position w:val="0"/>
              </w:rPr>
              <w:t>30</w:t>
            </w:r>
            <w:r>
              <w:rPr>
                <w:color w:val="000000"/>
                <w:spacing w:val="0"/>
                <w:w w:val="100"/>
                <w:position w:val="0"/>
              </w:rPr>
              <w:t>所述的会计政策，可能存在收入确认的相 关风险。因此，我们将营业收入的确认作为关键审计事 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422" w:val="left"/>
              </w:tabs>
              <w:bidi w:val="0"/>
              <w:spacing w:before="0" w:after="0" w:line="319" w:lineRule="exact"/>
              <w:ind w:left="0" w:right="0" w:firstLine="0"/>
              <w:jc w:val="both"/>
            </w:pPr>
            <w:r>
              <w:rPr>
                <w:color w:val="000000"/>
                <w:spacing w:val="0"/>
                <w:w w:val="100"/>
                <w:position w:val="0"/>
              </w:rPr>
              <w:t>（1）</w:t>
              <w:tab/>
            </w:r>
            <w:r>
              <w:rPr>
                <w:color w:val="000000"/>
                <w:spacing w:val="0"/>
                <w:w w:val="100"/>
                <w:position w:val="0"/>
              </w:rPr>
              <w:t>对销售与收款循环内部控制进行了解，测试和评价与收入确 认相关的内部控制的设计及执行有效性。</w:t>
            </w:r>
          </w:p>
          <w:p>
            <w:pPr>
              <w:pStyle w:val="Style22"/>
              <w:keepNext w:val="0"/>
              <w:keepLines w:val="0"/>
              <w:widowControl w:val="0"/>
              <w:shd w:val="clear" w:color="auto" w:fill="auto"/>
              <w:tabs>
                <w:tab w:pos="442" w:val="left"/>
              </w:tabs>
              <w:bidi w:val="0"/>
              <w:spacing w:before="0" w:after="0" w:line="319" w:lineRule="exact"/>
              <w:ind w:left="0" w:right="0" w:firstLine="0"/>
              <w:jc w:val="both"/>
            </w:pPr>
            <w:r>
              <w:rPr>
                <w:color w:val="000000"/>
                <w:spacing w:val="0"/>
                <w:w w:val="100"/>
                <w:position w:val="0"/>
              </w:rPr>
              <w:t>（2）</w:t>
              <w:tab/>
            </w:r>
            <w:r>
              <w:rPr>
                <w:color w:val="000000"/>
                <w:spacing w:val="0"/>
                <w:w w:val="100"/>
                <w:position w:val="0"/>
              </w:rPr>
              <w:t>了解收入确认政策，检查主要客户合同条款，并分析评价实 际执行的收入确认政策及确认方法是否适当。</w:t>
            </w:r>
          </w:p>
          <w:p>
            <w:pPr>
              <w:pStyle w:val="Style22"/>
              <w:keepNext w:val="0"/>
              <w:keepLines w:val="0"/>
              <w:widowControl w:val="0"/>
              <w:shd w:val="clear" w:color="auto" w:fill="auto"/>
              <w:tabs>
                <w:tab w:pos="432" w:val="left"/>
              </w:tabs>
              <w:bidi w:val="0"/>
              <w:spacing w:before="0" w:after="0" w:line="318" w:lineRule="exact"/>
              <w:ind w:left="0" w:right="0" w:firstLine="0"/>
              <w:jc w:val="both"/>
            </w:pPr>
            <w:r>
              <w:rPr>
                <w:color w:val="000000"/>
                <w:spacing w:val="0"/>
                <w:w w:val="100"/>
                <w:position w:val="0"/>
              </w:rPr>
              <w:t>（3）</w:t>
              <w:tab/>
            </w:r>
            <w:r>
              <w:rPr>
                <w:color w:val="000000"/>
                <w:spacing w:val="0"/>
                <w:w w:val="100"/>
                <w:position w:val="0"/>
              </w:rPr>
              <w:t>对于系统集成业务，抽样检查合同、合同分析报告、签收单 或验收单等与收入确认相关的文件。</w:t>
            </w:r>
          </w:p>
          <w:p>
            <w:pPr>
              <w:pStyle w:val="Style22"/>
              <w:keepNext w:val="0"/>
              <w:keepLines w:val="0"/>
              <w:widowControl w:val="0"/>
              <w:shd w:val="clear" w:color="auto" w:fill="auto"/>
              <w:tabs>
                <w:tab w:pos="418" w:val="left"/>
              </w:tabs>
              <w:bidi w:val="0"/>
              <w:spacing w:before="0" w:after="0" w:line="318" w:lineRule="exact"/>
              <w:ind w:left="0" w:right="0" w:firstLine="0"/>
              <w:jc w:val="both"/>
            </w:pPr>
            <w:r>
              <w:rPr>
                <w:color w:val="000000"/>
                <w:spacing w:val="0"/>
                <w:w w:val="100"/>
                <w:position w:val="0"/>
              </w:rPr>
              <w:t>（4）</w:t>
              <w:tab/>
            </w:r>
            <w:r>
              <w:rPr>
                <w:color w:val="000000"/>
                <w:spacing w:val="0"/>
                <w:w w:val="100"/>
                <w:position w:val="0"/>
              </w:rPr>
              <w:t>对于软件开发及技术服务业务，根据合同判断划分为按一段 时间确认收入或按时点确认收入的准确性。按一段时间确认收入 的，抽样检查合同、合同分析报告，并复核投入法下实际成本的 准确性及预计总成本的合理性，获取外部阶段证明或工作量确认</w:t>
            </w:r>
          </w:p>
        </w:tc>
      </w:tr>
    </w:tbl>
    <w:p>
      <w:pPr>
        <w:widowControl w:val="0"/>
        <w:spacing w:line="1" w:lineRule="exact"/>
      </w:pPr>
      <w:r>
        <w:br w:type="page"/>
      </w:r>
    </w:p>
    <w:tbl>
      <w:tblPr>
        <w:tblOverlap w:val="never"/>
        <w:jc w:val="center"/>
        <w:tblLayout w:type="fixed"/>
      </w:tblPr>
      <w:tblGrid>
        <w:gridCol w:w="4258"/>
        <w:gridCol w:w="5112"/>
      </w:tblGrid>
      <w:tr>
        <w:trPr>
          <w:trHeight w:val="285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单，将外部阶段证明或工作量确认单中的项目进展情况与管理层 按投入法确定的完工进度进行对比分析；按时点确认收入的，抽 样检查合同、验收报告等与收入确认相关的文件。</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（5）</w:t>
            </w:r>
            <w:r>
              <w:rPr>
                <w:color w:val="000000"/>
                <w:spacing w:val="0"/>
                <w:w w:val="100"/>
                <w:position w:val="0"/>
              </w:rPr>
              <w:t>执行收入截止测试，检查关键审计证据。对于系统集成业务， 抽查资产负债表日前后若干笔会计记录和出库记录，与该笔销售 相关的合同及签收单或验收单做交叉核对，以确认收入计入正确 的会计期间；对于软件开发及技术服务业务，抽查资产负债表日 前后若干笔会计记录，对收入进行重新计算或检查验收报告等， 以确认收入计入正确的会计期间。</w:t>
            </w:r>
          </w:p>
        </w:tc>
      </w:tr>
    </w:tbl>
    <w:p>
      <w:pPr>
        <w:widowControl w:val="0"/>
        <w:spacing w:after="299" w:line="1" w:lineRule="exact"/>
      </w:pPr>
    </w:p>
    <w:p>
      <w:pPr>
        <w:widowControl w:val="0"/>
        <w:spacing w:line="1" w:lineRule="exact"/>
      </w:pPr>
    </w:p>
    <w:tbl>
      <w:tblPr>
        <w:tblOverlap w:val="never"/>
        <w:jc w:val="center"/>
        <w:tblLayout w:type="fixed"/>
      </w:tblPr>
      <w:tblGrid>
        <w:gridCol w:w="4387"/>
        <w:gridCol w:w="4982"/>
      </w:tblGrid>
      <w:tr>
        <w:trPr>
          <w:trHeight w:val="35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2.应收账款坏账准备事项</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409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如附注七、</w:t>
            </w:r>
            <w:r>
              <w:rPr>
                <w:color w:val="000000"/>
                <w:spacing w:val="0"/>
                <w:w w:val="100"/>
                <w:position w:val="0"/>
              </w:rPr>
              <w:t>4</w:t>
            </w:r>
            <w:r>
              <w:rPr>
                <w:color w:val="000000"/>
                <w:spacing w:val="0"/>
                <w:w w:val="100"/>
                <w:position w:val="0"/>
              </w:rPr>
              <w:t>所述，应收账款于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日的账面价 值为人民币</w:t>
            </w:r>
            <w:r>
              <w:rPr>
                <w:color w:val="000000"/>
                <w:spacing w:val="0"/>
                <w:w w:val="100"/>
                <w:position w:val="0"/>
              </w:rPr>
              <w:t xml:space="preserve">191, </w:t>
            </w:r>
            <w:r>
              <w:rPr>
                <w:color w:val="000000"/>
                <w:spacing w:val="0"/>
                <w:w w:val="100"/>
                <w:position w:val="0"/>
              </w:rPr>
              <w:t xml:space="preserve">307. </w:t>
            </w:r>
            <w:r>
              <w:rPr>
                <w:color w:val="000000"/>
                <w:spacing w:val="0"/>
                <w:w w:val="100"/>
                <w:position w:val="0"/>
              </w:rPr>
              <w:t>62</w:t>
            </w:r>
            <w:r>
              <w:rPr>
                <w:color w:val="000000"/>
                <w:spacing w:val="0"/>
                <w:w w:val="100"/>
                <w:position w:val="0"/>
              </w:rPr>
              <w:t>万元，占合并财务报表资产总额 的</w:t>
            </w:r>
            <w:r>
              <w:rPr>
                <w:color w:val="000000"/>
                <w:spacing w:val="0"/>
                <w:w w:val="100"/>
                <w:position w:val="0"/>
              </w:rPr>
              <w:t>15.40%</w:t>
            </w:r>
            <w:r>
              <w:rPr>
                <w:color w:val="000000"/>
                <w:spacing w:val="0"/>
                <w:w w:val="100"/>
                <w:position w:val="0"/>
              </w:rPr>
              <w:t>。管理层依据账期、账龄及业务类型等信用风 险特征将应收款项划分为若干组合，在组合基础上计算 预期信用损失。对于划分为组合的应收款项，管理层参 考历史信用损失经验，结合当前状况以及对未来经济状 况的预测，编制应收账款账期或账龄与整个存续期预期 信用损失率对照表，计算预期信用损失。因此，我们将 应收账款坏账准备事项作为关键审计事项。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370" w:val="left"/>
              </w:tabs>
              <w:bidi w:val="0"/>
              <w:spacing w:before="0" w:after="0" w:line="322" w:lineRule="exact"/>
              <w:ind w:left="0" w:right="0" w:firstLine="0"/>
              <w:jc w:val="both"/>
            </w:pPr>
            <w:r>
              <w:rPr>
                <w:color w:val="000000"/>
                <w:spacing w:val="0"/>
                <w:w w:val="100"/>
                <w:position w:val="0"/>
              </w:rPr>
              <w:t>（1）</w:t>
              <w:tab/>
            </w:r>
            <w:r>
              <w:rPr>
                <w:color w:val="000000"/>
                <w:spacing w:val="0"/>
                <w:w w:val="100"/>
                <w:position w:val="0"/>
              </w:rPr>
              <w:t>了解计提坏账准备的流程并评价其内部控制。</w:t>
            </w:r>
          </w:p>
          <w:p>
            <w:pPr>
              <w:pStyle w:val="Style22"/>
              <w:keepNext w:val="0"/>
              <w:keepLines w:val="0"/>
              <w:widowControl w:val="0"/>
              <w:shd w:val="clear" w:color="auto" w:fill="auto"/>
              <w:tabs>
                <w:tab w:pos="461" w:val="left"/>
              </w:tabs>
              <w:bidi w:val="0"/>
              <w:spacing w:before="0" w:after="0" w:line="322" w:lineRule="exact"/>
              <w:ind w:left="0" w:right="0" w:firstLine="0"/>
              <w:jc w:val="both"/>
            </w:pPr>
            <w:r>
              <w:rPr>
                <w:color w:val="000000"/>
                <w:spacing w:val="0"/>
                <w:w w:val="100"/>
                <w:position w:val="0"/>
              </w:rPr>
              <w:t>（2）</w:t>
              <w:tab/>
            </w:r>
            <w:r>
              <w:rPr>
                <w:color w:val="000000"/>
                <w:spacing w:val="0"/>
                <w:w w:val="100"/>
                <w:position w:val="0"/>
              </w:rPr>
              <w:t>了解管理层评估应收账款坏账准备时的判断及考虑因素， 并考虑是否存在对应收账款可回收性产生任何影响的情况。</w:t>
            </w:r>
          </w:p>
          <w:p>
            <w:pPr>
              <w:pStyle w:val="Style22"/>
              <w:keepNext w:val="0"/>
              <w:keepLines w:val="0"/>
              <w:widowControl w:val="0"/>
              <w:shd w:val="clear" w:color="auto" w:fill="auto"/>
              <w:tabs>
                <w:tab w:pos="446" w:val="left"/>
              </w:tabs>
              <w:bidi w:val="0"/>
              <w:spacing w:before="0" w:after="0" w:line="322" w:lineRule="exact"/>
              <w:ind w:left="0" w:right="0" w:firstLine="0"/>
              <w:jc w:val="both"/>
            </w:pPr>
            <w:r>
              <w:rPr>
                <w:color w:val="000000"/>
                <w:spacing w:val="0"/>
                <w:w w:val="100"/>
                <w:position w:val="0"/>
              </w:rPr>
              <w:t>（3）</w:t>
              <w:tab/>
            </w:r>
            <w:r>
              <w:rPr>
                <w:color w:val="000000"/>
                <w:spacing w:val="0"/>
                <w:w w:val="100"/>
                <w:position w:val="0"/>
              </w:rPr>
              <w:t>对预期信用损失率的计算过程进行复核；对坏账准备金额 进行重新计算。</w:t>
            </w:r>
          </w:p>
          <w:p>
            <w:pPr>
              <w:pStyle w:val="Style22"/>
              <w:keepNext w:val="0"/>
              <w:keepLines w:val="0"/>
              <w:widowControl w:val="0"/>
              <w:shd w:val="clear" w:color="auto" w:fill="auto"/>
              <w:tabs>
                <w:tab w:pos="461" w:val="left"/>
              </w:tabs>
              <w:bidi w:val="0"/>
              <w:spacing w:before="0" w:after="0" w:line="322" w:lineRule="exact"/>
              <w:ind w:left="0" w:right="0" w:firstLine="0"/>
              <w:jc w:val="both"/>
            </w:pPr>
            <w:r>
              <w:rPr>
                <w:color w:val="000000"/>
                <w:spacing w:val="0"/>
                <w:w w:val="100"/>
                <w:position w:val="0"/>
              </w:rPr>
              <w:t>（4）</w:t>
              <w:tab/>
            </w:r>
            <w:r>
              <w:rPr>
                <w:color w:val="000000"/>
                <w:spacing w:val="0"/>
                <w:w w:val="100"/>
                <w:position w:val="0"/>
              </w:rPr>
              <w:t>了解并检查表明应收账款发生减值的相关客观证据；查看 与应收账款坏账准备计提及核销相关的审批文件;了解并检查是 否存在客观证据表明应收账款价值已恢复的情况。</w:t>
            </w:r>
          </w:p>
          <w:p>
            <w:pPr>
              <w:pStyle w:val="Style22"/>
              <w:keepNext w:val="0"/>
              <w:keepLines w:val="0"/>
              <w:widowControl w:val="0"/>
              <w:shd w:val="clear" w:color="auto" w:fill="auto"/>
              <w:tabs>
                <w:tab w:pos="451" w:val="left"/>
              </w:tabs>
              <w:bidi w:val="0"/>
              <w:spacing w:before="0" w:after="0" w:line="316" w:lineRule="exact"/>
              <w:ind w:left="0" w:right="0" w:firstLine="0"/>
              <w:jc w:val="both"/>
            </w:pPr>
            <w:r>
              <w:rPr>
                <w:color w:val="000000"/>
                <w:spacing w:val="0"/>
                <w:w w:val="100"/>
                <w:position w:val="0"/>
              </w:rPr>
              <w:t>（5）</w:t>
              <w:tab/>
            </w:r>
            <w:r>
              <w:rPr>
                <w:color w:val="000000"/>
                <w:spacing w:val="0"/>
                <w:w w:val="100"/>
                <w:position w:val="0"/>
              </w:rPr>
              <w:t>通过检查销售合同、客户明细账及收入确认依据测试应收 账款账期划分的准确性；分析应收账款账龄的合理性；检查长账 龄应收账款的回款情况；测试资产负债表日后收到的回款；选择 样本对应收账款进行函证；以及分析无法收回而需要核销的应收 账款金额。</w:t>
            </w:r>
          </w:p>
        </w:tc>
      </w:tr>
    </w:tbl>
    <w:p>
      <w:pPr>
        <w:widowControl w:val="0"/>
        <w:spacing w:after="299" w:line="1" w:lineRule="exact"/>
      </w:pPr>
    </w:p>
    <w:p>
      <w:pPr>
        <w:widowControl w:val="0"/>
        <w:spacing w:line="1" w:lineRule="exact"/>
      </w:pPr>
    </w:p>
    <w:tbl>
      <w:tblPr>
        <w:tblOverlap w:val="never"/>
        <w:jc w:val="center"/>
        <w:tblLayout w:type="fixed"/>
      </w:tblPr>
      <w:tblGrid>
        <w:gridCol w:w="4387"/>
        <w:gridCol w:w="4982"/>
      </w:tblGrid>
      <w:tr>
        <w:trPr>
          <w:trHeight w:val="35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商誉减值准备事项</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347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如附注七、</w:t>
            </w:r>
            <w:r>
              <w:rPr>
                <w:color w:val="000000"/>
                <w:spacing w:val="0"/>
                <w:w w:val="100"/>
                <w:position w:val="0"/>
              </w:rPr>
              <w:t>18</w:t>
            </w:r>
            <w:r>
              <w:rPr>
                <w:color w:val="000000"/>
                <w:spacing w:val="0"/>
                <w:w w:val="100"/>
                <w:position w:val="0"/>
              </w:rPr>
              <w:t>所示，</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日，商誉账面价值人 民币</w:t>
            </w:r>
            <w:r>
              <w:rPr>
                <w:color w:val="000000"/>
                <w:spacing w:val="0"/>
                <w:w w:val="100"/>
                <w:position w:val="0"/>
              </w:rPr>
              <w:t>150,519.74</w:t>
            </w:r>
            <w:r>
              <w:rPr>
                <w:color w:val="000000"/>
                <w:spacing w:val="0"/>
                <w:w w:val="100"/>
                <w:position w:val="0"/>
              </w:rPr>
              <w:t xml:space="preserve">万元，占合并财务报表资产总额的 </w:t>
            </w:r>
            <w:r>
              <w:rPr>
                <w:color w:val="000000"/>
                <w:spacing w:val="0"/>
                <w:w w:val="100"/>
                <w:position w:val="0"/>
              </w:rPr>
              <w:t>12.12%</w:t>
            </w:r>
            <w:r>
              <w:rPr>
                <w:color w:val="000000"/>
                <w:spacing w:val="0"/>
                <w:w w:val="100"/>
                <w:position w:val="0"/>
              </w:rPr>
              <w:t>。根据准则规定，商誉无论有无减值迹象，公司 至少应当在每年年度终了进行减值测试。管理层通过比 较被分摊商誉的相关资产组的可收回金额与该资产组及 商誉的账面价值，对商誉进行减值测试。预测可收回金 额涉及对资产组未来现金流量现值的预测，管理层在预 测中需要做出重大判断和假设，特别是对于未来收入增 长率、毛利率、经营费用以及税前折现率等。由于减值 测试过程较为复杂，同时涉及重大判断，因此我们将商 誉减值准备事项作为关键审计事项。</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tabs>
                <w:tab w:pos="355" w:val="left"/>
              </w:tabs>
              <w:bidi w:val="0"/>
              <w:spacing w:before="0" w:after="0" w:line="317" w:lineRule="exact"/>
              <w:ind w:left="0" w:right="0" w:firstLine="0"/>
              <w:jc w:val="both"/>
            </w:pPr>
            <w:r>
              <w:rPr>
                <w:color w:val="000000"/>
                <w:spacing w:val="0"/>
                <w:w w:val="100"/>
                <w:position w:val="0"/>
              </w:rPr>
              <w:t>（1）</w:t>
              <w:tab/>
            </w:r>
            <w:r>
              <w:rPr>
                <w:color w:val="000000"/>
                <w:spacing w:val="0"/>
                <w:w w:val="100"/>
                <w:position w:val="0"/>
              </w:rPr>
              <w:t>我们测试了商誉减值测试相关内部控制的设计和执行。</w:t>
            </w:r>
          </w:p>
          <w:p>
            <w:pPr>
              <w:pStyle w:val="Style22"/>
              <w:keepNext w:val="0"/>
              <w:keepLines w:val="0"/>
              <w:widowControl w:val="0"/>
              <w:shd w:val="clear" w:color="auto" w:fill="auto"/>
              <w:tabs>
                <w:tab w:pos="451" w:val="left"/>
              </w:tabs>
              <w:bidi w:val="0"/>
              <w:spacing w:before="0" w:after="0" w:line="317" w:lineRule="exact"/>
              <w:ind w:left="0" w:right="0" w:firstLine="0"/>
              <w:jc w:val="both"/>
            </w:pPr>
            <w:r>
              <w:rPr>
                <w:color w:val="000000"/>
                <w:spacing w:val="0"/>
                <w:w w:val="100"/>
                <w:position w:val="0"/>
              </w:rPr>
              <w:t>（2）</w:t>
              <w:tab/>
            </w:r>
            <w:r>
              <w:rPr>
                <w:color w:val="000000"/>
                <w:spacing w:val="0"/>
                <w:w w:val="100"/>
                <w:position w:val="0"/>
              </w:rPr>
              <w:t>我们评估了管理层计算被分配商誉后资产组的可收回金额 的重要参数，包括收入增长率、毛利率、经营费用以及税前折现 率等。</w:t>
            </w:r>
          </w:p>
          <w:p>
            <w:pPr>
              <w:pStyle w:val="Style22"/>
              <w:keepNext w:val="0"/>
              <w:keepLines w:val="0"/>
              <w:widowControl w:val="0"/>
              <w:shd w:val="clear" w:color="auto" w:fill="auto"/>
              <w:tabs>
                <w:tab w:pos="451" w:val="left"/>
              </w:tabs>
              <w:bidi w:val="0"/>
              <w:spacing w:before="0" w:after="0" w:line="317" w:lineRule="exact"/>
              <w:ind w:left="0" w:right="0" w:firstLine="0"/>
              <w:jc w:val="both"/>
            </w:pPr>
            <w:r>
              <w:rPr>
                <w:color w:val="000000"/>
                <w:spacing w:val="0"/>
                <w:w w:val="100"/>
                <w:position w:val="0"/>
              </w:rPr>
              <w:t>（3）</w:t>
              <w:tab/>
            </w:r>
            <w:r>
              <w:rPr>
                <w:color w:val="000000"/>
                <w:spacing w:val="0"/>
                <w:w w:val="100"/>
                <w:position w:val="0"/>
              </w:rPr>
              <w:t>我们评估了管理层的减值测试方法和使用的折现率的合理 性。</w:t>
            </w:r>
          </w:p>
          <w:p>
            <w:pPr>
              <w:pStyle w:val="Style22"/>
              <w:keepNext w:val="0"/>
              <w:keepLines w:val="0"/>
              <w:widowControl w:val="0"/>
              <w:shd w:val="clear" w:color="auto" w:fill="auto"/>
              <w:tabs>
                <w:tab w:pos="403" w:val="left"/>
              </w:tabs>
              <w:bidi w:val="0"/>
              <w:spacing w:before="0" w:after="0" w:line="317" w:lineRule="exact"/>
              <w:ind w:left="0" w:right="0" w:firstLine="0"/>
              <w:jc w:val="both"/>
            </w:pPr>
            <w:r>
              <w:rPr>
                <w:color w:val="000000"/>
                <w:spacing w:val="0"/>
                <w:w w:val="100"/>
                <w:position w:val="0"/>
              </w:rPr>
              <w:t>（4）</w:t>
              <w:tab/>
            </w:r>
            <w:r>
              <w:rPr>
                <w:color w:val="000000"/>
                <w:spacing w:val="0"/>
                <w:w w:val="100"/>
                <w:position w:val="0"/>
              </w:rPr>
              <w:t>我们取得了评估报告，并与管理层聘请的评估师进行访谈， 复核了评估假设、评估方法及评估结果等。</w:t>
            </w:r>
          </w:p>
          <w:p>
            <w:pPr>
              <w:pStyle w:val="Style22"/>
              <w:keepNext w:val="0"/>
              <w:keepLines w:val="0"/>
              <w:widowControl w:val="0"/>
              <w:shd w:val="clear" w:color="auto" w:fill="auto"/>
              <w:tabs>
                <w:tab w:pos="451" w:val="left"/>
              </w:tabs>
              <w:bidi w:val="0"/>
              <w:spacing w:before="0" w:after="0" w:line="317" w:lineRule="exact"/>
              <w:ind w:left="0" w:right="0" w:firstLine="0"/>
              <w:jc w:val="both"/>
            </w:pPr>
            <w:r>
              <w:rPr>
                <w:color w:val="000000"/>
                <w:spacing w:val="0"/>
                <w:w w:val="100"/>
                <w:position w:val="0"/>
              </w:rPr>
              <w:t>（5）</w:t>
              <w:tab/>
            </w:r>
            <w:r>
              <w:rPr>
                <w:color w:val="000000"/>
                <w:spacing w:val="0"/>
                <w:w w:val="100"/>
                <w:position w:val="0"/>
              </w:rPr>
              <w:t>我们关注了财务报告附注五、</w:t>
            </w:r>
            <w:r>
              <w:rPr>
                <w:color w:val="000000"/>
                <w:spacing w:val="0"/>
                <w:w w:val="100"/>
                <w:position w:val="0"/>
              </w:rPr>
              <w:t>36</w:t>
            </w:r>
            <w:r>
              <w:rPr>
                <w:color w:val="000000"/>
                <w:spacing w:val="0"/>
                <w:w w:val="100"/>
                <w:position w:val="0"/>
              </w:rPr>
              <w:t>对商誉减值准备的会计估 计披露的充分性。</w:t>
            </w:r>
          </w:p>
        </w:tc>
      </w:tr>
    </w:tbl>
    <w:p>
      <w:pPr>
        <w:widowControl w:val="0"/>
        <w:spacing w:after="239" w:line="1" w:lineRule="exact"/>
      </w:pPr>
    </w:p>
    <w:p>
      <w:pPr>
        <w:pStyle w:val="Style13"/>
        <w:keepNext w:val="0"/>
        <w:keepLines w:val="0"/>
        <w:widowControl w:val="0"/>
        <w:shd w:val="clear" w:color="auto" w:fill="auto"/>
        <w:bidi w:val="0"/>
        <w:spacing w:before="0" w:after="0" w:line="317" w:lineRule="exact"/>
        <w:ind w:left="0" w:right="0" w:firstLine="0"/>
        <w:jc w:val="left"/>
      </w:pPr>
      <w:bookmarkStart w:id="641" w:name="bookmark641"/>
      <w:r>
        <w:rPr>
          <w:b/>
          <w:bCs/>
          <w:color w:val="000000"/>
          <w:spacing w:val="0"/>
          <w:w w:val="100"/>
          <w:position w:val="0"/>
        </w:rPr>
        <w:t>四</w:t>
      </w:r>
      <w:bookmarkEnd w:id="641"/>
      <w:r>
        <w:rPr>
          <w:b/>
          <w:bCs/>
          <w:color w:val="000000"/>
          <w:spacing w:val="0"/>
          <w:w w:val="100"/>
          <w:position w:val="0"/>
        </w:rPr>
        <w:t>、其他信息</w:t>
      </w:r>
    </w:p>
    <w:p>
      <w:pPr>
        <w:pStyle w:val="Style13"/>
        <w:keepNext w:val="0"/>
        <w:keepLines w:val="0"/>
        <w:widowControl w:val="0"/>
        <w:shd w:val="clear" w:color="auto" w:fill="auto"/>
        <w:bidi w:val="0"/>
        <w:spacing w:before="0" w:after="300" w:line="317" w:lineRule="exact"/>
        <w:ind w:left="0" w:right="0" w:firstLine="460"/>
        <w:jc w:val="left"/>
      </w:pPr>
      <w:r>
        <w:rPr>
          <w:color w:val="000000"/>
          <w:spacing w:val="0"/>
          <w:w w:val="100"/>
          <w:position w:val="0"/>
        </w:rPr>
        <w:t>神州信息管理层（以下简称管理层）对其他信息负责。其他信息包括神州信息</w:t>
      </w:r>
      <w:r>
        <w:rPr>
          <w:color w:val="000000"/>
          <w:spacing w:val="0"/>
          <w:w w:val="100"/>
          <w:position w:val="0"/>
        </w:rPr>
        <w:t>2021</w:t>
      </w:r>
      <w:r>
        <w:rPr>
          <w:color w:val="000000"/>
          <w:spacing w:val="0"/>
          <w:w w:val="100"/>
          <w:position w:val="0"/>
        </w:rPr>
        <w:t>年年度报告中涵盖的信息，但不包括 财务报表和我们的审计报告。</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我们对财务报表发表的审计意见不涵盖其他信息，我们也不对其他信息发表任何形式的鉴证结论。</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13"/>
        <w:keepNext w:val="0"/>
        <w:keepLines w:val="0"/>
        <w:widowControl w:val="0"/>
        <w:shd w:val="clear" w:color="auto" w:fill="auto"/>
        <w:tabs>
          <w:tab w:pos="435" w:val="left"/>
        </w:tabs>
        <w:bidi w:val="0"/>
        <w:spacing w:before="0" w:after="0" w:line="313" w:lineRule="exact"/>
        <w:ind w:left="0" w:right="0" w:firstLine="0"/>
        <w:jc w:val="both"/>
      </w:pPr>
      <w:bookmarkStart w:id="642" w:name="bookmark642"/>
      <w:r>
        <w:rPr>
          <w:b/>
          <w:bCs/>
          <w:color w:val="000000"/>
          <w:spacing w:val="0"/>
          <w:w w:val="100"/>
          <w:position w:val="0"/>
        </w:rPr>
        <w:t>五</w:t>
      </w:r>
      <w:bookmarkEnd w:id="642"/>
      <w:r>
        <w:rPr>
          <w:b/>
          <w:bCs/>
          <w:color w:val="000000"/>
          <w:spacing w:val="0"/>
          <w:w w:val="100"/>
          <w:position w:val="0"/>
        </w:rPr>
        <w:t>、</w:t>
        <w:tab/>
        <w:t>管理层和治理层对财务报表的责任</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在编制财务报表时，管理层负责评估神州信息的持续经营能力，披露与持续经营相关的事项（如适用），并运用持续 经营假设，除非管理层计划清算神州信息、终止运营或别无其他现实的选择。</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治理层负责监督神州信息的财务报告过程。</w:t>
      </w:r>
    </w:p>
    <w:p>
      <w:pPr>
        <w:pStyle w:val="Style13"/>
        <w:keepNext w:val="0"/>
        <w:keepLines w:val="0"/>
        <w:widowControl w:val="0"/>
        <w:shd w:val="clear" w:color="auto" w:fill="auto"/>
        <w:tabs>
          <w:tab w:pos="440" w:val="left"/>
        </w:tabs>
        <w:bidi w:val="0"/>
        <w:spacing w:before="0" w:after="0" w:line="313" w:lineRule="exact"/>
        <w:ind w:left="0" w:right="0" w:firstLine="0"/>
        <w:jc w:val="both"/>
      </w:pPr>
      <w:bookmarkStart w:id="643" w:name="bookmark643"/>
      <w:r>
        <w:rPr>
          <w:b/>
          <w:bCs/>
          <w:color w:val="000000"/>
          <w:spacing w:val="0"/>
          <w:w w:val="100"/>
          <w:position w:val="0"/>
        </w:rPr>
        <w:t>六</w:t>
      </w:r>
      <w:bookmarkEnd w:id="643"/>
      <w:r>
        <w:rPr>
          <w:b/>
          <w:bCs/>
          <w:color w:val="000000"/>
          <w:spacing w:val="0"/>
          <w:w w:val="100"/>
          <w:position w:val="0"/>
        </w:rPr>
        <w:t>、</w:t>
        <w:tab/>
        <w:t>注册会计师对财务报表审计的责任</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在按照审计准则执行审计工作的过程中，我们运用职业判断，并保持职业怀疑。同时，我们也执行以下工作：</w:t>
      </w:r>
    </w:p>
    <w:p>
      <w:pPr>
        <w:pStyle w:val="Style13"/>
        <w:keepNext w:val="0"/>
        <w:keepLines w:val="0"/>
        <w:widowControl w:val="0"/>
        <w:numPr>
          <w:ilvl w:val="0"/>
          <w:numId w:val="13"/>
        </w:numPr>
        <w:shd w:val="clear" w:color="auto" w:fill="auto"/>
        <w:tabs>
          <w:tab w:pos="357" w:val="left"/>
        </w:tabs>
        <w:bidi w:val="0"/>
        <w:spacing w:before="0" w:after="0" w:line="313" w:lineRule="exact"/>
        <w:ind w:left="380" w:right="0" w:hanging="380"/>
        <w:jc w:val="both"/>
      </w:pPr>
      <w:bookmarkStart w:id="644" w:name="bookmark644"/>
      <w:bookmarkEnd w:id="644"/>
      <w:r>
        <w:rPr>
          <w:color w:val="000000"/>
          <w:spacing w:val="0"/>
          <w:w w:val="100"/>
          <w:position w:val="0"/>
        </w:rPr>
        <w:t>识别和评估由于舞弊或错误导致的财务报表重大错报风险，设计和实施审计程序以应对这些风险，并获取充分、适当的 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13"/>
        <w:keepNext w:val="0"/>
        <w:keepLines w:val="0"/>
        <w:widowControl w:val="0"/>
        <w:numPr>
          <w:ilvl w:val="0"/>
          <w:numId w:val="13"/>
        </w:numPr>
        <w:shd w:val="clear" w:color="auto" w:fill="auto"/>
        <w:tabs>
          <w:tab w:pos="357" w:val="left"/>
        </w:tabs>
        <w:bidi w:val="0"/>
        <w:spacing w:before="0" w:after="0" w:line="313" w:lineRule="exact"/>
        <w:ind w:left="0" w:right="0" w:firstLine="0"/>
        <w:jc w:val="both"/>
      </w:pPr>
      <w:bookmarkStart w:id="645" w:name="bookmark645"/>
      <w:bookmarkEnd w:id="645"/>
      <w:r>
        <w:rPr>
          <w:color w:val="000000"/>
          <w:spacing w:val="0"/>
          <w:w w:val="100"/>
          <w:position w:val="0"/>
        </w:rPr>
        <w:t>了解与审计相关的内部控制，以设计恰当的审计程序。</w:t>
      </w:r>
    </w:p>
    <w:p>
      <w:pPr>
        <w:pStyle w:val="Style13"/>
        <w:keepNext w:val="0"/>
        <w:keepLines w:val="0"/>
        <w:widowControl w:val="0"/>
        <w:numPr>
          <w:ilvl w:val="0"/>
          <w:numId w:val="13"/>
        </w:numPr>
        <w:shd w:val="clear" w:color="auto" w:fill="auto"/>
        <w:tabs>
          <w:tab w:pos="357" w:val="left"/>
        </w:tabs>
        <w:bidi w:val="0"/>
        <w:spacing w:before="0" w:after="0" w:line="313" w:lineRule="exact"/>
        <w:ind w:left="0" w:right="0" w:firstLine="0"/>
        <w:jc w:val="both"/>
      </w:pPr>
      <w:bookmarkStart w:id="646" w:name="bookmark646"/>
      <w:bookmarkEnd w:id="646"/>
      <w:r>
        <w:rPr>
          <w:color w:val="000000"/>
          <w:spacing w:val="0"/>
          <w:w w:val="100"/>
          <w:position w:val="0"/>
        </w:rPr>
        <w:t>评价管理层选用会计政策的恰当性和作出会计估计及相关披露的合理性。</w:t>
      </w:r>
    </w:p>
    <w:p>
      <w:pPr>
        <w:pStyle w:val="Style13"/>
        <w:keepNext w:val="0"/>
        <w:keepLines w:val="0"/>
        <w:widowControl w:val="0"/>
        <w:numPr>
          <w:ilvl w:val="0"/>
          <w:numId w:val="13"/>
        </w:numPr>
        <w:shd w:val="clear" w:color="auto" w:fill="auto"/>
        <w:tabs>
          <w:tab w:pos="357" w:val="left"/>
        </w:tabs>
        <w:bidi w:val="0"/>
        <w:spacing w:before="0" w:after="0" w:line="313" w:lineRule="exact"/>
        <w:ind w:left="380" w:right="0" w:hanging="380"/>
        <w:jc w:val="both"/>
      </w:pPr>
      <w:bookmarkStart w:id="647" w:name="bookmark647"/>
      <w:bookmarkEnd w:id="647"/>
      <w:r>
        <w:rPr>
          <w:color w:val="000000"/>
          <w:spacing w:val="0"/>
          <w:w w:val="100"/>
          <w:position w:val="0"/>
        </w:rPr>
        <w:t>对管理层使用持续经营假设的恰当性得出结论。同时，根据获取的审计证据，就可能导致对神州信息持续经营能力产生 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 基于截至审计报告日可获得的信息。然而，未来的事项或情况可能导致神州信息不能持续经营。</w:t>
      </w:r>
    </w:p>
    <w:p>
      <w:pPr>
        <w:pStyle w:val="Style13"/>
        <w:keepNext w:val="0"/>
        <w:keepLines w:val="0"/>
        <w:widowControl w:val="0"/>
        <w:numPr>
          <w:ilvl w:val="0"/>
          <w:numId w:val="13"/>
        </w:numPr>
        <w:shd w:val="clear" w:color="auto" w:fill="auto"/>
        <w:tabs>
          <w:tab w:pos="357" w:val="left"/>
        </w:tabs>
        <w:bidi w:val="0"/>
        <w:spacing w:before="0" w:after="0" w:line="313" w:lineRule="exact"/>
        <w:ind w:left="0" w:right="0" w:firstLine="0"/>
        <w:jc w:val="both"/>
      </w:pPr>
      <w:bookmarkStart w:id="648" w:name="bookmark648"/>
      <w:bookmarkEnd w:id="648"/>
      <w:r>
        <w:rPr>
          <w:color w:val="000000"/>
          <w:spacing w:val="0"/>
          <w:w w:val="100"/>
          <w:position w:val="0"/>
        </w:rPr>
        <w:t>评价财务报表的总体列报、结构和内容，并评价财务报表是否公允反映相关交易和事项。</w:t>
      </w:r>
    </w:p>
    <w:p>
      <w:pPr>
        <w:pStyle w:val="Style13"/>
        <w:keepNext w:val="0"/>
        <w:keepLines w:val="0"/>
        <w:widowControl w:val="0"/>
        <w:numPr>
          <w:ilvl w:val="0"/>
          <w:numId w:val="13"/>
        </w:numPr>
        <w:shd w:val="clear" w:color="auto" w:fill="auto"/>
        <w:tabs>
          <w:tab w:pos="357" w:val="left"/>
        </w:tabs>
        <w:bidi w:val="0"/>
        <w:spacing w:before="0" w:after="0" w:line="313" w:lineRule="exact"/>
        <w:ind w:left="380" w:right="0" w:hanging="380"/>
        <w:jc w:val="both"/>
      </w:pPr>
      <w:bookmarkStart w:id="649" w:name="bookmark649"/>
      <w:bookmarkEnd w:id="649"/>
      <w:r>
        <w:rPr>
          <w:color w:val="000000"/>
          <w:spacing w:val="0"/>
          <w:w w:val="100"/>
          <w:position w:val="0"/>
        </w:rPr>
        <w:t>就神州信息中实体或业务活动的财务信息获取充分、适当的审计证据，以对财务报表发表审计意见。我们负责指导、监 督和执行集团审计，并对审计意见承担全部责任。</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13"/>
        <w:keepNext w:val="0"/>
        <w:keepLines w:val="0"/>
        <w:widowControl w:val="0"/>
        <w:shd w:val="clear" w:color="auto" w:fill="auto"/>
        <w:bidi w:val="0"/>
        <w:spacing w:before="0" w:after="380" w:line="313" w:lineRule="exact"/>
        <w:ind w:left="0" w:right="0" w:firstLine="46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32"/>
        <w:keepNext w:val="0"/>
        <w:keepLines w:val="0"/>
        <w:widowControl w:val="0"/>
        <w:shd w:val="clear" w:color="auto" w:fill="auto"/>
        <w:tabs>
          <w:tab w:pos="5434" w:val="left"/>
        </w:tabs>
        <w:bidi w:val="0"/>
        <w:spacing w:before="0" w:after="0" w:line="240" w:lineRule="auto"/>
        <w:ind w:left="0" w:right="0" w:firstLine="0"/>
        <w:jc w:val="left"/>
        <w:rPr>
          <w:sz w:val="22"/>
          <w:szCs w:val="22"/>
        </w:rPr>
      </w:pPr>
      <w:r>
        <w:rPr>
          <w:b w:val="0"/>
          <w:bCs w:val="0"/>
          <w:color w:val="000000"/>
          <w:spacing w:val="0"/>
          <w:w w:val="100"/>
          <w:position w:val="0"/>
          <w:sz w:val="22"/>
          <w:szCs w:val="22"/>
        </w:rPr>
        <w:t>信永中和会计师事务所</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特殊普通合伙</w:t>
      </w:r>
      <w:r>
        <w:rPr>
          <w:b w:val="0"/>
          <w:bCs w:val="0"/>
          <w:color w:val="000000"/>
          <w:spacing w:val="0"/>
          <w:w w:val="100"/>
          <w:position w:val="0"/>
          <w:sz w:val="22"/>
          <w:szCs w:val="22"/>
        </w:rPr>
        <w:t>）</w:t>
      </w:r>
      <w:r>
        <w:rPr>
          <w:rFonts w:ascii="Times New Roman" w:eastAsia="Times New Roman" w:hAnsi="Times New Roman" w:cs="Times New Roman"/>
          <w:b w:val="0"/>
          <w:bCs w:val="0"/>
          <w:color w:val="000000"/>
          <w:spacing w:val="0"/>
          <w:w w:val="100"/>
          <w:position w:val="0"/>
          <w:sz w:val="22"/>
          <w:szCs w:val="22"/>
        </w:rPr>
        <w:tab/>
      </w:r>
      <w:r>
        <w:rPr>
          <w:b w:val="0"/>
          <w:bCs w:val="0"/>
          <w:color w:val="000000"/>
          <w:spacing w:val="0"/>
          <w:w w:val="100"/>
          <w:position w:val="0"/>
          <w:sz w:val="22"/>
          <w:szCs w:val="22"/>
        </w:rPr>
        <w:t>中国注册会计师：唐炫</w:t>
      </w:r>
    </w:p>
    <w:p>
      <w:pPr>
        <w:pStyle w:val="Style32"/>
        <w:keepNext w:val="0"/>
        <w:keepLines w:val="0"/>
        <w:widowControl w:val="0"/>
        <w:shd w:val="clear" w:color="auto" w:fill="auto"/>
        <w:bidi w:val="0"/>
        <w:spacing w:before="0" w:after="380" w:line="240" w:lineRule="auto"/>
        <w:ind w:left="5480" w:right="0" w:firstLine="0"/>
        <w:jc w:val="left"/>
        <w:rPr>
          <w:sz w:val="22"/>
          <w:szCs w:val="22"/>
        </w:rPr>
      </w:pP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项目合伙人</w:t>
      </w:r>
      <w:r>
        <w:rPr>
          <w:b w:val="0"/>
          <w:bCs w:val="0"/>
          <w:color w:val="000000"/>
          <w:spacing w:val="0"/>
          <w:w w:val="100"/>
          <w:position w:val="0"/>
          <w:sz w:val="22"/>
          <w:szCs w:val="22"/>
        </w:rPr>
        <w:t>）</w:t>
      </w:r>
    </w:p>
    <w:p>
      <w:pPr>
        <w:pStyle w:val="Style32"/>
        <w:keepNext w:val="0"/>
        <w:keepLines w:val="0"/>
        <w:widowControl w:val="0"/>
        <w:shd w:val="clear" w:color="auto" w:fill="auto"/>
        <w:bidi w:val="0"/>
        <w:spacing w:before="0" w:after="380" w:line="240" w:lineRule="auto"/>
        <w:ind w:left="5480" w:right="0" w:firstLine="0"/>
        <w:jc w:val="left"/>
        <w:rPr>
          <w:sz w:val="22"/>
          <w:szCs w:val="22"/>
        </w:rPr>
      </w:pPr>
      <w:r>
        <w:rPr>
          <w:b w:val="0"/>
          <w:bCs w:val="0"/>
          <w:color w:val="000000"/>
          <w:spacing w:val="0"/>
          <w:w w:val="100"/>
          <w:position w:val="0"/>
          <w:sz w:val="22"/>
          <w:szCs w:val="22"/>
        </w:rPr>
        <w:t>中国注册会计师：李丽华</w:t>
      </w:r>
    </w:p>
    <w:p>
      <w:pPr>
        <w:pStyle w:val="Style32"/>
        <w:keepNext w:val="0"/>
        <w:keepLines w:val="0"/>
        <w:widowControl w:val="0"/>
        <w:shd w:val="clear" w:color="auto" w:fill="auto"/>
        <w:tabs>
          <w:tab w:pos="4056" w:val="left"/>
        </w:tabs>
        <w:bidi w:val="0"/>
        <w:spacing w:before="0" w:after="380" w:line="240" w:lineRule="auto"/>
        <w:ind w:left="0" w:right="0" w:firstLine="0"/>
        <w:jc w:val="center"/>
        <w:rPr>
          <w:sz w:val="22"/>
          <w:szCs w:val="22"/>
        </w:rPr>
      </w:pPr>
      <w:r>
        <w:rPr>
          <w:b w:val="0"/>
          <w:bCs w:val="0"/>
          <w:color w:val="000000"/>
          <w:spacing w:val="0"/>
          <w:w w:val="100"/>
          <w:position w:val="0"/>
          <w:sz w:val="22"/>
          <w:szCs w:val="22"/>
        </w:rPr>
        <w:t>中国 北京</w:t>
        <w:tab/>
        <w:t>二</w:t>
      </w:r>
      <w:r>
        <w:rPr>
          <w:b w:val="0"/>
          <w:bCs w:val="0"/>
          <w:color w:val="000000"/>
          <w:spacing w:val="0"/>
          <w:w w:val="100"/>
          <w:position w:val="0"/>
          <w:sz w:val="22"/>
          <w:szCs w:val="22"/>
        </w:rPr>
        <w:t>O</w:t>
      </w:r>
      <w:r>
        <w:rPr>
          <w:b w:val="0"/>
          <w:bCs w:val="0"/>
          <w:color w:val="000000"/>
          <w:spacing w:val="0"/>
          <w:w w:val="100"/>
          <w:position w:val="0"/>
          <w:sz w:val="22"/>
          <w:szCs w:val="22"/>
        </w:rPr>
        <w:t>二二年三月二十九日</w:t>
      </w:r>
      <w:r>
        <w:br w:type="page"/>
      </w:r>
    </w:p>
    <w:p>
      <w:pPr>
        <w:pStyle w:val="Style25"/>
        <w:keepNext/>
        <w:keepLines/>
        <w:widowControl w:val="0"/>
        <w:shd w:val="clear" w:color="auto" w:fill="auto"/>
        <w:bidi w:val="0"/>
        <w:spacing w:before="0" w:after="360" w:line="240" w:lineRule="auto"/>
        <w:ind w:left="0" w:right="0" w:firstLine="0"/>
        <w:jc w:val="left"/>
      </w:pPr>
      <w:bookmarkStart w:id="650" w:name="bookmark650"/>
      <w:bookmarkStart w:id="651" w:name="bookmark651"/>
      <w:bookmarkStart w:id="652" w:name="bookmark652"/>
      <w:r>
        <w:rPr>
          <w:color w:val="000000"/>
          <w:spacing w:val="0"/>
          <w:w w:val="100"/>
          <w:position w:val="0"/>
          <w:sz w:val="24"/>
          <w:szCs w:val="24"/>
        </w:rPr>
        <w:t>二、财务报表</w:t>
      </w:r>
      <w:bookmarkEnd w:id="650"/>
      <w:bookmarkEnd w:id="651"/>
      <w:bookmarkEnd w:id="652"/>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、合并资产负债表</w:t>
      </w:r>
      <w:bookmarkEnd w:id="653"/>
      <w:bookmarkEnd w:id="654"/>
      <w:bookmarkEnd w:id="656"/>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编制单位：神州数码信息服务股份有限公司</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1,526,508,815.74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1,941,313,168.04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733,871,034.44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750,007,662.48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260,878,539.56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4,759,879.29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1,913,076,204.06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1,946,829,284.49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99,971,636.50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101,767,749.65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150,511,065.65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146,475,000.58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3,035,394,524.48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2,784,103,976.38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1,838,801,656.16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1,640,000,224.71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77,826,565.07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4,785,136.52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9,636,840,041.66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9,320,042,082.14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114,269,629.77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110,304,194.00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141,909,969.17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163,000,470.68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129,166,086.19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154,829,413.56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13,258,726.31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13,630,176.99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414,593,470.01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453,057,913.67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91,679,714.78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146,211,491.89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131,559,390.41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47,551,818.65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38,441,116.25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1,505,197,394.63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1,505,197,394.63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11,737,636.53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9,122,916.12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169,290,023.57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152,677,767.07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2,784,865,961.50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2,731,820,753.38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12,421,706,003.16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12,051,862,835.52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164,355,930.18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722,279,881.25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928,591,820.42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552,013,491.84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2,587,049,767.34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2,373,036,760.20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1,707,148,709.82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1,756,268,042.19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554,419,464.14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495,368,850.46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153,569,542.40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188,127,416.31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162,920,162.31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222,115,124.98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29,131,925.99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6,287,187,322.60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6,309,209,567.23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62,674,277.37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17,249,475.49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20,061,059.53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28,446,773.84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36,724,613.52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108,370,526.70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56,785,673.05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6,395,557,849.30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6,365,995,240.28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979,744,428.00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975,768,827.00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2,450,152,290.64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2,406,151,454.21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200,061,146.53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160,204,801.44</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91,409,511.20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98,993,052.24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42,074,517.73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34,958,025.22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2,550,369,313.30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2,229,478,383.79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5,913,688,914.34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5,585,144,941.02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112,459,239.52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100,722,654.22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6,026,148,153.86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5,685,867,595.24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12,421,706,003.16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12,051,862,835.52</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259705" simplePos="0" relativeHeight="125829384" behindDoc="0" locked="0" layoutInCell="1" allowOverlap="1">
                <wp:simplePos x="0" y="0"/>
                <wp:positionH relativeFrom="page">
                  <wp:posOffset>697865</wp:posOffset>
                </wp:positionH>
                <wp:positionV relativeFrom="margin">
                  <wp:posOffset>2301240</wp:posOffset>
                </wp:positionV>
                <wp:extent cx="938530" cy="149225"/>
                <wp:wrapTopAndBottom/>
                <wp:docPr id="9" name="Shape 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法定代表人：郭为</w:t>
                            </w:r>
                          </w:p>
                        </w:txbxContent>
                      </wps:txbx>
                      <wps:bodyPr wrap="none" lIns="0" tIns="0" rIns="0" bIns="0">
                        <a:noAutoFit/>
                      </wps:bodyPr>
                    </wps:wsp>
                  </a:graphicData>
                </a:graphic>
              </wp:anchor>
            </w:drawing>
          </mc:Choice>
          <mc:Fallback>
            <w:pict>
              <v:shape id="_x0000_s1035" type="#_x0000_t202" style="position:absolute;margin-left:54.950000000000003pt;margin-top:181.20000000000002pt;width:73.900000000000006pt;height:11.75pt;z-index:-125829369;mso-wrap-distance-left:9.pt;mso-wrap-distance-top:12.pt;mso-wrap-distance-right:414.15000000000003pt;mso-wrap-distance-bottom:0.2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法定代表人：郭为</w:t>
                      </w:r>
                    </w:p>
                  </w:txbxContent>
                </v:textbox>
                <w10:wrap type="topAndBottom" anchorx="page" anchory="margin"/>
              </v:shape>
            </w:pict>
          </mc:Fallback>
        </mc:AlternateContent>
      </w:r>
      <w:r>
        <mc:AlternateContent>
          <mc:Choice Requires="wps">
            <w:drawing>
              <wp:anchor distT="152400" distB="6350" distL="2229485" distR="2571115" simplePos="0" relativeHeight="125829386" behindDoc="0" locked="0" layoutInCell="1" allowOverlap="1">
                <wp:simplePos x="0" y="0"/>
                <wp:positionH relativeFrom="page">
                  <wp:posOffset>2813050</wp:posOffset>
                </wp:positionH>
                <wp:positionV relativeFrom="margin">
                  <wp:posOffset>2301240</wp:posOffset>
                </wp:positionV>
                <wp:extent cx="1511935" cy="146050"/>
                <wp:wrapTopAndBottom/>
                <wp:docPr id="11" name="Shape 11"/>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主管会计工作负责人：刘伟刚</w:t>
                            </w:r>
                          </w:p>
                        </w:txbxContent>
                      </wps:txbx>
                      <wps:bodyPr wrap="none" lIns="0" tIns="0" rIns="0" bIns="0">
                        <a:noAutoFit/>
                      </wps:bodyPr>
                    </wps:wsp>
                  </a:graphicData>
                </a:graphic>
              </wp:anchor>
            </w:drawing>
          </mc:Choice>
          <mc:Fallback>
            <w:pict>
              <v:shape id="_x0000_s1037" type="#_x0000_t202" style="position:absolute;margin-left:221.5pt;margin-top:181.20000000000002pt;width:119.05pt;height:11.5pt;z-index:-125829367;mso-wrap-distance-left:175.55000000000001pt;mso-wrap-distance-top:12.pt;mso-wrap-distance-right:202.45000000000002pt;mso-wrap-distance-bottom:0.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主管会计工作负责人：刘伟刚</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5498465</wp:posOffset>
                </wp:positionH>
                <wp:positionV relativeFrom="margin">
                  <wp:posOffset>2301240</wp:posOffset>
                </wp:positionV>
                <wp:extent cx="1283335" cy="152400"/>
                <wp:wrapTopAndBottom/>
                <wp:docPr id="13" name="Shape 13"/>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会计机构负责人：张秀慧</w:t>
                            </w:r>
                          </w:p>
                        </w:txbxContent>
                      </wps:txbx>
                      <wps:bodyPr wrap="none" lIns="0" tIns="0" rIns="0" bIns="0">
                        <a:noAutoFit/>
                      </wps:bodyPr>
                    </wps:wsp>
                  </a:graphicData>
                </a:graphic>
              </wp:anchor>
            </w:drawing>
          </mc:Choice>
          <mc:Fallback>
            <w:pict>
              <v:shape id="_x0000_s1039" type="#_x0000_t202" style="position:absolute;margin-left:432.94999999999999pt;margin-top:181.20000000000002pt;width:101.05pt;height:12.pt;z-index:-125829365;mso-wrap-distance-left:387.pt;mso-wrap-distance-top:12.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会计机构负责人：张秀慧</w:t>
                      </w:r>
                    </w:p>
                  </w:txbxContent>
                </v:textbox>
                <w10:wrap type="topAndBottom" anchorx="page" anchory="margin"/>
              </v:shape>
            </w:pict>
          </mc:Fallback>
        </mc:AlternateContent>
      </w: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2</w:t>
      </w:r>
      <w:bookmarkEnd w:id="659"/>
      <w:r>
        <w:rPr>
          <w:color w:val="000000"/>
          <w:spacing w:val="0"/>
          <w:w w:val="100"/>
          <w:position w:val="0"/>
        </w:rPr>
        <w:t>、母公司资产负债表</w:t>
      </w:r>
      <w:bookmarkEnd w:id="657"/>
      <w:bookmarkEnd w:id="658"/>
      <w:bookmarkEnd w:id="6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75,853,246.35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60,656,839.66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249,112,600.12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251,195,662.48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30,821,673.05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67,707,014.64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824,147.29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169,280.31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34,934,554.34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119,492,209.92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28,132,654.89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17,450,338.26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241,117,341.73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314,866,835.38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8,127,556.50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21,995,724.47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2,417,532.14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662,786,843.85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816,505,374.53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2,889,196,201.87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2,788,806,117.37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29,199,470.00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33,902,624.00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91,086.08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105,668.24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92,140.15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12,601.00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98,587.25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12,074,371.03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16,082,174.29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2,930,695,284.16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2,839,007,772.15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3,593,482,128.01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3,655,513,146.68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29,532,881.97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288,045,758.38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363,473,041.78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60,922,792.83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61,786,437.12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40,061,613.12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17,369,340.87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1,488,561.25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12,519,926.27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9,892,122.24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29,357,609.93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94,353.71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400,505,201.53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514,039,237.94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400,505,201.53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514,039,237.94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979,744,428.00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975,768,827.00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2,297,878,815.60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2,243,077,639.50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200,061,146.53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160,204,801.44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-11,515,059.63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-21,108,077.44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42,074,517.73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34,958,025.22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84,855,371.31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68,982,295.90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3,192,976,926.48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3,141,473,908.74</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3,593,482,128.01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3,655,513,146.68</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3</w:t>
      </w:r>
      <w:bookmarkEnd w:id="663"/>
      <w:r>
        <w:rPr>
          <w:color w:val="000000"/>
          <w:spacing w:val="0"/>
          <w:w w:val="100"/>
          <w:position w:val="0"/>
        </w:rPr>
        <w:t>、合并利润表</w:t>
      </w:r>
      <w:bookmarkEnd w:id="661"/>
      <w:bookmarkEnd w:id="662"/>
      <w:bookmarkEnd w:id="664"/>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50"/>
        <w:gridCol w:w="2510"/>
        <w:gridCol w:w="251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11,355,684,728.55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10,685,976,832.00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11,355,684,728.55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10,685,976,832.00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50"/>
        <w:gridCol w:w="2510"/>
        <w:gridCol w:w="251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10,859,016,691.15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10,190,567,557.25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9,414,747,288.83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8,859,603,580.61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39,854,538.24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44,459,872.72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491,388,747.66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450,067,152.97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292,261,145.09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287,022,794.82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575,467,994.51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510,818,151.26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45,296,976.82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38,596,004.87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36,422,332.17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43,683,205.49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4,200,830.78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5,028,679.76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67,554,757.48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57,133,059.59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55,587,849.98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309,333,562.02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4,248,067.28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22,261,900.04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-50,155.91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-4,736,628.04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-5,971,463.87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-110,170,942.22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-58,193,064.46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-87,456,381.61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-292,031,688.47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417,446,692.99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505,679,679.56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6,155,242.71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22,553,515.35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12,420,466.65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10,773,547.91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411,181,469.05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517,459,647.00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23,337,998.34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51,076,696.71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387,843,470.71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466,382,950.29</w:t>
            </w:r>
          </w:p>
        </w:tc>
      </w:tr>
    </w:tbl>
    <w:p>
      <w:pPr>
        <w:widowControl w:val="0"/>
        <w:spacing w:line="1" w:lineRule="exact"/>
      </w:pPr>
      <w:r>
        <w:br w:type="page"/>
      </w:r>
    </w:p>
    <w:p>
      <w:pPr>
        <w:widowControl w:val="0"/>
        <w:spacing w:line="1" w:lineRule="exact"/>
      </w:pPr>
      <w:r>
        <mc:AlternateContent>
          <mc:Choice Requires="wps">
            <w:drawing>
              <wp:anchor distT="152400" distB="3175" distL="114300" distR="5259705" simplePos="0" relativeHeight="125829390" behindDoc="0" locked="0" layoutInCell="1" allowOverlap="1">
                <wp:simplePos x="0" y="0"/>
                <wp:positionH relativeFrom="page">
                  <wp:posOffset>719455</wp:posOffset>
                </wp:positionH>
                <wp:positionV relativeFrom="margin">
                  <wp:posOffset>7659370</wp:posOffset>
                </wp:positionV>
                <wp:extent cx="938530" cy="149225"/>
                <wp:wrapTopAndBottom/>
                <wp:docPr id="15" name="Shape 1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bookmarkStart w:id="633" w:name="bookmark633"/>
                            <w:r>
                              <w:rPr>
                                <w:color w:val="000000"/>
                                <w:spacing w:val="0"/>
                                <w:w w:val="100"/>
                                <w:position w:val="0"/>
                              </w:rPr>
                              <w:t>法定代表人：郭为</w:t>
                            </w:r>
                            <w:bookmarkEnd w:id="633"/>
                          </w:p>
                        </w:txbxContent>
                      </wps:txbx>
                      <wps:bodyPr wrap="none" lIns="0" tIns="0" rIns="0" bIns="0">
                        <a:noAutoFit/>
                      </wps:bodyPr>
                    </wps:wsp>
                  </a:graphicData>
                </a:graphic>
              </wp:anchor>
            </w:drawing>
          </mc:Choice>
          <mc:Fallback>
            <w:pict>
              <v:shape id="_x0000_s1041" type="#_x0000_t202" style="position:absolute;margin-left:56.649999999999999pt;margin-top:603.10000000000002pt;width:73.900000000000006pt;height:11.75pt;z-index:-125829363;mso-wrap-distance-left:9.pt;mso-wrap-distance-top:12.pt;mso-wrap-distance-right:414.15000000000003pt;mso-wrap-distance-bottom:0.2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bookmarkStart w:id="633" w:name="bookmark633"/>
                      <w:r>
                        <w:rPr>
                          <w:color w:val="000000"/>
                          <w:spacing w:val="0"/>
                          <w:w w:val="100"/>
                          <w:position w:val="0"/>
                        </w:rPr>
                        <w:t>法定代表人：郭为</w:t>
                      </w:r>
                      <w:bookmarkEnd w:id="633"/>
                    </w:p>
                  </w:txbxContent>
                </v:textbox>
                <w10:wrap type="topAndBottom" anchorx="page" anchory="margin"/>
              </v:shape>
            </w:pict>
          </mc:Fallback>
        </mc:AlternateContent>
      </w:r>
      <w:r>
        <mc:AlternateContent>
          <mc:Choice Requires="wps">
            <w:drawing>
              <wp:anchor distT="152400" distB="6350" distL="2229485" distR="2571115" simplePos="0" relativeHeight="125829392" behindDoc="0" locked="0" layoutInCell="1" allowOverlap="1">
                <wp:simplePos x="0" y="0"/>
                <wp:positionH relativeFrom="page">
                  <wp:posOffset>2834640</wp:posOffset>
                </wp:positionH>
                <wp:positionV relativeFrom="margin">
                  <wp:posOffset>7659370</wp:posOffset>
                </wp:positionV>
                <wp:extent cx="1511935" cy="146050"/>
                <wp:wrapTopAndBottom/>
                <wp:docPr id="17" name="Shape 17"/>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主管会计工作负责人：刘伟刚</w:t>
                            </w:r>
                          </w:p>
                        </w:txbxContent>
                      </wps:txbx>
                      <wps:bodyPr wrap="none" lIns="0" tIns="0" rIns="0" bIns="0">
                        <a:noAutoFit/>
                      </wps:bodyPr>
                    </wps:wsp>
                  </a:graphicData>
                </a:graphic>
              </wp:anchor>
            </w:drawing>
          </mc:Choice>
          <mc:Fallback>
            <w:pict>
              <v:shape id="_x0000_s1043" type="#_x0000_t202" style="position:absolute;margin-left:223.20000000000002pt;margin-top:603.10000000000002pt;width:119.05pt;height:11.5pt;z-index:-125829361;mso-wrap-distance-left:175.55000000000001pt;mso-wrap-distance-top:12.pt;mso-wrap-distance-right:202.45000000000002pt;mso-wrap-distance-bottom:0.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主管会计工作负责人：刘伟刚</w:t>
                      </w:r>
                    </w:p>
                  </w:txbxContent>
                </v:textbox>
                <w10:wrap type="topAndBottom" anchorx="page" anchory="margin"/>
              </v:shape>
            </w:pict>
          </mc:Fallback>
        </mc:AlternateContent>
      </w:r>
      <w:r>
        <mc:AlternateContent>
          <mc:Choice Requires="wps">
            <w:drawing>
              <wp:anchor distT="152400" distB="0" distL="4914900" distR="114300" simplePos="0" relativeHeight="125829394" behindDoc="0" locked="0" layoutInCell="1" allowOverlap="1">
                <wp:simplePos x="0" y="0"/>
                <wp:positionH relativeFrom="page">
                  <wp:posOffset>5520055</wp:posOffset>
                </wp:positionH>
                <wp:positionV relativeFrom="margin">
                  <wp:posOffset>7659370</wp:posOffset>
                </wp:positionV>
                <wp:extent cx="1283335" cy="152400"/>
                <wp:wrapTopAndBottom/>
                <wp:docPr id="19" name="Shape 19"/>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会计机构负责人：张秀慧</w:t>
                            </w:r>
                          </w:p>
                        </w:txbxContent>
                      </wps:txbx>
                      <wps:bodyPr wrap="none" lIns="0" tIns="0" rIns="0" bIns="0">
                        <a:noAutoFit/>
                      </wps:bodyPr>
                    </wps:wsp>
                  </a:graphicData>
                </a:graphic>
              </wp:anchor>
            </w:drawing>
          </mc:Choice>
          <mc:Fallback>
            <w:pict>
              <v:shape id="_x0000_s1045" type="#_x0000_t202" style="position:absolute;margin-left:434.65000000000003pt;margin-top:603.10000000000002pt;width:101.05pt;height:12.pt;z-index:-125829359;mso-wrap-distance-left:387.pt;mso-wrap-distance-top:12.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会计机构负责人：张秀慧</w:t>
                      </w:r>
                    </w:p>
                  </w:txbxContent>
                </v:textbox>
                <w10:wrap type="topAndBottom" anchorx="page" anchory="margin"/>
              </v:shape>
            </w:pict>
          </mc:Fallback>
        </mc:AlternateContent>
      </w:r>
    </w:p>
    <w:tbl>
      <w:tblPr>
        <w:tblOverlap w:val="never"/>
        <w:jc w:val="center"/>
        <w:tblLayout w:type="fixed"/>
      </w:tblPr>
      <w:tblGrid>
        <w:gridCol w:w="4550"/>
        <w:gridCol w:w="2510"/>
        <w:gridCol w:w="251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387,843,470.71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466,382,950.29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376,182,779.04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475,673,930.78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11,660,691.67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-9,290,980.49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-7,583,541.04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32,131,062.82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-7,583,541.04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32,131,062.82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-6,127,112.22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43,797,358.80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-6,127,112.22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43,797,358.80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-1,456,428.82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-11,666,295.98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-5,005,720.05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-1,456,428.82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-6,660,575.93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380,259,929.67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498,514,013.11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368,599,238.00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507,804,993.60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11,660,691.67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-9,290,980.49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0.4933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0.4906</w:t>
            </w:r>
          </w:p>
        </w:tc>
      </w:tr>
    </w:tbl>
    <w:p>
      <w:pPr>
        <w:spacing w:lineRule="exact" w:line="1"/>
        <w:rPr>
          <w:sz w:val="2"/>
          <w:szCs w:val="2"/>
        </w:rPr>
      </w:pPr>
      <w:r>
        <w:br w:type="page"/>
      </w:r>
    </w:p>
    <w:p>
      <w:pPr>
        <w:pStyle w:val="Style32"/>
        <w:keepNext w:val="0"/>
        <w:keepLines w:val="0"/>
        <w:widowControl w:val="0"/>
        <w:shd w:val="clear" w:color="auto" w:fill="auto"/>
        <w:bidi w:val="0"/>
        <w:spacing w:before="0" w:line="240" w:lineRule="auto"/>
        <w:ind w:left="0" w:right="0" w:firstLine="0"/>
        <w:jc w:val="left"/>
        <w:rPr>
          <w:sz w:val="20"/>
          <w:szCs w:val="20"/>
        </w:rPr>
      </w:pPr>
      <w:bookmarkStart w:id="665" w:name="bookmark665"/>
      <w:r>
        <w:rPr>
          <w:rFonts w:ascii="Times New Roman" w:eastAsia="Times New Roman" w:hAnsi="Times New Roman" w:cs="Times New Roman"/>
          <w:color w:val="000000"/>
          <w:spacing w:val="0"/>
          <w:w w:val="100"/>
          <w:position w:val="0"/>
          <w:sz w:val="20"/>
          <w:szCs w:val="20"/>
        </w:rPr>
        <w:t>4</w:t>
      </w:r>
      <w:bookmarkEnd w:id="665"/>
      <w:r>
        <w:rPr>
          <w:color w:val="000000"/>
          <w:spacing w:val="0"/>
          <w:w w:val="100"/>
          <w:position w:val="0"/>
          <w:sz w:val="20"/>
          <w:szCs w:val="20"/>
        </w:rPr>
        <w:t>、母公司利润表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2"/>
        <w:gridCol w:w="2525"/>
        <w:gridCol w:w="25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597,349,665.59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518,867,580.97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531,917,948.02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443,641,131.55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728,716.88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3,490,961.09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3,763,688.65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424,206.78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38,395,599.15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41,452,147.19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31,568,782.97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58,920.07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382,378.74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-17,697.84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1,236,813.72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1,328,037.41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452,838.72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1,405,635.49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2,868,569.24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163,321.94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107,443,971.42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25,121,664.04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-1,464,501.45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-636,113.07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以摊余成本计量的金融资产终止确认收益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-5,083,062.36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-5,192,990.20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1,108,180.96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-1,754,477.91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-15,433,311.38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-4,529,451.84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81,496,899.06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43,625,978.16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19,645,669.14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5,031,880.53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-158,188.03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76,466,048.24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63,429,835.33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5,301,123.30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-7,952,966.37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71,164,924.94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71,382,801.70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71,164,924.94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71,382,801.70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9,593,017.81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119,342.88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9,593,017.81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119,342.88</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22"/>
        <w:gridCol w:w="2525"/>
        <w:gridCol w:w="25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9,593,017.81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119,342.88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80,757,942.75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71,502,144.58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5</w:t>
      </w:r>
      <w:bookmarkEnd w:id="668"/>
      <w:r>
        <w:rPr>
          <w:color w:val="000000"/>
          <w:spacing w:val="0"/>
          <w:w w:val="100"/>
          <w:position w:val="0"/>
        </w:rPr>
        <w:t>、合并现金流量表</w:t>
      </w:r>
      <w:bookmarkEnd w:id="666"/>
      <w:bookmarkEnd w:id="667"/>
      <w:bookmarkEnd w:id="6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48"/>
        <w:gridCol w:w="2366"/>
        <w:gridCol w:w="23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11,835,662,332.74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11,244,475,418.78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21,898,681.13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11,611,009.55</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270,992,307.37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126,688,842.65</w:t>
            </w:r>
          </w:p>
        </w:tc>
      </w:tr>
    </w:tbl>
    <w:p>
      <w:pPr>
        <w:widowControl w:val="0"/>
        <w:spacing w:line="1" w:lineRule="exact"/>
      </w:pPr>
      <w:r>
        <w:br w:type="page"/>
      </w:r>
    </w:p>
    <w:tbl>
      <w:tblPr>
        <w:tblOverlap w:val="never"/>
        <w:jc w:val="center"/>
        <w:tblLayout w:type="fixed"/>
      </w:tblPr>
      <w:tblGrid>
        <w:gridCol w:w="4848"/>
        <w:gridCol w:w="2366"/>
        <w:gridCol w:w="23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12,128,553,321.24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11,382,775,270.98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8,381,224,654.24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8,246,520,815.71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2,413,954,633.09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1,821,159,865.85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388,698,756.53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304,674,406.26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573,081,234.25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688,563,440.59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11,756,959,278.11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11,060,918,528.41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371,594,043.13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321,856,742.57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62,493,844.41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603,085,668.23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35,166,281.81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33,445,480.93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421,681.28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1,179,700.20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9,882,785.93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11,806,500,000.00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11,718,610,871.24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11,904,581,807.50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12,366,204,506.53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90,358,016.81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57,637,091.18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42,026,162.49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11,795,100,000.00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11,704,343,264.50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11,885,848,016.81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11,834,006,518.17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18,733,790.69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532,197,988.36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51,022,147.31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74,770,047.33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537,734,576.52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994,641,627.17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212,000.00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32,002,401.40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588,968,723.83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1,101,414,075.90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1,094,332,430.64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1,275,537,492.94</w:t>
            </w:r>
          </w:p>
        </w:tc>
      </w:tr>
    </w:tbl>
    <w:p>
      <w:pPr>
        <w:widowControl w:val="0"/>
        <w:spacing w:line="1" w:lineRule="exact"/>
      </w:pPr>
      <w:r>
        <w:br w:type="page"/>
      </w:r>
    </w:p>
    <w:tbl>
      <w:tblPr>
        <w:tblOverlap w:val="never"/>
        <w:jc w:val="center"/>
        <w:tblLayout w:type="fixed"/>
      </w:tblPr>
      <w:tblGrid>
        <w:gridCol w:w="4848"/>
        <w:gridCol w:w="2366"/>
        <w:gridCol w:w="23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85,990,044.25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83,278,269.92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94,067,326.93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164,794,811.60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1,274,389,801.82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1,523,610,574.46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-685,421,077.99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-422,196,498.56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-293,408.60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-2,190,112.97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-295,386,652.77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429,668,119.40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1,779,836,593.55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1,350,168,474.15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1,484,449,940.78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1,779,836,593.55</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6</w:t>
      </w:r>
      <w:bookmarkEnd w:id="672"/>
      <w:r>
        <w:rPr>
          <w:color w:val="000000"/>
          <w:spacing w:val="0"/>
          <w:w w:val="100"/>
          <w:position w:val="0"/>
        </w:rPr>
        <w:t>、母公司现金流量表</w:t>
      </w:r>
      <w:bookmarkEnd w:id="670"/>
      <w:bookmarkEnd w:id="671"/>
      <w:bookmarkEnd w:id="6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20"/>
        <w:gridCol w:w="2328"/>
        <w:gridCol w:w="23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663,864,860.19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557,744,751.13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3,748,848.27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4,683,136.28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667,613,708.46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562,427,887.41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632,256,398.87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359,110,588.56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34,672,424.99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19,864,751.02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20,841,235.08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15,494,425.52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24,060,274.57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11,301,029.14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711,830,333.51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405,770,794.24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-44,216,625.05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156,657,093.17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17,493,844.41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9,765,470.06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98,226,156.24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65,456,968.62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11,200,000.00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1,271,245,389.84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1,497,513,757.71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1,386,969,145.11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1,583,936,976.51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4,846,405.25</w:t>
            </w:r>
          </w:p>
        </w:tc>
      </w:tr>
    </w:tbl>
    <w:p>
      <w:pPr>
        <w:widowControl w:val="0"/>
        <w:spacing w:line="1" w:lineRule="exact"/>
      </w:pPr>
      <w:r>
        <w:br w:type="page"/>
      </w:r>
    </w:p>
    <w:tbl>
      <w:tblPr>
        <w:tblOverlap w:val="never"/>
        <w:jc w:val="center"/>
        <w:tblLayout w:type="fixed"/>
      </w:tblPr>
      <w:tblGrid>
        <w:gridCol w:w="4920"/>
        <w:gridCol w:w="2328"/>
        <w:gridCol w:w="23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1,572,567,658.23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1,273,078,560.00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1,578,426,551.48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113,890,585.11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5,510,425.03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50,722,147.31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72,570,047.33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27,202,401.40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55,874,147.31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99,772,448.73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49,412,170.74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39,172,973.38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60,939,529.94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162,129,151.44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110,351,700.68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201,302,124.82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-54,477,553.37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-101,529,676.09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15,196,406.69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60,637,842.11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60,656,839.66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18,997.55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75,853,246.35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60,656,839.66</w:t>
            </w:r>
          </w:p>
        </w:tc>
      </w:tr>
    </w:tbl>
    <w:p>
      <w:pPr>
        <w:sectPr>
          <w:footnotePr>
            <w:pos w:val="pageBottom"/>
            <w:numFmt w:val="decimal"/>
            <w:numRestart w:val="continuous"/>
          </w:footnotePr>
          <w:pgSz w:w="11900" w:h="16840"/>
          <w:pgMar w:top="1388" w:right="1120" w:bottom="1446" w:left="1090" w:header="0" w:footer="3" w:gutter="0"/>
          <w:cols w:space="720"/>
          <w:noEndnote/>
          <w:rtlGutter w:val="0"/>
          <w:docGrid w:linePitch="360"/>
        </w:sectPr>
      </w:pPr>
    </w:p>
    <w:p>
      <w:pPr>
        <w:pStyle w:val="Style29"/>
        <w:keepNext/>
        <w:keepLines/>
        <w:widowControl w:val="0"/>
        <w:shd w:val="clear" w:color="auto" w:fill="auto"/>
        <w:bidi w:val="0"/>
        <w:spacing w:before="0" w:after="38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7</w:t>
      </w:r>
      <w:bookmarkEnd w:id="676"/>
      <w:r>
        <w:rPr>
          <w:color w:val="000000"/>
          <w:spacing w:val="0"/>
          <w:w w:val="100"/>
          <w:position w:val="0"/>
        </w:rPr>
        <w:t>、合并所有者权益变动表</w:t>
      </w:r>
      <w:bookmarkEnd w:id="674"/>
      <w:bookmarkEnd w:id="675"/>
      <w:bookmarkEnd w:id="677"/>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13"/>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p>
      <w:pPr>
        <w:pStyle w:val="Style22"/>
        <w:keepNext w:val="0"/>
        <w:keepLines w:val="0"/>
        <w:widowControl w:val="0"/>
        <w:shd w:val="clear" w:color="auto" w:fill="auto"/>
        <w:bidi w:val="0"/>
        <w:spacing w:before="0" w:after="220" w:line="240" w:lineRule="auto"/>
        <w:ind w:left="7260" w:right="0" w:firstLine="0"/>
        <w:jc w:val="left"/>
        <w:rPr>
          <w:sz w:val="15"/>
          <w:szCs w:val="15"/>
        </w:rPr>
      </w:pPr>
      <w:r>
        <w:rPr>
          <w:color w:val="000000"/>
          <w:spacing w:val="0"/>
          <w:w w:val="100"/>
          <w:position w:val="0"/>
          <w:sz w:val="15"/>
          <w:szCs w:val="15"/>
        </w:rPr>
        <w:t>2021</w:t>
      </w:r>
      <w:r>
        <w:rPr>
          <w:color w:val="000000"/>
          <w:spacing w:val="0"/>
          <w:w w:val="100"/>
          <w:position w:val="0"/>
          <w:sz w:val="15"/>
          <w:szCs w:val="15"/>
        </w:rPr>
        <w:t>年度</w:t>
      </w:r>
    </w:p>
    <w:p>
      <w:pPr>
        <w:pStyle w:val="Style27"/>
        <w:keepNext w:val="0"/>
        <w:keepLines w:val="0"/>
        <w:widowControl w:val="0"/>
        <w:shd w:val="clear" w:color="auto" w:fill="auto"/>
        <w:bidi w:val="0"/>
        <w:spacing w:before="0" w:after="0" w:line="240" w:lineRule="auto"/>
        <w:ind w:left="5530" w:right="0" w:firstLine="0"/>
        <w:jc w:val="left"/>
        <w:rPr>
          <w:sz w:val="15"/>
          <w:szCs w:val="15"/>
        </w:rPr>
      </w:pPr>
      <w:r>
        <w:rPr>
          <w:color w:val="000000"/>
          <w:spacing w:val="0"/>
          <w:w w:val="100"/>
          <w:position w:val="0"/>
          <w:sz w:val="15"/>
          <w:szCs w:val="15"/>
        </w:rPr>
        <w:t>归属于母公司所有者权益</w:t>
      </w:r>
    </w:p>
    <w:tbl>
      <w:tblPr>
        <w:tblOverlap w:val="never"/>
        <w:jc w:val="center"/>
        <w:tblLayout w:type="fixed"/>
      </w:tblPr>
      <w:tblGrid>
        <w:gridCol w:w="1258"/>
        <w:gridCol w:w="1157"/>
        <w:gridCol w:w="283"/>
        <w:gridCol w:w="283"/>
        <w:gridCol w:w="283"/>
        <w:gridCol w:w="1277"/>
        <w:gridCol w:w="1133"/>
        <w:gridCol w:w="1138"/>
        <w:gridCol w:w="283"/>
        <w:gridCol w:w="1133"/>
        <w:gridCol w:w="422"/>
        <w:gridCol w:w="1277"/>
        <w:gridCol w:w="283"/>
        <w:gridCol w:w="1277"/>
        <w:gridCol w:w="1133"/>
        <w:gridCol w:w="1282"/>
      </w:tblGrid>
      <w:tr>
        <w:trPr>
          <w:trHeight w:val="720"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38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项</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储</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一般</w:t>
            </w:r>
          </w:p>
          <w:p>
            <w:pPr>
              <w:pStyle w:val="Style2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风险</w:t>
            </w:r>
          </w:p>
          <w:p>
            <w:pPr>
              <w:pStyle w:val="Style2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其</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优</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先</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永</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续</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975, 768, </w:t>
            </w:r>
            <w:r>
              <w:rPr>
                <w:color w:val="000000"/>
                <w:spacing w:val="0"/>
                <w:w w:val="100"/>
                <w:position w:val="0"/>
                <w:sz w:val="15"/>
                <w:szCs w:val="15"/>
              </w:rPr>
              <w:t xml:space="preserve">827.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2, 406, </w:t>
            </w:r>
            <w:r>
              <w:rPr>
                <w:color w:val="000000"/>
                <w:spacing w:val="0"/>
                <w:w w:val="100"/>
                <w:position w:val="0"/>
                <w:sz w:val="15"/>
                <w:szCs w:val="15"/>
              </w:rPr>
              <w:t>151,454.21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160, 204, </w:t>
            </w:r>
            <w:r>
              <w:rPr>
                <w:color w:val="000000"/>
                <w:spacing w:val="0"/>
                <w:w w:val="100"/>
                <w:position w:val="0"/>
                <w:sz w:val="15"/>
                <w:szCs w:val="15"/>
              </w:rPr>
              <w:t>801.44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98, </w:t>
            </w:r>
            <w:r>
              <w:rPr>
                <w:color w:val="000000"/>
                <w:spacing w:val="0"/>
                <w:w w:val="100"/>
                <w:position w:val="0"/>
                <w:sz w:val="15"/>
                <w:szCs w:val="15"/>
              </w:rPr>
              <w:t xml:space="preserve">993,052. </w:t>
            </w:r>
            <w:r>
              <w:rPr>
                <w:color w:val="000000"/>
                <w:spacing w:val="0"/>
                <w:w w:val="100"/>
                <w:position w:val="0"/>
                <w:sz w:val="15"/>
                <w:szCs w:val="15"/>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34, 958, </w:t>
            </w:r>
            <w:r>
              <w:rPr>
                <w:color w:val="000000"/>
                <w:spacing w:val="0"/>
                <w:w w:val="100"/>
                <w:position w:val="0"/>
                <w:sz w:val="15"/>
                <w:szCs w:val="15"/>
              </w:rPr>
              <w:t xml:space="preserve">025. </w:t>
            </w:r>
            <w:r>
              <w:rPr>
                <w:color w:val="000000"/>
                <w:spacing w:val="0"/>
                <w:w w:val="100"/>
                <w:position w:val="0"/>
                <w:sz w:val="15"/>
                <w:szCs w:val="15"/>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2, 229, 478, </w:t>
            </w:r>
            <w:r>
              <w:rPr>
                <w:color w:val="000000"/>
                <w:spacing w:val="0"/>
                <w:w w:val="100"/>
                <w:position w:val="0"/>
                <w:sz w:val="15"/>
                <w:szCs w:val="15"/>
              </w:rPr>
              <w:t xml:space="preserve">383. </w:t>
            </w:r>
            <w:r>
              <w:rPr>
                <w:color w:val="000000"/>
                <w:spacing w:val="0"/>
                <w:w w:val="100"/>
                <w:position w:val="0"/>
                <w:sz w:val="15"/>
                <w:szCs w:val="15"/>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5, 585, 144, </w:t>
            </w:r>
            <w:r>
              <w:rPr>
                <w:color w:val="000000"/>
                <w:spacing w:val="0"/>
                <w:w w:val="100"/>
                <w:position w:val="0"/>
                <w:sz w:val="15"/>
                <w:szCs w:val="15"/>
              </w:rPr>
              <w:t>941.02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100, 722, </w:t>
            </w:r>
            <w:r>
              <w:rPr>
                <w:color w:val="000000"/>
                <w:spacing w:val="0"/>
                <w:w w:val="100"/>
                <w:position w:val="0"/>
                <w:sz w:val="15"/>
                <w:szCs w:val="15"/>
              </w:rPr>
              <w:t xml:space="preserve">654. </w:t>
            </w:r>
            <w:r>
              <w:rPr>
                <w:color w:val="000000"/>
                <w:spacing w:val="0"/>
                <w:w w:val="100"/>
                <w:position w:val="0"/>
                <w:sz w:val="15"/>
                <w:szCs w:val="15"/>
              </w:rPr>
              <w:t>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5, 685, 867, </w:t>
            </w:r>
            <w:r>
              <w:rPr>
                <w:color w:val="000000"/>
                <w:spacing w:val="0"/>
                <w:w w:val="100"/>
                <w:position w:val="0"/>
                <w:sz w:val="15"/>
                <w:szCs w:val="15"/>
              </w:rPr>
              <w:t xml:space="preserve">595. </w:t>
            </w:r>
            <w:r>
              <w:rPr>
                <w:color w:val="000000"/>
                <w:spacing w:val="0"/>
                <w:w w:val="100"/>
                <w:position w:val="0"/>
                <w:sz w:val="15"/>
                <w:szCs w:val="15"/>
              </w:rPr>
              <w:t>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320"/>
              <w:jc w:val="left"/>
              <w:rPr>
                <w:sz w:val="15"/>
                <w:szCs w:val="15"/>
              </w:rPr>
            </w:pPr>
            <w:r>
              <w:rPr>
                <w:color w:val="000000"/>
                <w:spacing w:val="0"/>
                <w:w w:val="100"/>
                <w:position w:val="0"/>
                <w:sz w:val="15"/>
                <w:szCs w:val="15"/>
              </w:rPr>
              <w:t>加：会计政策</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620"/>
              <w:jc w:val="left"/>
              <w:rPr>
                <w:sz w:val="15"/>
                <w:szCs w:val="15"/>
              </w:rPr>
            </w:pPr>
            <w:r>
              <w:rPr>
                <w:color w:val="000000"/>
                <w:spacing w:val="0"/>
                <w:w w:val="100"/>
                <w:position w:val="0"/>
                <w:sz w:val="15"/>
                <w:szCs w:val="15"/>
              </w:rPr>
              <w:t>前期差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620"/>
              <w:jc w:val="left"/>
              <w:rPr>
                <w:sz w:val="15"/>
                <w:szCs w:val="15"/>
              </w:rPr>
            </w:pPr>
            <w:r>
              <w:rPr>
                <w:color w:val="000000"/>
                <w:spacing w:val="0"/>
                <w:w w:val="100"/>
                <w:position w:val="0"/>
                <w:sz w:val="15"/>
                <w:szCs w:val="15"/>
              </w:rPr>
              <w:t>同一控</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975, 768, </w:t>
            </w:r>
            <w:r>
              <w:rPr>
                <w:color w:val="000000"/>
                <w:spacing w:val="0"/>
                <w:w w:val="100"/>
                <w:position w:val="0"/>
                <w:sz w:val="15"/>
                <w:szCs w:val="15"/>
              </w:rPr>
              <w:t xml:space="preserve">827.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2, 406, </w:t>
            </w:r>
            <w:r>
              <w:rPr>
                <w:color w:val="000000"/>
                <w:spacing w:val="0"/>
                <w:w w:val="100"/>
                <w:position w:val="0"/>
                <w:sz w:val="15"/>
                <w:szCs w:val="15"/>
              </w:rPr>
              <w:t>151,454.21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160, 204, </w:t>
            </w:r>
            <w:r>
              <w:rPr>
                <w:color w:val="000000"/>
                <w:spacing w:val="0"/>
                <w:w w:val="100"/>
                <w:position w:val="0"/>
                <w:sz w:val="15"/>
                <w:szCs w:val="15"/>
              </w:rPr>
              <w:t>801.44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98, </w:t>
            </w:r>
            <w:r>
              <w:rPr>
                <w:color w:val="000000"/>
                <w:spacing w:val="0"/>
                <w:w w:val="100"/>
                <w:position w:val="0"/>
                <w:sz w:val="15"/>
                <w:szCs w:val="15"/>
              </w:rPr>
              <w:t xml:space="preserve">993,052. </w:t>
            </w:r>
            <w:r>
              <w:rPr>
                <w:color w:val="000000"/>
                <w:spacing w:val="0"/>
                <w:w w:val="100"/>
                <w:position w:val="0"/>
                <w:sz w:val="15"/>
                <w:szCs w:val="15"/>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34, 958, </w:t>
            </w:r>
            <w:r>
              <w:rPr>
                <w:color w:val="000000"/>
                <w:spacing w:val="0"/>
                <w:w w:val="100"/>
                <w:position w:val="0"/>
                <w:sz w:val="15"/>
                <w:szCs w:val="15"/>
              </w:rPr>
              <w:t xml:space="preserve">025. </w:t>
            </w:r>
            <w:r>
              <w:rPr>
                <w:color w:val="000000"/>
                <w:spacing w:val="0"/>
                <w:w w:val="100"/>
                <w:position w:val="0"/>
                <w:sz w:val="15"/>
                <w:szCs w:val="15"/>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2, 229, 478, </w:t>
            </w:r>
            <w:r>
              <w:rPr>
                <w:color w:val="000000"/>
                <w:spacing w:val="0"/>
                <w:w w:val="100"/>
                <w:position w:val="0"/>
                <w:sz w:val="15"/>
                <w:szCs w:val="15"/>
              </w:rPr>
              <w:t xml:space="preserve">383. </w:t>
            </w:r>
            <w:r>
              <w:rPr>
                <w:color w:val="000000"/>
                <w:spacing w:val="0"/>
                <w:w w:val="100"/>
                <w:position w:val="0"/>
                <w:sz w:val="15"/>
                <w:szCs w:val="15"/>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5, 585, 144, </w:t>
            </w:r>
            <w:r>
              <w:rPr>
                <w:color w:val="000000"/>
                <w:spacing w:val="0"/>
                <w:w w:val="100"/>
                <w:position w:val="0"/>
                <w:sz w:val="15"/>
                <w:szCs w:val="15"/>
              </w:rPr>
              <w:t>941.02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100, 722, </w:t>
            </w:r>
            <w:r>
              <w:rPr>
                <w:color w:val="000000"/>
                <w:spacing w:val="0"/>
                <w:w w:val="100"/>
                <w:position w:val="0"/>
                <w:sz w:val="15"/>
                <w:szCs w:val="15"/>
              </w:rPr>
              <w:t xml:space="preserve">654. </w:t>
            </w:r>
            <w:r>
              <w:rPr>
                <w:color w:val="000000"/>
                <w:spacing w:val="0"/>
                <w:w w:val="100"/>
                <w:position w:val="0"/>
                <w:sz w:val="15"/>
                <w:szCs w:val="15"/>
              </w:rPr>
              <w:t>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5, 685, 867, </w:t>
            </w:r>
            <w:r>
              <w:rPr>
                <w:color w:val="000000"/>
                <w:spacing w:val="0"/>
                <w:w w:val="100"/>
                <w:position w:val="0"/>
                <w:sz w:val="15"/>
                <w:szCs w:val="15"/>
              </w:rPr>
              <w:t xml:space="preserve">595. </w:t>
            </w:r>
            <w:r>
              <w:rPr>
                <w:color w:val="000000"/>
                <w:spacing w:val="0"/>
                <w:w w:val="100"/>
                <w:position w:val="0"/>
                <w:sz w:val="15"/>
                <w:szCs w:val="15"/>
              </w:rPr>
              <w:t>24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三、本期增减变动 金额（减少以“一"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3,975,601.00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44,000,836.43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39,856,345.09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583, </w:t>
            </w:r>
            <w:r>
              <w:rPr>
                <w:color w:val="000000"/>
                <w:spacing w:val="0"/>
                <w:w w:val="100"/>
                <w:position w:val="0"/>
                <w:sz w:val="15"/>
                <w:szCs w:val="15"/>
              </w:rPr>
              <w:t xml:space="preserve">541. </w:t>
            </w:r>
            <w:r>
              <w:rPr>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7,116,492.51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320,890,929.51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328,543,973.32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11,736,585.30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340,280,558.62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583, </w:t>
            </w:r>
            <w:r>
              <w:rPr>
                <w:color w:val="000000"/>
                <w:spacing w:val="0"/>
                <w:w w:val="100"/>
                <w:position w:val="0"/>
                <w:sz w:val="15"/>
                <w:szCs w:val="15"/>
              </w:rPr>
              <w:t xml:space="preserve">541. </w:t>
            </w:r>
            <w:r>
              <w:rPr>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376,182,779.04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368,599,238.00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11,660,691.67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380,259,929.67</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3,975,601.00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51,905, </w:t>
            </w:r>
            <w:r>
              <w:rPr>
                <w:color w:val="000000"/>
                <w:spacing w:val="0"/>
                <w:w w:val="100"/>
                <w:position w:val="0"/>
                <w:sz w:val="15"/>
                <w:szCs w:val="15"/>
              </w:rPr>
              <w:t xml:space="preserve">282. </w:t>
            </w:r>
            <w:r>
              <w:rPr>
                <w:color w:val="000000"/>
                <w:spacing w:val="0"/>
                <w:w w:val="100"/>
                <w:position w:val="0"/>
                <w:sz w:val="15"/>
                <w:szCs w:val="15"/>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39, 856, </w:t>
            </w:r>
            <w:r>
              <w:rPr>
                <w:color w:val="000000"/>
                <w:spacing w:val="0"/>
                <w:w w:val="100"/>
                <w:position w:val="0"/>
                <w:sz w:val="15"/>
                <w:szCs w:val="15"/>
              </w:rPr>
              <w:t xml:space="preserve">345. </w:t>
            </w:r>
            <w:r>
              <w:rPr>
                <w:color w:val="000000"/>
                <w:spacing w:val="0"/>
                <w:w w:val="100"/>
                <w:position w:val="0"/>
                <w:sz w:val="15"/>
                <w:szCs w:val="15"/>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16, 024, </w:t>
            </w:r>
            <w:r>
              <w:rPr>
                <w:color w:val="000000"/>
                <w:spacing w:val="0"/>
                <w:w w:val="100"/>
                <w:position w:val="0"/>
                <w:sz w:val="15"/>
                <w:szCs w:val="15"/>
              </w:rPr>
              <w:t xml:space="preserve">538. </w:t>
            </w:r>
            <w:r>
              <w:rPr>
                <w:color w:val="000000"/>
                <w:spacing w:val="0"/>
                <w:w w:val="100"/>
                <w:position w:val="0"/>
                <w:sz w:val="15"/>
                <w:szCs w:val="15"/>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75, </w:t>
            </w:r>
            <w:r>
              <w:rPr>
                <w:color w:val="000000"/>
                <w:spacing w:val="0"/>
                <w:w w:val="100"/>
                <w:position w:val="0"/>
                <w:sz w:val="15"/>
                <w:szCs w:val="15"/>
              </w:rPr>
              <w:t xml:space="preserve">893. </w:t>
            </w:r>
            <w:r>
              <w:rPr>
                <w:color w:val="000000"/>
                <w:spacing w:val="0"/>
                <w:w w:val="100"/>
                <w:position w:val="0"/>
                <w:sz w:val="15"/>
                <w:szCs w:val="15"/>
              </w:rPr>
              <w:t>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16, 100, </w:t>
            </w:r>
            <w:r>
              <w:rPr>
                <w:color w:val="000000"/>
                <w:spacing w:val="0"/>
                <w:w w:val="100"/>
                <w:position w:val="0"/>
                <w:sz w:val="15"/>
                <w:szCs w:val="15"/>
              </w:rPr>
              <w:t>432.01</w:t>
            </w:r>
          </w:p>
        </w:tc>
      </w:tr>
    </w:tbl>
    <w:p>
      <w:pPr>
        <w:spacing w:lineRule="exact" w:line="1"/>
        <w:rPr>
          <w:sz w:val="2"/>
          <w:szCs w:val="2"/>
        </w:rPr>
      </w:pPr>
      <w:r>
        <w:br w:type="page"/>
      </w:r>
    </w:p>
    <w:tbl>
      <w:tblPr>
        <w:tblOverlap w:val="never"/>
        <w:jc w:val="center"/>
        <w:tblLayout w:type="fixed"/>
      </w:tblPr>
      <w:tblGrid>
        <w:gridCol w:w="1258"/>
        <w:gridCol w:w="1157"/>
        <w:gridCol w:w="283"/>
        <w:gridCol w:w="283"/>
        <w:gridCol w:w="283"/>
        <w:gridCol w:w="1277"/>
        <w:gridCol w:w="1133"/>
        <w:gridCol w:w="1138"/>
        <w:gridCol w:w="283"/>
        <w:gridCol w:w="1133"/>
        <w:gridCol w:w="422"/>
        <w:gridCol w:w="1277"/>
        <w:gridCol w:w="283"/>
        <w:gridCol w:w="1277"/>
        <w:gridCol w:w="1133"/>
        <w:gridCol w:w="1282"/>
      </w:tblGrid>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所有者投入的</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3,975,601.00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46,746,915.46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60,823,795.09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-10,101,278.63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-9,801,278.63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2.</w:t>
            </w:r>
            <w:r>
              <w:rPr>
                <w:color w:val="000000"/>
                <w:spacing w:val="0"/>
                <w:w w:val="100"/>
                <w:position w:val="0"/>
                <w:sz w:val="15"/>
                <w:szCs w:val="15"/>
              </w:rPr>
              <w:t>其他权益工具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5"/>
                <w:szCs w:val="15"/>
              </w:rPr>
            </w:pPr>
            <w:r>
              <w:rPr>
                <w:color w:val="000000"/>
                <w:spacing w:val="0"/>
                <w:w w:val="100"/>
                <w:position w:val="0"/>
                <w:sz w:val="15"/>
                <w:szCs w:val="15"/>
              </w:rPr>
              <w:t>3.</w:t>
            </w:r>
            <w:r>
              <w:rPr>
                <w:color w:val="000000"/>
                <w:spacing w:val="0"/>
                <w:w w:val="100"/>
                <w:position w:val="0"/>
                <w:sz w:val="15"/>
                <w:szCs w:val="15"/>
              </w:rPr>
              <w:t>股份支付计入</w:t>
            </w:r>
          </w:p>
          <w:p>
            <w:pPr>
              <w:pStyle w:val="Style22"/>
              <w:keepNext w:val="0"/>
              <w:keepLines w:val="0"/>
              <w:widowControl w:val="0"/>
              <w:shd w:val="clear" w:color="auto" w:fill="auto"/>
              <w:bidi w:val="0"/>
              <w:spacing w:before="0" w:after="0" w:line="322" w:lineRule="exact"/>
              <w:ind w:left="0" w:right="0" w:firstLine="0"/>
              <w:jc w:val="both"/>
              <w:rPr>
                <w:sz w:val="15"/>
                <w:szCs w:val="15"/>
              </w:rPr>
            </w:pPr>
            <w:r>
              <w:rPr>
                <w:color w:val="000000"/>
                <w:spacing w:val="0"/>
                <w:w w:val="100"/>
                <w:position w:val="0"/>
                <w:sz w:val="15"/>
                <w:szCs w:val="15"/>
              </w:rPr>
              <w:t>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8,261,800.55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8,261,800.55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710,888.39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8,972,688.94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103, </w:t>
            </w:r>
            <w:r>
              <w:rPr>
                <w:color w:val="000000"/>
                <w:spacing w:val="0"/>
                <w:w w:val="100"/>
                <w:position w:val="0"/>
                <w:sz w:val="15"/>
                <w:szCs w:val="15"/>
              </w:rPr>
              <w:t xml:space="preserve">433. </w:t>
            </w:r>
            <w:r>
              <w:rPr>
                <w:color w:val="000000"/>
                <w:spacing w:val="0"/>
                <w:w w:val="100"/>
                <w:position w:val="0"/>
                <w:sz w:val="15"/>
                <w:szCs w:val="15"/>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 </w:t>
            </w:r>
            <w:r>
              <w:rPr>
                <w:color w:val="000000"/>
                <w:spacing w:val="0"/>
                <w:w w:val="100"/>
                <w:position w:val="0"/>
                <w:sz w:val="15"/>
                <w:szCs w:val="15"/>
              </w:rPr>
              <w:t xml:space="preserve">967, </w:t>
            </w:r>
            <w:r>
              <w:rPr>
                <w:color w:val="000000"/>
                <w:spacing w:val="0"/>
                <w:w w:val="100"/>
                <w:position w:val="0"/>
                <w:sz w:val="15"/>
                <w:szCs w:val="15"/>
              </w:rPr>
              <w:t xml:space="preserve">450.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17,864,016.46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-934, 994. </w:t>
            </w:r>
            <w:r>
              <w:rPr>
                <w:color w:val="000000"/>
                <w:spacing w:val="0"/>
                <w:w w:val="100"/>
                <w:position w:val="0"/>
                <w:sz w:val="15"/>
                <w:szCs w:val="15"/>
              </w:rPr>
              <w:t>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16, 929, </w:t>
            </w:r>
            <w:r>
              <w:rPr>
                <w:color w:val="000000"/>
                <w:spacing w:val="0"/>
                <w:w w:val="100"/>
                <w:position w:val="0"/>
                <w:sz w:val="15"/>
                <w:szCs w:val="15"/>
              </w:rPr>
              <w:t>021.70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w:t>
            </w:r>
            <w:r>
              <w:rPr>
                <w:color w:val="000000"/>
                <w:spacing w:val="0"/>
                <w:w w:val="100"/>
                <w:position w:val="0"/>
                <w:sz w:val="15"/>
                <w:szCs w:val="15"/>
              </w:rPr>
              <w:t>116,492.51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-55,291,849.53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-48, </w:t>
            </w:r>
            <w:r>
              <w:rPr>
                <w:color w:val="000000"/>
                <w:spacing w:val="0"/>
                <w:w w:val="100"/>
                <w:position w:val="0"/>
                <w:sz w:val="15"/>
                <w:szCs w:val="15"/>
              </w:rPr>
              <w:t xml:space="preserve">175, </w:t>
            </w:r>
            <w:r>
              <w:rPr>
                <w:color w:val="000000"/>
                <w:spacing w:val="0"/>
                <w:w w:val="100"/>
                <w:position w:val="0"/>
                <w:sz w:val="15"/>
                <w:szCs w:val="15"/>
              </w:rPr>
              <w:t>357.02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-48, </w:t>
            </w:r>
            <w:r>
              <w:rPr>
                <w:color w:val="000000"/>
                <w:spacing w:val="0"/>
                <w:w w:val="100"/>
                <w:position w:val="0"/>
                <w:sz w:val="15"/>
                <w:szCs w:val="15"/>
              </w:rPr>
              <w:t xml:space="preserve">175, </w:t>
            </w:r>
            <w:r>
              <w:rPr>
                <w:color w:val="000000"/>
                <w:spacing w:val="0"/>
                <w:w w:val="100"/>
                <w:position w:val="0"/>
                <w:sz w:val="15"/>
                <w:szCs w:val="15"/>
              </w:rPr>
              <w:t>357.02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w:t>
            </w:r>
            <w:r>
              <w:rPr>
                <w:color w:val="000000"/>
                <w:spacing w:val="0"/>
                <w:w w:val="100"/>
                <w:position w:val="0"/>
                <w:sz w:val="15"/>
                <w:szCs w:val="15"/>
              </w:rPr>
              <w:t>116,492.51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-7, 116,492. </w:t>
            </w:r>
            <w:r>
              <w:rPr>
                <w:color w:val="000000"/>
                <w:spacing w:val="0"/>
                <w:w w:val="100"/>
                <w:position w:val="0"/>
                <w:sz w:val="15"/>
                <w:szCs w:val="15"/>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2.</w:t>
            </w:r>
            <w:r>
              <w:rPr>
                <w:color w:val="000000"/>
                <w:spacing w:val="0"/>
                <w:w w:val="100"/>
                <w:position w:val="0"/>
                <w:sz w:val="15"/>
                <w:szCs w:val="15"/>
              </w:rPr>
              <w:t>提取一般风险</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3.</w:t>
            </w:r>
            <w:r>
              <w:rPr>
                <w:color w:val="000000"/>
                <w:spacing w:val="0"/>
                <w:w w:val="100"/>
                <w:position w:val="0"/>
                <w:sz w:val="15"/>
                <w:szCs w:val="15"/>
              </w:rPr>
              <w:t>对所有者（或</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-48,175,357.02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-48,175,357.02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-48,175,357.02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（四）所有者权益</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1.</w:t>
            </w:r>
            <w:r>
              <w:rPr>
                <w:color w:val="000000"/>
                <w:spacing w:val="0"/>
                <w:w w:val="100"/>
                <w:position w:val="0"/>
                <w:sz w:val="15"/>
                <w:szCs w:val="15"/>
              </w:rPr>
              <w:t>资本公积转增</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2.</w:t>
            </w:r>
            <w:r>
              <w:rPr>
                <w:color w:val="000000"/>
                <w:spacing w:val="0"/>
                <w:w w:val="100"/>
                <w:position w:val="0"/>
                <w:sz w:val="15"/>
                <w:szCs w:val="15"/>
              </w:rPr>
              <w:t>盈余公积转增</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3.</w:t>
            </w:r>
            <w:r>
              <w:rPr>
                <w:color w:val="000000"/>
                <w:spacing w:val="0"/>
                <w:w w:val="100"/>
                <w:position w:val="0"/>
                <w:sz w:val="15"/>
                <w:szCs w:val="15"/>
              </w:rPr>
              <w:t>盈余公积弥补</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4.</w:t>
            </w:r>
            <w:r>
              <w:rPr>
                <w:color w:val="000000"/>
                <w:spacing w:val="0"/>
                <w:w w:val="100"/>
                <w:position w:val="0"/>
                <w:sz w:val="15"/>
                <w:szCs w:val="15"/>
              </w:rPr>
              <w:t>设定受益计划</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变动额结转留存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157"/>
        <w:gridCol w:w="283"/>
        <w:gridCol w:w="283"/>
        <w:gridCol w:w="283"/>
        <w:gridCol w:w="1277"/>
        <w:gridCol w:w="1133"/>
        <w:gridCol w:w="1138"/>
        <w:gridCol w:w="283"/>
        <w:gridCol w:w="1133"/>
        <w:gridCol w:w="422"/>
        <w:gridCol w:w="1277"/>
        <w:gridCol w:w="283"/>
        <w:gridCol w:w="1277"/>
        <w:gridCol w:w="1133"/>
        <w:gridCol w:w="1282"/>
      </w:tblGrid>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其他综合收益</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904, </w:t>
            </w:r>
            <w:r>
              <w:rPr>
                <w:color w:val="000000"/>
                <w:spacing w:val="0"/>
                <w:w w:val="100"/>
                <w:position w:val="0"/>
                <w:sz w:val="15"/>
                <w:szCs w:val="15"/>
              </w:rPr>
              <w:t xml:space="preserve">446. </w:t>
            </w:r>
            <w:r>
              <w:rPr>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904, </w:t>
            </w:r>
            <w:r>
              <w:rPr>
                <w:color w:val="000000"/>
                <w:spacing w:val="0"/>
                <w:w w:val="100"/>
                <w:position w:val="0"/>
                <w:sz w:val="15"/>
                <w:szCs w:val="15"/>
              </w:rPr>
              <w:t xml:space="preserve">446. </w:t>
            </w:r>
            <w:r>
              <w:rPr>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904, </w:t>
            </w:r>
            <w:r>
              <w:rPr>
                <w:color w:val="000000"/>
                <w:spacing w:val="0"/>
                <w:w w:val="100"/>
                <w:position w:val="0"/>
                <w:sz w:val="15"/>
                <w:szCs w:val="15"/>
              </w:rPr>
              <w:t xml:space="preserve">446. </w:t>
            </w:r>
            <w:r>
              <w:rPr>
                <w:color w:val="000000"/>
                <w:spacing w:val="0"/>
                <w:w w:val="100"/>
                <w:position w:val="0"/>
                <w:sz w:val="15"/>
                <w:szCs w:val="15"/>
              </w:rPr>
              <w:t>04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979, 744, </w:t>
            </w:r>
            <w:r>
              <w:rPr>
                <w:color w:val="000000"/>
                <w:spacing w:val="0"/>
                <w:w w:val="100"/>
                <w:position w:val="0"/>
                <w:sz w:val="15"/>
                <w:szCs w:val="15"/>
              </w:rPr>
              <w:t xml:space="preserve">428.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2, 450, 152, </w:t>
            </w:r>
            <w:r>
              <w:rPr>
                <w:color w:val="000000"/>
                <w:spacing w:val="0"/>
                <w:w w:val="100"/>
                <w:position w:val="0"/>
                <w:sz w:val="15"/>
                <w:szCs w:val="15"/>
              </w:rPr>
              <w:t xml:space="preserve">290. </w:t>
            </w:r>
            <w:r>
              <w:rPr>
                <w:color w:val="000000"/>
                <w:spacing w:val="0"/>
                <w:w w:val="100"/>
                <w:position w:val="0"/>
                <w:sz w:val="15"/>
                <w:szCs w:val="15"/>
              </w:rPr>
              <w:t>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200,061, </w:t>
            </w:r>
            <w:r>
              <w:rPr>
                <w:color w:val="000000"/>
                <w:spacing w:val="0"/>
                <w:w w:val="100"/>
                <w:position w:val="0"/>
                <w:sz w:val="15"/>
                <w:szCs w:val="15"/>
              </w:rPr>
              <w:t>146.53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91,409,511. </w:t>
            </w:r>
            <w:r>
              <w:rPr>
                <w:color w:val="000000"/>
                <w:spacing w:val="0"/>
                <w:w w:val="100"/>
                <w:position w:val="0"/>
                <w:sz w:val="15"/>
                <w:szCs w:val="15"/>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42,074,517.73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2, 550, </w:t>
            </w:r>
            <w:r>
              <w:rPr>
                <w:color w:val="000000"/>
                <w:spacing w:val="0"/>
                <w:w w:val="100"/>
                <w:position w:val="0"/>
                <w:sz w:val="15"/>
                <w:szCs w:val="15"/>
              </w:rPr>
              <w:t xml:space="preserve">369,313. </w:t>
            </w:r>
            <w:r>
              <w:rPr>
                <w:color w:val="000000"/>
                <w:spacing w:val="0"/>
                <w:w w:val="100"/>
                <w:position w:val="0"/>
                <w:sz w:val="15"/>
                <w:szCs w:val="15"/>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5,913,688,914. </w:t>
            </w:r>
            <w:r>
              <w:rPr>
                <w:color w:val="000000"/>
                <w:spacing w:val="0"/>
                <w:w w:val="100"/>
                <w:position w:val="0"/>
                <w:sz w:val="15"/>
                <w:szCs w:val="15"/>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112,459, </w:t>
            </w:r>
            <w:r>
              <w:rPr>
                <w:color w:val="000000"/>
                <w:spacing w:val="0"/>
                <w:w w:val="100"/>
                <w:position w:val="0"/>
                <w:sz w:val="15"/>
                <w:szCs w:val="15"/>
              </w:rPr>
              <w:t xml:space="preserve">239. </w:t>
            </w:r>
            <w:r>
              <w:rPr>
                <w:color w:val="000000"/>
                <w:spacing w:val="0"/>
                <w:w w:val="100"/>
                <w:position w:val="0"/>
                <w:sz w:val="15"/>
                <w:szCs w:val="15"/>
              </w:rPr>
              <w:t>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6,026,148,153.86</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13"/>
        <w:keepNext w:val="0"/>
        <w:keepLines w:val="0"/>
        <w:widowControl w:val="0"/>
        <w:shd w:val="clear" w:color="auto" w:fill="auto"/>
        <w:bidi w:val="0"/>
        <w:spacing w:before="0" w:after="70" w:line="240" w:lineRule="auto"/>
        <w:ind w:left="0" w:right="0" w:firstLine="0"/>
        <w:jc w:val="right"/>
      </w:pPr>
      <w:r>
        <w:rPr>
          <w:color w:val="000000"/>
          <w:spacing w:val="0"/>
          <w:w w:val="100"/>
          <w:position w:val="0"/>
        </w:rPr>
        <w:t>单位：元</w:t>
      </w:r>
    </w:p>
    <w:p>
      <w:pPr>
        <w:pStyle w:val="Style22"/>
        <w:keepNext w:val="0"/>
        <w:keepLines w:val="0"/>
        <w:widowControl w:val="0"/>
        <w:pBdr>
          <w:top w:val="single" w:sz="0" w:space="7" w:color="D3D3D3"/>
          <w:left w:val="single" w:sz="0" w:space="0" w:color="D3D3D3"/>
          <w:bottom w:val="single" w:sz="0" w:space="0" w:color="D3D3D3"/>
          <w:right w:val="single" w:sz="0" w:space="0" w:color="D3D3D3"/>
        </w:pBdr>
        <w:shd w:val="clear" w:color="auto" w:fill="D3D3D3"/>
        <w:bidi w:val="0"/>
        <w:spacing w:before="0" w:after="200" w:line="240" w:lineRule="auto"/>
        <w:ind w:left="7160" w:right="0" w:firstLine="0"/>
        <w:jc w:val="left"/>
        <w:rPr>
          <w:sz w:val="15"/>
          <w:szCs w:val="15"/>
        </w:rPr>
      </w:pPr>
      <w:r>
        <w:rPr>
          <w:color w:val="000000"/>
          <w:spacing w:val="0"/>
          <w:w w:val="100"/>
          <w:position w:val="0"/>
          <w:sz w:val="15"/>
          <w:szCs w:val="15"/>
        </w:rPr>
        <w:t>2020</w:t>
      </w:r>
      <w:r>
        <w:rPr>
          <w:color w:val="000000"/>
          <w:spacing w:val="0"/>
          <w:w w:val="100"/>
          <w:position w:val="0"/>
          <w:sz w:val="15"/>
          <w:szCs w:val="15"/>
        </w:rPr>
        <w:t>年年度</w:t>
      </w:r>
    </w:p>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5510" w:right="0" w:firstLine="0"/>
        <w:jc w:val="left"/>
        <w:rPr>
          <w:sz w:val="15"/>
          <w:szCs w:val="15"/>
        </w:rPr>
      </w:pPr>
      <w:r>
        <w:rPr>
          <w:color w:val="000000"/>
          <w:spacing w:val="0"/>
          <w:w w:val="100"/>
          <w:position w:val="0"/>
          <w:sz w:val="15"/>
          <w:szCs w:val="15"/>
        </w:rPr>
        <w:t>归属于母公司所有者权益</w:t>
      </w:r>
    </w:p>
    <w:tbl>
      <w:tblPr>
        <w:tblOverlap w:val="never"/>
        <w:jc w:val="center"/>
        <w:tblLayout w:type="fixed"/>
      </w:tblPr>
      <w:tblGrid>
        <w:gridCol w:w="1219"/>
        <w:gridCol w:w="1195"/>
        <w:gridCol w:w="283"/>
        <w:gridCol w:w="283"/>
        <w:gridCol w:w="283"/>
        <w:gridCol w:w="1277"/>
        <w:gridCol w:w="1133"/>
        <w:gridCol w:w="1138"/>
        <w:gridCol w:w="283"/>
        <w:gridCol w:w="1133"/>
        <w:gridCol w:w="422"/>
        <w:gridCol w:w="1277"/>
        <w:gridCol w:w="283"/>
        <w:gridCol w:w="1277"/>
        <w:gridCol w:w="1133"/>
        <w:gridCol w:w="1282"/>
      </w:tblGrid>
      <w:tr>
        <w:trPr>
          <w:trHeight w:val="720"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38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项</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储</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一般</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风险</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其</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优</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先</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永</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续</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970,381, </w:t>
            </w:r>
            <w:r>
              <w:rPr>
                <w:color w:val="000000"/>
                <w:spacing w:val="0"/>
                <w:w w:val="100"/>
                <w:position w:val="0"/>
                <w:sz w:val="15"/>
                <w:szCs w:val="15"/>
              </w:rPr>
              <w:t>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2, 315,977, </w:t>
            </w:r>
            <w:r>
              <w:rPr>
                <w:color w:val="000000"/>
                <w:spacing w:val="0"/>
                <w:w w:val="100"/>
                <w:position w:val="0"/>
                <w:sz w:val="15"/>
                <w:szCs w:val="15"/>
              </w:rPr>
              <w:t xml:space="preserve">578. </w:t>
            </w:r>
            <w:r>
              <w:rPr>
                <w:color w:val="000000"/>
                <w:spacing w:val="0"/>
                <w:w w:val="100"/>
                <w:position w:val="0"/>
                <w:sz w:val="15"/>
                <w:szCs w:val="15"/>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44, 097, </w:t>
            </w:r>
            <w:r>
              <w:rPr>
                <w:color w:val="000000"/>
                <w:spacing w:val="0"/>
                <w:w w:val="100"/>
                <w:position w:val="0"/>
                <w:sz w:val="15"/>
                <w:szCs w:val="15"/>
              </w:rPr>
              <w:t xml:space="preserve">750.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63, 267, </w:t>
            </w:r>
            <w:r>
              <w:rPr>
                <w:color w:val="000000"/>
                <w:spacing w:val="0"/>
                <w:w w:val="100"/>
                <w:position w:val="0"/>
                <w:sz w:val="15"/>
                <w:szCs w:val="15"/>
              </w:rPr>
              <w:t xml:space="preserve">793. </w:t>
            </w:r>
            <w:r>
              <w:rPr>
                <w:color w:val="000000"/>
                <w:spacing w:val="0"/>
                <w:w w:val="100"/>
                <w:position w:val="0"/>
                <w:sz w:val="15"/>
                <w:szCs w:val="15"/>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27,977, </w:t>
            </w:r>
            <w:r>
              <w:rPr>
                <w:color w:val="000000"/>
                <w:spacing w:val="0"/>
                <w:w w:val="100"/>
                <w:position w:val="0"/>
                <w:sz w:val="15"/>
                <w:szCs w:val="15"/>
              </w:rPr>
              <w:t>512.43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1,885,845,382. </w:t>
            </w:r>
            <w:r>
              <w:rPr>
                <w:color w:val="000000"/>
                <w:spacing w:val="0"/>
                <w:w w:val="100"/>
                <w:position w:val="0"/>
                <w:sz w:val="15"/>
                <w:szCs w:val="15"/>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5,219,351,789. </w:t>
            </w:r>
            <w:r>
              <w:rPr>
                <w:color w:val="000000"/>
                <w:spacing w:val="0"/>
                <w:w w:val="100"/>
                <w:position w:val="0"/>
                <w:sz w:val="15"/>
                <w:szCs w:val="15"/>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102, 972, </w:t>
            </w:r>
            <w:r>
              <w:rPr>
                <w:color w:val="000000"/>
                <w:spacing w:val="0"/>
                <w:w w:val="100"/>
                <w:position w:val="0"/>
                <w:sz w:val="15"/>
                <w:szCs w:val="15"/>
              </w:rPr>
              <w:t xml:space="preserve">264. </w:t>
            </w:r>
            <w:r>
              <w:rPr>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5, 322, 324, </w:t>
            </w:r>
            <w:r>
              <w:rPr>
                <w:color w:val="000000"/>
                <w:spacing w:val="0"/>
                <w:w w:val="100"/>
                <w:position w:val="0"/>
                <w:sz w:val="15"/>
                <w:szCs w:val="15"/>
              </w:rPr>
              <w:t xml:space="preserve">053. </w:t>
            </w:r>
            <w:r>
              <w:rPr>
                <w:color w:val="000000"/>
                <w:spacing w:val="0"/>
                <w:w w:val="100"/>
                <w:position w:val="0"/>
                <w:sz w:val="15"/>
                <w:szCs w:val="15"/>
              </w:rPr>
              <w:t>62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320"/>
              <w:jc w:val="both"/>
              <w:rPr>
                <w:sz w:val="15"/>
                <w:szCs w:val="15"/>
              </w:rPr>
            </w:pPr>
            <w:r>
              <w:rPr>
                <w:color w:val="000000"/>
                <w:spacing w:val="0"/>
                <w:w w:val="100"/>
                <w:position w:val="0"/>
                <w:sz w:val="15"/>
                <w:szCs w:val="15"/>
              </w:rPr>
              <w:t>加：会计政策</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-157,767.38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-83,463,583.36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-83,621,350.74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-1,905,261.50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-85,526,612.24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620"/>
              <w:jc w:val="left"/>
              <w:rPr>
                <w:sz w:val="15"/>
                <w:szCs w:val="15"/>
              </w:rPr>
            </w:pPr>
            <w:r>
              <w:rPr>
                <w:color w:val="000000"/>
                <w:spacing w:val="0"/>
                <w:w w:val="100"/>
                <w:position w:val="0"/>
                <w:sz w:val="15"/>
                <w:szCs w:val="15"/>
              </w:rPr>
              <w:t>前期差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620"/>
              <w:jc w:val="left"/>
              <w:rPr>
                <w:sz w:val="15"/>
                <w:szCs w:val="15"/>
              </w:rPr>
            </w:pPr>
            <w:r>
              <w:rPr>
                <w:color w:val="000000"/>
                <w:spacing w:val="0"/>
                <w:w w:val="100"/>
                <w:position w:val="0"/>
                <w:sz w:val="15"/>
                <w:szCs w:val="15"/>
              </w:rPr>
              <w:t>同一控</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1195"/>
        <w:gridCol w:w="283"/>
        <w:gridCol w:w="283"/>
        <w:gridCol w:w="283"/>
        <w:gridCol w:w="1277"/>
        <w:gridCol w:w="1133"/>
        <w:gridCol w:w="1138"/>
        <w:gridCol w:w="283"/>
        <w:gridCol w:w="1133"/>
        <w:gridCol w:w="422"/>
        <w:gridCol w:w="1277"/>
        <w:gridCol w:w="283"/>
        <w:gridCol w:w="1277"/>
        <w:gridCol w:w="1133"/>
        <w:gridCol w:w="1282"/>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970,381, </w:t>
            </w:r>
            <w:r>
              <w:rPr>
                <w:color w:val="000000"/>
                <w:spacing w:val="0"/>
                <w:w w:val="100"/>
                <w:position w:val="0"/>
                <w:sz w:val="15"/>
                <w:szCs w:val="15"/>
              </w:rPr>
              <w:t>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2, 315,977, </w:t>
            </w:r>
            <w:r>
              <w:rPr>
                <w:color w:val="000000"/>
                <w:spacing w:val="0"/>
                <w:w w:val="100"/>
                <w:position w:val="0"/>
                <w:sz w:val="15"/>
                <w:szCs w:val="15"/>
              </w:rPr>
              <w:t xml:space="preserve">578. </w:t>
            </w:r>
            <w:r>
              <w:rPr>
                <w:color w:val="000000"/>
                <w:spacing w:val="0"/>
                <w:w w:val="100"/>
                <w:position w:val="0"/>
                <w:sz w:val="15"/>
                <w:szCs w:val="15"/>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44, 097, </w:t>
            </w:r>
            <w:r>
              <w:rPr>
                <w:color w:val="000000"/>
                <w:spacing w:val="0"/>
                <w:w w:val="100"/>
                <w:position w:val="0"/>
                <w:sz w:val="15"/>
                <w:szCs w:val="15"/>
              </w:rPr>
              <w:t xml:space="preserve">750.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63, 267, </w:t>
            </w:r>
            <w:r>
              <w:rPr>
                <w:color w:val="000000"/>
                <w:spacing w:val="0"/>
                <w:w w:val="100"/>
                <w:position w:val="0"/>
                <w:sz w:val="15"/>
                <w:szCs w:val="15"/>
              </w:rPr>
              <w:t xml:space="preserve">793. </w:t>
            </w:r>
            <w:r>
              <w:rPr>
                <w:color w:val="000000"/>
                <w:spacing w:val="0"/>
                <w:w w:val="100"/>
                <w:position w:val="0"/>
                <w:sz w:val="15"/>
                <w:szCs w:val="15"/>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27,819, </w:t>
            </w:r>
            <w:r>
              <w:rPr>
                <w:color w:val="000000"/>
                <w:spacing w:val="0"/>
                <w:w w:val="100"/>
                <w:position w:val="0"/>
                <w:sz w:val="15"/>
                <w:szCs w:val="15"/>
              </w:rPr>
              <w:t xml:space="preserve">745. </w:t>
            </w:r>
            <w:r>
              <w:rPr>
                <w:color w:val="000000"/>
                <w:spacing w:val="0"/>
                <w:w w:val="100"/>
                <w:position w:val="0"/>
                <w:sz w:val="15"/>
                <w:szCs w:val="15"/>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1,802, </w:t>
            </w:r>
            <w:r>
              <w:rPr>
                <w:color w:val="000000"/>
                <w:spacing w:val="0"/>
                <w:w w:val="100"/>
                <w:position w:val="0"/>
                <w:sz w:val="15"/>
                <w:szCs w:val="15"/>
              </w:rPr>
              <w:t>381,798.99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 </w:t>
            </w:r>
            <w:r>
              <w:rPr>
                <w:color w:val="000000"/>
                <w:spacing w:val="0"/>
                <w:w w:val="100"/>
                <w:position w:val="0"/>
                <w:sz w:val="15"/>
                <w:szCs w:val="15"/>
              </w:rPr>
              <w:t>135,730,438.42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101,067, </w:t>
            </w:r>
            <w:r>
              <w:rPr>
                <w:color w:val="000000"/>
                <w:spacing w:val="0"/>
                <w:w w:val="100"/>
                <w:position w:val="0"/>
                <w:sz w:val="15"/>
                <w:szCs w:val="15"/>
              </w:rPr>
              <w:t xml:space="preserve">002. </w:t>
            </w:r>
            <w:r>
              <w:rPr>
                <w:color w:val="000000"/>
                <w:spacing w:val="0"/>
                <w:w w:val="100"/>
                <w:position w:val="0"/>
                <w:sz w:val="15"/>
                <w:szCs w:val="15"/>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5, 236, 797, </w:t>
            </w:r>
            <w:r>
              <w:rPr>
                <w:color w:val="000000"/>
                <w:spacing w:val="0"/>
                <w:w w:val="100"/>
                <w:position w:val="0"/>
                <w:sz w:val="15"/>
                <w:szCs w:val="15"/>
              </w:rPr>
              <w:t xml:space="preserve">441. </w:t>
            </w:r>
            <w:r>
              <w:rPr>
                <w:color w:val="000000"/>
                <w:spacing w:val="0"/>
                <w:w w:val="100"/>
                <w:position w:val="0"/>
                <w:sz w:val="15"/>
                <w:szCs w:val="15"/>
              </w:rPr>
              <w:t>38</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三、本期增减变动 金额（减少以“一"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5, 387, </w:t>
            </w:r>
            <w:r>
              <w:rPr>
                <w:color w:val="000000"/>
                <w:spacing w:val="0"/>
                <w:w w:val="100"/>
                <w:position w:val="0"/>
                <w:sz w:val="15"/>
                <w:szCs w:val="15"/>
              </w:rPr>
              <w:t xml:space="preserve">554.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 xml:space="preserve">90, 173, </w:t>
            </w:r>
            <w:r>
              <w:rPr>
                <w:color w:val="000000"/>
                <w:spacing w:val="0"/>
                <w:w w:val="100"/>
                <w:position w:val="0"/>
                <w:sz w:val="15"/>
                <w:szCs w:val="15"/>
              </w:rPr>
              <w:t xml:space="preserve">876. </w:t>
            </w:r>
            <w:r>
              <w:rPr>
                <w:color w:val="000000"/>
                <w:spacing w:val="0"/>
                <w:w w:val="100"/>
                <w:position w:val="0"/>
                <w:sz w:val="15"/>
                <w:szCs w:val="15"/>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116, </w:t>
            </w:r>
            <w:r>
              <w:rPr>
                <w:color w:val="000000"/>
                <w:spacing w:val="0"/>
                <w:w w:val="100"/>
                <w:position w:val="0"/>
                <w:sz w:val="15"/>
                <w:szCs w:val="15"/>
              </w:rPr>
              <w:t>107,051.44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35,725,258.99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7,138,280.17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427,096,584.80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449,414,502.60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-344,348.74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449,070,153.86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32,131,062.82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475,673,930.78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507,804,993.60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-9,290,980.49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498,514,013.11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（二）所有者投入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5, 387, </w:t>
            </w:r>
            <w:r>
              <w:rPr>
                <w:color w:val="000000"/>
                <w:spacing w:val="0"/>
                <w:w w:val="100"/>
                <w:position w:val="0"/>
                <w:sz w:val="15"/>
                <w:szCs w:val="15"/>
              </w:rPr>
              <w:t xml:space="preserve">554.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92,832, </w:t>
            </w:r>
            <w:r>
              <w:rPr>
                <w:color w:val="000000"/>
                <w:spacing w:val="0"/>
                <w:w w:val="100"/>
                <w:position w:val="0"/>
                <w:sz w:val="15"/>
                <w:szCs w:val="15"/>
              </w:rPr>
              <w:t xml:space="preserve">046. </w:t>
            </w:r>
            <w:r>
              <w:rPr>
                <w:color w:val="000000"/>
                <w:spacing w:val="0"/>
                <w:w w:val="100"/>
                <w:position w:val="0"/>
                <w:sz w:val="15"/>
                <w:szCs w:val="15"/>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116,107,051.44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-17,887,451.28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10,132,631.75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-7,754,819.53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所有者投入的</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5,387,554.00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65,290,871.16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139,237,351.44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-68,558,926.28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2,850,000.00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-65,708,926.28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其他权益工具</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股份支付计入</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所有者权益的金</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26,760,334.08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26,760,334.08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1,929,296.12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28,689,630.20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780, </w:t>
            </w:r>
            <w:r>
              <w:rPr>
                <w:color w:val="000000"/>
                <w:spacing w:val="0"/>
                <w:w w:val="100"/>
                <w:position w:val="0"/>
                <w:sz w:val="15"/>
                <w:szCs w:val="15"/>
              </w:rPr>
              <w:t xml:space="preserve">840. </w:t>
            </w:r>
            <w:r>
              <w:rPr>
                <w:color w:val="000000"/>
                <w:spacing w:val="0"/>
                <w:w w:val="100"/>
                <w:position w:val="0"/>
                <w:sz w:val="15"/>
                <w:szCs w:val="15"/>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-23, </w:t>
            </w:r>
            <w:r>
              <w:rPr>
                <w:color w:val="000000"/>
                <w:spacing w:val="0"/>
                <w:w w:val="100"/>
                <w:position w:val="0"/>
                <w:sz w:val="15"/>
                <w:szCs w:val="15"/>
              </w:rPr>
              <w:t xml:space="preserve">130, </w:t>
            </w:r>
            <w:r>
              <w:rPr>
                <w:color w:val="000000"/>
                <w:spacing w:val="0"/>
                <w:w w:val="100"/>
                <w:position w:val="0"/>
                <w:sz w:val="15"/>
                <w:szCs w:val="15"/>
              </w:rPr>
              <w:t xml:space="preserve">300.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23,911, </w:t>
            </w:r>
            <w:r>
              <w:rPr>
                <w:color w:val="000000"/>
                <w:spacing w:val="0"/>
                <w:w w:val="100"/>
                <w:position w:val="0"/>
                <w:sz w:val="15"/>
                <w:szCs w:val="15"/>
              </w:rPr>
              <w:t>140.92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5, 353, </w:t>
            </w:r>
            <w:r>
              <w:rPr>
                <w:color w:val="000000"/>
                <w:spacing w:val="0"/>
                <w:w w:val="100"/>
                <w:position w:val="0"/>
                <w:sz w:val="15"/>
                <w:szCs w:val="15"/>
              </w:rPr>
              <w:t xml:space="preserve">335. </w:t>
            </w:r>
            <w:r>
              <w:rPr>
                <w:color w:val="000000"/>
                <w:spacing w:val="0"/>
                <w:w w:val="100"/>
                <w:position w:val="0"/>
                <w:sz w:val="15"/>
                <w:szCs w:val="15"/>
              </w:rPr>
              <w:t>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 xml:space="preserve">29, 264, </w:t>
            </w:r>
            <w:r>
              <w:rPr>
                <w:color w:val="000000"/>
                <w:spacing w:val="0"/>
                <w:w w:val="100"/>
                <w:position w:val="0"/>
                <w:sz w:val="15"/>
                <w:szCs w:val="15"/>
              </w:rPr>
              <w:t xml:space="preserve">476. </w:t>
            </w:r>
            <w:r>
              <w:rPr>
                <w:color w:val="000000"/>
                <w:spacing w:val="0"/>
                <w:w w:val="100"/>
                <w:position w:val="0"/>
                <w:sz w:val="15"/>
                <w:szCs w:val="15"/>
              </w:rPr>
              <w:t>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7, 138, </w:t>
            </w:r>
            <w:r>
              <w:rPr>
                <w:color w:val="000000"/>
                <w:spacing w:val="0"/>
                <w:w w:val="100"/>
                <w:position w:val="0"/>
                <w:sz w:val="15"/>
                <w:szCs w:val="15"/>
              </w:rPr>
              <w:t xml:space="preserve">280. </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-44, </w:t>
            </w:r>
            <w:r>
              <w:rPr>
                <w:color w:val="000000"/>
                <w:spacing w:val="0"/>
                <w:w w:val="100"/>
                <w:position w:val="0"/>
                <w:sz w:val="15"/>
                <w:szCs w:val="15"/>
              </w:rPr>
              <w:t xml:space="preserve">983, </w:t>
            </w:r>
            <w:r>
              <w:rPr>
                <w:color w:val="000000"/>
                <w:spacing w:val="0"/>
                <w:w w:val="100"/>
                <w:position w:val="0"/>
                <w:sz w:val="15"/>
                <w:szCs w:val="15"/>
              </w:rPr>
              <w:t>149.81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-37, </w:t>
            </w:r>
            <w:r>
              <w:rPr>
                <w:color w:val="000000"/>
                <w:spacing w:val="0"/>
                <w:w w:val="100"/>
                <w:position w:val="0"/>
                <w:sz w:val="15"/>
                <w:szCs w:val="15"/>
              </w:rPr>
              <w:t xml:space="preserve">844, </w:t>
            </w:r>
            <w:r>
              <w:rPr>
                <w:color w:val="000000"/>
                <w:spacing w:val="0"/>
                <w:w w:val="100"/>
                <w:position w:val="0"/>
                <w:sz w:val="15"/>
                <w:szCs w:val="15"/>
              </w:rPr>
              <w:t xml:space="preserve">869. </w:t>
            </w:r>
            <w:r>
              <w:rPr>
                <w:color w:val="000000"/>
                <w:spacing w:val="0"/>
                <w:w w:val="100"/>
                <w:position w:val="0"/>
                <w:sz w:val="15"/>
                <w:szCs w:val="15"/>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-1, 186,000.00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-39, </w:t>
            </w:r>
            <w:r>
              <w:rPr>
                <w:color w:val="000000"/>
                <w:spacing w:val="0"/>
                <w:w w:val="100"/>
                <w:position w:val="0"/>
                <w:sz w:val="15"/>
                <w:szCs w:val="15"/>
              </w:rPr>
              <w:t xml:space="preserve">030, </w:t>
            </w:r>
            <w:r>
              <w:rPr>
                <w:color w:val="000000"/>
                <w:spacing w:val="0"/>
                <w:w w:val="100"/>
                <w:position w:val="0"/>
                <w:sz w:val="15"/>
                <w:szCs w:val="15"/>
              </w:rPr>
              <w:t xml:space="preserve">869. </w:t>
            </w:r>
            <w:r>
              <w:rPr>
                <w:color w:val="000000"/>
                <w:spacing w:val="0"/>
                <w:w w:val="100"/>
                <w:position w:val="0"/>
                <w:sz w:val="15"/>
                <w:szCs w:val="15"/>
              </w:rPr>
              <w:t>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7, 138, </w:t>
            </w:r>
            <w:r>
              <w:rPr>
                <w:color w:val="000000"/>
                <w:spacing w:val="0"/>
                <w:w w:val="100"/>
                <w:position w:val="0"/>
                <w:sz w:val="15"/>
                <w:szCs w:val="15"/>
              </w:rPr>
              <w:t xml:space="preserve">280. </w:t>
            </w:r>
            <w:r>
              <w:rPr>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138, </w:t>
            </w:r>
            <w:r>
              <w:rPr>
                <w:color w:val="000000"/>
                <w:spacing w:val="0"/>
                <w:w w:val="100"/>
                <w:position w:val="0"/>
                <w:sz w:val="15"/>
                <w:szCs w:val="15"/>
              </w:rPr>
              <w:t xml:space="preserve">280. </w:t>
            </w:r>
            <w:r>
              <w:rPr>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提取一般风险</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对所有者（或</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-37,844,869.64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-37,844,869.64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-1,186,000.00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-39,030,869.64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（四）所有者权益</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3,594,196.17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-3,594,196.17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1195"/>
        <w:gridCol w:w="283"/>
        <w:gridCol w:w="283"/>
        <w:gridCol w:w="283"/>
        <w:gridCol w:w="1277"/>
        <w:gridCol w:w="1133"/>
        <w:gridCol w:w="1138"/>
        <w:gridCol w:w="283"/>
        <w:gridCol w:w="1133"/>
        <w:gridCol w:w="422"/>
        <w:gridCol w:w="1277"/>
        <w:gridCol w:w="283"/>
        <w:gridCol w:w="1277"/>
        <w:gridCol w:w="1133"/>
        <w:gridCol w:w="1282"/>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资本公积转增</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盈余公积转增</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盈余公积弥补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4.</w:t>
            </w:r>
            <w:r>
              <w:rPr>
                <w:color w:val="000000"/>
                <w:spacing w:val="0"/>
                <w:w w:val="100"/>
                <w:position w:val="0"/>
                <w:sz w:val="15"/>
                <w:szCs w:val="15"/>
              </w:rPr>
              <w:t>设定受益计划</w:t>
            </w:r>
          </w:p>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其他综合收益</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3,594,196.17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-3,594,196.17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-2,658, 170.08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-2,658, 170.08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-2,658, 170.08</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975, 768, </w:t>
            </w:r>
            <w:r>
              <w:rPr>
                <w:color w:val="000000"/>
                <w:spacing w:val="0"/>
                <w:w w:val="100"/>
                <w:position w:val="0"/>
                <w:sz w:val="15"/>
                <w:szCs w:val="15"/>
              </w:rPr>
              <w:t xml:space="preserve">827.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2, 406, </w:t>
            </w:r>
            <w:r>
              <w:rPr>
                <w:color w:val="000000"/>
                <w:spacing w:val="0"/>
                <w:w w:val="100"/>
                <w:position w:val="0"/>
                <w:sz w:val="15"/>
                <w:szCs w:val="15"/>
              </w:rPr>
              <w:t>151,454.21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160, 204, </w:t>
            </w:r>
            <w:r>
              <w:rPr>
                <w:color w:val="000000"/>
                <w:spacing w:val="0"/>
                <w:w w:val="100"/>
                <w:position w:val="0"/>
                <w:sz w:val="15"/>
                <w:szCs w:val="15"/>
              </w:rPr>
              <w:t>801.44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98, </w:t>
            </w:r>
            <w:r>
              <w:rPr>
                <w:color w:val="000000"/>
                <w:spacing w:val="0"/>
                <w:w w:val="100"/>
                <w:position w:val="0"/>
                <w:sz w:val="15"/>
                <w:szCs w:val="15"/>
              </w:rPr>
              <w:t xml:space="preserve">993,052. </w:t>
            </w:r>
            <w:r>
              <w:rPr>
                <w:color w:val="000000"/>
                <w:spacing w:val="0"/>
                <w:w w:val="100"/>
                <w:position w:val="0"/>
                <w:sz w:val="15"/>
                <w:szCs w:val="15"/>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34, 958, </w:t>
            </w:r>
            <w:r>
              <w:rPr>
                <w:color w:val="000000"/>
                <w:spacing w:val="0"/>
                <w:w w:val="100"/>
                <w:position w:val="0"/>
                <w:sz w:val="15"/>
                <w:szCs w:val="15"/>
              </w:rPr>
              <w:t xml:space="preserve">025. </w:t>
            </w:r>
            <w:r>
              <w:rPr>
                <w:color w:val="000000"/>
                <w:spacing w:val="0"/>
                <w:w w:val="100"/>
                <w:position w:val="0"/>
                <w:sz w:val="15"/>
                <w:szCs w:val="15"/>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2, 229, 478, </w:t>
            </w:r>
            <w:r>
              <w:rPr>
                <w:color w:val="000000"/>
                <w:spacing w:val="0"/>
                <w:w w:val="100"/>
                <w:position w:val="0"/>
                <w:sz w:val="15"/>
                <w:szCs w:val="15"/>
              </w:rPr>
              <w:t xml:space="preserve">383. </w:t>
            </w:r>
            <w:r>
              <w:rPr>
                <w:color w:val="000000"/>
                <w:spacing w:val="0"/>
                <w:w w:val="100"/>
                <w:position w:val="0"/>
                <w:sz w:val="15"/>
                <w:szCs w:val="15"/>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5, 585, 144, </w:t>
            </w:r>
            <w:r>
              <w:rPr>
                <w:color w:val="000000"/>
                <w:spacing w:val="0"/>
                <w:w w:val="100"/>
                <w:position w:val="0"/>
                <w:sz w:val="15"/>
                <w:szCs w:val="15"/>
              </w:rPr>
              <w:t>941.02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100, 722, </w:t>
            </w:r>
            <w:r>
              <w:rPr>
                <w:color w:val="000000"/>
                <w:spacing w:val="0"/>
                <w:w w:val="100"/>
                <w:position w:val="0"/>
                <w:sz w:val="15"/>
                <w:szCs w:val="15"/>
              </w:rPr>
              <w:t xml:space="preserve">654. </w:t>
            </w:r>
            <w:r>
              <w:rPr>
                <w:color w:val="000000"/>
                <w:spacing w:val="0"/>
                <w:w w:val="100"/>
                <w:position w:val="0"/>
                <w:sz w:val="15"/>
                <w:szCs w:val="15"/>
              </w:rPr>
              <w:t>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5, 685, 867, </w:t>
            </w:r>
            <w:r>
              <w:rPr>
                <w:color w:val="000000"/>
                <w:spacing w:val="0"/>
                <w:w w:val="100"/>
                <w:position w:val="0"/>
                <w:sz w:val="15"/>
                <w:szCs w:val="15"/>
              </w:rPr>
              <w:t xml:space="preserve">595. </w:t>
            </w:r>
            <w:r>
              <w:rPr>
                <w:color w:val="000000"/>
                <w:spacing w:val="0"/>
                <w:w w:val="100"/>
                <w:position w:val="0"/>
                <w:sz w:val="15"/>
                <w:szCs w:val="15"/>
              </w:rPr>
              <w:t>24</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8</w:t>
      </w:r>
      <w:bookmarkEnd w:id="680"/>
      <w:r>
        <w:rPr>
          <w:color w:val="000000"/>
          <w:spacing w:val="0"/>
          <w:w w:val="100"/>
          <w:position w:val="0"/>
        </w:rPr>
        <w:t>、母公司所有者权益变动表</w:t>
      </w:r>
      <w:bookmarkEnd w:id="678"/>
      <w:bookmarkEnd w:id="679"/>
      <w:bookmarkEnd w:id="681"/>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1814"/>
        <w:gridCol w:w="850"/>
        <w:gridCol w:w="850"/>
        <w:gridCol w:w="710"/>
        <w:gridCol w:w="1416"/>
        <w:gridCol w:w="1277"/>
        <w:gridCol w:w="1277"/>
        <w:gridCol w:w="422"/>
        <w:gridCol w:w="1138"/>
        <w:gridCol w:w="1133"/>
        <w:gridCol w:w="422"/>
        <w:gridCol w:w="128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专项</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 xml:space="preserve">975, 768, </w:t>
            </w:r>
            <w:r>
              <w:rPr>
                <w:color w:val="000000"/>
                <w:spacing w:val="0"/>
                <w:w w:val="100"/>
                <w:position w:val="0"/>
                <w:sz w:val="15"/>
                <w:szCs w:val="15"/>
              </w:rPr>
              <w:t xml:space="preserve">827.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 </w:t>
            </w:r>
            <w:r>
              <w:rPr>
                <w:color w:val="000000"/>
                <w:spacing w:val="0"/>
                <w:w w:val="100"/>
                <w:position w:val="0"/>
                <w:sz w:val="15"/>
                <w:szCs w:val="15"/>
              </w:rPr>
              <w:t>243,077,639.50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160, 204, </w:t>
            </w:r>
            <w:r>
              <w:rPr>
                <w:color w:val="000000"/>
                <w:spacing w:val="0"/>
                <w:w w:val="100"/>
                <w:position w:val="0"/>
                <w:sz w:val="15"/>
                <w:szCs w:val="15"/>
              </w:rPr>
              <w:t>801.44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-21, 108,077. </w:t>
            </w:r>
            <w:r>
              <w:rPr>
                <w:color w:val="000000"/>
                <w:spacing w:val="0"/>
                <w:w w:val="100"/>
                <w:position w:val="0"/>
                <w:sz w:val="15"/>
                <w:szCs w:val="15"/>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34, </w:t>
            </w:r>
            <w:r>
              <w:rPr>
                <w:color w:val="000000"/>
                <w:spacing w:val="0"/>
                <w:w w:val="100"/>
                <w:position w:val="0"/>
                <w:sz w:val="15"/>
                <w:szCs w:val="15"/>
              </w:rPr>
              <w:t xml:space="preserve">958,025. </w:t>
            </w:r>
            <w:r>
              <w:rPr>
                <w:color w:val="000000"/>
                <w:spacing w:val="0"/>
                <w:w w:val="100"/>
                <w:position w:val="0"/>
                <w:sz w:val="15"/>
                <w:szCs w:val="15"/>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68, 982, </w:t>
            </w:r>
            <w:r>
              <w:rPr>
                <w:color w:val="000000"/>
                <w:spacing w:val="0"/>
                <w:w w:val="100"/>
                <w:position w:val="0"/>
                <w:sz w:val="15"/>
                <w:szCs w:val="15"/>
              </w:rPr>
              <w:t xml:space="preserve">295. </w:t>
            </w:r>
            <w:r>
              <w:rPr>
                <w:color w:val="000000"/>
                <w:spacing w:val="0"/>
                <w:w w:val="100"/>
                <w:position w:val="0"/>
                <w:sz w:val="15"/>
                <w:szCs w:val="15"/>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3, 141, 473, </w:t>
            </w:r>
            <w:r>
              <w:rPr>
                <w:color w:val="000000"/>
                <w:spacing w:val="0"/>
                <w:w w:val="100"/>
                <w:position w:val="0"/>
                <w:sz w:val="15"/>
                <w:szCs w:val="15"/>
              </w:rPr>
              <w:t xml:space="preserve">908. </w:t>
            </w:r>
            <w:r>
              <w:rPr>
                <w:color w:val="000000"/>
                <w:spacing w:val="0"/>
                <w:w w:val="100"/>
                <w:position w:val="0"/>
                <w:sz w:val="15"/>
                <w:szCs w:val="15"/>
              </w:rPr>
              <w:t>74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加：会计政策</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620"/>
              <w:jc w:val="left"/>
              <w:rPr>
                <w:sz w:val="15"/>
                <w:szCs w:val="15"/>
              </w:rPr>
            </w:pPr>
            <w:r>
              <w:rPr>
                <w:color w:val="000000"/>
                <w:spacing w:val="0"/>
                <w:w w:val="100"/>
                <w:position w:val="0"/>
                <w:sz w:val="15"/>
                <w:szCs w:val="15"/>
              </w:rPr>
              <w:t>前期差错</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 xml:space="preserve">975, 768, </w:t>
            </w:r>
            <w:r>
              <w:rPr>
                <w:color w:val="000000"/>
                <w:spacing w:val="0"/>
                <w:w w:val="100"/>
                <w:position w:val="0"/>
                <w:sz w:val="15"/>
                <w:szCs w:val="15"/>
              </w:rPr>
              <w:t xml:space="preserve">827.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 </w:t>
            </w:r>
            <w:r>
              <w:rPr>
                <w:color w:val="000000"/>
                <w:spacing w:val="0"/>
                <w:w w:val="100"/>
                <w:position w:val="0"/>
                <w:sz w:val="15"/>
                <w:szCs w:val="15"/>
              </w:rPr>
              <w:t>243,077,639.50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160, 204, </w:t>
            </w:r>
            <w:r>
              <w:rPr>
                <w:color w:val="000000"/>
                <w:spacing w:val="0"/>
                <w:w w:val="100"/>
                <w:position w:val="0"/>
                <w:sz w:val="15"/>
                <w:szCs w:val="15"/>
              </w:rPr>
              <w:t>801.44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-21, 108,077. </w:t>
            </w:r>
            <w:r>
              <w:rPr>
                <w:color w:val="000000"/>
                <w:spacing w:val="0"/>
                <w:w w:val="100"/>
                <w:position w:val="0"/>
                <w:sz w:val="15"/>
                <w:szCs w:val="15"/>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34, </w:t>
            </w:r>
            <w:r>
              <w:rPr>
                <w:color w:val="000000"/>
                <w:spacing w:val="0"/>
                <w:w w:val="100"/>
                <w:position w:val="0"/>
                <w:sz w:val="15"/>
                <w:szCs w:val="15"/>
              </w:rPr>
              <w:t xml:space="preserve">958,025. </w:t>
            </w:r>
            <w:r>
              <w:rPr>
                <w:color w:val="000000"/>
                <w:spacing w:val="0"/>
                <w:w w:val="100"/>
                <w:position w:val="0"/>
                <w:sz w:val="15"/>
                <w:szCs w:val="15"/>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68, 982, </w:t>
            </w:r>
            <w:r>
              <w:rPr>
                <w:color w:val="000000"/>
                <w:spacing w:val="0"/>
                <w:w w:val="100"/>
                <w:position w:val="0"/>
                <w:sz w:val="15"/>
                <w:szCs w:val="15"/>
              </w:rPr>
              <w:t xml:space="preserve">295. </w:t>
            </w:r>
            <w:r>
              <w:rPr>
                <w:color w:val="000000"/>
                <w:spacing w:val="0"/>
                <w:w w:val="100"/>
                <w:position w:val="0"/>
                <w:sz w:val="15"/>
                <w:szCs w:val="15"/>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3, 141, 473, </w:t>
            </w:r>
            <w:r>
              <w:rPr>
                <w:color w:val="000000"/>
                <w:spacing w:val="0"/>
                <w:w w:val="100"/>
                <w:position w:val="0"/>
                <w:sz w:val="15"/>
                <w:szCs w:val="15"/>
              </w:rPr>
              <w:t xml:space="preserve">908. </w:t>
            </w:r>
            <w:r>
              <w:rPr>
                <w:color w:val="000000"/>
                <w:spacing w:val="0"/>
                <w:w w:val="100"/>
                <w:position w:val="0"/>
                <w:sz w:val="15"/>
                <w:szCs w:val="15"/>
              </w:rPr>
              <w:t>74</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三、本期增减变动 金额（减少以“一"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3,975,601.00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54,801,176.10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39,856,345.09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9,593,017.81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7,116,492.51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15,873,075.41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51,503,017.74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9,593,017.81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71,164,924.94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80,757,942.75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（二）所有者投入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3,975,601.00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54,801,176.10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39,856,345.09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18,920,432.01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所有者投入的普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3,975,601.00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46,746,915.46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60,823,795.09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-10,101,278.63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其他权益工具持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股份支付计入所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2, 118, </w:t>
            </w:r>
            <w:r>
              <w:rPr>
                <w:color w:val="000000"/>
                <w:spacing w:val="0"/>
                <w:w w:val="100"/>
                <w:position w:val="0"/>
                <w:sz w:val="15"/>
                <w:szCs w:val="15"/>
              </w:rPr>
              <w:t>102.99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2, 118, </w:t>
            </w:r>
            <w:r>
              <w:rPr>
                <w:color w:val="000000"/>
                <w:spacing w:val="0"/>
                <w:w w:val="100"/>
                <w:position w:val="0"/>
                <w:sz w:val="15"/>
                <w:szCs w:val="15"/>
              </w:rPr>
              <w:t>102.99</w:t>
            </w:r>
          </w:p>
        </w:tc>
      </w:tr>
    </w:tbl>
    <w:p>
      <w:pPr>
        <w:spacing w:lineRule="exact" w:line="1"/>
        <w:rPr>
          <w:sz w:val="2"/>
          <w:szCs w:val="2"/>
        </w:rPr>
      </w:pPr>
      <w:r>
        <w:br w:type="page"/>
      </w:r>
    </w:p>
    <w:tbl>
      <w:tblPr>
        <w:tblOverlap w:val="never"/>
        <w:jc w:val="center"/>
        <w:tblLayout w:type="fixed"/>
      </w:tblPr>
      <w:tblGrid>
        <w:gridCol w:w="1310"/>
        <w:gridCol w:w="1814"/>
        <w:gridCol w:w="850"/>
        <w:gridCol w:w="850"/>
        <w:gridCol w:w="710"/>
        <w:gridCol w:w="1416"/>
        <w:gridCol w:w="1277"/>
        <w:gridCol w:w="1277"/>
        <w:gridCol w:w="422"/>
        <w:gridCol w:w="1138"/>
        <w:gridCol w:w="1133"/>
        <w:gridCol w:w="422"/>
        <w:gridCol w:w="1282"/>
      </w:tblGrid>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5,936, </w:t>
            </w:r>
            <w:r>
              <w:rPr>
                <w:color w:val="000000"/>
                <w:spacing w:val="0"/>
                <w:w w:val="100"/>
                <w:position w:val="0"/>
                <w:sz w:val="15"/>
                <w:szCs w:val="15"/>
              </w:rPr>
              <w:t>157.65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-20, </w:t>
            </w:r>
            <w:r>
              <w:rPr>
                <w:color w:val="000000"/>
                <w:spacing w:val="0"/>
                <w:w w:val="100"/>
                <w:position w:val="0"/>
                <w:sz w:val="15"/>
                <w:szCs w:val="15"/>
              </w:rPr>
              <w:t xml:space="preserve">967, </w:t>
            </w:r>
            <w:r>
              <w:rPr>
                <w:color w:val="000000"/>
                <w:spacing w:val="0"/>
                <w:w w:val="100"/>
                <w:position w:val="0"/>
                <w:sz w:val="15"/>
                <w:szCs w:val="15"/>
              </w:rPr>
              <w:t xml:space="preserve">450.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26, 903, </w:t>
            </w:r>
            <w:r>
              <w:rPr>
                <w:color w:val="000000"/>
                <w:spacing w:val="0"/>
                <w:w w:val="100"/>
                <w:position w:val="0"/>
                <w:sz w:val="15"/>
                <w:szCs w:val="15"/>
              </w:rPr>
              <w:t>607.65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116,492. </w:t>
            </w:r>
            <w:r>
              <w:rPr>
                <w:color w:val="000000"/>
                <w:spacing w:val="0"/>
                <w:w w:val="100"/>
                <w:position w:val="0"/>
                <w:sz w:val="15"/>
                <w:szCs w:val="15"/>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-55, 291,849. </w:t>
            </w:r>
            <w:r>
              <w:rPr>
                <w:color w:val="000000"/>
                <w:spacing w:val="0"/>
                <w:w w:val="100"/>
                <w:position w:val="0"/>
                <w:sz w:val="15"/>
                <w:szCs w:val="15"/>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-48, </w:t>
            </w:r>
            <w:r>
              <w:rPr>
                <w:color w:val="000000"/>
                <w:spacing w:val="0"/>
                <w:w w:val="100"/>
                <w:position w:val="0"/>
                <w:sz w:val="15"/>
                <w:szCs w:val="15"/>
              </w:rPr>
              <w:t xml:space="preserve">175, </w:t>
            </w:r>
            <w:r>
              <w:rPr>
                <w:color w:val="000000"/>
                <w:spacing w:val="0"/>
                <w:w w:val="100"/>
                <w:position w:val="0"/>
                <w:sz w:val="15"/>
                <w:szCs w:val="15"/>
              </w:rPr>
              <w:t>357.02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116,492. </w:t>
            </w:r>
            <w:r>
              <w:rPr>
                <w:color w:val="000000"/>
                <w:spacing w:val="0"/>
                <w:w w:val="100"/>
                <w:position w:val="0"/>
                <w:sz w:val="15"/>
                <w:szCs w:val="15"/>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-7, 116,492.51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对所有者（或股</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-48,175,357.02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-48,175,357.02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（四）所有者权益</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资本公积转增资</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盈余公积转增资</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4.</w:t>
            </w:r>
            <w:r>
              <w:rPr>
                <w:color w:val="000000"/>
                <w:spacing w:val="0"/>
                <w:w w:val="100"/>
                <w:position w:val="0"/>
                <w:sz w:val="15"/>
                <w:szCs w:val="15"/>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其他综合收益结</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979, 744, </w:t>
            </w:r>
            <w:r>
              <w:rPr>
                <w:color w:val="000000"/>
                <w:spacing w:val="0"/>
                <w:w w:val="100"/>
                <w:position w:val="0"/>
                <w:sz w:val="15"/>
                <w:szCs w:val="15"/>
              </w:rPr>
              <w:t xml:space="preserve">428.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w:t>
            </w:r>
            <w:r>
              <w:rPr>
                <w:color w:val="000000"/>
                <w:spacing w:val="0"/>
                <w:w w:val="100"/>
                <w:position w:val="0"/>
                <w:sz w:val="15"/>
                <w:szCs w:val="15"/>
              </w:rPr>
              <w:t>297,878,815.60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200,061, </w:t>
            </w:r>
            <w:r>
              <w:rPr>
                <w:color w:val="000000"/>
                <w:spacing w:val="0"/>
                <w:w w:val="100"/>
                <w:position w:val="0"/>
                <w:sz w:val="15"/>
                <w:szCs w:val="15"/>
              </w:rPr>
              <w:t>146.53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-11,515,059.63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42, </w:t>
            </w:r>
            <w:r>
              <w:rPr>
                <w:color w:val="000000"/>
                <w:spacing w:val="0"/>
                <w:w w:val="100"/>
                <w:position w:val="0"/>
                <w:sz w:val="15"/>
                <w:szCs w:val="15"/>
              </w:rPr>
              <w:t xml:space="preserve">074,517. </w:t>
            </w:r>
            <w:r>
              <w:rPr>
                <w:color w:val="000000"/>
                <w:spacing w:val="0"/>
                <w:w w:val="100"/>
                <w:position w:val="0"/>
                <w:sz w:val="15"/>
                <w:szCs w:val="15"/>
              </w:rPr>
              <w:t>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84, 855, </w:t>
            </w:r>
            <w:r>
              <w:rPr>
                <w:color w:val="000000"/>
                <w:spacing w:val="0"/>
                <w:w w:val="100"/>
                <w:position w:val="0"/>
                <w:sz w:val="15"/>
                <w:szCs w:val="15"/>
              </w:rPr>
              <w:t>371.31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3,192,976,926.48</w:t>
            </w:r>
          </w:p>
        </w:tc>
      </w:tr>
    </w:tbl>
    <w:p>
      <w:pPr>
        <w:spacing w:lineRule="exact" w:line="1"/>
        <w:rPr>
          <w:sz w:val="2"/>
          <w:szCs w:val="2"/>
        </w:rPr>
      </w:pPr>
      <w:r>
        <w:br w:type="page"/>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1891"/>
        <w:gridCol w:w="850"/>
        <w:gridCol w:w="850"/>
        <w:gridCol w:w="710"/>
        <w:gridCol w:w="1416"/>
        <w:gridCol w:w="1277"/>
        <w:gridCol w:w="1277"/>
        <w:gridCol w:w="422"/>
        <w:gridCol w:w="1138"/>
        <w:gridCol w:w="1133"/>
        <w:gridCol w:w="422"/>
        <w:gridCol w:w="128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专项</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970, </w:t>
            </w:r>
            <w:r>
              <w:rPr>
                <w:color w:val="000000"/>
                <w:spacing w:val="0"/>
                <w:w w:val="100"/>
                <w:position w:val="0"/>
                <w:sz w:val="15"/>
                <w:szCs w:val="15"/>
              </w:rPr>
              <w:t xml:space="preserve">381,273.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2, 145, 529, </w:t>
            </w:r>
            <w:r>
              <w:rPr>
                <w:color w:val="000000"/>
                <w:spacing w:val="0"/>
                <w:w w:val="100"/>
                <w:position w:val="0"/>
                <w:sz w:val="15"/>
                <w:szCs w:val="15"/>
              </w:rPr>
              <w:t>525.00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 xml:space="preserve">44, 097, </w:t>
            </w:r>
            <w:r>
              <w:rPr>
                <w:color w:val="000000"/>
                <w:spacing w:val="0"/>
                <w:w w:val="100"/>
                <w:position w:val="0"/>
                <w:sz w:val="15"/>
                <w:szCs w:val="15"/>
              </w:rPr>
              <w:t xml:space="preserve">750.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-21, </w:t>
            </w:r>
            <w:r>
              <w:rPr>
                <w:color w:val="000000"/>
                <w:spacing w:val="0"/>
                <w:w w:val="100"/>
                <w:position w:val="0"/>
                <w:sz w:val="15"/>
                <w:szCs w:val="15"/>
              </w:rPr>
              <w:t xml:space="preserve">227, </w:t>
            </w:r>
            <w:r>
              <w:rPr>
                <w:color w:val="000000"/>
                <w:spacing w:val="0"/>
                <w:w w:val="100"/>
                <w:position w:val="0"/>
                <w:sz w:val="15"/>
                <w:szCs w:val="15"/>
              </w:rPr>
              <w:t xml:space="preserve">420. </w:t>
            </w:r>
            <w:r>
              <w:rPr>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27, </w:t>
            </w:r>
            <w:r>
              <w:rPr>
                <w:color w:val="000000"/>
                <w:spacing w:val="0"/>
                <w:w w:val="100"/>
                <w:position w:val="0"/>
                <w:sz w:val="15"/>
                <w:szCs w:val="15"/>
              </w:rPr>
              <w:t xml:space="preserve">977,512. </w:t>
            </w:r>
            <w:r>
              <w:rPr>
                <w:color w:val="000000"/>
                <w:spacing w:val="0"/>
                <w:w w:val="100"/>
                <w:position w:val="0"/>
                <w:sz w:val="15"/>
                <w:szCs w:val="15"/>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44,277,007.62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3, 122, 840, </w:t>
            </w:r>
            <w:r>
              <w:rPr>
                <w:color w:val="000000"/>
                <w:spacing w:val="0"/>
                <w:w w:val="100"/>
                <w:position w:val="0"/>
                <w:sz w:val="15"/>
                <w:szCs w:val="15"/>
              </w:rPr>
              <w:t xml:space="preserve">147. </w:t>
            </w:r>
            <w:r>
              <w:rPr>
                <w:color w:val="000000"/>
                <w:spacing w:val="0"/>
                <w:w w:val="100"/>
                <w:position w:val="0"/>
                <w:sz w:val="15"/>
                <w:szCs w:val="15"/>
              </w:rPr>
              <w:t>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320"/>
              <w:jc w:val="left"/>
              <w:rPr>
                <w:sz w:val="15"/>
                <w:szCs w:val="15"/>
              </w:rPr>
            </w:pPr>
            <w:r>
              <w:rPr>
                <w:color w:val="000000"/>
                <w:spacing w:val="0"/>
                <w:w w:val="100"/>
                <w:position w:val="0"/>
                <w:sz w:val="15"/>
                <w:szCs w:val="15"/>
              </w:rPr>
              <w:t>加：会计政策</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-157,767.38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-1,419,906.40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-1,577,673.78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620"/>
              <w:jc w:val="left"/>
              <w:rPr>
                <w:sz w:val="15"/>
                <w:szCs w:val="15"/>
              </w:rPr>
            </w:pPr>
            <w:r>
              <w:rPr>
                <w:color w:val="000000"/>
                <w:spacing w:val="0"/>
                <w:w w:val="100"/>
                <w:position w:val="0"/>
                <w:sz w:val="15"/>
                <w:szCs w:val="15"/>
              </w:rPr>
              <w:t>前期差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-274, 457. </w:t>
            </w:r>
            <w:r>
              <w:rPr>
                <w:color w:val="000000"/>
                <w:spacing w:val="0"/>
                <w:w w:val="100"/>
                <w:position w:val="0"/>
                <w:sz w:val="15"/>
                <w:szCs w:val="15"/>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-274, 457. </w:t>
            </w:r>
            <w:r>
              <w:rPr>
                <w:color w:val="000000"/>
                <w:spacing w:val="0"/>
                <w:w w:val="100"/>
                <w:position w:val="0"/>
                <w:sz w:val="15"/>
                <w:szCs w:val="15"/>
              </w:rPr>
              <w:t>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970, </w:t>
            </w:r>
            <w:r>
              <w:rPr>
                <w:color w:val="000000"/>
                <w:spacing w:val="0"/>
                <w:w w:val="100"/>
                <w:position w:val="0"/>
                <w:sz w:val="15"/>
                <w:szCs w:val="15"/>
              </w:rPr>
              <w:t xml:space="preserve">381,273.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2, 145, 529, </w:t>
            </w:r>
            <w:r>
              <w:rPr>
                <w:color w:val="000000"/>
                <w:spacing w:val="0"/>
                <w:w w:val="100"/>
                <w:position w:val="0"/>
                <w:sz w:val="15"/>
                <w:szCs w:val="15"/>
              </w:rPr>
              <w:t>525.00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 xml:space="preserve">44, 097, </w:t>
            </w:r>
            <w:r>
              <w:rPr>
                <w:color w:val="000000"/>
                <w:spacing w:val="0"/>
                <w:w w:val="100"/>
                <w:position w:val="0"/>
                <w:sz w:val="15"/>
                <w:szCs w:val="15"/>
              </w:rPr>
              <w:t xml:space="preserve">750.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-21, </w:t>
            </w:r>
            <w:r>
              <w:rPr>
                <w:color w:val="000000"/>
                <w:spacing w:val="0"/>
                <w:w w:val="100"/>
                <w:position w:val="0"/>
                <w:sz w:val="15"/>
                <w:szCs w:val="15"/>
              </w:rPr>
              <w:t xml:space="preserve">227, </w:t>
            </w:r>
            <w:r>
              <w:rPr>
                <w:color w:val="000000"/>
                <w:spacing w:val="0"/>
                <w:w w:val="100"/>
                <w:position w:val="0"/>
                <w:sz w:val="15"/>
                <w:szCs w:val="15"/>
              </w:rPr>
              <w:t xml:space="preserve">420. </w:t>
            </w:r>
            <w:r>
              <w:rPr>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27, 819, </w:t>
            </w:r>
            <w:r>
              <w:rPr>
                <w:color w:val="000000"/>
                <w:spacing w:val="0"/>
                <w:w w:val="100"/>
                <w:position w:val="0"/>
                <w:sz w:val="15"/>
                <w:szCs w:val="15"/>
              </w:rPr>
              <w:t xml:space="preserve">745. </w:t>
            </w:r>
            <w:r>
              <w:rPr>
                <w:color w:val="000000"/>
                <w:spacing w:val="0"/>
                <w:w w:val="100"/>
                <w:position w:val="0"/>
                <w:sz w:val="15"/>
                <w:szCs w:val="15"/>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42,582,644.01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3,120,988,016. </w:t>
            </w:r>
            <w:r>
              <w:rPr>
                <w:color w:val="000000"/>
                <w:spacing w:val="0"/>
                <w:w w:val="100"/>
                <w:position w:val="0"/>
                <w:sz w:val="15"/>
                <w:szCs w:val="15"/>
              </w:rPr>
              <w:t>74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三、本期增减变动 金额（减少以“一"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color w:val="000000"/>
                <w:spacing w:val="0"/>
                <w:w w:val="100"/>
                <w:position w:val="0"/>
                <w:sz w:val="15"/>
                <w:szCs w:val="15"/>
              </w:rPr>
              <w:t xml:space="preserve">5, 387, </w:t>
            </w:r>
            <w:r>
              <w:rPr>
                <w:color w:val="000000"/>
                <w:spacing w:val="0"/>
                <w:w w:val="100"/>
                <w:position w:val="0"/>
                <w:sz w:val="15"/>
                <w:szCs w:val="15"/>
              </w:rPr>
              <w:t xml:space="preserve">554.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97,548,114.50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116, 107, </w:t>
            </w:r>
            <w:r>
              <w:rPr>
                <w:color w:val="000000"/>
                <w:spacing w:val="0"/>
                <w:w w:val="100"/>
                <w:position w:val="0"/>
                <w:sz w:val="15"/>
                <w:szCs w:val="15"/>
              </w:rPr>
              <w:t>051.44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119,342.88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7,138,280.17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26,399,651.89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20,485,892.00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119,342.88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71,382,801.70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71,502,144.58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（二）所有者投入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color w:val="000000"/>
                <w:spacing w:val="0"/>
                <w:w w:val="100"/>
                <w:position w:val="0"/>
                <w:sz w:val="15"/>
                <w:szCs w:val="15"/>
              </w:rPr>
              <w:t xml:space="preserve">5, 387, </w:t>
            </w:r>
            <w:r>
              <w:rPr>
                <w:color w:val="000000"/>
                <w:spacing w:val="0"/>
                <w:w w:val="100"/>
                <w:position w:val="0"/>
                <w:sz w:val="15"/>
                <w:szCs w:val="15"/>
              </w:rPr>
              <w:t xml:space="preserve">554.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94, 761, </w:t>
            </w:r>
            <w:r>
              <w:rPr>
                <w:color w:val="000000"/>
                <w:spacing w:val="0"/>
                <w:w w:val="100"/>
                <w:position w:val="0"/>
                <w:sz w:val="15"/>
                <w:szCs w:val="15"/>
              </w:rPr>
              <w:t xml:space="preserve">342. </w:t>
            </w:r>
            <w:r>
              <w:rPr>
                <w:color w:val="000000"/>
                <w:spacing w:val="0"/>
                <w:w w:val="100"/>
                <w:position w:val="0"/>
                <w:sz w:val="15"/>
                <w:szCs w:val="15"/>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116,107,051.44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-15,958,155.16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所有者投入的</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color w:val="000000"/>
                <w:spacing w:val="0"/>
                <w:w w:val="100"/>
                <w:position w:val="0"/>
                <w:sz w:val="15"/>
                <w:szCs w:val="15"/>
              </w:rPr>
              <w:t>5,387,554.00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65, 290, </w:t>
            </w:r>
            <w:r>
              <w:rPr>
                <w:color w:val="000000"/>
                <w:spacing w:val="0"/>
                <w:w w:val="100"/>
                <w:position w:val="0"/>
                <w:sz w:val="15"/>
                <w:szCs w:val="15"/>
              </w:rPr>
              <w:t xml:space="preserve">871. </w:t>
            </w:r>
            <w:r>
              <w:rPr>
                <w:color w:val="000000"/>
                <w:spacing w:val="0"/>
                <w:w w:val="100"/>
                <w:position w:val="0"/>
                <w:sz w:val="15"/>
                <w:szCs w:val="15"/>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139,237,351.44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-68,558,926.28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其他权益工具</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股份支付计入</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所有者权益的金</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2,671,426.72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2,671,426.72</w:t>
            </w:r>
          </w:p>
        </w:tc>
      </w:tr>
    </w:tbl>
    <w:p>
      <w:pPr>
        <w:spacing w:lineRule="exact" w:line="1"/>
        <w:rPr>
          <w:sz w:val="2"/>
          <w:szCs w:val="2"/>
        </w:rPr>
      </w:pPr>
      <w:r>
        <w:br w:type="page"/>
      </w:r>
    </w:p>
    <w:tbl>
      <w:tblPr>
        <w:tblOverlap w:val="never"/>
        <w:jc w:val="center"/>
        <w:tblLayout w:type="fixed"/>
      </w:tblPr>
      <w:tblGrid>
        <w:gridCol w:w="1234"/>
        <w:gridCol w:w="1891"/>
        <w:gridCol w:w="850"/>
        <w:gridCol w:w="850"/>
        <w:gridCol w:w="710"/>
        <w:gridCol w:w="1416"/>
        <w:gridCol w:w="1277"/>
        <w:gridCol w:w="1277"/>
        <w:gridCol w:w="422"/>
        <w:gridCol w:w="1138"/>
        <w:gridCol w:w="1133"/>
        <w:gridCol w:w="422"/>
        <w:gridCol w:w="1282"/>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26, 799, </w:t>
            </w:r>
            <w:r>
              <w:rPr>
                <w:color w:val="000000"/>
                <w:spacing w:val="0"/>
                <w:w w:val="100"/>
                <w:position w:val="0"/>
                <w:sz w:val="15"/>
                <w:szCs w:val="15"/>
              </w:rPr>
              <w:t xml:space="preserve">044. </w:t>
            </w:r>
            <w:r>
              <w:rPr>
                <w:color w:val="000000"/>
                <w:spacing w:val="0"/>
                <w:w w:val="100"/>
                <w:position w:val="0"/>
                <w:sz w:val="15"/>
                <w:szCs w:val="15"/>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-23, </w:t>
            </w:r>
            <w:r>
              <w:rPr>
                <w:color w:val="000000"/>
                <w:spacing w:val="0"/>
                <w:w w:val="100"/>
                <w:position w:val="0"/>
                <w:sz w:val="15"/>
                <w:szCs w:val="15"/>
              </w:rPr>
              <w:t xml:space="preserve">130, </w:t>
            </w:r>
            <w:r>
              <w:rPr>
                <w:color w:val="000000"/>
                <w:spacing w:val="0"/>
                <w:w w:val="100"/>
                <w:position w:val="0"/>
                <w:sz w:val="15"/>
                <w:szCs w:val="15"/>
              </w:rPr>
              <w:t xml:space="preserve">300.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49, 929, </w:t>
            </w:r>
            <w:r>
              <w:rPr>
                <w:color w:val="000000"/>
                <w:spacing w:val="0"/>
                <w:w w:val="100"/>
                <w:position w:val="0"/>
                <w:sz w:val="15"/>
                <w:szCs w:val="15"/>
              </w:rPr>
              <w:t xml:space="preserve">344. </w:t>
            </w:r>
            <w:r>
              <w:rPr>
                <w:color w:val="000000"/>
                <w:spacing w:val="0"/>
                <w:w w:val="100"/>
                <w:position w:val="0"/>
                <w:sz w:val="15"/>
                <w:szCs w:val="15"/>
              </w:rPr>
              <w:t>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7, 138, </w:t>
            </w:r>
            <w:r>
              <w:rPr>
                <w:color w:val="000000"/>
                <w:spacing w:val="0"/>
                <w:w w:val="100"/>
                <w:position w:val="0"/>
                <w:sz w:val="15"/>
                <w:szCs w:val="15"/>
              </w:rPr>
              <w:t xml:space="preserve">280. </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-44, </w:t>
            </w:r>
            <w:r>
              <w:rPr>
                <w:color w:val="000000"/>
                <w:spacing w:val="0"/>
                <w:w w:val="100"/>
                <w:position w:val="0"/>
                <w:sz w:val="15"/>
                <w:szCs w:val="15"/>
              </w:rPr>
              <w:t xml:space="preserve">983, </w:t>
            </w:r>
            <w:r>
              <w:rPr>
                <w:color w:val="000000"/>
                <w:spacing w:val="0"/>
                <w:w w:val="100"/>
                <w:position w:val="0"/>
                <w:sz w:val="15"/>
                <w:szCs w:val="15"/>
              </w:rPr>
              <w:t>149.81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-37, </w:t>
            </w:r>
            <w:r>
              <w:rPr>
                <w:color w:val="000000"/>
                <w:spacing w:val="0"/>
                <w:w w:val="100"/>
                <w:position w:val="0"/>
                <w:sz w:val="15"/>
                <w:szCs w:val="15"/>
              </w:rPr>
              <w:t xml:space="preserve">844, </w:t>
            </w:r>
            <w:r>
              <w:rPr>
                <w:color w:val="000000"/>
                <w:spacing w:val="0"/>
                <w:w w:val="100"/>
                <w:position w:val="0"/>
                <w:sz w:val="15"/>
                <w:szCs w:val="15"/>
              </w:rPr>
              <w:t xml:space="preserve">869. </w:t>
            </w:r>
            <w:r>
              <w:rPr>
                <w:color w:val="000000"/>
                <w:spacing w:val="0"/>
                <w:w w:val="100"/>
                <w:position w:val="0"/>
                <w:sz w:val="15"/>
                <w:szCs w:val="15"/>
              </w:rPr>
              <w:t>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7, 138, </w:t>
            </w:r>
            <w:r>
              <w:rPr>
                <w:color w:val="000000"/>
                <w:spacing w:val="0"/>
                <w:w w:val="100"/>
                <w:position w:val="0"/>
                <w:sz w:val="15"/>
                <w:szCs w:val="15"/>
              </w:rPr>
              <w:t xml:space="preserve">280. </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138, </w:t>
            </w:r>
            <w:r>
              <w:rPr>
                <w:color w:val="000000"/>
                <w:spacing w:val="0"/>
                <w:w w:val="100"/>
                <w:position w:val="0"/>
                <w:sz w:val="15"/>
                <w:szCs w:val="15"/>
              </w:rPr>
              <w:t xml:space="preserve">280. </w:t>
            </w:r>
            <w:r>
              <w:rPr>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2.</w:t>
            </w:r>
            <w:r>
              <w:rPr>
                <w:color w:val="000000"/>
                <w:spacing w:val="0"/>
                <w:w w:val="100"/>
                <w:position w:val="0"/>
                <w:sz w:val="15"/>
                <w:szCs w:val="15"/>
              </w:rPr>
              <w:t>对所有者（或</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-37,844,869.64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-37,844,869.64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（四）所有者权益</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资本公积转增</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盈余公积转增</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盈余公积弥补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5"/>
                <w:szCs w:val="15"/>
              </w:rPr>
              <w:t>4.</w:t>
            </w:r>
            <w:r>
              <w:rPr>
                <w:color w:val="000000"/>
                <w:spacing w:val="0"/>
                <w:w w:val="100"/>
                <w:position w:val="0"/>
                <w:sz w:val="15"/>
                <w:szCs w:val="15"/>
              </w:rPr>
              <w:t>设定受益计划</w:t>
            </w:r>
          </w:p>
          <w:p>
            <w:pPr>
              <w:pStyle w:val="Style2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5"/>
                <w:szCs w:val="15"/>
              </w:rPr>
              <w:t>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其他综合收益</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2, 786, </w:t>
            </w:r>
            <w:r>
              <w:rPr>
                <w:color w:val="000000"/>
                <w:spacing w:val="0"/>
                <w:w w:val="100"/>
                <w:position w:val="0"/>
                <w:sz w:val="15"/>
                <w:szCs w:val="15"/>
              </w:rPr>
              <w:t xml:space="preserve">772. </w:t>
            </w:r>
            <w:r>
              <w:rPr>
                <w:color w:val="000000"/>
                <w:spacing w:val="0"/>
                <w:w w:val="100"/>
                <w:position w:val="0"/>
                <w:sz w:val="15"/>
                <w:szCs w:val="15"/>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2, 786, </w:t>
            </w:r>
            <w:r>
              <w:rPr>
                <w:color w:val="000000"/>
                <w:spacing w:val="0"/>
                <w:w w:val="100"/>
                <w:position w:val="0"/>
                <w:sz w:val="15"/>
                <w:szCs w:val="15"/>
              </w:rPr>
              <w:t xml:space="preserve">772. </w:t>
            </w:r>
            <w:r>
              <w:rPr>
                <w:color w:val="000000"/>
                <w:spacing w:val="0"/>
                <w:w w:val="100"/>
                <w:position w:val="0"/>
                <w:sz w:val="15"/>
                <w:szCs w:val="15"/>
              </w:rPr>
              <w:t>22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975, 768, </w:t>
            </w:r>
            <w:r>
              <w:rPr>
                <w:color w:val="000000"/>
                <w:spacing w:val="0"/>
                <w:w w:val="100"/>
                <w:position w:val="0"/>
                <w:sz w:val="15"/>
                <w:szCs w:val="15"/>
              </w:rPr>
              <w:t xml:space="preserve">827.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w:t>
            </w:r>
            <w:r>
              <w:rPr>
                <w:color w:val="000000"/>
                <w:spacing w:val="0"/>
                <w:w w:val="100"/>
                <w:position w:val="0"/>
                <w:sz w:val="15"/>
                <w:szCs w:val="15"/>
              </w:rPr>
              <w:t>243,077,639.50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160, 204, </w:t>
            </w:r>
            <w:r>
              <w:rPr>
                <w:color w:val="000000"/>
                <w:spacing w:val="0"/>
                <w:w w:val="100"/>
                <w:position w:val="0"/>
                <w:sz w:val="15"/>
                <w:szCs w:val="15"/>
              </w:rPr>
              <w:t>801.44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-21, 108,077. </w:t>
            </w:r>
            <w:r>
              <w:rPr>
                <w:color w:val="000000"/>
                <w:spacing w:val="0"/>
                <w:w w:val="100"/>
                <w:position w:val="0"/>
                <w:sz w:val="15"/>
                <w:szCs w:val="15"/>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34, </w:t>
            </w:r>
            <w:r>
              <w:rPr>
                <w:color w:val="000000"/>
                <w:spacing w:val="0"/>
                <w:w w:val="100"/>
                <w:position w:val="0"/>
                <w:sz w:val="15"/>
                <w:szCs w:val="15"/>
              </w:rPr>
              <w:t xml:space="preserve">958,025. </w:t>
            </w:r>
            <w:r>
              <w:rPr>
                <w:color w:val="000000"/>
                <w:spacing w:val="0"/>
                <w:w w:val="100"/>
                <w:position w:val="0"/>
                <w:sz w:val="15"/>
                <w:szCs w:val="15"/>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68, 982, </w:t>
            </w:r>
            <w:r>
              <w:rPr>
                <w:color w:val="000000"/>
                <w:spacing w:val="0"/>
                <w:w w:val="100"/>
                <w:position w:val="0"/>
                <w:sz w:val="15"/>
                <w:szCs w:val="15"/>
              </w:rPr>
              <w:t xml:space="preserve">295. </w:t>
            </w:r>
            <w:r>
              <w:rPr>
                <w:color w:val="000000"/>
                <w:spacing w:val="0"/>
                <w:w w:val="100"/>
                <w:position w:val="0"/>
                <w:sz w:val="15"/>
                <w:szCs w:val="15"/>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3, 141, 473, </w:t>
            </w:r>
            <w:r>
              <w:rPr>
                <w:color w:val="000000"/>
                <w:spacing w:val="0"/>
                <w:w w:val="100"/>
                <w:position w:val="0"/>
                <w:sz w:val="15"/>
                <w:szCs w:val="15"/>
              </w:rPr>
              <w:t xml:space="preserve">908. </w:t>
            </w:r>
            <w:r>
              <w:rPr>
                <w:color w:val="000000"/>
                <w:spacing w:val="0"/>
                <w:w w:val="100"/>
                <w:position w:val="0"/>
                <w:sz w:val="15"/>
                <w:szCs w:val="15"/>
              </w:rPr>
              <w:t>74</w:t>
            </w:r>
          </w:p>
        </w:tc>
      </w:tr>
    </w:tbl>
    <w:p>
      <w:pPr>
        <w:sectPr>
          <w:footnotePr>
            <w:pos w:val="pageBottom"/>
            <w:numFmt w:val="decimal"/>
            <w:numRestart w:val="continuous"/>
          </w:footnotePr>
          <w:pgSz w:w="16840" w:h="11900" w:orient="landscape"/>
          <w:pgMar w:top="1147" w:right="1452" w:bottom="1255" w:left="1392" w:header="0" w:footer="3" w:gutter="0"/>
          <w:cols w:space="720"/>
          <w:noEndnote/>
          <w:rtlGutter w:val="0"/>
          <w:docGrid w:linePitch="360"/>
        </w:sectPr>
      </w:pPr>
    </w:p>
    <w:p>
      <w:pPr>
        <w:pStyle w:val="Style25"/>
        <w:keepNext/>
        <w:keepLines/>
        <w:widowControl w:val="0"/>
        <w:shd w:val="clear" w:color="auto" w:fill="auto"/>
        <w:bidi w:val="0"/>
        <w:spacing w:before="80" w:after="260" w:line="240" w:lineRule="auto"/>
        <w:ind w:left="0" w:right="0" w:firstLine="0"/>
        <w:jc w:val="left"/>
      </w:pPr>
      <w:bookmarkStart w:id="682" w:name="bookmark682"/>
      <w:bookmarkStart w:id="683" w:name="bookmark683"/>
      <w:bookmarkStart w:id="684" w:name="bookmark684"/>
      <w:r>
        <w:rPr>
          <w:color w:val="000000"/>
          <w:spacing w:val="0"/>
          <w:w w:val="100"/>
          <w:position w:val="0"/>
          <w:sz w:val="24"/>
          <w:szCs w:val="24"/>
        </w:rPr>
        <w:t>三、公司基本情况</w:t>
      </w:r>
      <w:bookmarkEnd w:id="682"/>
      <w:bookmarkEnd w:id="683"/>
      <w:bookmarkEnd w:id="684"/>
    </w:p>
    <w:p>
      <w:pPr>
        <w:pStyle w:val="Style13"/>
        <w:keepNext w:val="0"/>
        <w:keepLines w:val="0"/>
        <w:widowControl w:val="0"/>
        <w:shd w:val="clear" w:color="auto" w:fill="auto"/>
        <w:bidi w:val="0"/>
        <w:spacing w:before="0" w:after="0" w:line="310" w:lineRule="exact"/>
        <w:ind w:left="0" w:right="0" w:firstLine="0"/>
        <w:jc w:val="left"/>
      </w:pPr>
      <w:r>
        <w:rPr>
          <w:color w:val="000000"/>
          <w:spacing w:val="0"/>
          <w:w w:val="100"/>
          <w:position w:val="0"/>
        </w:rPr>
        <w:t>1.</w:t>
      </w:r>
      <w:r>
        <w:rPr>
          <w:color w:val="000000"/>
          <w:spacing w:val="0"/>
          <w:w w:val="100"/>
          <w:position w:val="0"/>
        </w:rPr>
        <w:t>神州信息设立及上市情况</w:t>
      </w:r>
    </w:p>
    <w:p>
      <w:pPr>
        <w:pStyle w:val="Style1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神州数码信息服务股份有限公司（以下简称本公司、公司或神州信息，在包含子公司时统称本集团）前身为深圳市太 光电信股份有限公司（以下简称太光电信），是经贵州省经济体制改革委员会出具的《关于同意改组成立“贵州凯涤股份有 限公司”的批复》（黔体改股字</w:t>
      </w:r>
      <w:r>
        <w:rPr>
          <w:color w:val="000000"/>
          <w:spacing w:val="0"/>
          <w:w w:val="100"/>
          <w:position w:val="0"/>
        </w:rPr>
        <w:t>［1993</w:t>
      </w:r>
      <w:r>
        <w:rPr>
          <w:color w:val="000000"/>
          <w:spacing w:val="0"/>
          <w:w w:val="100"/>
          <w:position w:val="0"/>
        </w:rPr>
        <w:t>］第</w:t>
      </w:r>
      <w:r>
        <w:rPr>
          <w:color w:val="000000"/>
          <w:spacing w:val="0"/>
          <w:w w:val="100"/>
          <w:position w:val="0"/>
        </w:rPr>
        <w:t>72</w:t>
      </w:r>
      <w:r>
        <w:rPr>
          <w:color w:val="000000"/>
          <w:spacing w:val="0"/>
          <w:w w:val="100"/>
          <w:position w:val="0"/>
        </w:rPr>
        <w:t>号）、贵州省人民政府出具的《关于同意贵州凯涤股份有限公司公开发行股票并 在异地上市的批复》（贵州省人民政府黔府函</w:t>
      </w:r>
      <w:r>
        <w:rPr>
          <w:color w:val="000000"/>
          <w:spacing w:val="0"/>
          <w:w w:val="100"/>
          <w:position w:val="0"/>
        </w:rPr>
        <w:t>［1993］174</w:t>
      </w:r>
      <w:r>
        <w:rPr>
          <w:color w:val="000000"/>
          <w:spacing w:val="0"/>
          <w:w w:val="100"/>
          <w:position w:val="0"/>
        </w:rPr>
        <w:t>号文）以及中国证券监督管理委员会出具的《证监发审字</w:t>
      </w:r>
      <w:r>
        <w:rPr>
          <w:color w:val="000000"/>
          <w:spacing w:val="0"/>
          <w:w w:val="100"/>
          <w:position w:val="0"/>
        </w:rPr>
        <w:t>（1993） 100</w:t>
      </w:r>
      <w:r>
        <w:rPr>
          <w:color w:val="000000"/>
          <w:spacing w:val="0"/>
          <w:w w:val="100"/>
          <w:position w:val="0"/>
        </w:rPr>
        <w:t>号》文批准，由贵州省凯里涤纶厂作为主发起人，采取社会募集方式设立的股份有限公司，原名称为贵州凯涤股份有限 公司，设立时总股本为</w:t>
      </w:r>
      <w:r>
        <w:rPr>
          <w:color w:val="000000"/>
          <w:spacing w:val="0"/>
          <w:w w:val="100"/>
          <w:position w:val="0"/>
        </w:rPr>
        <w:t>7,438.88</w:t>
      </w:r>
      <w:r>
        <w:rPr>
          <w:color w:val="000000"/>
          <w:spacing w:val="0"/>
          <w:w w:val="100"/>
          <w:position w:val="0"/>
        </w:rPr>
        <w:t>万股。</w:t>
      </w:r>
    </w:p>
    <w:p>
      <w:pPr>
        <w:pStyle w:val="Style13"/>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1994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日，经深圳证券交易所《深证市字</w:t>
      </w:r>
      <w:r>
        <w:rPr>
          <w:color w:val="000000"/>
          <w:spacing w:val="0"/>
          <w:w w:val="100"/>
          <w:position w:val="0"/>
        </w:rPr>
        <w:t>（1994）</w:t>
      </w:r>
      <w:r>
        <w:rPr>
          <w:color w:val="000000"/>
          <w:spacing w:val="0"/>
          <w:w w:val="100"/>
          <w:position w:val="0"/>
        </w:rPr>
        <w:t>第</w:t>
      </w:r>
      <w:r>
        <w:rPr>
          <w:color w:val="000000"/>
          <w:spacing w:val="0"/>
          <w:w w:val="100"/>
          <w:position w:val="0"/>
        </w:rPr>
        <w:t>7</w:t>
      </w:r>
      <w:r>
        <w:rPr>
          <w:color w:val="000000"/>
          <w:spacing w:val="0"/>
          <w:w w:val="100"/>
          <w:position w:val="0"/>
        </w:rPr>
        <w:t>号》文批准，在深圳证券交易所挂牌上市交易，贵州省凯里 涤纶厂持有太光电信</w:t>
      </w:r>
      <w:r>
        <w:rPr>
          <w:color w:val="000000"/>
          <w:spacing w:val="0"/>
          <w:w w:val="100"/>
          <w:position w:val="0"/>
        </w:rPr>
        <w:t xml:space="preserve">32, 412, </w:t>
      </w:r>
      <w:r>
        <w:rPr>
          <w:color w:val="000000"/>
          <w:spacing w:val="0"/>
          <w:w w:val="100"/>
          <w:position w:val="0"/>
        </w:rPr>
        <w:t xml:space="preserve">428. </w:t>
      </w:r>
      <w:r>
        <w:rPr>
          <w:color w:val="000000"/>
          <w:spacing w:val="0"/>
          <w:w w:val="100"/>
          <w:position w:val="0"/>
        </w:rPr>
        <w:t>00</w:t>
      </w:r>
      <w:r>
        <w:rPr>
          <w:color w:val="000000"/>
          <w:spacing w:val="0"/>
          <w:w w:val="100"/>
          <w:position w:val="0"/>
        </w:rPr>
        <w:t>股，占总股本的</w:t>
      </w:r>
      <w:r>
        <w:rPr>
          <w:color w:val="000000"/>
          <w:spacing w:val="0"/>
          <w:w w:val="100"/>
          <w:position w:val="0"/>
        </w:rPr>
        <w:t xml:space="preserve">43. </w:t>
      </w:r>
      <w:r>
        <w:rPr>
          <w:color w:val="000000"/>
          <w:spacing w:val="0"/>
          <w:w w:val="100"/>
          <w:position w:val="0"/>
        </w:rPr>
        <w:t>57%，</w:t>
      </w:r>
      <w:r>
        <w:rPr>
          <w:color w:val="000000"/>
          <w:spacing w:val="0"/>
          <w:w w:val="100"/>
          <w:position w:val="0"/>
        </w:rPr>
        <w:t>为太光电信的控股股东。</w:t>
      </w:r>
    </w:p>
    <w:p>
      <w:pPr>
        <w:pStyle w:val="Style27"/>
        <w:keepNext w:val="0"/>
        <w:keepLines w:val="0"/>
        <w:widowControl w:val="0"/>
        <w:shd w:val="clear" w:color="auto" w:fill="auto"/>
        <w:bidi w:val="0"/>
        <w:spacing w:before="0" w:after="0" w:line="240" w:lineRule="auto"/>
        <w:ind w:left="413" w:right="0" w:firstLine="0"/>
        <w:jc w:val="left"/>
      </w:pPr>
      <w:r>
        <w:rPr>
          <w:color w:val="000000"/>
          <w:spacing w:val="0"/>
          <w:w w:val="100"/>
          <w:position w:val="0"/>
        </w:rPr>
        <w:t>首次公开发行上市完成时，股本结构如下:</w:t>
      </w:r>
    </w:p>
    <w:tbl>
      <w:tblPr>
        <w:tblOverlap w:val="never"/>
        <w:jc w:val="left"/>
        <w:tblLayout w:type="fixed"/>
      </w:tblPr>
      <w:tblGrid>
        <w:gridCol w:w="2981"/>
        <w:gridCol w:w="2981"/>
        <w:gridCol w:w="2554"/>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股份类别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股份数量（万股）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所占比例</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 xml:space="preserve">3, </w:t>
            </w:r>
            <w:r>
              <w:rPr>
                <w:color w:val="000000"/>
                <w:spacing w:val="0"/>
                <w:w w:val="100"/>
                <w:position w:val="0"/>
              </w:rPr>
              <w:t>241.24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43.57%</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2,197.64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29.54%</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26.89%</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其中：内部职工股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r>
        <w:trPr>
          <w:trHeight w:val="34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总股本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b/>
                <w:bCs/>
                <w:color w:val="000000"/>
                <w:spacing w:val="0"/>
                <w:w w:val="100"/>
                <w:position w:val="0"/>
              </w:rPr>
              <w:t>7,</w:t>
            </w:r>
            <w:r>
              <w:rPr>
                <w:b/>
                <w:bCs/>
                <w:color w:val="000000"/>
                <w:spacing w:val="0"/>
                <w:w w:val="100"/>
                <w:position w:val="0"/>
              </w:rPr>
              <w:t xml:space="preserve">438. </w:t>
            </w:r>
            <w:r>
              <w:rPr>
                <w:b/>
                <w:bCs/>
                <w:color w:val="000000"/>
                <w:spacing w:val="0"/>
                <w:w w:val="100"/>
                <w:position w:val="0"/>
              </w:rPr>
              <w:t>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r>
              <w:rPr>
                <w:b/>
                <w:bCs/>
                <w:color w:val="000000"/>
                <w:spacing w:val="0"/>
                <w:w w:val="100"/>
                <w:position w:val="0"/>
              </w:rPr>
              <w:t>00%</w:t>
            </w:r>
          </w:p>
        </w:tc>
      </w:tr>
    </w:tbl>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color w:val="000000"/>
          <w:spacing w:val="0"/>
          <w:w w:val="100"/>
          <w:position w:val="0"/>
        </w:rPr>
        <w:t>神州信息历次股本及控股权变动情况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1）1995</w:t>
      </w:r>
      <w:r>
        <w:rPr>
          <w:color w:val="000000"/>
          <w:spacing w:val="0"/>
          <w:w w:val="100"/>
          <w:position w:val="0"/>
        </w:rPr>
        <w:t>年配股</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1995</w:t>
      </w:r>
      <w:r>
        <w:rPr>
          <w:color w:val="000000"/>
          <w:spacing w:val="0"/>
          <w:w w:val="100"/>
          <w:position w:val="0"/>
        </w:rPr>
        <w:t>年</w:t>
      </w:r>
      <w:r>
        <w:rPr>
          <w:color w:val="000000"/>
          <w:spacing w:val="0"/>
          <w:w w:val="100"/>
          <w:position w:val="0"/>
        </w:rPr>
        <w:t>6</w:t>
      </w:r>
      <w:r>
        <w:rPr>
          <w:color w:val="000000"/>
          <w:spacing w:val="0"/>
          <w:w w:val="100"/>
          <w:position w:val="0"/>
        </w:rPr>
        <w:t>月，太光电信召开第二次股东大会，审议同意以未分配利润按每</w:t>
      </w:r>
      <w:r>
        <w:rPr>
          <w:color w:val="000000"/>
          <w:spacing w:val="0"/>
          <w:w w:val="100"/>
          <w:position w:val="0"/>
        </w:rPr>
        <w:t>10</w:t>
      </w:r>
      <w:r>
        <w:rPr>
          <w:color w:val="000000"/>
          <w:spacing w:val="0"/>
          <w:w w:val="100"/>
          <w:position w:val="0"/>
        </w:rPr>
        <w:t>股送</w:t>
      </w:r>
      <w:r>
        <w:rPr>
          <w:color w:val="000000"/>
          <w:spacing w:val="0"/>
          <w:w w:val="100"/>
          <w:position w:val="0"/>
        </w:rPr>
        <w:t>1</w:t>
      </w:r>
      <w:r>
        <w:rPr>
          <w:color w:val="000000"/>
          <w:spacing w:val="0"/>
          <w:w w:val="100"/>
          <w:position w:val="0"/>
        </w:rPr>
        <w:t>股向全体股东送派红股。配股完成后， 太光电信总股本增至</w:t>
      </w:r>
      <w:r>
        <w:rPr>
          <w:color w:val="000000"/>
          <w:spacing w:val="0"/>
          <w:w w:val="100"/>
          <w:position w:val="0"/>
        </w:rPr>
        <w:t xml:space="preserve">8, </w:t>
      </w:r>
      <w:r>
        <w:rPr>
          <w:color w:val="000000"/>
          <w:spacing w:val="0"/>
          <w:w w:val="100"/>
          <w:position w:val="0"/>
        </w:rPr>
        <w:t xml:space="preserve">182. </w:t>
      </w:r>
      <w:r>
        <w:rPr>
          <w:color w:val="000000"/>
          <w:spacing w:val="0"/>
          <w:w w:val="100"/>
          <w:position w:val="0"/>
        </w:rPr>
        <w:t>77</w:t>
      </w:r>
      <w:r>
        <w:rPr>
          <w:color w:val="000000"/>
          <w:spacing w:val="0"/>
          <w:w w:val="100"/>
          <w:position w:val="0"/>
        </w:rPr>
        <w:t>万股。</w:t>
      </w:r>
    </w:p>
    <w:p>
      <w:pPr>
        <w:pStyle w:val="Style13"/>
        <w:keepNext w:val="0"/>
        <w:keepLines w:val="0"/>
        <w:widowControl w:val="0"/>
        <w:shd w:val="clear" w:color="auto" w:fill="auto"/>
        <w:tabs>
          <w:tab w:pos="492" w:val="left"/>
        </w:tabs>
        <w:bidi w:val="0"/>
        <w:spacing w:before="0" w:after="0" w:line="314" w:lineRule="exact"/>
        <w:ind w:left="0" w:right="0" w:firstLine="160"/>
        <w:jc w:val="both"/>
      </w:pPr>
      <w:bookmarkStart w:id="685" w:name="bookmark685"/>
      <w:r>
        <w:rPr>
          <w:color w:val="000000"/>
          <w:spacing w:val="0"/>
          <w:w w:val="100"/>
          <w:position w:val="0"/>
        </w:rPr>
        <w:t>2</w:t>
      </w:r>
      <w:bookmarkEnd w:id="685"/>
      <w:r>
        <w:rPr>
          <w:color w:val="000000"/>
          <w:spacing w:val="0"/>
          <w:w w:val="100"/>
          <w:position w:val="0"/>
        </w:rPr>
        <w:t>）</w:t>
        <w:tab/>
        <w:t>2000</w:t>
      </w:r>
      <w:r>
        <w:rPr>
          <w:color w:val="000000"/>
          <w:spacing w:val="0"/>
          <w:w w:val="100"/>
          <w:position w:val="0"/>
        </w:rPr>
        <w:t>年股权变更</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2000</w:t>
      </w:r>
      <w:r>
        <w:rPr>
          <w:color w:val="000000"/>
          <w:spacing w:val="0"/>
          <w:w w:val="100"/>
          <w:position w:val="0"/>
        </w:rPr>
        <w:t>年</w:t>
      </w:r>
      <w:r>
        <w:rPr>
          <w:color w:val="000000"/>
          <w:spacing w:val="0"/>
          <w:w w:val="100"/>
          <w:position w:val="0"/>
        </w:rPr>
        <w:t>9</w:t>
      </w:r>
      <w:r>
        <w:rPr>
          <w:color w:val="000000"/>
          <w:spacing w:val="0"/>
          <w:w w:val="100"/>
          <w:position w:val="0"/>
        </w:rPr>
        <w:t>月及</w:t>
      </w:r>
      <w:r>
        <w:rPr>
          <w:color w:val="000000"/>
          <w:spacing w:val="0"/>
          <w:w w:val="100"/>
          <w:position w:val="0"/>
        </w:rPr>
        <w:t>11</w:t>
      </w:r>
      <w:r>
        <w:rPr>
          <w:color w:val="000000"/>
          <w:spacing w:val="0"/>
          <w:w w:val="100"/>
          <w:position w:val="0"/>
        </w:rPr>
        <w:t>月</w:t>
      </w:r>
      <w:r>
        <w:rPr>
          <w:color w:val="000000"/>
          <w:spacing w:val="0"/>
          <w:w w:val="100"/>
          <w:position w:val="0"/>
        </w:rPr>
        <w:t>，</w:t>
      </w:r>
      <w:r>
        <w:rPr>
          <w:color w:val="000000"/>
          <w:spacing w:val="0"/>
          <w:w w:val="100"/>
          <w:position w:val="0"/>
        </w:rPr>
        <w:t>因无力偿还银行债务，太光电信原第一大股东贵州省凯里涤纶厂持有的</w:t>
      </w:r>
      <w:r>
        <w:rPr>
          <w:color w:val="000000"/>
          <w:spacing w:val="0"/>
          <w:w w:val="100"/>
          <w:position w:val="0"/>
        </w:rPr>
        <w:t xml:space="preserve">3, </w:t>
      </w:r>
      <w:r>
        <w:rPr>
          <w:color w:val="000000"/>
          <w:spacing w:val="0"/>
          <w:w w:val="100"/>
          <w:position w:val="0"/>
        </w:rPr>
        <w:t xml:space="preserve">565. </w:t>
      </w:r>
      <w:r>
        <w:rPr>
          <w:color w:val="000000"/>
          <w:spacing w:val="0"/>
          <w:w w:val="100"/>
          <w:position w:val="0"/>
        </w:rPr>
        <w:t>37</w:t>
      </w:r>
      <w:r>
        <w:rPr>
          <w:color w:val="000000"/>
          <w:spacing w:val="0"/>
          <w:w w:val="100"/>
          <w:position w:val="0"/>
        </w:rPr>
        <w:t>万股太光电信股份 被贵州省高级人民法院分两次进行强制执行，分别变卖给：北京新唐建筑装饰工程有限公司</w:t>
      </w:r>
      <w:r>
        <w:rPr>
          <w:color w:val="000000"/>
          <w:spacing w:val="0"/>
          <w:w w:val="100"/>
          <w:position w:val="0"/>
        </w:rPr>
        <w:t>1,886.14</w:t>
      </w:r>
      <w:r>
        <w:rPr>
          <w:color w:val="000000"/>
          <w:spacing w:val="0"/>
          <w:w w:val="100"/>
          <w:position w:val="0"/>
        </w:rPr>
        <w:t>万股，占太光电信股本 总额的</w:t>
      </w:r>
      <w:r>
        <w:rPr>
          <w:color w:val="000000"/>
          <w:spacing w:val="0"/>
          <w:w w:val="100"/>
          <w:position w:val="0"/>
        </w:rPr>
        <w:t xml:space="preserve">23. </w:t>
      </w:r>
      <w:r>
        <w:rPr>
          <w:color w:val="000000"/>
          <w:spacing w:val="0"/>
          <w:w w:val="100"/>
          <w:position w:val="0"/>
        </w:rPr>
        <w:t>05%；</w:t>
      </w:r>
      <w:r>
        <w:rPr>
          <w:color w:val="000000"/>
          <w:spacing w:val="0"/>
          <w:w w:val="100"/>
          <w:position w:val="0"/>
        </w:rPr>
        <w:t>北京德惠俱乐部有限公司</w:t>
      </w:r>
      <w:r>
        <w:rPr>
          <w:color w:val="000000"/>
          <w:spacing w:val="0"/>
          <w:w w:val="100"/>
          <w:position w:val="0"/>
        </w:rPr>
        <w:t xml:space="preserve">1, </w:t>
      </w:r>
      <w:r>
        <w:rPr>
          <w:color w:val="000000"/>
          <w:spacing w:val="0"/>
          <w:w w:val="100"/>
          <w:position w:val="0"/>
        </w:rPr>
        <w:t xml:space="preserve">305. </w:t>
      </w:r>
      <w:r>
        <w:rPr>
          <w:color w:val="000000"/>
          <w:spacing w:val="0"/>
          <w:w w:val="100"/>
          <w:position w:val="0"/>
        </w:rPr>
        <w:t>23</w:t>
      </w:r>
      <w:r>
        <w:rPr>
          <w:color w:val="000000"/>
          <w:spacing w:val="0"/>
          <w:w w:val="100"/>
          <w:position w:val="0"/>
        </w:rPr>
        <w:t>万股，占太光电信股本总额的</w:t>
      </w:r>
      <w:r>
        <w:rPr>
          <w:color w:val="000000"/>
          <w:spacing w:val="0"/>
          <w:w w:val="100"/>
          <w:position w:val="0"/>
        </w:rPr>
        <w:t xml:space="preserve">15. </w:t>
      </w:r>
      <w:r>
        <w:rPr>
          <w:color w:val="000000"/>
          <w:spacing w:val="0"/>
          <w:w w:val="100"/>
          <w:position w:val="0"/>
        </w:rPr>
        <w:t>95%；</w:t>
      </w:r>
      <w:r>
        <w:rPr>
          <w:color w:val="000000"/>
          <w:spacing w:val="0"/>
          <w:w w:val="100"/>
          <w:position w:val="0"/>
        </w:rPr>
        <w:t>广州银鹏经济发展公司</w:t>
      </w:r>
      <w:r>
        <w:rPr>
          <w:color w:val="000000"/>
          <w:spacing w:val="0"/>
          <w:w w:val="100"/>
          <w:position w:val="0"/>
        </w:rPr>
        <w:t xml:space="preserve">374. </w:t>
      </w:r>
      <w:r>
        <w:rPr>
          <w:color w:val="000000"/>
          <w:spacing w:val="0"/>
          <w:w w:val="100"/>
          <w:position w:val="0"/>
        </w:rPr>
        <w:t>00</w:t>
      </w:r>
      <w:r>
        <w:rPr>
          <w:color w:val="000000"/>
          <w:spacing w:val="0"/>
          <w:w w:val="100"/>
          <w:position w:val="0"/>
        </w:rPr>
        <w:t>万股， 占太光电信股本总额的</w:t>
      </w:r>
      <w:r>
        <w:rPr>
          <w:color w:val="000000"/>
          <w:spacing w:val="0"/>
          <w:w w:val="100"/>
          <w:position w:val="0"/>
        </w:rPr>
        <w:t xml:space="preserve">4. </w:t>
      </w:r>
      <w:r>
        <w:rPr>
          <w:color w:val="000000"/>
          <w:spacing w:val="0"/>
          <w:w w:val="100"/>
          <w:position w:val="0"/>
        </w:rPr>
        <w:t>57%</w:t>
      </w:r>
      <w:r>
        <w:rPr>
          <w:color w:val="000000"/>
          <w:spacing w:val="0"/>
          <w:w w:val="100"/>
          <w:position w:val="0"/>
        </w:rPr>
        <w:t>。</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2000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日，广东金龙基企业有限公司等八家公司股东与深圳市太光科技有限公司签订《股权转让协议》，广东金 龙基企业有限公司等八家股东将合计持有的太光电信股份</w:t>
      </w:r>
      <w:r>
        <w:rPr>
          <w:color w:val="000000"/>
          <w:spacing w:val="0"/>
          <w:w w:val="100"/>
          <w:position w:val="0"/>
        </w:rPr>
        <w:t>1,989.71</w:t>
      </w:r>
      <w:r>
        <w:rPr>
          <w:color w:val="000000"/>
          <w:spacing w:val="0"/>
          <w:w w:val="100"/>
          <w:position w:val="0"/>
        </w:rPr>
        <w:t>万股转让给深圳市太光科技有限公司。</w:t>
      </w:r>
    </w:p>
    <w:p>
      <w:pPr>
        <w:pStyle w:val="Style13"/>
        <w:keepNext w:val="0"/>
        <w:keepLines w:val="0"/>
        <w:widowControl w:val="0"/>
        <w:shd w:val="clear" w:color="auto" w:fill="auto"/>
        <w:bidi w:val="0"/>
        <w:spacing w:before="0" w:after="0" w:line="314" w:lineRule="exact"/>
        <w:ind w:left="0" w:right="0" w:firstLine="460"/>
        <w:jc w:val="left"/>
      </w:pPr>
      <w:r>
        <w:rPr>
          <w:color w:val="000000"/>
          <w:spacing w:val="0"/>
          <w:w w:val="100"/>
          <w:position w:val="0"/>
        </w:rPr>
        <w:t>经过上述股权变动，深圳市太光科技有限公司成为太光电信的控股股东。</w:t>
      </w:r>
    </w:p>
    <w:p>
      <w:pPr>
        <w:pStyle w:val="Style13"/>
        <w:keepNext w:val="0"/>
        <w:keepLines w:val="0"/>
        <w:widowControl w:val="0"/>
        <w:shd w:val="clear" w:color="auto" w:fill="auto"/>
        <w:tabs>
          <w:tab w:pos="492" w:val="left"/>
        </w:tabs>
        <w:bidi w:val="0"/>
        <w:spacing w:before="0" w:after="0" w:line="314" w:lineRule="exact"/>
        <w:ind w:left="0" w:right="0" w:firstLine="160"/>
        <w:jc w:val="left"/>
      </w:pPr>
      <w:bookmarkStart w:id="686" w:name="bookmark686"/>
      <w:r>
        <w:rPr>
          <w:color w:val="000000"/>
          <w:spacing w:val="0"/>
          <w:w w:val="100"/>
          <w:position w:val="0"/>
        </w:rPr>
        <w:t>3</w:t>
      </w:r>
      <w:bookmarkEnd w:id="686"/>
      <w:r>
        <w:rPr>
          <w:color w:val="000000"/>
          <w:spacing w:val="0"/>
          <w:w w:val="100"/>
          <w:position w:val="0"/>
        </w:rPr>
        <w:t>）</w:t>
        <w:tab/>
        <w:t>2002</w:t>
      </w:r>
      <w:r>
        <w:rPr>
          <w:color w:val="000000"/>
          <w:spacing w:val="0"/>
          <w:w w:val="100"/>
          <w:position w:val="0"/>
        </w:rPr>
        <w:t>年太光电信股权变更</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2002</w:t>
      </w:r>
      <w:r>
        <w:rPr>
          <w:color w:val="000000"/>
          <w:spacing w:val="0"/>
          <w:w w:val="100"/>
          <w:position w:val="0"/>
        </w:rPr>
        <w:t>年</w:t>
      </w:r>
      <w:r>
        <w:rPr>
          <w:color w:val="000000"/>
          <w:spacing w:val="0"/>
          <w:w w:val="100"/>
          <w:position w:val="0"/>
        </w:rPr>
        <w:t>8</w:t>
      </w:r>
      <w:r>
        <w:rPr>
          <w:color w:val="000000"/>
          <w:spacing w:val="0"/>
          <w:w w:val="100"/>
          <w:position w:val="0"/>
        </w:rPr>
        <w:t>月，巨龙信息技术有限责任公司收购太光电信第二大股东北京新唐建筑装饰工程有限公司和第三大股东北京德 惠俱乐部有限公司合计所持有的太光电信股份</w:t>
      </w:r>
      <w:r>
        <w:rPr>
          <w:color w:val="000000"/>
          <w:spacing w:val="0"/>
          <w:w w:val="100"/>
          <w:position w:val="0"/>
        </w:rPr>
        <w:t xml:space="preserve">1, </w:t>
      </w:r>
      <w:r>
        <w:rPr>
          <w:color w:val="000000"/>
          <w:spacing w:val="0"/>
          <w:w w:val="100"/>
          <w:position w:val="0"/>
        </w:rPr>
        <w:t>983.3</w:t>
      </w:r>
      <w:r>
        <w:rPr>
          <w:color w:val="000000"/>
          <w:spacing w:val="0"/>
          <w:w w:val="100"/>
          <w:position w:val="0"/>
        </w:rPr>
        <w:t>7</w:t>
      </w:r>
      <w:r>
        <w:rPr>
          <w:color w:val="000000"/>
          <w:spacing w:val="0"/>
          <w:w w:val="100"/>
          <w:position w:val="0"/>
        </w:rPr>
        <w:t>万股，占太光电信总股本的</w:t>
      </w:r>
      <w:r>
        <w:rPr>
          <w:color w:val="000000"/>
          <w:spacing w:val="0"/>
          <w:w w:val="100"/>
          <w:position w:val="0"/>
        </w:rPr>
        <w:t>24.24%，</w:t>
      </w:r>
      <w:r>
        <w:rPr>
          <w:color w:val="000000"/>
          <w:spacing w:val="0"/>
          <w:w w:val="100"/>
          <w:position w:val="0"/>
        </w:rPr>
        <w:t>成为太光电信第二大股东。</w:t>
      </w:r>
    </w:p>
    <w:p>
      <w:pPr>
        <w:pStyle w:val="Style13"/>
        <w:keepNext w:val="0"/>
        <w:keepLines w:val="0"/>
        <w:widowControl w:val="0"/>
        <w:shd w:val="clear" w:color="auto" w:fill="auto"/>
        <w:tabs>
          <w:tab w:pos="497" w:val="left"/>
        </w:tabs>
        <w:bidi w:val="0"/>
        <w:spacing w:before="0" w:after="0" w:line="314" w:lineRule="exact"/>
        <w:ind w:left="0" w:right="0" w:firstLine="160"/>
        <w:jc w:val="left"/>
      </w:pPr>
      <w:bookmarkStart w:id="687" w:name="bookmark687"/>
      <w:r>
        <w:rPr>
          <w:color w:val="000000"/>
          <w:spacing w:val="0"/>
          <w:w w:val="100"/>
          <w:position w:val="0"/>
        </w:rPr>
        <w:t>4</w:t>
      </w:r>
      <w:bookmarkEnd w:id="687"/>
      <w:r>
        <w:rPr>
          <w:color w:val="000000"/>
          <w:spacing w:val="0"/>
          <w:w w:val="100"/>
          <w:position w:val="0"/>
        </w:rPr>
        <w:t>）</w:t>
        <w:tab/>
        <w:t>2004</w:t>
      </w:r>
      <w:r>
        <w:rPr>
          <w:color w:val="000000"/>
          <w:spacing w:val="0"/>
          <w:w w:val="100"/>
          <w:position w:val="0"/>
        </w:rPr>
        <w:t>年太光电信股权变更</w:t>
      </w:r>
    </w:p>
    <w:p>
      <w:pPr>
        <w:pStyle w:val="Style13"/>
        <w:keepNext w:val="0"/>
        <w:keepLines w:val="0"/>
        <w:widowControl w:val="0"/>
        <w:shd w:val="clear" w:color="auto" w:fill="auto"/>
        <w:bidi w:val="0"/>
        <w:spacing w:before="0" w:after="0" w:line="314" w:lineRule="exact"/>
        <w:ind w:left="160" w:right="0" w:firstLine="360"/>
        <w:jc w:val="both"/>
      </w:pPr>
      <w:r>
        <w:rPr>
          <w:color w:val="000000"/>
          <w:spacing w:val="0"/>
          <w:w w:val="100"/>
          <w:position w:val="0"/>
        </w:rPr>
        <w:t>2004</w:t>
      </w:r>
      <w:r>
        <w:rPr>
          <w:color w:val="000000"/>
          <w:spacing w:val="0"/>
          <w:w w:val="100"/>
          <w:position w:val="0"/>
        </w:rPr>
        <w:t>年</w:t>
      </w:r>
      <w:r>
        <w:rPr>
          <w:color w:val="000000"/>
          <w:spacing w:val="0"/>
          <w:w w:val="100"/>
          <w:position w:val="0"/>
        </w:rPr>
        <w:t>8</w:t>
      </w:r>
      <w:r>
        <w:rPr>
          <w:color w:val="000000"/>
          <w:spacing w:val="0"/>
          <w:w w:val="100"/>
          <w:position w:val="0"/>
        </w:rPr>
        <w:t>月，因欠款纠纷，北京市第二中级人民法院将巨龙信息技术有限责任公司所持太光电信股份</w:t>
      </w:r>
      <w:r>
        <w:rPr>
          <w:color w:val="000000"/>
          <w:spacing w:val="0"/>
          <w:w w:val="100"/>
          <w:position w:val="0"/>
        </w:rPr>
        <w:t xml:space="preserve">608. </w:t>
      </w:r>
      <w:r>
        <w:rPr>
          <w:color w:val="000000"/>
          <w:spacing w:val="0"/>
          <w:w w:val="100"/>
          <w:position w:val="0"/>
        </w:rPr>
        <w:t>37</w:t>
      </w:r>
      <w:r>
        <w:rPr>
          <w:color w:val="000000"/>
          <w:spacing w:val="0"/>
          <w:w w:val="100"/>
          <w:position w:val="0"/>
        </w:rPr>
        <w:t>万股（占 太光电信总股本的</w:t>
      </w:r>
      <w:r>
        <w:rPr>
          <w:color w:val="000000"/>
          <w:spacing w:val="0"/>
          <w:w w:val="100"/>
          <w:position w:val="0"/>
        </w:rPr>
        <w:t>7.44%）</w:t>
      </w:r>
      <w:r>
        <w:rPr>
          <w:color w:val="000000"/>
          <w:spacing w:val="0"/>
          <w:w w:val="100"/>
          <w:position w:val="0"/>
        </w:rPr>
        <w:t>公开拍卖，由上海华之达商贸有限公司竞买取得并成为太光电信第三大股东。</w:t>
      </w:r>
    </w:p>
    <w:p>
      <w:pPr>
        <w:pStyle w:val="Style13"/>
        <w:keepNext w:val="0"/>
        <w:keepLines w:val="0"/>
        <w:widowControl w:val="0"/>
        <w:shd w:val="clear" w:color="auto" w:fill="auto"/>
        <w:tabs>
          <w:tab w:pos="497" w:val="left"/>
        </w:tabs>
        <w:bidi w:val="0"/>
        <w:spacing w:before="0" w:after="0" w:line="314" w:lineRule="exact"/>
        <w:ind w:left="0" w:right="0" w:firstLine="160"/>
        <w:jc w:val="left"/>
      </w:pPr>
      <w:bookmarkStart w:id="688" w:name="bookmark688"/>
      <w:r>
        <w:rPr>
          <w:color w:val="000000"/>
          <w:spacing w:val="0"/>
          <w:w w:val="100"/>
          <w:position w:val="0"/>
        </w:rPr>
        <w:t>5</w:t>
      </w:r>
      <w:bookmarkEnd w:id="688"/>
      <w:r>
        <w:rPr>
          <w:color w:val="000000"/>
          <w:spacing w:val="0"/>
          <w:w w:val="100"/>
          <w:position w:val="0"/>
        </w:rPr>
        <w:t>）</w:t>
        <w:tab/>
        <w:t>2004</w:t>
      </w:r>
      <w:r>
        <w:rPr>
          <w:color w:val="000000"/>
          <w:spacing w:val="0"/>
          <w:w w:val="100"/>
          <w:position w:val="0"/>
        </w:rPr>
        <w:t>年太光电信控股股东更名</w:t>
      </w:r>
    </w:p>
    <w:p>
      <w:pPr>
        <w:pStyle w:val="Style13"/>
        <w:keepNext w:val="0"/>
        <w:keepLines w:val="0"/>
        <w:widowControl w:val="0"/>
        <w:shd w:val="clear" w:color="auto" w:fill="auto"/>
        <w:bidi w:val="0"/>
        <w:spacing w:before="0" w:after="0" w:line="314" w:lineRule="exact"/>
        <w:ind w:left="160" w:right="0" w:firstLine="360"/>
        <w:jc w:val="both"/>
      </w:pPr>
      <w:r>
        <w:rPr>
          <w:color w:val="000000"/>
          <w:spacing w:val="0"/>
          <w:w w:val="100"/>
          <w:position w:val="0"/>
        </w:rPr>
        <w:t>2004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w:t>
      </w:r>
      <w:r>
        <w:rPr>
          <w:color w:val="000000"/>
          <w:spacing w:val="0"/>
          <w:w w:val="100"/>
          <w:position w:val="0"/>
        </w:rPr>
        <w:t>太光电信控股股东深圳市太光科技有限公司更名为深圳市申昌科技有限公司</w:t>
      </w:r>
      <w:r>
        <w:rPr>
          <w:color w:val="000000"/>
          <w:spacing w:val="0"/>
          <w:w w:val="100"/>
          <w:position w:val="0"/>
        </w:rPr>
        <w:t>（</w:t>
      </w:r>
      <w:r>
        <w:rPr>
          <w:color w:val="000000"/>
          <w:spacing w:val="0"/>
          <w:w w:val="100"/>
          <w:position w:val="0"/>
        </w:rPr>
        <w:t>以下简称深圳申昌科 技）。</w:t>
      </w:r>
    </w:p>
    <w:p>
      <w:pPr>
        <w:pStyle w:val="Style13"/>
        <w:keepNext w:val="0"/>
        <w:keepLines w:val="0"/>
        <w:widowControl w:val="0"/>
        <w:shd w:val="clear" w:color="auto" w:fill="auto"/>
        <w:tabs>
          <w:tab w:pos="497" w:val="left"/>
        </w:tabs>
        <w:bidi w:val="0"/>
        <w:spacing w:before="0" w:after="0" w:line="314" w:lineRule="exact"/>
        <w:ind w:left="0" w:right="0" w:firstLine="160"/>
        <w:jc w:val="left"/>
      </w:pPr>
      <w:bookmarkStart w:id="689" w:name="bookmark689"/>
      <w:r>
        <w:rPr>
          <w:color w:val="000000"/>
          <w:spacing w:val="0"/>
          <w:w w:val="100"/>
          <w:position w:val="0"/>
        </w:rPr>
        <w:t>6</w:t>
      </w:r>
      <w:bookmarkEnd w:id="689"/>
      <w:r>
        <w:rPr>
          <w:color w:val="000000"/>
          <w:spacing w:val="0"/>
          <w:w w:val="100"/>
          <w:position w:val="0"/>
        </w:rPr>
        <w:t>）</w:t>
        <w:tab/>
        <w:t>2006</w:t>
      </w:r>
      <w:r>
        <w:rPr>
          <w:color w:val="000000"/>
          <w:spacing w:val="0"/>
          <w:w w:val="100"/>
          <w:position w:val="0"/>
        </w:rPr>
        <w:t>年太光电信股权变更</w:t>
      </w:r>
    </w:p>
    <w:p>
      <w:pPr>
        <w:pStyle w:val="Style13"/>
        <w:keepNext w:val="0"/>
        <w:keepLines w:val="0"/>
        <w:widowControl w:val="0"/>
        <w:shd w:val="clear" w:color="auto" w:fill="auto"/>
        <w:bidi w:val="0"/>
        <w:spacing w:before="0" w:after="0" w:line="314" w:lineRule="exact"/>
        <w:ind w:left="160" w:right="0" w:firstLine="360"/>
        <w:jc w:val="both"/>
      </w:pP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日，太光电信第二大股东巨龙信息技术有限责任公司所持有的太光电信</w:t>
      </w:r>
      <w:r>
        <w:rPr>
          <w:color w:val="000000"/>
          <w:spacing w:val="0"/>
          <w:w w:val="100"/>
          <w:position w:val="0"/>
        </w:rPr>
        <w:t xml:space="preserve">1, </w:t>
      </w:r>
      <w:r>
        <w:rPr>
          <w:color w:val="000000"/>
          <w:spacing w:val="0"/>
          <w:w w:val="100"/>
          <w:position w:val="0"/>
        </w:rPr>
        <w:t xml:space="preserve">375. </w:t>
      </w:r>
      <w:r>
        <w:rPr>
          <w:color w:val="000000"/>
          <w:spacing w:val="0"/>
          <w:w w:val="100"/>
          <w:position w:val="0"/>
        </w:rPr>
        <w:t>00</w:t>
      </w:r>
      <w:r>
        <w:rPr>
          <w:color w:val="000000"/>
          <w:spacing w:val="0"/>
          <w:w w:val="100"/>
          <w:position w:val="0"/>
        </w:rPr>
        <w:t>万股股份被拍卖给四家 公司，其中上海锯爱企业发展有限公司购买</w:t>
      </w:r>
      <w:r>
        <w:rPr>
          <w:color w:val="000000"/>
          <w:spacing w:val="0"/>
          <w:w w:val="100"/>
          <w:position w:val="0"/>
        </w:rPr>
        <w:t xml:space="preserve">400. </w:t>
      </w:r>
      <w:r>
        <w:rPr>
          <w:color w:val="000000"/>
          <w:spacing w:val="0"/>
          <w:w w:val="100"/>
          <w:position w:val="0"/>
        </w:rPr>
        <w:t>00</w:t>
      </w:r>
      <w:r>
        <w:rPr>
          <w:color w:val="000000"/>
          <w:spacing w:val="0"/>
          <w:w w:val="100"/>
          <w:position w:val="0"/>
        </w:rPr>
        <w:t>万股，上海优麦点广告有限公司购买</w:t>
      </w:r>
      <w:r>
        <w:rPr>
          <w:color w:val="000000"/>
          <w:spacing w:val="0"/>
          <w:w w:val="100"/>
          <w:position w:val="0"/>
        </w:rPr>
        <w:t xml:space="preserve">400. </w:t>
      </w:r>
      <w:r>
        <w:rPr>
          <w:color w:val="000000"/>
          <w:spacing w:val="0"/>
          <w:w w:val="100"/>
          <w:position w:val="0"/>
        </w:rPr>
        <w:t>00</w:t>
      </w:r>
      <w:r>
        <w:rPr>
          <w:color w:val="000000"/>
          <w:spacing w:val="0"/>
          <w:w w:val="100"/>
          <w:position w:val="0"/>
        </w:rPr>
        <w:t>万股，陕西瑞发投资有限公 司购买</w:t>
      </w:r>
      <w:r>
        <w:rPr>
          <w:color w:val="000000"/>
          <w:spacing w:val="0"/>
          <w:w w:val="100"/>
          <w:position w:val="0"/>
        </w:rPr>
        <w:t xml:space="preserve">400. </w:t>
      </w:r>
      <w:r>
        <w:rPr>
          <w:color w:val="000000"/>
          <w:spacing w:val="0"/>
          <w:w w:val="100"/>
          <w:position w:val="0"/>
        </w:rPr>
        <w:t>00</w:t>
      </w:r>
      <w:r>
        <w:rPr>
          <w:color w:val="000000"/>
          <w:spacing w:val="0"/>
          <w:w w:val="100"/>
          <w:position w:val="0"/>
        </w:rPr>
        <w:t>万股，海南合旺实业投资有限公司购买</w:t>
      </w:r>
      <w:r>
        <w:rPr>
          <w:color w:val="000000"/>
          <w:spacing w:val="0"/>
          <w:w w:val="100"/>
          <w:position w:val="0"/>
        </w:rPr>
        <w:t xml:space="preserve">175. </w:t>
      </w:r>
      <w:r>
        <w:rPr>
          <w:color w:val="000000"/>
          <w:spacing w:val="0"/>
          <w:w w:val="100"/>
          <w:position w:val="0"/>
        </w:rPr>
        <w:t>00</w:t>
      </w:r>
      <w:r>
        <w:rPr>
          <w:color w:val="000000"/>
          <w:spacing w:val="0"/>
          <w:w w:val="100"/>
          <w:position w:val="0"/>
        </w:rPr>
        <w:t>万股。巨龙信息技术有限责任公司不再持有太光电信股份。</w:t>
      </w:r>
    </w:p>
    <w:p>
      <w:pPr>
        <w:pStyle w:val="Style13"/>
        <w:keepNext w:val="0"/>
        <w:keepLines w:val="0"/>
        <w:widowControl w:val="0"/>
        <w:shd w:val="clear" w:color="auto" w:fill="auto"/>
        <w:tabs>
          <w:tab w:pos="497" w:val="left"/>
        </w:tabs>
        <w:bidi w:val="0"/>
        <w:spacing w:before="0" w:after="0" w:line="314" w:lineRule="exact"/>
        <w:ind w:left="0" w:right="0" w:firstLine="160"/>
        <w:jc w:val="both"/>
      </w:pPr>
      <w:bookmarkStart w:id="690" w:name="bookmark690"/>
      <w:r>
        <w:rPr>
          <w:color w:val="000000"/>
          <w:spacing w:val="0"/>
          <w:w w:val="100"/>
          <w:position w:val="0"/>
        </w:rPr>
        <w:t>7</w:t>
      </w:r>
      <w:bookmarkEnd w:id="690"/>
      <w:r>
        <w:rPr>
          <w:color w:val="000000"/>
          <w:spacing w:val="0"/>
          <w:w w:val="100"/>
          <w:position w:val="0"/>
        </w:rPr>
        <w:t>）</w:t>
        <w:tab/>
        <w:t>2006</w:t>
      </w:r>
      <w:r>
        <w:rPr>
          <w:color w:val="000000"/>
          <w:spacing w:val="0"/>
          <w:w w:val="100"/>
          <w:position w:val="0"/>
        </w:rPr>
        <w:t>年股权分置改革</w:t>
      </w:r>
    </w:p>
    <w:p>
      <w:pPr>
        <w:pStyle w:val="Style13"/>
        <w:keepNext w:val="0"/>
        <w:keepLines w:val="0"/>
        <w:widowControl w:val="0"/>
        <w:shd w:val="clear" w:color="auto" w:fill="auto"/>
        <w:bidi w:val="0"/>
        <w:spacing w:before="0" w:after="0" w:line="313" w:lineRule="exact"/>
        <w:ind w:left="160" w:right="0" w:firstLine="360"/>
        <w:jc w:val="both"/>
      </w:pP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日，太光电信召开</w:t>
      </w:r>
      <w:r>
        <w:rPr>
          <w:color w:val="000000"/>
          <w:spacing w:val="0"/>
          <w:w w:val="100"/>
          <w:position w:val="0"/>
        </w:rPr>
        <w:t>2006</w:t>
      </w:r>
      <w:r>
        <w:rPr>
          <w:color w:val="000000"/>
          <w:spacing w:val="0"/>
          <w:w w:val="100"/>
          <w:position w:val="0"/>
        </w:rPr>
        <w:t>年第二次临时股东大会审议通过了股权分置改革方案：以</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日流通股 </w:t>
      </w:r>
      <w:r>
        <w:rPr>
          <w:color w:val="000000"/>
          <w:spacing w:val="0"/>
          <w:w w:val="100"/>
          <w:position w:val="0"/>
        </w:rPr>
        <w:t xml:space="preserve">2, </w:t>
      </w:r>
      <w:r>
        <w:rPr>
          <w:color w:val="000000"/>
          <w:spacing w:val="0"/>
          <w:w w:val="100"/>
          <w:position w:val="0"/>
        </w:rPr>
        <w:t xml:space="preserve">200. </w:t>
      </w:r>
      <w:r>
        <w:rPr>
          <w:color w:val="000000"/>
          <w:spacing w:val="0"/>
          <w:w w:val="100"/>
          <w:position w:val="0"/>
        </w:rPr>
        <w:t>00</w:t>
      </w:r>
      <w:r>
        <w:rPr>
          <w:color w:val="000000"/>
          <w:spacing w:val="0"/>
          <w:w w:val="100"/>
          <w:position w:val="0"/>
        </w:rPr>
        <w:t>万股为基数，按每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股的比例，以资本公积金向全体流通股股东转增股本。股权分置改革完成后，太光 电信总股本增至</w:t>
      </w:r>
      <w:r>
        <w:rPr>
          <w:color w:val="000000"/>
          <w:spacing w:val="0"/>
          <w:w w:val="100"/>
          <w:position w:val="0"/>
        </w:rPr>
        <w:t xml:space="preserve">9, </w:t>
      </w:r>
      <w:r>
        <w:rPr>
          <w:color w:val="000000"/>
          <w:spacing w:val="0"/>
          <w:w w:val="100"/>
          <w:position w:val="0"/>
        </w:rPr>
        <w:t xml:space="preserve">062. </w:t>
      </w:r>
      <w:r>
        <w:rPr>
          <w:color w:val="000000"/>
          <w:spacing w:val="0"/>
          <w:w w:val="100"/>
          <w:position w:val="0"/>
        </w:rPr>
        <w:t>77</w:t>
      </w:r>
      <w:r>
        <w:rPr>
          <w:color w:val="000000"/>
          <w:spacing w:val="0"/>
          <w:w w:val="100"/>
          <w:position w:val="0"/>
        </w:rPr>
        <w:t>万股。</w:t>
      </w:r>
    </w:p>
    <w:p>
      <w:pPr>
        <w:pStyle w:val="Style13"/>
        <w:keepNext w:val="0"/>
        <w:keepLines w:val="0"/>
        <w:widowControl w:val="0"/>
        <w:shd w:val="clear" w:color="auto" w:fill="auto"/>
        <w:tabs>
          <w:tab w:pos="458" w:val="left"/>
        </w:tabs>
        <w:bidi w:val="0"/>
        <w:spacing w:before="0" w:after="0" w:line="313" w:lineRule="exact"/>
        <w:ind w:left="0" w:right="0" w:firstLine="160"/>
        <w:jc w:val="both"/>
      </w:pPr>
      <w:bookmarkStart w:id="691" w:name="bookmark691"/>
      <w:r>
        <w:rPr>
          <w:color w:val="000000"/>
          <w:spacing w:val="0"/>
          <w:w w:val="100"/>
          <w:position w:val="0"/>
        </w:rPr>
        <w:t>8</w:t>
      </w:r>
      <w:bookmarkEnd w:id="691"/>
      <w:r>
        <w:rPr>
          <w:color w:val="000000"/>
          <w:spacing w:val="0"/>
          <w:w w:val="100"/>
          <w:position w:val="0"/>
        </w:rPr>
        <w:t>）</w:t>
        <w:tab/>
        <w:t>2010</w:t>
      </w:r>
      <w:r>
        <w:rPr>
          <w:color w:val="000000"/>
          <w:spacing w:val="0"/>
          <w:w w:val="100"/>
          <w:position w:val="0"/>
        </w:rPr>
        <w:t>年太光电信控股股东更名</w:t>
      </w:r>
    </w:p>
    <w:p>
      <w:pPr>
        <w:pStyle w:val="Style13"/>
        <w:keepNext w:val="0"/>
        <w:keepLines w:val="0"/>
        <w:widowControl w:val="0"/>
        <w:shd w:val="clear" w:color="auto" w:fill="auto"/>
        <w:bidi w:val="0"/>
        <w:spacing w:before="0" w:after="0" w:line="313" w:lineRule="exact"/>
        <w:ind w:left="0" w:right="0" w:firstLine="520"/>
        <w:jc w:val="both"/>
      </w:pP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8</w:t>
      </w:r>
      <w:r>
        <w:rPr>
          <w:color w:val="000000"/>
          <w:spacing w:val="0"/>
          <w:w w:val="100"/>
          <w:position w:val="0"/>
        </w:rPr>
        <w:t>日，太光电信控股股东深圳申昌科技更名为昆山市申昌科技有限公司（以下简称申昌科技）。截至</w:t>
      </w:r>
      <w:r>
        <w:rPr>
          <w:color w:val="000000"/>
          <w:spacing w:val="0"/>
          <w:w w:val="100"/>
          <w:position w:val="0"/>
        </w:rPr>
        <w:t>2013</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日前，申昌科技持有太光电信</w:t>
      </w:r>
      <w:r>
        <w:rPr>
          <w:color w:val="000000"/>
          <w:spacing w:val="0"/>
          <w:w w:val="100"/>
          <w:position w:val="0"/>
        </w:rPr>
        <w:t>1,989.71</w:t>
      </w:r>
      <w:r>
        <w:rPr>
          <w:color w:val="000000"/>
          <w:spacing w:val="0"/>
          <w:w w:val="100"/>
          <w:position w:val="0"/>
        </w:rPr>
        <w:t>万股，持股比例</w:t>
      </w:r>
      <w:r>
        <w:rPr>
          <w:color w:val="000000"/>
          <w:spacing w:val="0"/>
          <w:w w:val="100"/>
          <w:position w:val="0"/>
        </w:rPr>
        <w:t>21.95%</w:t>
      </w:r>
      <w:r>
        <w:rPr>
          <w:color w:val="000000"/>
          <w:spacing w:val="0"/>
          <w:w w:val="100"/>
          <w:position w:val="0"/>
        </w:rPr>
        <w:t>。</w:t>
      </w:r>
    </w:p>
    <w:p>
      <w:pPr>
        <w:pStyle w:val="Style13"/>
        <w:keepNext w:val="0"/>
        <w:keepLines w:val="0"/>
        <w:widowControl w:val="0"/>
        <w:shd w:val="clear" w:color="auto" w:fill="auto"/>
        <w:tabs>
          <w:tab w:pos="458" w:val="left"/>
        </w:tabs>
        <w:bidi w:val="0"/>
        <w:spacing w:before="0" w:after="0" w:line="313" w:lineRule="exact"/>
        <w:ind w:left="0" w:right="0" w:firstLine="160"/>
        <w:jc w:val="both"/>
      </w:pPr>
      <w:bookmarkStart w:id="692" w:name="bookmark692"/>
      <w:r>
        <w:rPr>
          <w:color w:val="000000"/>
          <w:spacing w:val="0"/>
          <w:w w:val="100"/>
          <w:position w:val="0"/>
        </w:rPr>
        <w:t>9</w:t>
      </w:r>
      <w:bookmarkEnd w:id="692"/>
      <w:r>
        <w:rPr>
          <w:color w:val="000000"/>
          <w:spacing w:val="0"/>
          <w:w w:val="100"/>
          <w:position w:val="0"/>
        </w:rPr>
        <w:t>）</w:t>
        <w:tab/>
        <w:t>2013</w:t>
      </w:r>
      <w:r>
        <w:rPr>
          <w:color w:val="000000"/>
          <w:spacing w:val="0"/>
          <w:w w:val="100"/>
          <w:position w:val="0"/>
        </w:rPr>
        <w:t>年度重大资产重组</w:t>
      </w:r>
    </w:p>
    <w:p>
      <w:pPr>
        <w:pStyle w:val="Style13"/>
        <w:keepNext w:val="0"/>
        <w:keepLines w:val="0"/>
        <w:widowControl w:val="0"/>
        <w:shd w:val="clear" w:color="auto" w:fill="auto"/>
        <w:bidi w:val="0"/>
        <w:spacing w:before="0" w:after="0" w:line="313" w:lineRule="exact"/>
        <w:ind w:left="160" w:right="0" w:firstLine="360"/>
        <w:jc w:val="both"/>
      </w:pPr>
      <w:r>
        <w:rPr>
          <w:color w:val="000000"/>
          <w:spacing w:val="0"/>
          <w:w w:val="100"/>
          <w:position w:val="0"/>
        </w:rPr>
        <w:t>根据太光电信</w:t>
      </w:r>
      <w:r>
        <w:rPr>
          <w:color w:val="000000"/>
          <w:spacing w:val="0"/>
          <w:w w:val="100"/>
          <w:position w:val="0"/>
        </w:rPr>
        <w:t>2013</w:t>
      </w:r>
      <w:r>
        <w:rPr>
          <w:color w:val="000000"/>
          <w:spacing w:val="0"/>
          <w:w w:val="100"/>
          <w:position w:val="0"/>
        </w:rPr>
        <w:t>年第二次临时股东大会决议通过的《关于公司吸收合并神州信息并募集配套资金构成重大资产重组 且构成关联交易的议案》、《关于公司吸收合并神州信息并募集配套资金具体方案的议案（修订）》、《关于公司与申昌 科技签署〈关于深圳市太光电信股份有限公司向特定对象发行股份之股份认购协议〉的议案》、《关于公司与神州信息签署 的〈吸收合并协议〉及其补充协议的议案》</w:t>
      </w:r>
      <w:r>
        <w:rPr>
          <w:color w:val="000000"/>
          <w:spacing w:val="0"/>
          <w:w w:val="100"/>
          <w:position w:val="0"/>
        </w:rPr>
        <w:t>，</w:t>
      </w:r>
      <w:r>
        <w:rPr>
          <w:color w:val="000000"/>
          <w:spacing w:val="0"/>
          <w:w w:val="100"/>
          <w:position w:val="0"/>
        </w:rPr>
        <w:t>并经中国证券监督管理委员会证监许可</w:t>
      </w:r>
      <w:r>
        <w:rPr>
          <w:color w:val="000000"/>
          <w:spacing w:val="0"/>
          <w:w w:val="100"/>
          <w:position w:val="0"/>
        </w:rPr>
        <w:t>[2013]1578</w:t>
      </w:r>
      <w:r>
        <w:rPr>
          <w:color w:val="000000"/>
          <w:spacing w:val="0"/>
          <w:w w:val="100"/>
          <w:position w:val="0"/>
        </w:rPr>
        <w:t>号《关于核准深圳市太光电 信股份有限公司吸收合并神州数码信息服务股份有限公司并募集配套资金的批复》的核准，太光电信向神州信息的股东神 州数码软件有限公司（以下简称神码软件）、天津信锐投资合伙企业（有限合伙）（以下简称天津信锐）、中新苏州工业 园区创业投资有限公司（以下简称中新创投）、</w:t>
      </w:r>
      <w:r>
        <w:rPr>
          <w:color w:val="000000"/>
          <w:spacing w:val="0"/>
          <w:w w:val="100"/>
          <w:position w:val="0"/>
        </w:rPr>
        <w:t>Infinity I-China Investments （Israel）, L. P.（</w:t>
      </w:r>
      <w:r>
        <w:rPr>
          <w:color w:val="000000"/>
          <w:spacing w:val="0"/>
          <w:w w:val="100"/>
          <w:position w:val="0"/>
        </w:rPr>
        <w:t>以下简称华亿投资）、 南京汇庆天下科技有限公司（以下简称南京汇庆）发行</w:t>
      </w:r>
      <w:r>
        <w:rPr>
          <w:color w:val="000000"/>
          <w:spacing w:val="0"/>
          <w:w w:val="100"/>
          <w:position w:val="0"/>
        </w:rPr>
        <w:t xml:space="preserve">319, 399, </w:t>
      </w:r>
      <w:r>
        <w:rPr>
          <w:color w:val="000000"/>
          <w:spacing w:val="0"/>
          <w:w w:val="100"/>
          <w:position w:val="0"/>
        </w:rPr>
        <w:t xml:space="preserve">894. </w:t>
      </w:r>
      <w:r>
        <w:rPr>
          <w:color w:val="000000"/>
          <w:spacing w:val="0"/>
          <w:w w:val="100"/>
          <w:position w:val="0"/>
        </w:rPr>
        <w:t>00</w:t>
      </w:r>
      <w:r>
        <w:rPr>
          <w:color w:val="000000"/>
          <w:spacing w:val="0"/>
          <w:w w:val="100"/>
          <w:position w:val="0"/>
        </w:rPr>
        <w:t>股股份（每股面值人民币</w:t>
      </w:r>
      <w:r>
        <w:rPr>
          <w:color w:val="000000"/>
          <w:spacing w:val="0"/>
          <w:w w:val="100"/>
          <w:position w:val="0"/>
        </w:rPr>
        <w:t>1</w:t>
      </w:r>
      <w:r>
        <w:rPr>
          <w:color w:val="000000"/>
          <w:spacing w:val="0"/>
          <w:w w:val="100"/>
          <w:position w:val="0"/>
        </w:rPr>
        <w:t>.00</w:t>
      </w:r>
      <w:r>
        <w:rPr>
          <w:color w:val="000000"/>
          <w:spacing w:val="0"/>
          <w:w w:val="100"/>
          <w:position w:val="0"/>
        </w:rPr>
        <w:t>元）吸收合并神州信 息，向控股股东申昌科技发行新股</w:t>
      </w:r>
      <w:r>
        <w:rPr>
          <w:color w:val="000000"/>
          <w:spacing w:val="0"/>
          <w:w w:val="100"/>
          <w:position w:val="0"/>
        </w:rPr>
        <w:t xml:space="preserve">21, 186, </w:t>
      </w:r>
      <w:r>
        <w:rPr>
          <w:color w:val="000000"/>
          <w:spacing w:val="0"/>
          <w:w w:val="100"/>
          <w:position w:val="0"/>
        </w:rPr>
        <w:t xml:space="preserve">440. </w:t>
      </w:r>
      <w:r>
        <w:rPr>
          <w:color w:val="000000"/>
          <w:spacing w:val="0"/>
          <w:w w:val="100"/>
          <w:position w:val="0"/>
        </w:rPr>
        <w:t>00</w:t>
      </w:r>
      <w:r>
        <w:rPr>
          <w:color w:val="000000"/>
          <w:spacing w:val="0"/>
          <w:w w:val="100"/>
          <w:position w:val="0"/>
        </w:rPr>
        <w:t>股募集配套资金，并申请增加注册资本人民币</w:t>
      </w:r>
      <w:r>
        <w:rPr>
          <w:color w:val="000000"/>
          <w:spacing w:val="0"/>
          <w:w w:val="100"/>
          <w:position w:val="0"/>
        </w:rPr>
        <w:t xml:space="preserve">340, 586, </w:t>
      </w:r>
      <w:r>
        <w:rPr>
          <w:color w:val="000000"/>
          <w:spacing w:val="0"/>
          <w:w w:val="100"/>
          <w:position w:val="0"/>
        </w:rPr>
        <w:t>334.00</w:t>
      </w:r>
      <w:r>
        <w:rPr>
          <w:color w:val="000000"/>
          <w:spacing w:val="0"/>
          <w:w w:val="100"/>
          <w:position w:val="0"/>
        </w:rPr>
        <w:t>元。</w:t>
      </w:r>
    </w:p>
    <w:p>
      <w:pPr>
        <w:pStyle w:val="Style13"/>
        <w:keepNext w:val="0"/>
        <w:keepLines w:val="0"/>
        <w:widowControl w:val="0"/>
        <w:shd w:val="clear" w:color="auto" w:fill="auto"/>
        <w:bidi w:val="0"/>
        <w:spacing w:before="0" w:after="0" w:line="313" w:lineRule="exact"/>
        <w:ind w:left="160" w:right="0" w:firstLine="360"/>
        <w:jc w:val="both"/>
      </w:pPr>
      <w:r>
        <w:rPr>
          <w:color w:val="000000"/>
          <w:spacing w:val="0"/>
          <w:w w:val="100"/>
          <w:position w:val="0"/>
        </w:rPr>
        <w:t>根据《吸收合并协议》及补充协议，太光电信向神州信息股东发行股份</w:t>
      </w:r>
      <w:r>
        <w:rPr>
          <w:color w:val="000000"/>
          <w:spacing w:val="0"/>
          <w:w w:val="100"/>
          <w:position w:val="0"/>
        </w:rPr>
        <w:t xml:space="preserve">319, 399, </w:t>
      </w:r>
      <w:r>
        <w:rPr>
          <w:color w:val="000000"/>
          <w:spacing w:val="0"/>
          <w:w w:val="100"/>
          <w:position w:val="0"/>
        </w:rPr>
        <w:t xml:space="preserve">894. </w:t>
      </w:r>
      <w:r>
        <w:rPr>
          <w:color w:val="000000"/>
          <w:spacing w:val="0"/>
          <w:w w:val="100"/>
          <w:position w:val="0"/>
        </w:rPr>
        <w:t>00</w:t>
      </w:r>
      <w:r>
        <w:rPr>
          <w:color w:val="000000"/>
          <w:spacing w:val="0"/>
          <w:w w:val="100"/>
          <w:position w:val="0"/>
        </w:rPr>
        <w:t>股（发行价格为</w:t>
      </w:r>
      <w:r>
        <w:rPr>
          <w:color w:val="000000"/>
          <w:spacing w:val="0"/>
          <w:w w:val="100"/>
          <w:position w:val="0"/>
        </w:rPr>
        <w:t>9.44</w:t>
      </w:r>
      <w:r>
        <w:rPr>
          <w:color w:val="000000"/>
          <w:spacing w:val="0"/>
          <w:w w:val="100"/>
          <w:position w:val="0"/>
        </w:rPr>
        <w:t>元/股）</w:t>
      </w:r>
      <w:r>
        <w:rPr>
          <w:color w:val="000000"/>
          <w:spacing w:val="0"/>
          <w:w w:val="100"/>
          <w:position w:val="0"/>
        </w:rPr>
        <w:t xml:space="preserve">， </w:t>
      </w:r>
      <w:r>
        <w:rPr>
          <w:color w:val="000000"/>
          <w:spacing w:val="0"/>
          <w:w w:val="100"/>
          <w:position w:val="0"/>
        </w:rPr>
        <w:t>用以支付吸收合并之对价；神州信息股东神码软件、天津信锐、中新创投、华亿投资、南京汇庆以其持有的神州信息的全 部资产、负债及业务认购</w:t>
      </w:r>
      <w:r>
        <w:rPr>
          <w:color w:val="000000"/>
          <w:spacing w:val="0"/>
          <w:w w:val="100"/>
          <w:position w:val="0"/>
        </w:rPr>
        <w:t xml:space="preserve">319, 399, </w:t>
      </w:r>
      <w:r>
        <w:rPr>
          <w:color w:val="000000"/>
          <w:spacing w:val="0"/>
          <w:w w:val="100"/>
          <w:position w:val="0"/>
        </w:rPr>
        <w:t xml:space="preserve">894. </w:t>
      </w:r>
      <w:r>
        <w:rPr>
          <w:color w:val="000000"/>
          <w:spacing w:val="0"/>
          <w:w w:val="100"/>
          <w:position w:val="0"/>
        </w:rPr>
        <w:t>00</w:t>
      </w:r>
      <w:r>
        <w:rPr>
          <w:color w:val="000000"/>
          <w:spacing w:val="0"/>
          <w:w w:val="100"/>
          <w:position w:val="0"/>
        </w:rPr>
        <w:t>股股份。太光电信向控股股东申昌科技发行股份募集配套资金的发行价格与向神 州信息股东发行股份价格一致。</w:t>
      </w:r>
    </w:p>
    <w:p>
      <w:pPr>
        <w:pStyle w:val="Style13"/>
        <w:keepNext w:val="0"/>
        <w:keepLines w:val="0"/>
        <w:widowControl w:val="0"/>
        <w:shd w:val="clear" w:color="auto" w:fill="auto"/>
        <w:bidi w:val="0"/>
        <w:spacing w:before="0" w:after="0" w:line="313" w:lineRule="exact"/>
        <w:ind w:left="160" w:right="0" w:firstLine="36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日，太光电信与神州信息签署《资产交割确认书》，自资产交割日</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日起，神州信息的全部 资产、负债、业务由太光电信享有和承担；神州信息的业务随资产、负债转由太光电信承担，由此产生的收益、风险由太 光电信承担。</w:t>
      </w:r>
    </w:p>
    <w:p>
      <w:pPr>
        <w:pStyle w:val="Style13"/>
        <w:keepNext w:val="0"/>
        <w:keepLines w:val="0"/>
        <w:widowControl w:val="0"/>
        <w:shd w:val="clear" w:color="auto" w:fill="auto"/>
        <w:bidi w:val="0"/>
        <w:spacing w:before="0" w:after="0" w:line="313" w:lineRule="exact"/>
        <w:ind w:left="160" w:right="0" w:firstLine="36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日，太光电信在资产过户完成后即向中国证券登记结算有限责任公司深圳分公司申请办理增发股份登记 事项，新发股份于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日正式上市。</w:t>
      </w:r>
    </w:p>
    <w:p>
      <w:pPr>
        <w:pStyle w:val="Style13"/>
        <w:keepNext w:val="0"/>
        <w:keepLines w:val="0"/>
        <w:widowControl w:val="0"/>
        <w:shd w:val="clear" w:color="auto" w:fill="auto"/>
        <w:bidi w:val="0"/>
        <w:spacing w:before="0" w:after="0" w:line="313" w:lineRule="exact"/>
        <w:ind w:left="160" w:right="0" w:firstLine="360"/>
        <w:jc w:val="both"/>
      </w:pP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日，太光电信注册资本变更为</w:t>
      </w:r>
      <w:r>
        <w:rPr>
          <w:color w:val="000000"/>
          <w:spacing w:val="0"/>
          <w:w w:val="100"/>
          <w:position w:val="0"/>
        </w:rPr>
        <w:t xml:space="preserve">431, 214, </w:t>
      </w:r>
      <w:r>
        <w:rPr>
          <w:color w:val="000000"/>
          <w:spacing w:val="0"/>
          <w:w w:val="100"/>
          <w:position w:val="0"/>
        </w:rPr>
        <w:t xml:space="preserve">014. </w:t>
      </w:r>
      <w:r>
        <w:rPr>
          <w:color w:val="000000"/>
          <w:spacing w:val="0"/>
          <w:w w:val="100"/>
          <w:position w:val="0"/>
        </w:rPr>
        <w:t>00</w:t>
      </w:r>
      <w:r>
        <w:rPr>
          <w:color w:val="000000"/>
          <w:spacing w:val="0"/>
          <w:w w:val="100"/>
          <w:position w:val="0"/>
        </w:rPr>
        <w:t>元，并业经信永中和会计师事务所出具的</w:t>
      </w:r>
      <w:r>
        <w:rPr>
          <w:color w:val="000000"/>
          <w:spacing w:val="0"/>
          <w:w w:val="100"/>
          <w:position w:val="0"/>
        </w:rPr>
        <w:t xml:space="preserve">XYZH/2012A1055-8 </w:t>
      </w:r>
      <w:r>
        <w:rPr>
          <w:color w:val="000000"/>
          <w:spacing w:val="0"/>
          <w:w w:val="100"/>
          <w:position w:val="0"/>
        </w:rPr>
        <w:t>号《验资报告》验证。</w:t>
      </w:r>
    </w:p>
    <w:p>
      <w:pPr>
        <w:pStyle w:val="Style13"/>
        <w:keepNext w:val="0"/>
        <w:keepLines w:val="0"/>
        <w:widowControl w:val="0"/>
        <w:shd w:val="clear" w:color="auto" w:fill="auto"/>
        <w:bidi w:val="0"/>
        <w:spacing w:before="0" w:after="0" w:line="313" w:lineRule="exact"/>
        <w:ind w:left="160" w:right="0" w:firstLine="360"/>
        <w:jc w:val="both"/>
      </w:pPr>
      <w:r>
        <w:rPr>
          <w:color w:val="000000"/>
          <w:spacing w:val="0"/>
          <w:w w:val="100"/>
          <w:position w:val="0"/>
        </w:rPr>
        <w:t>太光电信吸收合并完成前控股股东为昆山市申昌科技有限公司；吸收合并完成后控股股东变更为神州数码软件有限公 司（持股比例</w:t>
      </w:r>
      <w:r>
        <w:rPr>
          <w:color w:val="000000"/>
          <w:spacing w:val="0"/>
          <w:w w:val="100"/>
          <w:position w:val="0"/>
        </w:rPr>
        <w:t>45.17%）</w:t>
      </w:r>
      <w:r>
        <w:rPr>
          <w:color w:val="000000"/>
          <w:spacing w:val="0"/>
          <w:w w:val="100"/>
          <w:position w:val="0"/>
        </w:rPr>
        <w:t>。</w:t>
      </w:r>
    </w:p>
    <w:p>
      <w:pPr>
        <w:pStyle w:val="Style13"/>
        <w:keepNext w:val="0"/>
        <w:keepLines w:val="0"/>
        <w:widowControl w:val="0"/>
        <w:shd w:val="clear" w:color="auto" w:fill="auto"/>
        <w:bidi w:val="0"/>
        <w:spacing w:before="0" w:after="0" w:line="313" w:lineRule="exact"/>
        <w:ind w:left="160" w:right="0" w:firstLine="360"/>
        <w:jc w:val="both"/>
      </w:pP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日，经国家工商总局和深圳市市场监督管理局核准，太光电信完成了工商变更登记手续，公司名称由“深 圳市太光电信股份有限公司”变更为“神州数码信息服务股份有限公司”（以</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日为界限，之前公司名称为“深 圳市太光电信股份有限公司”，之后公司名称为“神州数码信息服务股份有限公司”），法定代表人由“宋波”变更为“郭 为”。</w:t>
      </w:r>
    </w:p>
    <w:p>
      <w:pPr>
        <w:pStyle w:val="Style13"/>
        <w:keepNext w:val="0"/>
        <w:keepLines w:val="0"/>
        <w:widowControl w:val="0"/>
        <w:shd w:val="clear" w:color="auto" w:fill="auto"/>
        <w:bidi w:val="0"/>
        <w:spacing w:before="0" w:after="0" w:line="314" w:lineRule="exact"/>
        <w:ind w:left="0" w:right="0" w:firstLine="0"/>
        <w:jc w:val="both"/>
      </w:pPr>
      <w:bookmarkStart w:id="693" w:name="bookmark693"/>
      <w:r>
        <w:rPr>
          <w:color w:val="000000"/>
          <w:spacing w:val="0"/>
          <w:w w:val="100"/>
          <w:position w:val="0"/>
        </w:rPr>
        <w:t>1</w:t>
      </w:r>
      <w:bookmarkEnd w:id="693"/>
      <w:r>
        <w:rPr>
          <w:color w:val="000000"/>
          <w:spacing w:val="0"/>
          <w:w w:val="100"/>
          <w:position w:val="0"/>
        </w:rPr>
        <w:t>0）2014</w:t>
      </w:r>
      <w:r>
        <w:rPr>
          <w:color w:val="000000"/>
          <w:spacing w:val="0"/>
          <w:w w:val="100"/>
          <w:position w:val="0"/>
        </w:rPr>
        <w:t>年度发行股份及支付现金购买资产事项</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根据神州信息第六届董事会</w:t>
      </w:r>
      <w:r>
        <w:rPr>
          <w:color w:val="000000"/>
          <w:spacing w:val="0"/>
          <w:w w:val="100"/>
          <w:position w:val="0"/>
        </w:rPr>
        <w:t>2014</w:t>
      </w:r>
      <w:r>
        <w:rPr>
          <w:color w:val="000000"/>
          <w:spacing w:val="0"/>
          <w:w w:val="100"/>
          <w:position w:val="0"/>
        </w:rPr>
        <w:t>年第七次临时会议决议通过的《关于公司向特定对象发行股份购买资产并募集配套资 金方案的议案》、第六届董事会</w:t>
      </w:r>
      <w:r>
        <w:rPr>
          <w:color w:val="000000"/>
          <w:spacing w:val="0"/>
          <w:w w:val="100"/>
          <w:position w:val="0"/>
        </w:rPr>
        <w:t>2014</w:t>
      </w:r>
      <w:r>
        <w:rPr>
          <w:color w:val="000000"/>
          <w:spacing w:val="0"/>
          <w:w w:val="100"/>
          <w:position w:val="0"/>
        </w:rPr>
        <w:t>年第九次临时会议决议及</w:t>
      </w:r>
      <w:r>
        <w:rPr>
          <w:color w:val="000000"/>
          <w:spacing w:val="0"/>
          <w:w w:val="100"/>
          <w:position w:val="0"/>
        </w:rPr>
        <w:t>2014</w:t>
      </w:r>
      <w:r>
        <w:rPr>
          <w:color w:val="000000"/>
          <w:spacing w:val="0"/>
          <w:w w:val="100"/>
          <w:position w:val="0"/>
        </w:rPr>
        <w:t>年度第四次临时股东大会决议通过的《关于公司向特定对 象发行股份购买资产并募集配套资金方案的议案（修订）》及神州信息与北京中农信达信息技术有限公司（以下简称中农信 达）全体股东签署的《发行股份及支付现金购买资产协议》与《发行股份及支付现金购买资产协议之补充协议》，神州信息 拟购买中农信达</w:t>
      </w:r>
      <w:r>
        <w:rPr>
          <w:color w:val="000000"/>
          <w:spacing w:val="0"/>
          <w:w w:val="100"/>
          <w:position w:val="0"/>
        </w:rPr>
        <w:t>100.00%</w:t>
      </w:r>
      <w:r>
        <w:rPr>
          <w:color w:val="000000"/>
          <w:spacing w:val="0"/>
          <w:w w:val="100"/>
          <w:position w:val="0"/>
        </w:rPr>
        <w:t>股权。</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中国证券监督管理委员会下发证监许可</w:t>
      </w:r>
      <w:r>
        <w:rPr>
          <w:color w:val="000000"/>
          <w:spacing w:val="0"/>
          <w:w w:val="100"/>
          <w:position w:val="0"/>
        </w:rPr>
        <w:t>[2014]1258</w:t>
      </w:r>
      <w:r>
        <w:rPr>
          <w:color w:val="000000"/>
          <w:spacing w:val="0"/>
          <w:w w:val="100"/>
          <w:position w:val="0"/>
        </w:rPr>
        <w:t>号《关于核准神州数码信息服务股份有限公司向冯健刚等发行股份 购买资产并募集配套资金的批复》，核准神州信息向冯健刚发行</w:t>
      </w:r>
      <w:r>
        <w:rPr>
          <w:color w:val="000000"/>
          <w:spacing w:val="0"/>
          <w:w w:val="100"/>
          <w:position w:val="0"/>
        </w:rPr>
        <w:t xml:space="preserve">6, 073, </w:t>
      </w:r>
      <w:r>
        <w:rPr>
          <w:color w:val="000000"/>
          <w:spacing w:val="0"/>
          <w:w w:val="100"/>
          <w:position w:val="0"/>
        </w:rPr>
        <w:t>988.00</w:t>
      </w:r>
      <w:r>
        <w:rPr>
          <w:color w:val="000000"/>
          <w:spacing w:val="0"/>
          <w:w w:val="100"/>
          <w:position w:val="0"/>
        </w:rPr>
        <w:t>股股份、向王宇飞发行</w:t>
      </w:r>
      <w:r>
        <w:rPr>
          <w:color w:val="000000"/>
          <w:spacing w:val="0"/>
          <w:w w:val="100"/>
          <w:position w:val="0"/>
        </w:rPr>
        <w:t xml:space="preserve">5, </w:t>
      </w:r>
      <w:r>
        <w:rPr>
          <w:color w:val="000000"/>
          <w:spacing w:val="0"/>
          <w:w w:val="100"/>
          <w:position w:val="0"/>
        </w:rPr>
        <w:t>540,462.00</w:t>
      </w:r>
      <w:r>
        <w:rPr>
          <w:color w:val="000000"/>
          <w:spacing w:val="0"/>
          <w:w w:val="100"/>
          <w:position w:val="0"/>
        </w:rPr>
        <w:t>股股份、 向张丹丹发行</w:t>
      </w:r>
      <w:r>
        <w:rPr>
          <w:color w:val="000000"/>
          <w:spacing w:val="0"/>
          <w:w w:val="100"/>
          <w:position w:val="0"/>
        </w:rPr>
        <w:t xml:space="preserve">4,432, </w:t>
      </w:r>
      <w:r>
        <w:rPr>
          <w:color w:val="000000"/>
          <w:spacing w:val="0"/>
          <w:w w:val="100"/>
          <w:position w:val="0"/>
        </w:rPr>
        <w:t>369.00</w:t>
      </w:r>
      <w:r>
        <w:rPr>
          <w:color w:val="000000"/>
          <w:spacing w:val="0"/>
          <w:w w:val="100"/>
          <w:position w:val="0"/>
        </w:rPr>
        <w:t>股股份、向贺胜龙发行</w:t>
      </w:r>
      <w:r>
        <w:rPr>
          <w:color w:val="000000"/>
          <w:spacing w:val="0"/>
          <w:w w:val="100"/>
          <w:position w:val="0"/>
        </w:rPr>
        <w:t xml:space="preserve">3, 078, </w:t>
      </w:r>
      <w:r>
        <w:rPr>
          <w:color w:val="000000"/>
          <w:spacing w:val="0"/>
          <w:w w:val="100"/>
          <w:position w:val="0"/>
        </w:rPr>
        <w:t>033.00</w:t>
      </w:r>
      <w:r>
        <w:rPr>
          <w:color w:val="000000"/>
          <w:spacing w:val="0"/>
          <w:w w:val="100"/>
          <w:position w:val="0"/>
        </w:rPr>
        <w:t>股股份、向王正发行</w:t>
      </w:r>
      <w:r>
        <w:rPr>
          <w:color w:val="000000"/>
          <w:spacing w:val="0"/>
          <w:w w:val="100"/>
          <w:position w:val="0"/>
        </w:rPr>
        <w:t>820,809.00</w:t>
      </w:r>
      <w:r>
        <w:rPr>
          <w:color w:val="000000"/>
          <w:spacing w:val="0"/>
          <w:w w:val="100"/>
          <w:position w:val="0"/>
        </w:rPr>
        <w:t xml:space="preserve">股股份、向蒋云发行 </w:t>
      </w:r>
      <w:r>
        <w:rPr>
          <w:color w:val="000000"/>
          <w:spacing w:val="0"/>
          <w:w w:val="100"/>
          <w:position w:val="0"/>
        </w:rPr>
        <w:t xml:space="preserve">287, </w:t>
      </w:r>
      <w:r>
        <w:rPr>
          <w:color w:val="000000"/>
          <w:spacing w:val="0"/>
          <w:w w:val="100"/>
          <w:position w:val="0"/>
        </w:rPr>
        <w:t xml:space="preserve">283. </w:t>
      </w:r>
      <w:r>
        <w:rPr>
          <w:color w:val="000000"/>
          <w:spacing w:val="0"/>
          <w:w w:val="100"/>
          <w:position w:val="0"/>
        </w:rPr>
        <w:t>00</w:t>
      </w:r>
      <w:r>
        <w:rPr>
          <w:color w:val="000000"/>
          <w:spacing w:val="0"/>
          <w:w w:val="100"/>
          <w:position w:val="0"/>
        </w:rPr>
        <w:t>股股份、向王建林发行</w:t>
      </w:r>
      <w:r>
        <w:rPr>
          <w:color w:val="000000"/>
          <w:spacing w:val="0"/>
          <w:w w:val="100"/>
          <w:position w:val="0"/>
        </w:rPr>
        <w:t xml:space="preserve">287, </w:t>
      </w:r>
      <w:r>
        <w:rPr>
          <w:color w:val="000000"/>
          <w:spacing w:val="0"/>
          <w:w w:val="100"/>
          <w:position w:val="0"/>
        </w:rPr>
        <w:t xml:space="preserve">283. </w:t>
      </w:r>
      <w:r>
        <w:rPr>
          <w:color w:val="000000"/>
          <w:spacing w:val="0"/>
          <w:w w:val="100"/>
          <w:position w:val="0"/>
        </w:rPr>
        <w:t>00</w:t>
      </w:r>
      <w:r>
        <w:rPr>
          <w:color w:val="000000"/>
          <w:spacing w:val="0"/>
          <w:w w:val="100"/>
          <w:position w:val="0"/>
        </w:rPr>
        <w:t>股股份购买相关资产，核准神州信息非公开发行不超过</w:t>
      </w:r>
      <w:r>
        <w:rPr>
          <w:color w:val="000000"/>
          <w:spacing w:val="0"/>
          <w:w w:val="100"/>
          <w:position w:val="0"/>
        </w:rPr>
        <w:t xml:space="preserve">10, 856, </w:t>
      </w:r>
      <w:r>
        <w:rPr>
          <w:color w:val="000000"/>
          <w:spacing w:val="0"/>
          <w:w w:val="100"/>
          <w:position w:val="0"/>
        </w:rPr>
        <w:t xml:space="preserve">269. </w:t>
      </w:r>
      <w:r>
        <w:rPr>
          <w:color w:val="000000"/>
          <w:spacing w:val="0"/>
          <w:w w:val="100"/>
          <w:position w:val="0"/>
        </w:rPr>
        <w:t>00</w:t>
      </w:r>
      <w:r>
        <w:rPr>
          <w:color w:val="000000"/>
          <w:spacing w:val="0"/>
          <w:w w:val="100"/>
          <w:position w:val="0"/>
        </w:rPr>
        <w:t>股新股 募集上述发行股份购买资产的配套资金。</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根据《发行股份及支付现金购买资产协议》与《发行股份及支付现金购买资产协议之补充协议》，神州信息向前述的 中农信达原股东发行股份共计</w:t>
      </w:r>
      <w:r>
        <w:rPr>
          <w:color w:val="000000"/>
          <w:spacing w:val="0"/>
          <w:w w:val="100"/>
          <w:position w:val="0"/>
        </w:rPr>
        <w:t>20,520,227.00</w:t>
      </w:r>
      <w:r>
        <w:rPr>
          <w:color w:val="000000"/>
          <w:spacing w:val="0"/>
          <w:w w:val="100"/>
          <w:position w:val="0"/>
        </w:rPr>
        <w:t>股（发行价格为</w:t>
      </w:r>
      <w:r>
        <w:rPr>
          <w:color w:val="000000"/>
          <w:spacing w:val="0"/>
          <w:w w:val="100"/>
          <w:position w:val="0"/>
        </w:rPr>
        <w:t>24.22</w:t>
      </w:r>
      <w:r>
        <w:rPr>
          <w:color w:val="000000"/>
          <w:spacing w:val="0"/>
          <w:w w:val="100"/>
          <w:position w:val="0"/>
        </w:rPr>
        <w:t>元/股）。截至</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日止，公司已收到新增注册资 本人民币</w:t>
      </w:r>
      <w:r>
        <w:rPr>
          <w:color w:val="000000"/>
          <w:spacing w:val="0"/>
          <w:w w:val="100"/>
          <w:position w:val="0"/>
        </w:rPr>
        <w:t>20,520,227.00</w:t>
      </w:r>
      <w:r>
        <w:rPr>
          <w:color w:val="000000"/>
          <w:spacing w:val="0"/>
          <w:w w:val="100"/>
          <w:position w:val="0"/>
        </w:rPr>
        <w:t>元，变更后的注册资本为人民币</w:t>
      </w:r>
      <w:r>
        <w:rPr>
          <w:color w:val="000000"/>
          <w:spacing w:val="0"/>
          <w:w w:val="100"/>
          <w:position w:val="0"/>
        </w:rPr>
        <w:t xml:space="preserve">451,734, </w:t>
      </w:r>
      <w:r>
        <w:rPr>
          <w:color w:val="000000"/>
          <w:spacing w:val="0"/>
          <w:w w:val="100"/>
          <w:position w:val="0"/>
        </w:rPr>
        <w:t>241.00</w:t>
      </w:r>
      <w:r>
        <w:rPr>
          <w:color w:val="000000"/>
          <w:spacing w:val="0"/>
          <w:w w:val="100"/>
          <w:position w:val="0"/>
        </w:rPr>
        <w:t xml:space="preserve">元，并业经信永中和会计师事务所出具的 </w:t>
      </w:r>
      <w:r>
        <w:rPr>
          <w:color w:val="000000"/>
          <w:spacing w:val="0"/>
          <w:w w:val="100"/>
          <w:position w:val="0"/>
        </w:rPr>
        <w:t>XYZH/2014A1054-5</w:t>
      </w:r>
      <w:r>
        <w:rPr>
          <w:color w:val="000000"/>
          <w:spacing w:val="0"/>
          <w:w w:val="100"/>
          <w:position w:val="0"/>
        </w:rPr>
        <w:t>号《验资报告》验证。</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根据《发行股份及支付现金购买资产协议》、《发行股份及支付现金购买资产协议之补充协议》及证监许可</w:t>
      </w:r>
      <w:r>
        <w:rPr>
          <w:color w:val="000000"/>
          <w:spacing w:val="0"/>
          <w:w w:val="100"/>
          <w:position w:val="0"/>
        </w:rPr>
        <w:t xml:space="preserve">[2014]1258 </w:t>
      </w:r>
      <w:r>
        <w:rPr>
          <w:color w:val="000000"/>
          <w:spacing w:val="0"/>
          <w:w w:val="100"/>
          <w:position w:val="0"/>
        </w:rPr>
        <w:t>号《关于核准神州数码信息服务股份有限公司向冯健刚等发行股份购买资产并募集配套资金的批复》，神州信息向财通基金 管理有限公司、华安基金管理有限公司、华商基金管理有限公司、泰康资产管理有限责任公司、兴业全球基金管理有限公司 发行股份共计</w:t>
      </w:r>
      <w:r>
        <w:rPr>
          <w:color w:val="000000"/>
          <w:spacing w:val="0"/>
          <w:w w:val="100"/>
          <w:position w:val="0"/>
        </w:rPr>
        <w:t>7,171,717.00</w:t>
      </w:r>
      <w:r>
        <w:rPr>
          <w:color w:val="000000"/>
          <w:spacing w:val="0"/>
          <w:w w:val="100"/>
          <w:position w:val="0"/>
        </w:rPr>
        <w:t>股并募集配套资金</w:t>
      </w:r>
      <w:r>
        <w:rPr>
          <w:color w:val="000000"/>
          <w:spacing w:val="0"/>
          <w:w w:val="100"/>
          <w:position w:val="0"/>
        </w:rPr>
        <w:t>236,666,661.00</w:t>
      </w:r>
      <w:r>
        <w:rPr>
          <w:color w:val="000000"/>
          <w:spacing w:val="0"/>
          <w:w w:val="100"/>
          <w:position w:val="0"/>
        </w:rPr>
        <w:t>元（发行价格为</w:t>
      </w:r>
      <w:r>
        <w:rPr>
          <w:color w:val="000000"/>
          <w:spacing w:val="0"/>
          <w:w w:val="100"/>
          <w:position w:val="0"/>
        </w:rPr>
        <w:t>33.00</w:t>
      </w:r>
      <w:r>
        <w:rPr>
          <w:color w:val="000000"/>
          <w:spacing w:val="0"/>
          <w:w w:val="100"/>
          <w:position w:val="0"/>
        </w:rPr>
        <w:t>元/股）</w:t>
      </w:r>
      <w:r>
        <w:rPr>
          <w:color w:val="000000"/>
          <w:spacing w:val="0"/>
          <w:w w:val="100"/>
          <w:position w:val="0"/>
        </w:rPr>
        <w:t>，</w:t>
      </w:r>
      <w:r>
        <w:rPr>
          <w:color w:val="000000"/>
          <w:spacing w:val="0"/>
          <w:w w:val="100"/>
          <w:position w:val="0"/>
        </w:rPr>
        <w:t>截至</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日止，公司 已收到募集资金</w:t>
      </w:r>
      <w:r>
        <w:rPr>
          <w:color w:val="000000"/>
          <w:spacing w:val="0"/>
          <w:w w:val="100"/>
          <w:position w:val="0"/>
        </w:rPr>
        <w:t xml:space="preserve">236, 666, </w:t>
      </w:r>
      <w:r>
        <w:rPr>
          <w:color w:val="000000"/>
          <w:spacing w:val="0"/>
          <w:w w:val="100"/>
          <w:position w:val="0"/>
        </w:rPr>
        <w:t>661.00</w:t>
      </w:r>
      <w:r>
        <w:rPr>
          <w:color w:val="000000"/>
          <w:spacing w:val="0"/>
          <w:w w:val="100"/>
          <w:position w:val="0"/>
        </w:rPr>
        <w:t>元，扣除公司依据协议应支付给西南证券股份有限公司的财务顾问费用</w:t>
      </w: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r>
        <w:rPr>
          <w:color w:val="000000"/>
          <w:spacing w:val="0"/>
          <w:w w:val="100"/>
          <w:position w:val="0"/>
        </w:rPr>
        <w:t>元后， 实际募集资金净额为</w:t>
      </w:r>
      <w:r>
        <w:rPr>
          <w:color w:val="000000"/>
          <w:spacing w:val="0"/>
          <w:w w:val="100"/>
          <w:position w:val="0"/>
        </w:rPr>
        <w:t xml:space="preserve">226, 666, </w:t>
      </w:r>
      <w:r>
        <w:rPr>
          <w:color w:val="000000"/>
          <w:spacing w:val="0"/>
          <w:w w:val="100"/>
          <w:position w:val="0"/>
        </w:rPr>
        <w:t xml:space="preserve">661. </w:t>
      </w:r>
      <w:r>
        <w:rPr>
          <w:color w:val="000000"/>
          <w:spacing w:val="0"/>
          <w:w w:val="100"/>
          <w:position w:val="0"/>
        </w:rPr>
        <w:t>00</w:t>
      </w:r>
      <w:r>
        <w:rPr>
          <w:color w:val="000000"/>
          <w:spacing w:val="0"/>
          <w:w w:val="100"/>
          <w:position w:val="0"/>
        </w:rPr>
        <w:t>元，其中新增注册资本</w:t>
      </w:r>
      <w:r>
        <w:rPr>
          <w:color w:val="000000"/>
          <w:spacing w:val="0"/>
          <w:w w:val="100"/>
          <w:position w:val="0"/>
        </w:rPr>
        <w:t xml:space="preserve">7, </w:t>
      </w:r>
      <w:r>
        <w:rPr>
          <w:color w:val="000000"/>
          <w:spacing w:val="0"/>
          <w:w w:val="100"/>
          <w:position w:val="0"/>
        </w:rPr>
        <w:t xml:space="preserve">171,717. </w:t>
      </w:r>
      <w:r>
        <w:rPr>
          <w:color w:val="000000"/>
          <w:spacing w:val="0"/>
          <w:w w:val="100"/>
          <w:position w:val="0"/>
        </w:rPr>
        <w:t>00</w:t>
      </w:r>
      <w:r>
        <w:rPr>
          <w:color w:val="000000"/>
          <w:spacing w:val="0"/>
          <w:w w:val="100"/>
          <w:position w:val="0"/>
        </w:rPr>
        <w:t>元，变更后的注册资本为人民币</w:t>
      </w:r>
      <w:r>
        <w:rPr>
          <w:color w:val="000000"/>
          <w:spacing w:val="0"/>
          <w:w w:val="100"/>
          <w:position w:val="0"/>
        </w:rPr>
        <w:t xml:space="preserve">458, 905, </w:t>
      </w:r>
      <w:r>
        <w:rPr>
          <w:color w:val="000000"/>
          <w:spacing w:val="0"/>
          <w:w w:val="100"/>
          <w:position w:val="0"/>
        </w:rPr>
        <w:t xml:space="preserve">958. </w:t>
      </w:r>
      <w:r>
        <w:rPr>
          <w:color w:val="000000"/>
          <w:spacing w:val="0"/>
          <w:w w:val="100"/>
          <w:position w:val="0"/>
        </w:rPr>
        <w:t xml:space="preserve">00 </w:t>
      </w:r>
      <w:r>
        <w:rPr>
          <w:color w:val="000000"/>
          <w:spacing w:val="0"/>
          <w:w w:val="100"/>
          <w:position w:val="0"/>
        </w:rPr>
        <w:t>元，并业经信永中和会计师事务所出具的</w:t>
      </w:r>
      <w:r>
        <w:rPr>
          <w:color w:val="000000"/>
          <w:spacing w:val="0"/>
          <w:w w:val="100"/>
          <w:position w:val="0"/>
        </w:rPr>
        <w:t>XYZH/2014A1054-6</w:t>
      </w:r>
      <w:r>
        <w:rPr>
          <w:color w:val="000000"/>
          <w:spacing w:val="0"/>
          <w:w w:val="100"/>
          <w:position w:val="0"/>
        </w:rPr>
        <w:t>号《验资报告》验证。</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被购买资产作价依据为经北京中同华资产评估有限公司出具的中同华评报字</w:t>
      </w:r>
      <w:r>
        <w:rPr>
          <w:color w:val="000000"/>
          <w:spacing w:val="0"/>
          <w:w w:val="100"/>
          <w:position w:val="0"/>
        </w:rPr>
        <w:t>（2014）</w:t>
      </w:r>
      <w:r>
        <w:rPr>
          <w:color w:val="000000"/>
          <w:spacing w:val="0"/>
          <w:w w:val="100"/>
          <w:position w:val="0"/>
        </w:rPr>
        <w:t>第</w:t>
      </w:r>
      <w:r>
        <w:rPr>
          <w:color w:val="000000"/>
          <w:spacing w:val="0"/>
          <w:w w:val="100"/>
          <w:position w:val="0"/>
        </w:rPr>
        <w:t>406</w:t>
      </w:r>
      <w:r>
        <w:rPr>
          <w:color w:val="000000"/>
          <w:spacing w:val="0"/>
          <w:w w:val="100"/>
          <w:position w:val="0"/>
        </w:rPr>
        <w:t>号《神州数码信息服务股份有 限公司向特定对象发行股份购买资产并募集配套资金所涉及北京中农信达信息技术有限公司股权评估项目资产评估报告 书》。</w:t>
      </w:r>
    </w:p>
    <w:p>
      <w:pPr>
        <w:pStyle w:val="Style13"/>
        <w:keepNext w:val="0"/>
        <w:keepLines w:val="0"/>
        <w:widowControl w:val="0"/>
        <w:shd w:val="clear" w:color="auto" w:fill="auto"/>
        <w:tabs>
          <w:tab w:pos="375" w:val="left"/>
        </w:tabs>
        <w:bidi w:val="0"/>
        <w:spacing w:before="0" w:after="0" w:line="312" w:lineRule="exact"/>
        <w:ind w:left="0" w:right="0" w:firstLine="0"/>
        <w:jc w:val="both"/>
      </w:pPr>
      <w:bookmarkStart w:id="694" w:name="bookmark694"/>
      <w:r>
        <w:rPr>
          <w:color w:val="000000"/>
          <w:spacing w:val="0"/>
          <w:w w:val="100"/>
          <w:position w:val="0"/>
        </w:rPr>
        <w:t>1</w:t>
      </w:r>
      <w:bookmarkEnd w:id="694"/>
      <w:r>
        <w:rPr>
          <w:color w:val="000000"/>
          <w:spacing w:val="0"/>
          <w:w w:val="100"/>
          <w:position w:val="0"/>
        </w:rPr>
        <w:t>1）</w:t>
        <w:tab/>
      </w:r>
      <w:r>
        <w:rPr>
          <w:color w:val="000000"/>
          <w:spacing w:val="0"/>
          <w:w w:val="100"/>
          <w:position w:val="0"/>
        </w:rPr>
        <w:t>资本公积转股事项</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日，本公司召开的第六届董事会第十二次会议决议通过了《关于</w:t>
      </w:r>
      <w:r>
        <w:rPr>
          <w:color w:val="000000"/>
          <w:spacing w:val="0"/>
          <w:w w:val="100"/>
          <w:position w:val="0"/>
        </w:rPr>
        <w:t>2015</w:t>
      </w:r>
      <w:r>
        <w:rPr>
          <w:color w:val="000000"/>
          <w:spacing w:val="0"/>
          <w:w w:val="100"/>
          <w:position w:val="0"/>
        </w:rPr>
        <w:t>年半年度资本公积金转增股本预案的 议案》，以公司总股本</w:t>
      </w:r>
      <w:r>
        <w:rPr>
          <w:color w:val="000000"/>
          <w:spacing w:val="0"/>
          <w:w w:val="100"/>
          <w:position w:val="0"/>
        </w:rPr>
        <w:t xml:space="preserve">458, 905, </w:t>
      </w:r>
      <w:r>
        <w:rPr>
          <w:color w:val="000000"/>
          <w:spacing w:val="0"/>
          <w:w w:val="100"/>
          <w:position w:val="0"/>
        </w:rPr>
        <w:t xml:space="preserve">958. </w:t>
      </w:r>
      <w:r>
        <w:rPr>
          <w:color w:val="000000"/>
          <w:spacing w:val="0"/>
          <w:w w:val="100"/>
          <w:position w:val="0"/>
        </w:rPr>
        <w:t>00</w:t>
      </w:r>
      <w:r>
        <w:rPr>
          <w:color w:val="000000"/>
          <w:spacing w:val="0"/>
          <w:w w:val="100"/>
          <w:position w:val="0"/>
        </w:rPr>
        <w:t>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股，本议案已经公司</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 召开的</w:t>
      </w:r>
      <w:r>
        <w:rPr>
          <w:color w:val="000000"/>
          <w:spacing w:val="0"/>
          <w:w w:val="100"/>
          <w:position w:val="0"/>
        </w:rPr>
        <w:t>2015</w:t>
      </w:r>
      <w:r>
        <w:rPr>
          <w:color w:val="000000"/>
          <w:spacing w:val="0"/>
          <w:w w:val="100"/>
          <w:position w:val="0"/>
        </w:rPr>
        <w:t>年度第三次临时股东大会审议通过，转增完成后公司总股本由</w:t>
      </w:r>
      <w:r>
        <w:rPr>
          <w:color w:val="000000"/>
          <w:spacing w:val="0"/>
          <w:w w:val="100"/>
          <w:position w:val="0"/>
        </w:rPr>
        <w:t xml:space="preserve">458, 905, </w:t>
      </w:r>
      <w:r>
        <w:rPr>
          <w:color w:val="000000"/>
          <w:spacing w:val="0"/>
          <w:w w:val="100"/>
          <w:position w:val="0"/>
        </w:rPr>
        <w:t xml:space="preserve">958. </w:t>
      </w:r>
      <w:r>
        <w:rPr>
          <w:color w:val="000000"/>
          <w:spacing w:val="0"/>
          <w:w w:val="100"/>
          <w:position w:val="0"/>
        </w:rPr>
        <w:t>00</w:t>
      </w:r>
      <w:r>
        <w:rPr>
          <w:color w:val="000000"/>
          <w:spacing w:val="0"/>
          <w:w w:val="100"/>
          <w:position w:val="0"/>
        </w:rPr>
        <w:t>股增加至</w:t>
      </w:r>
      <w:r>
        <w:rPr>
          <w:color w:val="000000"/>
          <w:spacing w:val="0"/>
          <w:w w:val="100"/>
          <w:position w:val="0"/>
        </w:rPr>
        <w:t xml:space="preserve">917, 811, </w:t>
      </w:r>
      <w:r>
        <w:rPr>
          <w:color w:val="000000"/>
          <w:spacing w:val="0"/>
          <w:w w:val="100"/>
          <w:position w:val="0"/>
        </w:rPr>
        <w:t xml:space="preserve">916. </w:t>
      </w:r>
      <w:r>
        <w:rPr>
          <w:color w:val="000000"/>
          <w:spacing w:val="0"/>
          <w:w w:val="100"/>
          <w:position w:val="0"/>
        </w:rPr>
        <w:t>00</w:t>
      </w:r>
      <w:r>
        <w:rPr>
          <w:color w:val="000000"/>
          <w:spacing w:val="0"/>
          <w:w w:val="100"/>
          <w:position w:val="0"/>
        </w:rPr>
        <w:t>股。</w:t>
      </w:r>
      <w:r>
        <w:rPr>
          <w:color w:val="000000"/>
          <w:spacing w:val="0"/>
          <w:w w:val="100"/>
          <w:position w:val="0"/>
        </w:rPr>
        <w:t xml:space="preserve">2015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日，本公司注册资本变更为</w:t>
      </w:r>
      <w:r>
        <w:rPr>
          <w:color w:val="000000"/>
          <w:spacing w:val="0"/>
          <w:w w:val="100"/>
          <w:position w:val="0"/>
        </w:rPr>
        <w:t>917,811,916.00</w:t>
      </w:r>
      <w:r>
        <w:rPr>
          <w:color w:val="000000"/>
          <w:spacing w:val="0"/>
          <w:w w:val="100"/>
          <w:position w:val="0"/>
        </w:rPr>
        <w:t>元，并业经信永中和会计师事务所出具的</w:t>
      </w:r>
      <w:r>
        <w:rPr>
          <w:color w:val="000000"/>
          <w:spacing w:val="0"/>
          <w:w w:val="100"/>
          <w:position w:val="0"/>
        </w:rPr>
        <w:t>XYZH/2015BJA10125</w:t>
      </w:r>
      <w:r>
        <w:rPr>
          <w:color w:val="000000"/>
          <w:spacing w:val="0"/>
          <w:w w:val="100"/>
          <w:position w:val="0"/>
        </w:rPr>
        <w:t>号《验资报 告》验证。</w:t>
      </w:r>
    </w:p>
    <w:p>
      <w:pPr>
        <w:pStyle w:val="Style13"/>
        <w:keepNext w:val="0"/>
        <w:keepLines w:val="0"/>
        <w:widowControl w:val="0"/>
        <w:shd w:val="clear" w:color="auto" w:fill="auto"/>
        <w:tabs>
          <w:tab w:pos="375" w:val="left"/>
        </w:tabs>
        <w:bidi w:val="0"/>
        <w:spacing w:before="0" w:after="0" w:line="312" w:lineRule="exact"/>
        <w:ind w:left="0" w:right="0" w:firstLine="0"/>
        <w:jc w:val="both"/>
      </w:pPr>
      <w:bookmarkStart w:id="695" w:name="bookmark695"/>
      <w:r>
        <w:rPr>
          <w:color w:val="000000"/>
          <w:spacing w:val="0"/>
          <w:w w:val="100"/>
          <w:position w:val="0"/>
        </w:rPr>
        <w:t>1</w:t>
      </w:r>
      <w:bookmarkEnd w:id="695"/>
      <w:r>
        <w:rPr>
          <w:color w:val="000000"/>
          <w:spacing w:val="0"/>
          <w:w w:val="100"/>
          <w:position w:val="0"/>
        </w:rPr>
        <w:t>2）</w:t>
        <w:tab/>
        <w:t>2016</w:t>
      </w:r>
      <w:r>
        <w:rPr>
          <w:color w:val="000000"/>
          <w:spacing w:val="0"/>
          <w:w w:val="100"/>
          <w:position w:val="0"/>
        </w:rPr>
        <w:t>年度发行股份及支付现金购买资产事项</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根据神州信息第七届董事会</w:t>
      </w:r>
      <w:r>
        <w:rPr>
          <w:color w:val="000000"/>
          <w:spacing w:val="0"/>
          <w:w w:val="100"/>
          <w:position w:val="0"/>
        </w:rPr>
        <w:t>2016</w:t>
      </w:r>
      <w:r>
        <w:rPr>
          <w:color w:val="000000"/>
          <w:spacing w:val="0"/>
          <w:w w:val="100"/>
          <w:position w:val="0"/>
        </w:rPr>
        <w:t>年第三次临时会议决议通过的《关于公司符合发行股份及支付现金购买资产并募集配 套资金条件的议案》，神州信息与南京华苏科技有限公司（以下简称华苏科技）控股股东吴冬华、程艳云及其他</w:t>
      </w:r>
      <w:r>
        <w:rPr>
          <w:color w:val="000000"/>
          <w:spacing w:val="0"/>
          <w:w w:val="100"/>
          <w:position w:val="0"/>
        </w:rPr>
        <w:t>10</w:t>
      </w:r>
      <w:r>
        <w:rPr>
          <w:color w:val="000000"/>
          <w:spacing w:val="0"/>
          <w:w w:val="100"/>
          <w:position w:val="0"/>
        </w:rPr>
        <w:t xml:space="preserve">名股东于 </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日签订了附生效条件的《发行股份及支付现金购买资产协议》，神州信息拟购买华苏科技</w:t>
      </w:r>
      <w:r>
        <w:rPr>
          <w:color w:val="000000"/>
          <w:spacing w:val="0"/>
          <w:w w:val="100"/>
          <w:position w:val="0"/>
        </w:rPr>
        <w:t xml:space="preserve">96. </w:t>
      </w:r>
      <w:r>
        <w:rPr>
          <w:color w:val="000000"/>
          <w:spacing w:val="0"/>
          <w:w w:val="100"/>
          <w:position w:val="0"/>
        </w:rPr>
        <w:t>03%</w:t>
      </w:r>
      <w:r>
        <w:rPr>
          <w:color w:val="000000"/>
          <w:spacing w:val="0"/>
          <w:w w:val="100"/>
          <w:position w:val="0"/>
        </w:rPr>
        <w:t>的股权。</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日，中国证券监督管理委员会下发证监许可</w:t>
      </w:r>
      <w:r>
        <w:rPr>
          <w:color w:val="000000"/>
          <w:spacing w:val="0"/>
          <w:w w:val="100"/>
          <w:position w:val="0"/>
        </w:rPr>
        <w:t>[2016]2517</w:t>
      </w:r>
      <w:r>
        <w:rPr>
          <w:color w:val="000000"/>
          <w:spacing w:val="0"/>
          <w:w w:val="100"/>
          <w:position w:val="0"/>
        </w:rPr>
        <w:t>号《关于核准神州数码信息服务股份有限公司向程 艳云等发行股份购买资产并募集配套资金的批复》，核准公司向程艳云发行</w:t>
      </w:r>
      <w:r>
        <w:rPr>
          <w:color w:val="000000"/>
          <w:spacing w:val="0"/>
          <w:w w:val="100"/>
          <w:position w:val="0"/>
        </w:rPr>
        <w:t>8,527,926.00</w:t>
      </w:r>
      <w:r>
        <w:rPr>
          <w:color w:val="000000"/>
          <w:spacing w:val="0"/>
          <w:w w:val="100"/>
          <w:position w:val="0"/>
        </w:rPr>
        <w:t>股股份、向吴冬华发行</w:t>
      </w:r>
      <w:r>
        <w:rPr>
          <w:color w:val="000000"/>
          <w:spacing w:val="0"/>
          <w:w w:val="100"/>
          <w:position w:val="0"/>
        </w:rPr>
        <w:t xml:space="preserve">7,735,638.00 </w:t>
      </w:r>
      <w:r>
        <w:rPr>
          <w:color w:val="000000"/>
          <w:spacing w:val="0"/>
          <w:w w:val="100"/>
          <w:position w:val="0"/>
        </w:rPr>
        <w:t>股股份、向南京博飞信投资管理有限公司发行</w:t>
      </w:r>
      <w:r>
        <w:rPr>
          <w:color w:val="000000"/>
          <w:spacing w:val="0"/>
          <w:w w:val="100"/>
          <w:position w:val="0"/>
        </w:rPr>
        <w:t>2,808,225.00</w:t>
      </w:r>
      <w:r>
        <w:rPr>
          <w:color w:val="000000"/>
          <w:spacing w:val="0"/>
          <w:w w:val="100"/>
          <w:position w:val="0"/>
        </w:rPr>
        <w:t>股股份、向上海瑞经达创业投资有限公司（以下简称瑞经达）发 行</w:t>
      </w:r>
      <w:r>
        <w:rPr>
          <w:color w:val="000000"/>
          <w:spacing w:val="0"/>
          <w:w w:val="100"/>
          <w:position w:val="0"/>
        </w:rPr>
        <w:t>757,395.00</w:t>
      </w:r>
      <w:r>
        <w:rPr>
          <w:color w:val="000000"/>
          <w:spacing w:val="0"/>
          <w:w w:val="100"/>
          <w:position w:val="0"/>
        </w:rPr>
        <w:t>股股份、向南京明通投资管理中心（有限合伙）发行</w:t>
      </w:r>
      <w:r>
        <w:rPr>
          <w:color w:val="000000"/>
          <w:spacing w:val="0"/>
          <w:w w:val="100"/>
          <w:position w:val="0"/>
        </w:rPr>
        <w:t xml:space="preserve">838, </w:t>
      </w:r>
      <w:r>
        <w:rPr>
          <w:color w:val="000000"/>
          <w:spacing w:val="0"/>
          <w:w w:val="100"/>
          <w:position w:val="0"/>
        </w:rPr>
        <w:t>887.00</w:t>
      </w:r>
      <w:r>
        <w:rPr>
          <w:color w:val="000000"/>
          <w:spacing w:val="0"/>
          <w:w w:val="100"/>
          <w:position w:val="0"/>
        </w:rPr>
        <w:t>股股份、向陈大龙发行</w:t>
      </w:r>
      <w:r>
        <w:rPr>
          <w:color w:val="000000"/>
          <w:spacing w:val="0"/>
          <w:w w:val="100"/>
          <w:position w:val="0"/>
        </w:rPr>
        <w:t>716,097.00</w:t>
      </w:r>
      <w:r>
        <w:rPr>
          <w:color w:val="000000"/>
          <w:spacing w:val="0"/>
          <w:w w:val="100"/>
          <w:position w:val="0"/>
        </w:rPr>
        <w:t>股股份、向 李晶发行</w:t>
      </w:r>
      <w:r>
        <w:rPr>
          <w:color w:val="000000"/>
          <w:spacing w:val="0"/>
          <w:w w:val="100"/>
          <w:position w:val="0"/>
        </w:rPr>
        <w:t>715,698.00</w:t>
      </w:r>
      <w:r>
        <w:rPr>
          <w:color w:val="000000"/>
          <w:spacing w:val="0"/>
          <w:w w:val="100"/>
          <w:position w:val="0"/>
        </w:rPr>
        <w:t>股股份、向吴秀兰发行</w:t>
      </w:r>
      <w:r>
        <w:rPr>
          <w:color w:val="000000"/>
          <w:spacing w:val="0"/>
          <w:w w:val="100"/>
          <w:position w:val="0"/>
        </w:rPr>
        <w:t>705,251.00</w:t>
      </w:r>
      <w:r>
        <w:rPr>
          <w:color w:val="000000"/>
          <w:spacing w:val="0"/>
          <w:w w:val="100"/>
          <w:position w:val="0"/>
        </w:rPr>
        <w:t>股股份、向常杰发行</w:t>
      </w:r>
      <w:r>
        <w:rPr>
          <w:color w:val="000000"/>
          <w:spacing w:val="0"/>
          <w:w w:val="100"/>
          <w:position w:val="0"/>
        </w:rPr>
        <w:t>119,349.00</w:t>
      </w:r>
      <w:r>
        <w:rPr>
          <w:color w:val="000000"/>
          <w:spacing w:val="0"/>
          <w:w w:val="100"/>
          <w:position w:val="0"/>
        </w:rPr>
        <w:t>股股份、向王计斌发行</w:t>
      </w:r>
      <w:r>
        <w:rPr>
          <w:color w:val="000000"/>
          <w:spacing w:val="0"/>
          <w:w w:val="100"/>
          <w:position w:val="0"/>
        </w:rPr>
        <w:t xml:space="preserve">105,308.00 </w:t>
      </w:r>
      <w:r>
        <w:rPr>
          <w:color w:val="000000"/>
          <w:spacing w:val="0"/>
          <w:w w:val="100"/>
          <w:position w:val="0"/>
        </w:rPr>
        <w:t>股股份、向施伟发行</w:t>
      </w:r>
      <w:r>
        <w:rPr>
          <w:color w:val="000000"/>
          <w:spacing w:val="0"/>
          <w:w w:val="100"/>
          <w:position w:val="0"/>
        </w:rPr>
        <w:t xml:space="preserve">63, </w:t>
      </w:r>
      <w:r>
        <w:rPr>
          <w:color w:val="000000"/>
          <w:spacing w:val="0"/>
          <w:w w:val="100"/>
          <w:position w:val="0"/>
        </w:rPr>
        <w:t xml:space="preserve">185. </w:t>
      </w:r>
      <w:r>
        <w:rPr>
          <w:color w:val="000000"/>
          <w:spacing w:val="0"/>
          <w:w w:val="100"/>
          <w:position w:val="0"/>
        </w:rPr>
        <w:t>00</w:t>
      </w:r>
      <w:r>
        <w:rPr>
          <w:color w:val="000000"/>
          <w:spacing w:val="0"/>
          <w:w w:val="100"/>
          <w:position w:val="0"/>
        </w:rPr>
        <w:t>股股份购买相关资产，核准神州信息非公开发行不超过</w:t>
      </w:r>
      <w:r>
        <w:rPr>
          <w:color w:val="000000"/>
          <w:spacing w:val="0"/>
          <w:w w:val="100"/>
          <w:position w:val="0"/>
        </w:rPr>
        <w:t xml:space="preserve">23, 086, </w:t>
      </w:r>
      <w:r>
        <w:rPr>
          <w:color w:val="000000"/>
          <w:spacing w:val="0"/>
          <w:w w:val="100"/>
          <w:position w:val="0"/>
        </w:rPr>
        <w:t xml:space="preserve">172. </w:t>
      </w:r>
      <w:r>
        <w:rPr>
          <w:color w:val="000000"/>
          <w:spacing w:val="0"/>
          <w:w w:val="100"/>
          <w:position w:val="0"/>
        </w:rPr>
        <w:t>00</w:t>
      </w:r>
      <w:r>
        <w:rPr>
          <w:color w:val="000000"/>
          <w:spacing w:val="0"/>
          <w:w w:val="100"/>
          <w:position w:val="0"/>
        </w:rPr>
        <w:t>股新股募集上述发行股 份购买资产的配套资金。</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根据《发行股份及支付现金购买资产协议》</w:t>
      </w:r>
      <w:r>
        <w:rPr>
          <w:color w:val="000000"/>
          <w:spacing w:val="0"/>
          <w:w w:val="100"/>
          <w:position w:val="0"/>
        </w:rPr>
        <w:t>，</w:t>
      </w:r>
      <w:r>
        <w:rPr>
          <w:color w:val="000000"/>
          <w:spacing w:val="0"/>
          <w:w w:val="100"/>
          <w:position w:val="0"/>
        </w:rPr>
        <w:t>神州信息向前述的华苏科技股东发行股份共计</w:t>
      </w:r>
      <w:r>
        <w:rPr>
          <w:color w:val="000000"/>
          <w:spacing w:val="0"/>
          <w:w w:val="100"/>
          <w:position w:val="0"/>
        </w:rPr>
        <w:t>23,092,959.00</w:t>
      </w:r>
      <w:r>
        <w:rPr>
          <w:color w:val="000000"/>
          <w:spacing w:val="0"/>
          <w:w w:val="100"/>
          <w:position w:val="0"/>
        </w:rPr>
        <w:t>股（发行价 格为</w:t>
      </w:r>
      <w:r>
        <w:rPr>
          <w:color w:val="000000"/>
          <w:spacing w:val="0"/>
          <w:w w:val="100"/>
          <w:position w:val="0"/>
        </w:rPr>
        <w:t>24.95</w:t>
      </w:r>
      <w:r>
        <w:rPr>
          <w:color w:val="000000"/>
          <w:spacing w:val="0"/>
          <w:w w:val="100"/>
          <w:position w:val="0"/>
        </w:rPr>
        <w:t>元/股）。截至</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日止，公司已收到新增注册资本人民币</w:t>
      </w:r>
      <w:r>
        <w:rPr>
          <w:color w:val="000000"/>
          <w:spacing w:val="0"/>
          <w:w w:val="100"/>
          <w:position w:val="0"/>
        </w:rPr>
        <w:t>23,092,959.00</w:t>
      </w:r>
      <w:r>
        <w:rPr>
          <w:color w:val="000000"/>
          <w:spacing w:val="0"/>
          <w:w w:val="100"/>
          <w:position w:val="0"/>
        </w:rPr>
        <w:t>元，变更后的注册资本为人民 币</w:t>
      </w:r>
      <w:r>
        <w:rPr>
          <w:color w:val="000000"/>
          <w:spacing w:val="0"/>
          <w:w w:val="100"/>
          <w:position w:val="0"/>
        </w:rPr>
        <w:t xml:space="preserve">940, 904, </w:t>
      </w:r>
      <w:r>
        <w:rPr>
          <w:color w:val="000000"/>
          <w:spacing w:val="0"/>
          <w:w w:val="100"/>
          <w:position w:val="0"/>
        </w:rPr>
        <w:t xml:space="preserve">875. </w:t>
      </w:r>
      <w:r>
        <w:rPr>
          <w:color w:val="000000"/>
          <w:spacing w:val="0"/>
          <w:w w:val="100"/>
          <w:position w:val="0"/>
        </w:rPr>
        <w:t>00</w:t>
      </w:r>
      <w:r>
        <w:rPr>
          <w:color w:val="000000"/>
          <w:spacing w:val="0"/>
          <w:w w:val="100"/>
          <w:position w:val="0"/>
        </w:rPr>
        <w:t>元，并业经信永中和会计师事务所出具的</w:t>
      </w:r>
      <w:r>
        <w:rPr>
          <w:color w:val="000000"/>
          <w:spacing w:val="0"/>
          <w:w w:val="100"/>
          <w:position w:val="0"/>
        </w:rPr>
        <w:t>XYZH/2016BJA10717</w:t>
      </w:r>
      <w:r>
        <w:rPr>
          <w:color w:val="000000"/>
          <w:spacing w:val="0"/>
          <w:w w:val="100"/>
          <w:position w:val="0"/>
        </w:rPr>
        <w:t>《验资报告》验证。</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根据《发行股份及支付现金购买资产协议》及证监许可</w:t>
      </w:r>
      <w:r>
        <w:rPr>
          <w:color w:val="000000"/>
          <w:spacing w:val="0"/>
          <w:w w:val="100"/>
          <w:position w:val="0"/>
        </w:rPr>
        <w:t>[2016]2517</w:t>
      </w:r>
      <w:r>
        <w:rPr>
          <w:color w:val="000000"/>
          <w:spacing w:val="0"/>
          <w:w w:val="100"/>
          <w:position w:val="0"/>
        </w:rPr>
        <w:t>号《关于核准神州数码信息服务股份有限公司向程 艳云等发行股份购买资产并募集配套资金的批复》，神州信息向嘉实基金管理有限公司、西部证券股份有限公司、九泰基金 管理有限公司、天弘基金管理有限公司、财通基金管理有限公司、平安大华基金管理有限公司发行股份共计</w:t>
      </w:r>
      <w:r>
        <w:rPr>
          <w:color w:val="000000"/>
          <w:spacing w:val="0"/>
          <w:w w:val="100"/>
          <w:position w:val="0"/>
        </w:rPr>
        <w:t xml:space="preserve">22,526,398.00 </w:t>
      </w:r>
      <w:r>
        <w:rPr>
          <w:color w:val="000000"/>
          <w:spacing w:val="0"/>
          <w:w w:val="100"/>
          <w:position w:val="0"/>
        </w:rPr>
        <w:t>股并募集配套资金</w:t>
      </w:r>
      <w:r>
        <w:rPr>
          <w:color w:val="000000"/>
          <w:spacing w:val="0"/>
          <w:w w:val="100"/>
          <w:position w:val="0"/>
        </w:rPr>
        <w:t xml:space="preserve">575, 999, </w:t>
      </w:r>
      <w:r>
        <w:rPr>
          <w:color w:val="000000"/>
          <w:spacing w:val="0"/>
          <w:w w:val="100"/>
          <w:position w:val="0"/>
        </w:rPr>
        <w:t xml:space="preserve">996. </w:t>
      </w:r>
      <w:r>
        <w:rPr>
          <w:color w:val="000000"/>
          <w:spacing w:val="0"/>
          <w:w w:val="100"/>
          <w:position w:val="0"/>
        </w:rPr>
        <w:t>86</w:t>
      </w:r>
      <w:r>
        <w:rPr>
          <w:color w:val="000000"/>
          <w:spacing w:val="0"/>
          <w:w w:val="100"/>
          <w:position w:val="0"/>
        </w:rPr>
        <w:t>元（发行价格为</w:t>
      </w:r>
      <w:r>
        <w:rPr>
          <w:color w:val="000000"/>
          <w:spacing w:val="0"/>
          <w:w w:val="100"/>
          <w:position w:val="0"/>
        </w:rPr>
        <w:t xml:space="preserve">25. </w:t>
      </w:r>
      <w:r>
        <w:rPr>
          <w:color w:val="000000"/>
          <w:spacing w:val="0"/>
          <w:w w:val="100"/>
          <w:position w:val="0"/>
        </w:rPr>
        <w:t>57</w:t>
      </w:r>
      <w:r>
        <w:rPr>
          <w:color w:val="000000"/>
          <w:spacing w:val="0"/>
          <w:w w:val="100"/>
          <w:position w:val="0"/>
        </w:rPr>
        <w:t>元/股），截至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日止，公司已收到募集资金</w:t>
      </w:r>
      <w:r>
        <w:rPr>
          <w:color w:val="000000"/>
          <w:spacing w:val="0"/>
          <w:w w:val="100"/>
          <w:position w:val="0"/>
        </w:rPr>
        <w:t xml:space="preserve">575, 999, </w:t>
      </w:r>
      <w:r>
        <w:rPr>
          <w:color w:val="000000"/>
          <w:spacing w:val="0"/>
          <w:w w:val="100"/>
          <w:position w:val="0"/>
        </w:rPr>
        <w:t xml:space="preserve">996. </w:t>
      </w:r>
      <w:r>
        <w:rPr>
          <w:color w:val="000000"/>
          <w:spacing w:val="0"/>
          <w:w w:val="100"/>
          <w:position w:val="0"/>
        </w:rPr>
        <w:t xml:space="preserve">86 </w:t>
      </w:r>
      <w:r>
        <w:rPr>
          <w:color w:val="000000"/>
          <w:spacing w:val="0"/>
          <w:w w:val="100"/>
          <w:position w:val="0"/>
        </w:rPr>
        <w:t>元，扣除公司依据协议应支付给长江证券承销保荐有限公司的财务顾问费及承销费</w:t>
      </w:r>
      <w:r>
        <w:rPr>
          <w:color w:val="000000"/>
          <w:spacing w:val="0"/>
          <w:w w:val="100"/>
          <w:position w:val="0"/>
        </w:rPr>
        <w:t xml:space="preserve">15, 000,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元后实际募集资金净额为 </w:t>
      </w:r>
      <w:r>
        <w:rPr>
          <w:color w:val="000000"/>
          <w:spacing w:val="0"/>
          <w:w w:val="100"/>
          <w:position w:val="0"/>
        </w:rPr>
        <w:t xml:space="preserve">560, 999, </w:t>
      </w:r>
      <w:r>
        <w:rPr>
          <w:color w:val="000000"/>
          <w:spacing w:val="0"/>
          <w:w w:val="100"/>
          <w:position w:val="0"/>
        </w:rPr>
        <w:t xml:space="preserve">996. </w:t>
      </w:r>
      <w:r>
        <w:rPr>
          <w:color w:val="000000"/>
          <w:spacing w:val="0"/>
          <w:w w:val="100"/>
          <w:position w:val="0"/>
        </w:rPr>
        <w:t>86</w:t>
      </w:r>
      <w:r>
        <w:rPr>
          <w:color w:val="000000"/>
          <w:spacing w:val="0"/>
          <w:w w:val="100"/>
          <w:position w:val="0"/>
        </w:rPr>
        <w:t>元，长江证券承销保荐有限公司已将上述募集资金净额</w:t>
      </w:r>
      <w:r>
        <w:rPr>
          <w:color w:val="000000"/>
          <w:spacing w:val="0"/>
          <w:w w:val="100"/>
          <w:position w:val="0"/>
        </w:rPr>
        <w:t xml:space="preserve">560, 999, </w:t>
      </w:r>
      <w:r>
        <w:rPr>
          <w:color w:val="000000"/>
          <w:spacing w:val="0"/>
          <w:w w:val="100"/>
          <w:position w:val="0"/>
        </w:rPr>
        <w:t xml:space="preserve">996. </w:t>
      </w:r>
      <w:r>
        <w:rPr>
          <w:color w:val="000000"/>
          <w:spacing w:val="0"/>
          <w:w w:val="100"/>
          <w:position w:val="0"/>
        </w:rPr>
        <w:t>86</w:t>
      </w:r>
      <w:r>
        <w:rPr>
          <w:color w:val="000000"/>
          <w:spacing w:val="0"/>
          <w:w w:val="100"/>
          <w:position w:val="0"/>
        </w:rPr>
        <w:t>元划入公司于招商银行股份有限公司 北京双榆树支行开立的银行账户（账号为</w:t>
      </w:r>
      <w:r>
        <w:rPr>
          <w:color w:val="000000"/>
          <w:spacing w:val="0"/>
          <w:w w:val="100"/>
          <w:position w:val="0"/>
        </w:rPr>
        <w:t>755906962410505），</w:t>
      </w:r>
      <w:r>
        <w:rPr>
          <w:color w:val="000000"/>
          <w:spacing w:val="0"/>
          <w:w w:val="100"/>
          <w:position w:val="0"/>
        </w:rPr>
        <w:t>其中，新增注册资本人民币</w:t>
      </w:r>
      <w:r>
        <w:rPr>
          <w:color w:val="000000"/>
          <w:spacing w:val="0"/>
          <w:w w:val="100"/>
          <w:position w:val="0"/>
        </w:rPr>
        <w:t>22,526,398.00</w:t>
      </w:r>
      <w:r>
        <w:rPr>
          <w:color w:val="000000"/>
          <w:spacing w:val="0"/>
          <w:w w:val="100"/>
          <w:position w:val="0"/>
        </w:rPr>
        <w:t xml:space="preserve">元，增加资本公积 </w:t>
      </w:r>
      <w:r>
        <w:rPr>
          <w:color w:val="000000"/>
          <w:spacing w:val="0"/>
          <w:w w:val="100"/>
          <w:position w:val="0"/>
        </w:rPr>
        <w:t xml:space="preserve">538, 473, </w:t>
      </w:r>
      <w:r>
        <w:rPr>
          <w:color w:val="000000"/>
          <w:spacing w:val="0"/>
          <w:w w:val="100"/>
          <w:position w:val="0"/>
        </w:rPr>
        <w:t xml:space="preserve">598. </w:t>
      </w:r>
      <w:r>
        <w:rPr>
          <w:color w:val="000000"/>
          <w:spacing w:val="0"/>
          <w:w w:val="100"/>
          <w:position w:val="0"/>
        </w:rPr>
        <w:t>86</w:t>
      </w:r>
      <w:r>
        <w:rPr>
          <w:color w:val="000000"/>
          <w:spacing w:val="0"/>
          <w:w w:val="100"/>
          <w:position w:val="0"/>
        </w:rPr>
        <w:t>元，变更后的注册资本为人民币</w:t>
      </w:r>
      <w:r>
        <w:rPr>
          <w:color w:val="000000"/>
          <w:spacing w:val="0"/>
          <w:w w:val="100"/>
          <w:position w:val="0"/>
        </w:rPr>
        <w:t xml:space="preserve">963, 431, </w:t>
      </w:r>
      <w:r>
        <w:rPr>
          <w:color w:val="000000"/>
          <w:spacing w:val="0"/>
          <w:w w:val="100"/>
          <w:position w:val="0"/>
        </w:rPr>
        <w:t xml:space="preserve">273. </w:t>
      </w:r>
      <w:r>
        <w:rPr>
          <w:color w:val="000000"/>
          <w:spacing w:val="0"/>
          <w:w w:val="100"/>
          <w:position w:val="0"/>
        </w:rPr>
        <w:t>00</w:t>
      </w:r>
      <w:r>
        <w:rPr>
          <w:color w:val="000000"/>
          <w:spacing w:val="0"/>
          <w:w w:val="100"/>
          <w:position w:val="0"/>
        </w:rPr>
        <w:t>元，并业经信永中和会计师事务所出具的</w:t>
      </w:r>
      <w:r>
        <w:rPr>
          <w:color w:val="000000"/>
          <w:spacing w:val="0"/>
          <w:w w:val="100"/>
          <w:position w:val="0"/>
        </w:rPr>
        <w:t xml:space="preserve">XYZH/2016BJA10718 </w:t>
      </w:r>
      <w:r>
        <w:rPr>
          <w:color w:val="000000"/>
          <w:spacing w:val="0"/>
          <w:w w:val="100"/>
          <w:position w:val="0"/>
        </w:rPr>
        <w:t>号《验资报告》验证。</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被购买资产作价依据为经北京中同华资产评估有限公司出具的中同华评报字</w:t>
      </w:r>
      <w:r>
        <w:rPr>
          <w:color w:val="000000"/>
          <w:spacing w:val="0"/>
          <w:w w:val="100"/>
          <w:position w:val="0"/>
        </w:rPr>
        <w:t>（2016</w:t>
      </w:r>
      <w:r>
        <w:rPr>
          <w:color w:val="000000"/>
          <w:spacing w:val="0"/>
          <w:w w:val="100"/>
          <w:position w:val="0"/>
        </w:rPr>
        <w:t>）第</w:t>
      </w:r>
      <w:r>
        <w:rPr>
          <w:color w:val="000000"/>
          <w:spacing w:val="0"/>
          <w:w w:val="100"/>
          <w:position w:val="0"/>
        </w:rPr>
        <w:t>256</w:t>
      </w:r>
      <w:r>
        <w:rPr>
          <w:color w:val="000000"/>
          <w:spacing w:val="0"/>
          <w:w w:val="100"/>
          <w:position w:val="0"/>
        </w:rPr>
        <w:t>号《资产评估报告书》。</w:t>
      </w:r>
    </w:p>
    <w:p>
      <w:pPr>
        <w:pStyle w:val="Style13"/>
        <w:keepNext w:val="0"/>
        <w:keepLines w:val="0"/>
        <w:widowControl w:val="0"/>
        <w:shd w:val="clear" w:color="auto" w:fill="auto"/>
        <w:bidi w:val="0"/>
        <w:spacing w:before="0" w:after="0" w:line="314" w:lineRule="exact"/>
        <w:ind w:left="0" w:right="0" w:firstLine="0"/>
        <w:jc w:val="left"/>
      </w:pPr>
      <w:bookmarkStart w:id="696" w:name="bookmark696"/>
      <w:r>
        <w:rPr>
          <w:color w:val="000000"/>
          <w:spacing w:val="0"/>
          <w:w w:val="100"/>
          <w:position w:val="0"/>
        </w:rPr>
        <w:t>1</w:t>
      </w:r>
      <w:bookmarkEnd w:id="696"/>
      <w:r>
        <w:rPr>
          <w:color w:val="000000"/>
          <w:spacing w:val="0"/>
          <w:w w:val="100"/>
          <w:position w:val="0"/>
        </w:rPr>
        <w:t>3）</w:t>
      </w:r>
      <w:r>
        <w:rPr>
          <w:color w:val="000000"/>
          <w:spacing w:val="0"/>
          <w:w w:val="100"/>
          <w:position w:val="0"/>
        </w:rPr>
        <w:t>向激励对象授予股票期权与限制性股票</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日，公司第八届董事会</w:t>
      </w:r>
      <w:r>
        <w:rPr>
          <w:color w:val="000000"/>
          <w:spacing w:val="0"/>
          <w:w w:val="100"/>
          <w:position w:val="0"/>
        </w:rPr>
        <w:t>2019</w:t>
      </w:r>
      <w:r>
        <w:rPr>
          <w:color w:val="000000"/>
          <w:spacing w:val="0"/>
          <w:w w:val="100"/>
          <w:position w:val="0"/>
        </w:rPr>
        <w:t>年第三次临时会议审议通过了《关于公司</w:t>
      </w:r>
      <w:r>
        <w:rPr>
          <w:color w:val="000000"/>
          <w:spacing w:val="0"/>
          <w:w w:val="100"/>
          <w:position w:val="0"/>
        </w:rPr>
        <w:t>＜2019</w:t>
      </w:r>
      <w:r>
        <w:rPr>
          <w:color w:val="000000"/>
          <w:spacing w:val="0"/>
          <w:w w:val="100"/>
          <w:position w:val="0"/>
        </w:rPr>
        <w:t>年股票期权与限制性股票激励 计划（草案）〉及其摘要的议案》、《关于公司</w:t>
      </w:r>
      <w:r>
        <w:rPr>
          <w:color w:val="000000"/>
          <w:spacing w:val="0"/>
          <w:w w:val="100"/>
          <w:position w:val="0"/>
        </w:rPr>
        <w:t>＜2019</w:t>
      </w:r>
      <w:r>
        <w:rPr>
          <w:color w:val="000000"/>
          <w:spacing w:val="0"/>
          <w:w w:val="100"/>
          <w:position w:val="0"/>
        </w:rPr>
        <w:t>年股票期权与限制性股票激励计划实施考核管理办法〉的议案》、《关 于提请股东大会授权董事会办理股权激励相关事宜的议案》。</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8</w:t>
      </w:r>
      <w:r>
        <w:rPr>
          <w:color w:val="000000"/>
          <w:spacing w:val="0"/>
          <w:w w:val="100"/>
          <w:position w:val="0"/>
        </w:rPr>
        <w:t>日，公司第八届董事会</w:t>
      </w:r>
      <w:r>
        <w:rPr>
          <w:color w:val="000000"/>
          <w:spacing w:val="0"/>
          <w:w w:val="100"/>
          <w:position w:val="0"/>
        </w:rPr>
        <w:t>2019</w:t>
      </w:r>
      <w:r>
        <w:rPr>
          <w:color w:val="000000"/>
          <w:spacing w:val="0"/>
          <w:w w:val="100"/>
          <w:position w:val="0"/>
        </w:rPr>
        <w:t>年第四次临时会议审议通过了《关于公司</w:t>
      </w:r>
      <w:r>
        <w:rPr>
          <w:color w:val="000000"/>
          <w:spacing w:val="0"/>
          <w:w w:val="100"/>
          <w:position w:val="0"/>
        </w:rPr>
        <w:t>＜2019</w:t>
      </w:r>
      <w:r>
        <w:rPr>
          <w:color w:val="000000"/>
          <w:spacing w:val="0"/>
          <w:w w:val="100"/>
          <w:position w:val="0"/>
        </w:rPr>
        <w:t>年股票期权与限制性股票激励计 划（草案修订稿）〉及其摘要的议案》。</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日，公司</w:t>
      </w:r>
      <w:r>
        <w:rPr>
          <w:color w:val="000000"/>
          <w:spacing w:val="0"/>
          <w:w w:val="100"/>
          <w:position w:val="0"/>
        </w:rPr>
        <w:t>2019</w:t>
      </w:r>
      <w:r>
        <w:rPr>
          <w:color w:val="000000"/>
          <w:spacing w:val="0"/>
          <w:w w:val="100"/>
          <w:position w:val="0"/>
        </w:rPr>
        <w:t>年度第三次临时股东大会审议并通过了《关于公司</w:t>
      </w:r>
      <w:r>
        <w:rPr>
          <w:color w:val="000000"/>
          <w:spacing w:val="0"/>
          <w:w w:val="100"/>
          <w:position w:val="0"/>
        </w:rPr>
        <w:t>＜2019</w:t>
      </w:r>
      <w:r>
        <w:rPr>
          <w:color w:val="000000"/>
          <w:spacing w:val="0"/>
          <w:w w:val="100"/>
          <w:position w:val="0"/>
        </w:rPr>
        <w:t>年股票期权与限制性股票激励计划 （草案修订稿）</w:t>
      </w:r>
      <w:r>
        <w:rPr>
          <w:color w:val="000000"/>
          <w:spacing w:val="0"/>
          <w:w w:val="100"/>
          <w:position w:val="0"/>
        </w:rPr>
        <w:t>＞</w:t>
      </w:r>
      <w:r>
        <w:rPr>
          <w:color w:val="000000"/>
          <w:spacing w:val="0"/>
          <w:w w:val="100"/>
          <w:position w:val="0"/>
        </w:rPr>
        <w:t>及其摘要的议案》、《关于公司</w:t>
      </w:r>
      <w:r>
        <w:rPr>
          <w:color w:val="000000"/>
          <w:spacing w:val="0"/>
          <w:w w:val="100"/>
          <w:position w:val="0"/>
        </w:rPr>
        <w:t>＜2019</w:t>
      </w:r>
      <w:r>
        <w:rPr>
          <w:color w:val="000000"/>
          <w:spacing w:val="0"/>
          <w:w w:val="100"/>
          <w:position w:val="0"/>
        </w:rPr>
        <w:t>年股票期权与限制性股票激励计划实施考核管理办法〉的议案》、《关 于提请股东大会授权董事会办理股权激励相关事宜的议案》。</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日召开了第八届董事会</w:t>
      </w:r>
      <w:r>
        <w:rPr>
          <w:color w:val="000000"/>
          <w:spacing w:val="0"/>
          <w:w w:val="100"/>
          <w:position w:val="0"/>
        </w:rPr>
        <w:t>2019</w:t>
      </w:r>
      <w:r>
        <w:rPr>
          <w:color w:val="000000"/>
          <w:spacing w:val="0"/>
          <w:w w:val="100"/>
          <w:position w:val="0"/>
        </w:rPr>
        <w:t>年第七次临时会议，审议通过了《关于向激励对象授予股票期权与限制 性股票的议案》，确定股票期权与限制性股票的授予日为</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根据中国证券监督管理委员会《上市公司股权激励管理办法》、深圳证券交易所、中国证券登记结算有限责任公司深 圳分公司有关规则，公司于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 xml:space="preserve">日完成了 </w:t>
      </w:r>
      <w:r>
        <w:rPr>
          <w:color w:val="000000"/>
          <w:spacing w:val="0"/>
          <w:w w:val="100"/>
          <w:position w:val="0"/>
        </w:rPr>
        <w:t>2019</w:t>
      </w:r>
      <w:r>
        <w:rPr>
          <w:color w:val="000000"/>
          <w:spacing w:val="0"/>
          <w:w w:val="100"/>
          <w:position w:val="0"/>
        </w:rPr>
        <w:t>年限制性股票激励计划首次授予登记工作。公司向激励对象定向发 行公司</w:t>
      </w:r>
      <w:r>
        <w:rPr>
          <w:color w:val="000000"/>
          <w:spacing w:val="0"/>
          <w:w w:val="100"/>
          <w:position w:val="0"/>
        </w:rPr>
        <w:t>A</w:t>
      </w:r>
      <w:r>
        <w:rPr>
          <w:color w:val="000000"/>
          <w:spacing w:val="0"/>
          <w:w w:val="100"/>
          <w:position w:val="0"/>
        </w:rPr>
        <w:t>股普通股，授予日为</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日，授予价格为</w:t>
      </w:r>
      <w:r>
        <w:rPr>
          <w:color w:val="000000"/>
          <w:spacing w:val="0"/>
          <w:w w:val="100"/>
          <w:position w:val="0"/>
        </w:rPr>
        <w:t>6.345</w:t>
      </w:r>
      <w:r>
        <w:rPr>
          <w:color w:val="000000"/>
          <w:spacing w:val="0"/>
          <w:w w:val="100"/>
          <w:position w:val="0"/>
        </w:rPr>
        <w:t>元/股，授予</w:t>
      </w:r>
      <w:r>
        <w:rPr>
          <w:color w:val="000000"/>
          <w:spacing w:val="0"/>
          <w:w w:val="100"/>
          <w:position w:val="0"/>
        </w:rPr>
        <w:t>6,950,000.00</w:t>
      </w:r>
      <w:r>
        <w:rPr>
          <w:color w:val="000000"/>
          <w:spacing w:val="0"/>
          <w:w w:val="100"/>
          <w:position w:val="0"/>
        </w:rPr>
        <w:t>股限制性股票。公司本次限制性 股票授予完成后，公司的总股本增加至</w:t>
      </w:r>
      <w:r>
        <w:rPr>
          <w:color w:val="000000"/>
          <w:spacing w:val="0"/>
          <w:w w:val="100"/>
          <w:position w:val="0"/>
        </w:rPr>
        <w:t xml:space="preserve">970, </w:t>
      </w:r>
      <w:r>
        <w:rPr>
          <w:color w:val="000000"/>
          <w:spacing w:val="0"/>
          <w:w w:val="100"/>
          <w:position w:val="0"/>
        </w:rPr>
        <w:t>381,273.00</w:t>
      </w:r>
      <w:r>
        <w:rPr>
          <w:color w:val="000000"/>
          <w:spacing w:val="0"/>
          <w:w w:val="100"/>
          <w:position w:val="0"/>
        </w:rPr>
        <w:t>元。北京兴华会计师事务所（特殊普通合伙）于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18</w:t>
      </w:r>
      <w:r>
        <w:rPr>
          <w:color w:val="000000"/>
          <w:spacing w:val="0"/>
          <w:w w:val="100"/>
          <w:position w:val="0"/>
        </w:rPr>
        <w:t xml:space="preserve">日出具 </w:t>
      </w:r>
      <w:r>
        <w:rPr>
          <w:color w:val="000000"/>
          <w:spacing w:val="0"/>
          <w:w w:val="100"/>
          <w:position w:val="0"/>
        </w:rPr>
        <w:t>（2019）</w:t>
      </w:r>
      <w:r>
        <w:rPr>
          <w:color w:val="000000"/>
          <w:spacing w:val="0"/>
          <w:w w:val="100"/>
          <w:position w:val="0"/>
        </w:rPr>
        <w:t>京会兴验字第</w:t>
      </w:r>
      <w:r>
        <w:rPr>
          <w:color w:val="000000"/>
          <w:spacing w:val="0"/>
          <w:w w:val="100"/>
          <w:position w:val="0"/>
        </w:rPr>
        <w:t>64000003</w:t>
      </w:r>
      <w:r>
        <w:rPr>
          <w:color w:val="000000"/>
          <w:spacing w:val="0"/>
          <w:w w:val="100"/>
          <w:position w:val="0"/>
        </w:rPr>
        <w:t>号验资报告，对本公司截止</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15</w:t>
      </w:r>
      <w:r>
        <w:rPr>
          <w:color w:val="000000"/>
          <w:spacing w:val="0"/>
          <w:w w:val="100"/>
          <w:position w:val="0"/>
        </w:rPr>
        <w:t>日的出资情况进行审验，本公司的募集资金账户共 收到</w:t>
      </w:r>
      <w:r>
        <w:rPr>
          <w:color w:val="000000"/>
          <w:spacing w:val="0"/>
          <w:w w:val="100"/>
          <w:position w:val="0"/>
        </w:rPr>
        <w:t>16</w:t>
      </w:r>
      <w:r>
        <w:rPr>
          <w:color w:val="000000"/>
          <w:spacing w:val="0"/>
          <w:w w:val="100"/>
          <w:position w:val="0"/>
        </w:rPr>
        <w:t>名激励对象入资款</w:t>
      </w:r>
      <w:r>
        <w:rPr>
          <w:color w:val="000000"/>
          <w:spacing w:val="0"/>
          <w:w w:val="100"/>
          <w:position w:val="0"/>
        </w:rPr>
        <w:t xml:space="preserve">44, 097, </w:t>
      </w:r>
      <w:r>
        <w:rPr>
          <w:color w:val="000000"/>
          <w:spacing w:val="0"/>
          <w:w w:val="100"/>
          <w:position w:val="0"/>
        </w:rPr>
        <w:t xml:space="preserve">750. </w:t>
      </w:r>
      <w:r>
        <w:rPr>
          <w:color w:val="000000"/>
          <w:spacing w:val="0"/>
          <w:w w:val="100"/>
          <w:position w:val="0"/>
        </w:rPr>
        <w:t>00</w:t>
      </w:r>
      <w:r>
        <w:rPr>
          <w:color w:val="000000"/>
          <w:spacing w:val="0"/>
          <w:w w:val="100"/>
          <w:position w:val="0"/>
        </w:rPr>
        <w:t>元。其中按照激励计划购买公司限制性股票增加“股本</w:t>
      </w:r>
      <w:r>
        <w:rPr>
          <w:color w:val="000000"/>
          <w:spacing w:val="0"/>
          <w:w w:val="100"/>
          <w:position w:val="0"/>
        </w:rPr>
        <w:t>” 6,950,000.00</w:t>
      </w:r>
      <w:r>
        <w:rPr>
          <w:color w:val="000000"/>
          <w:spacing w:val="0"/>
          <w:w w:val="100"/>
          <w:position w:val="0"/>
        </w:rPr>
        <w:t>元，出资款 超过限制性股票成本</w:t>
      </w:r>
      <w:r>
        <w:rPr>
          <w:color w:val="000000"/>
          <w:spacing w:val="0"/>
          <w:w w:val="100"/>
          <w:position w:val="0"/>
        </w:rPr>
        <w:t xml:space="preserve">37, 147, </w:t>
      </w:r>
      <w:r>
        <w:rPr>
          <w:color w:val="000000"/>
          <w:spacing w:val="0"/>
          <w:w w:val="100"/>
          <w:position w:val="0"/>
        </w:rPr>
        <w:t xml:space="preserve">750. </w:t>
      </w:r>
      <w:r>
        <w:rPr>
          <w:color w:val="000000"/>
          <w:spacing w:val="0"/>
          <w:w w:val="100"/>
          <w:position w:val="0"/>
        </w:rPr>
        <w:t>00</w:t>
      </w:r>
      <w:r>
        <w:rPr>
          <w:color w:val="000000"/>
          <w:spacing w:val="0"/>
          <w:w w:val="100"/>
          <w:position w:val="0"/>
        </w:rPr>
        <w:t>元增加“资本公积-股本溢价”。</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日召开的第八届董事会第七次会议和</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日召开的</w:t>
      </w:r>
      <w:r>
        <w:rPr>
          <w:color w:val="000000"/>
          <w:spacing w:val="0"/>
          <w:w w:val="100"/>
          <w:position w:val="0"/>
        </w:rPr>
        <w:t>2020</w:t>
      </w:r>
      <w:r>
        <w:rPr>
          <w:color w:val="000000"/>
          <w:spacing w:val="0"/>
          <w:w w:val="100"/>
          <w:position w:val="0"/>
        </w:rPr>
        <w:t>年度第二次股东大会决议的规定，公 司回购注销因个人离职的激励对象持有的限制性股票</w:t>
      </w:r>
      <w:r>
        <w:rPr>
          <w:color w:val="000000"/>
          <w:spacing w:val="0"/>
          <w:w w:val="100"/>
          <w:position w:val="0"/>
        </w:rPr>
        <w:t xml:space="preserve">300, </w:t>
      </w:r>
      <w:r>
        <w:rPr>
          <w:color w:val="000000"/>
          <w:spacing w:val="0"/>
          <w:w w:val="100"/>
          <w:position w:val="0"/>
        </w:rPr>
        <w:t xml:space="preserve">000. </w:t>
      </w:r>
      <w:r>
        <w:rPr>
          <w:color w:val="000000"/>
          <w:spacing w:val="0"/>
          <w:w w:val="100"/>
          <w:position w:val="0"/>
        </w:rPr>
        <w:t>00</w:t>
      </w:r>
      <w:r>
        <w:rPr>
          <w:color w:val="000000"/>
          <w:spacing w:val="0"/>
          <w:w w:val="100"/>
          <w:position w:val="0"/>
        </w:rPr>
        <w:t>股，回购价格为</w:t>
      </w:r>
      <w:r>
        <w:rPr>
          <w:color w:val="000000"/>
          <w:spacing w:val="0"/>
          <w:w w:val="100"/>
          <w:position w:val="0"/>
        </w:rPr>
        <w:t>6.345</w:t>
      </w:r>
      <w:r>
        <w:rPr>
          <w:color w:val="000000"/>
          <w:spacing w:val="0"/>
          <w:w w:val="100"/>
          <w:position w:val="0"/>
        </w:rPr>
        <w:t>元/股（扣除已分配股利</w:t>
      </w:r>
      <w:r>
        <w:rPr>
          <w:color w:val="000000"/>
          <w:spacing w:val="0"/>
          <w:w w:val="100"/>
          <w:position w:val="0"/>
        </w:rPr>
        <w:t xml:space="preserve">0. </w:t>
      </w:r>
      <w:r>
        <w:rPr>
          <w:color w:val="000000"/>
          <w:spacing w:val="0"/>
          <w:w w:val="100"/>
          <w:position w:val="0"/>
        </w:rPr>
        <w:t>039</w:t>
      </w:r>
      <w:r>
        <w:rPr>
          <w:color w:val="000000"/>
          <w:spacing w:val="0"/>
          <w:w w:val="100"/>
          <w:position w:val="0"/>
        </w:rPr>
        <w:t>元/股）。 上述回购注销限制性股票导致减少股本人民币</w:t>
      </w:r>
      <w:r>
        <w:rPr>
          <w:color w:val="000000"/>
          <w:spacing w:val="0"/>
          <w:w w:val="100"/>
          <w:position w:val="0"/>
        </w:rPr>
        <w:t xml:space="preserve">300, </w:t>
      </w:r>
      <w:r>
        <w:rPr>
          <w:color w:val="000000"/>
          <w:spacing w:val="0"/>
          <w:w w:val="100"/>
          <w:position w:val="0"/>
        </w:rPr>
        <w:t xml:space="preserve">000. </w:t>
      </w:r>
      <w:r>
        <w:rPr>
          <w:color w:val="000000"/>
          <w:spacing w:val="0"/>
          <w:w w:val="100"/>
          <w:position w:val="0"/>
        </w:rPr>
        <w:t>00</w:t>
      </w:r>
      <w:r>
        <w:rPr>
          <w:color w:val="000000"/>
          <w:spacing w:val="0"/>
          <w:w w:val="100"/>
          <w:position w:val="0"/>
        </w:rPr>
        <w:t>元，减少资本公积人民币</w:t>
      </w:r>
      <w:r>
        <w:rPr>
          <w:color w:val="000000"/>
          <w:spacing w:val="0"/>
          <w:w w:val="100"/>
          <w:position w:val="0"/>
        </w:rPr>
        <w:t xml:space="preserve">1, 591, </w:t>
      </w:r>
      <w:r>
        <w:rPr>
          <w:color w:val="000000"/>
          <w:spacing w:val="0"/>
          <w:w w:val="100"/>
          <w:position w:val="0"/>
        </w:rPr>
        <w:t xml:space="preserve">800. </w:t>
      </w:r>
      <w:r>
        <w:rPr>
          <w:color w:val="000000"/>
          <w:spacing w:val="0"/>
          <w:w w:val="100"/>
          <w:position w:val="0"/>
        </w:rPr>
        <w:t>00</w:t>
      </w:r>
      <w:r>
        <w:rPr>
          <w:color w:val="000000"/>
          <w:spacing w:val="0"/>
          <w:w w:val="100"/>
          <w:position w:val="0"/>
        </w:rPr>
        <w:t>元。本次股本变动已经中兴 财光华会计师事务所（特殊普通合伙）审验，于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5</w:t>
      </w:r>
      <w:r>
        <w:rPr>
          <w:color w:val="000000"/>
          <w:spacing w:val="0"/>
          <w:w w:val="100"/>
          <w:position w:val="0"/>
        </w:rPr>
        <w:t>日出具了中兴财光华验字</w:t>
      </w:r>
      <w:r>
        <w:rPr>
          <w:color w:val="000000"/>
          <w:spacing w:val="0"/>
          <w:w w:val="100"/>
          <w:position w:val="0"/>
        </w:rPr>
        <w:t>（2020）</w:t>
      </w:r>
      <w:r>
        <w:rPr>
          <w:color w:val="000000"/>
          <w:spacing w:val="0"/>
          <w:w w:val="100"/>
          <w:position w:val="0"/>
        </w:rPr>
        <w:t>第</w:t>
      </w:r>
      <w:r>
        <w:rPr>
          <w:color w:val="000000"/>
          <w:spacing w:val="0"/>
          <w:w w:val="100"/>
          <w:position w:val="0"/>
        </w:rPr>
        <w:t>337002</w:t>
      </w:r>
      <w:r>
        <w:rPr>
          <w:color w:val="000000"/>
          <w:spacing w:val="0"/>
          <w:w w:val="100"/>
          <w:position w:val="0"/>
        </w:rPr>
        <w:t>号《验资报告》。</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根据公司股权激励计划的相关规定，</w:t>
      </w:r>
      <w:r>
        <w:rPr>
          <w:color w:val="000000"/>
          <w:spacing w:val="0"/>
          <w:w w:val="100"/>
          <w:position w:val="0"/>
        </w:rPr>
        <w:t>2020</w:t>
      </w:r>
      <w:r>
        <w:rPr>
          <w:color w:val="000000"/>
          <w:spacing w:val="0"/>
          <w:w w:val="100"/>
          <w:position w:val="0"/>
        </w:rPr>
        <w:t>年公司股票期权第一个行权期激励对象中部分员工行权，合计行权股票期权 数量为</w:t>
      </w:r>
      <w:r>
        <w:rPr>
          <w:color w:val="000000"/>
          <w:spacing w:val="0"/>
          <w:w w:val="100"/>
          <w:position w:val="0"/>
        </w:rPr>
        <w:t xml:space="preserve">5, 687, </w:t>
      </w:r>
      <w:r>
        <w:rPr>
          <w:color w:val="000000"/>
          <w:spacing w:val="0"/>
          <w:w w:val="100"/>
          <w:position w:val="0"/>
        </w:rPr>
        <w:t xml:space="preserve">554. </w:t>
      </w:r>
      <w:r>
        <w:rPr>
          <w:color w:val="000000"/>
          <w:spacing w:val="0"/>
          <w:w w:val="100"/>
          <w:position w:val="0"/>
        </w:rPr>
        <w:t>00</w:t>
      </w:r>
      <w:r>
        <w:rPr>
          <w:color w:val="000000"/>
          <w:spacing w:val="0"/>
          <w:w w:val="100"/>
          <w:position w:val="0"/>
        </w:rPr>
        <w:t>股，</w:t>
      </w:r>
      <w:r>
        <w:rPr>
          <w:color w:val="000000"/>
          <w:spacing w:val="0"/>
          <w:w w:val="100"/>
          <w:position w:val="0"/>
        </w:rPr>
        <w:t>2020</w:t>
      </w:r>
      <w:r>
        <w:rPr>
          <w:color w:val="000000"/>
          <w:spacing w:val="0"/>
          <w:w w:val="100"/>
          <w:position w:val="0"/>
        </w:rPr>
        <w:t>年股票期权行权导致股本增加</w:t>
      </w:r>
      <w:r>
        <w:rPr>
          <w:color w:val="000000"/>
          <w:spacing w:val="0"/>
          <w:w w:val="100"/>
          <w:position w:val="0"/>
        </w:rPr>
        <w:t xml:space="preserve">5, 687, </w:t>
      </w:r>
      <w:r>
        <w:rPr>
          <w:color w:val="000000"/>
          <w:spacing w:val="0"/>
          <w:w w:val="100"/>
          <w:position w:val="0"/>
        </w:rPr>
        <w:t xml:space="preserve">554. </w:t>
      </w:r>
      <w:r>
        <w:rPr>
          <w:color w:val="000000"/>
          <w:spacing w:val="0"/>
          <w:w w:val="100"/>
          <w:position w:val="0"/>
        </w:rPr>
        <w:t>00</w:t>
      </w:r>
      <w:r>
        <w:rPr>
          <w:color w:val="000000"/>
          <w:spacing w:val="0"/>
          <w:w w:val="100"/>
          <w:position w:val="0"/>
        </w:rPr>
        <w:t>元，资本公积-股本溢价增加</w:t>
      </w:r>
      <w:r>
        <w:rPr>
          <w:color w:val="000000"/>
          <w:spacing w:val="0"/>
          <w:w w:val="100"/>
          <w:position w:val="0"/>
        </w:rPr>
        <w:t xml:space="preserve">66, 882, </w:t>
      </w:r>
      <w:r>
        <w:rPr>
          <w:color w:val="000000"/>
          <w:spacing w:val="0"/>
          <w:w w:val="100"/>
          <w:position w:val="0"/>
        </w:rPr>
        <w:t xml:space="preserve">671. </w:t>
      </w:r>
      <w:r>
        <w:rPr>
          <w:color w:val="000000"/>
          <w:spacing w:val="0"/>
          <w:w w:val="100"/>
          <w:position w:val="0"/>
        </w:rPr>
        <w:t>16</w:t>
      </w:r>
      <w:r>
        <w:rPr>
          <w:color w:val="000000"/>
          <w:spacing w:val="0"/>
          <w:w w:val="100"/>
          <w:position w:val="0"/>
        </w:rPr>
        <w:t>元;</w:t>
      </w:r>
      <w:r>
        <w:rPr>
          <w:color w:val="000000"/>
          <w:spacing w:val="0"/>
          <w:w w:val="100"/>
          <w:position w:val="0"/>
        </w:rPr>
        <w:t xml:space="preserve">2021 </w:t>
      </w:r>
      <w:r>
        <w:rPr>
          <w:color w:val="000000"/>
          <w:spacing w:val="0"/>
          <w:w w:val="100"/>
          <w:position w:val="0"/>
        </w:rPr>
        <w:t>年公司股票期权第一个行权期激励对象中</w:t>
      </w:r>
      <w:r>
        <w:rPr>
          <w:color w:val="000000"/>
          <w:spacing w:val="0"/>
          <w:w w:val="100"/>
          <w:position w:val="0"/>
        </w:rPr>
        <w:t>24</w:t>
      </w:r>
      <w:r>
        <w:rPr>
          <w:color w:val="000000"/>
          <w:spacing w:val="0"/>
          <w:w w:val="100"/>
          <w:position w:val="0"/>
        </w:rPr>
        <w:t>名员工离职，公司注销其未行权股票</w:t>
      </w:r>
      <w:r>
        <w:rPr>
          <w:color w:val="000000"/>
          <w:spacing w:val="0"/>
          <w:w w:val="100"/>
          <w:position w:val="0"/>
        </w:rPr>
        <w:t xml:space="preserve">1, 096, </w:t>
      </w:r>
      <w:r>
        <w:rPr>
          <w:color w:val="000000"/>
          <w:spacing w:val="0"/>
          <w:w w:val="100"/>
          <w:position w:val="0"/>
        </w:rPr>
        <w:t>845.00</w:t>
      </w:r>
      <w:r>
        <w:rPr>
          <w:color w:val="000000"/>
          <w:spacing w:val="0"/>
          <w:w w:val="100"/>
          <w:position w:val="0"/>
        </w:rPr>
        <w:t>份，剩余</w:t>
      </w:r>
      <w:r>
        <w:rPr>
          <w:color w:val="000000"/>
          <w:spacing w:val="0"/>
          <w:w w:val="100"/>
          <w:position w:val="0"/>
        </w:rPr>
        <w:t xml:space="preserve">3, 975, </w:t>
      </w:r>
      <w:r>
        <w:rPr>
          <w:color w:val="000000"/>
          <w:spacing w:val="0"/>
          <w:w w:val="100"/>
          <w:position w:val="0"/>
        </w:rPr>
        <w:t xml:space="preserve">601. </w:t>
      </w:r>
      <w:r>
        <w:rPr>
          <w:color w:val="000000"/>
          <w:spacing w:val="0"/>
          <w:w w:val="100"/>
          <w:position w:val="0"/>
        </w:rPr>
        <w:t>00</w:t>
      </w:r>
      <w:r>
        <w:rPr>
          <w:color w:val="000000"/>
          <w:spacing w:val="0"/>
          <w:w w:val="100"/>
          <w:position w:val="0"/>
        </w:rPr>
        <w:t>份股票 期权已全部行权，</w:t>
      </w:r>
      <w:r>
        <w:rPr>
          <w:color w:val="000000"/>
          <w:spacing w:val="0"/>
          <w:w w:val="100"/>
          <w:position w:val="0"/>
        </w:rPr>
        <w:t>2021</w:t>
      </w:r>
      <w:r>
        <w:rPr>
          <w:color w:val="000000"/>
          <w:spacing w:val="0"/>
          <w:w w:val="100"/>
          <w:position w:val="0"/>
        </w:rPr>
        <w:t>年股票期权行权导致股本增加</w:t>
      </w:r>
      <w:r>
        <w:rPr>
          <w:color w:val="000000"/>
          <w:spacing w:val="0"/>
          <w:w w:val="100"/>
          <w:position w:val="0"/>
        </w:rPr>
        <w:t xml:space="preserve">3, 975, </w:t>
      </w:r>
      <w:r>
        <w:rPr>
          <w:color w:val="000000"/>
          <w:spacing w:val="0"/>
          <w:w w:val="100"/>
          <w:position w:val="0"/>
        </w:rPr>
        <w:t>601.00</w:t>
      </w:r>
      <w:r>
        <w:rPr>
          <w:color w:val="000000"/>
          <w:spacing w:val="0"/>
          <w:w w:val="100"/>
          <w:position w:val="0"/>
        </w:rPr>
        <w:t>元，资本公积-股本溢价增加</w:t>
      </w:r>
      <w:r>
        <w:rPr>
          <w:color w:val="000000"/>
          <w:spacing w:val="0"/>
          <w:w w:val="100"/>
          <w:position w:val="0"/>
        </w:rPr>
        <w:t xml:space="preserve">46, </w:t>
      </w:r>
      <w:r>
        <w:rPr>
          <w:color w:val="000000"/>
          <w:spacing w:val="0"/>
          <w:w w:val="100"/>
          <w:position w:val="0"/>
        </w:rPr>
        <w:t>746,915.46</w:t>
      </w:r>
      <w:r>
        <w:rPr>
          <w:color w:val="000000"/>
          <w:spacing w:val="0"/>
          <w:w w:val="100"/>
          <w:position w:val="0"/>
        </w:rPr>
        <w:t>元，截至</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日累计自主行权数量为</w:t>
      </w:r>
      <w:r>
        <w:rPr>
          <w:color w:val="000000"/>
          <w:spacing w:val="0"/>
          <w:w w:val="100"/>
          <w:position w:val="0"/>
        </w:rPr>
        <w:t xml:space="preserve">9, </w:t>
      </w:r>
      <w:r>
        <w:rPr>
          <w:color w:val="000000"/>
          <w:spacing w:val="0"/>
          <w:w w:val="100"/>
          <w:position w:val="0"/>
        </w:rPr>
        <w:t>663,155.00</w:t>
      </w:r>
      <w:r>
        <w:rPr>
          <w:color w:val="000000"/>
          <w:spacing w:val="0"/>
          <w:w w:val="100"/>
          <w:position w:val="0"/>
        </w:rPr>
        <w:t>份。</w:t>
      </w:r>
    </w:p>
    <w:p>
      <w:pPr>
        <w:pStyle w:val="Style13"/>
        <w:keepNext w:val="0"/>
        <w:keepLines w:val="0"/>
        <w:widowControl w:val="0"/>
        <w:shd w:val="clear" w:color="auto" w:fill="auto"/>
        <w:bidi w:val="0"/>
        <w:spacing w:before="0" w:after="0" w:line="314" w:lineRule="exact"/>
        <w:ind w:left="0" w:right="0" w:firstLine="0"/>
        <w:jc w:val="both"/>
      </w:pPr>
      <w:r>
        <w:rPr>
          <w:color w:val="000000"/>
          <w:spacing w:val="0"/>
          <w:w w:val="100"/>
          <w:position w:val="0"/>
        </w:rPr>
        <w:t>3</w:t>
      </w:r>
      <w:r>
        <w:rPr>
          <w:color w:val="000000"/>
          <w:spacing w:val="0"/>
          <w:w w:val="100"/>
          <w:position w:val="0"/>
        </w:rPr>
        <w:t>.其他基本情况</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注册地址：深圳市南山区科发路</w:t>
      </w:r>
      <w:r>
        <w:rPr>
          <w:color w:val="000000"/>
          <w:spacing w:val="0"/>
          <w:w w:val="100"/>
          <w:position w:val="0"/>
        </w:rPr>
        <w:t>8</w:t>
      </w:r>
      <w:r>
        <w:rPr>
          <w:color w:val="000000"/>
          <w:spacing w:val="0"/>
          <w:w w:val="100"/>
          <w:position w:val="0"/>
        </w:rPr>
        <w:t>号金融服务技术创新基地</w:t>
      </w:r>
      <w:r>
        <w:rPr>
          <w:color w:val="000000"/>
          <w:spacing w:val="0"/>
          <w:w w:val="100"/>
          <w:position w:val="0"/>
        </w:rPr>
        <w:t>2</w:t>
      </w:r>
      <w:r>
        <w:rPr>
          <w:color w:val="000000"/>
          <w:spacing w:val="0"/>
          <w:w w:val="100"/>
          <w:position w:val="0"/>
        </w:rPr>
        <w:t>栋</w:t>
      </w:r>
      <w:r>
        <w:rPr>
          <w:color w:val="000000"/>
          <w:spacing w:val="0"/>
          <w:w w:val="100"/>
          <w:position w:val="0"/>
        </w:rPr>
        <w:t>11B</w:t>
      </w:r>
      <w:r>
        <w:rPr>
          <w:color w:val="000000"/>
          <w:spacing w:val="0"/>
          <w:w w:val="100"/>
          <w:position w:val="0"/>
        </w:rPr>
        <w:t>1</w:t>
      </w:r>
      <w:r>
        <w:rPr>
          <w:color w:val="000000"/>
          <w:spacing w:val="0"/>
          <w:w w:val="100"/>
          <w:position w:val="0"/>
        </w:rPr>
        <w:t xml:space="preserve">单元；本公司统一社会信用代码 </w:t>
      </w:r>
      <w:r>
        <w:rPr>
          <w:color w:val="000000"/>
          <w:spacing w:val="0"/>
          <w:w w:val="100"/>
          <w:position w:val="0"/>
        </w:rPr>
        <w:t>91440300726198124D</w:t>
      </w:r>
      <w:r>
        <w:rPr>
          <w:color w:val="000000"/>
          <w:spacing w:val="0"/>
          <w:w w:val="100"/>
          <w:position w:val="0"/>
        </w:rPr>
        <w:t>。</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经营范围：研究、开发金融自助设备及相关应用软件，销售本公司所研发产品并提供售后服务；提供信息技术及相关 技术的咨询、开发、技术服务；软件开发、信息系统的集成并提供售后服务；从事信息系统集成配套计算机硬件及零件、网 络设备、多媒体产品、电子信息产品及通讯产品、办公自动化设备、仪器仪表、电器及印刷照排设备的批发、进出口及相关 业务。</w:t>
      </w:r>
    </w:p>
    <w:p>
      <w:pPr>
        <w:pStyle w:val="Style13"/>
        <w:keepNext w:val="0"/>
        <w:keepLines w:val="0"/>
        <w:widowControl w:val="0"/>
        <w:shd w:val="clear" w:color="auto" w:fill="auto"/>
        <w:bidi w:val="0"/>
        <w:spacing w:before="0" w:after="0" w:line="314" w:lineRule="exact"/>
        <w:ind w:left="0" w:right="0"/>
        <w:jc w:val="left"/>
      </w:pPr>
      <w:r>
        <w:rPr>
          <w:color w:val="000000"/>
          <w:spacing w:val="0"/>
          <w:w w:val="100"/>
          <w:position w:val="0"/>
        </w:rPr>
        <w:t>本集团合并财务报表范围包括本公司、神州数码系统集成服务有限公司、神州数码信息系统有限公司等</w:t>
      </w:r>
      <w:r>
        <w:rPr>
          <w:color w:val="000000"/>
          <w:spacing w:val="0"/>
          <w:w w:val="100"/>
          <w:position w:val="0"/>
        </w:rPr>
        <w:t>47</w:t>
      </w:r>
      <w:r>
        <w:rPr>
          <w:color w:val="000000"/>
          <w:spacing w:val="0"/>
          <w:w w:val="100"/>
          <w:position w:val="0"/>
        </w:rPr>
        <w:t>家公司。</w:t>
      </w:r>
    </w:p>
    <w:p>
      <w:pPr>
        <w:pStyle w:val="Style13"/>
        <w:keepNext w:val="0"/>
        <w:keepLines w:val="0"/>
        <w:widowControl w:val="0"/>
        <w:shd w:val="clear" w:color="auto" w:fill="auto"/>
        <w:bidi w:val="0"/>
        <w:spacing w:before="0" w:after="0" w:line="314" w:lineRule="exact"/>
        <w:ind w:left="0" w:right="0"/>
        <w:jc w:val="left"/>
      </w:pPr>
      <w:r>
        <w:rPr>
          <w:color w:val="000000"/>
          <w:spacing w:val="0"/>
          <w:w w:val="100"/>
          <w:position w:val="0"/>
        </w:rPr>
        <w:t>与上年相比，本年因注销减少南京神州金信电子科技有限公司、广州神州金信电子科技有限公司。</w:t>
      </w:r>
    </w:p>
    <w:p>
      <w:pPr>
        <w:pStyle w:val="Style13"/>
        <w:keepNext w:val="0"/>
        <w:keepLines w:val="0"/>
        <w:widowControl w:val="0"/>
        <w:shd w:val="clear" w:color="auto" w:fill="auto"/>
        <w:bidi w:val="0"/>
        <w:spacing w:before="0" w:after="0" w:line="314" w:lineRule="exact"/>
        <w:ind w:left="0" w:right="0"/>
        <w:jc w:val="left"/>
        <w:sectPr>
          <w:footnotePr>
            <w:pos w:val="pageBottom"/>
            <w:numFmt w:val="decimal"/>
            <w:numRestart w:val="continuous"/>
          </w:footnotePr>
          <w:pgSz w:w="11900" w:h="16840"/>
          <w:pgMar w:top="1374" w:right="1016" w:bottom="1513" w:left="1106" w:header="0" w:footer="3" w:gutter="0"/>
          <w:cols w:space="720"/>
          <w:noEndnote/>
          <w:rtlGutter w:val="0"/>
          <w:docGrid w:linePitch="360"/>
        </w:sectPr>
      </w:pPr>
      <w:r>
        <w:rPr>
          <w:color w:val="000000"/>
          <w:spacing w:val="0"/>
          <w:w w:val="100"/>
          <w:position w:val="0"/>
        </w:rPr>
        <w:t>详见本附注“八、合并范围变化”及“九、在其他主体中的权益”相关内容。</w:t>
      </w:r>
    </w:p>
    <w:p>
      <w:pPr>
        <w:pStyle w:val="Style25"/>
        <w:keepNext/>
        <w:keepLines/>
        <w:widowControl w:val="0"/>
        <w:shd w:val="clear" w:color="auto" w:fill="auto"/>
        <w:tabs>
          <w:tab w:pos="493" w:val="left"/>
        </w:tabs>
        <w:bidi w:val="0"/>
        <w:spacing w:before="80" w:after="360" w:line="240" w:lineRule="auto"/>
        <w:ind w:left="0" w:right="0" w:firstLine="0"/>
        <w:jc w:val="both"/>
      </w:pPr>
      <w:bookmarkStart w:id="697" w:name="bookmark697"/>
      <w:bookmarkStart w:id="698" w:name="bookmark698"/>
      <w:bookmarkStart w:id="699" w:name="bookmark699"/>
      <w:bookmarkStart w:id="700" w:name="bookmark700"/>
      <w:r>
        <w:rPr>
          <w:color w:val="000000"/>
          <w:spacing w:val="0"/>
          <w:w w:val="100"/>
          <w:position w:val="0"/>
          <w:sz w:val="24"/>
          <w:szCs w:val="24"/>
        </w:rPr>
        <w:t>四</w:t>
      </w:r>
      <w:bookmarkEnd w:id="699"/>
      <w:r>
        <w:rPr>
          <w:color w:val="000000"/>
          <w:spacing w:val="0"/>
          <w:w w:val="100"/>
          <w:position w:val="0"/>
          <w:sz w:val="24"/>
          <w:szCs w:val="24"/>
        </w:rPr>
        <w:t>、</w:t>
        <w:tab/>
        <w:t>财务报表的编制基础</w:t>
      </w:r>
      <w:bookmarkEnd w:id="697"/>
      <w:bookmarkEnd w:id="698"/>
      <w:bookmarkEnd w:id="700"/>
    </w:p>
    <w:p>
      <w:pPr>
        <w:pStyle w:val="Style29"/>
        <w:keepNext/>
        <w:keepLines/>
        <w:widowControl w:val="0"/>
        <w:shd w:val="clear" w:color="auto" w:fill="auto"/>
        <w:tabs>
          <w:tab w:pos="368" w:val="left"/>
        </w:tabs>
        <w:bidi w:val="0"/>
        <w:spacing w:before="0" w:after="280" w:line="240" w:lineRule="auto"/>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color w:val="000000"/>
          <w:spacing w:val="0"/>
          <w:w w:val="100"/>
          <w:position w:val="0"/>
        </w:rPr>
        <w:t>、</w:t>
        <w:tab/>
        <w:t>编制基础</w:t>
      </w:r>
      <w:bookmarkEnd w:id="701"/>
      <w:bookmarkEnd w:id="702"/>
      <w:bookmarkEnd w:id="704"/>
    </w:p>
    <w:p>
      <w:pPr>
        <w:pStyle w:val="Style13"/>
        <w:keepNext w:val="0"/>
        <w:keepLines w:val="0"/>
        <w:widowControl w:val="0"/>
        <w:shd w:val="clear" w:color="auto" w:fill="auto"/>
        <w:bidi w:val="0"/>
        <w:spacing w:before="0" w:after="360" w:line="293" w:lineRule="exact"/>
        <w:ind w:left="0" w:right="0"/>
        <w:jc w:val="both"/>
      </w:pPr>
      <w:r>
        <w:rPr>
          <w:color w:val="000000"/>
          <w:spacing w:val="0"/>
          <w:w w:val="100"/>
          <w:position w:val="0"/>
        </w:rPr>
        <w:t>本集团财务报表以持续经营为基础，根据实际发生的交易和事项，按照财政部颁布的《企业会计准则》及相关规定，并 基于本附注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所述会计政策和会计估计编制。</w:t>
      </w:r>
    </w:p>
    <w:p>
      <w:pPr>
        <w:pStyle w:val="Style29"/>
        <w:keepNext/>
        <w:keepLines/>
        <w:widowControl w:val="0"/>
        <w:shd w:val="clear" w:color="auto" w:fill="auto"/>
        <w:tabs>
          <w:tab w:pos="378" w:val="left"/>
        </w:tabs>
        <w:bidi w:val="0"/>
        <w:spacing w:before="0" w:after="280" w:line="240" w:lineRule="auto"/>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bookmarkEnd w:id="707"/>
      <w:r>
        <w:rPr>
          <w:color w:val="000000"/>
          <w:spacing w:val="0"/>
          <w:w w:val="100"/>
          <w:position w:val="0"/>
        </w:rPr>
        <w:t>、</w:t>
        <w:tab/>
        <w:t>持续经营</w:t>
      </w:r>
      <w:bookmarkEnd w:id="705"/>
      <w:bookmarkEnd w:id="706"/>
      <w:bookmarkEnd w:id="708"/>
    </w:p>
    <w:p>
      <w:pPr>
        <w:pStyle w:val="Style13"/>
        <w:keepNext w:val="0"/>
        <w:keepLines w:val="0"/>
        <w:widowControl w:val="0"/>
        <w:shd w:val="clear" w:color="auto" w:fill="auto"/>
        <w:bidi w:val="0"/>
        <w:spacing w:before="0" w:after="360" w:line="314" w:lineRule="exact"/>
        <w:ind w:left="0" w:right="0"/>
        <w:jc w:val="both"/>
      </w:pPr>
      <w:r>
        <w:rPr>
          <w:color w:val="000000"/>
          <w:spacing w:val="0"/>
          <w:w w:val="100"/>
          <w:position w:val="0"/>
        </w:rPr>
        <w:t>本集团不存在导致对报告期末起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5"/>
        <w:keepNext/>
        <w:keepLines/>
        <w:widowControl w:val="0"/>
        <w:shd w:val="clear" w:color="auto" w:fill="auto"/>
        <w:tabs>
          <w:tab w:pos="512" w:val="left"/>
        </w:tabs>
        <w:bidi w:val="0"/>
        <w:spacing w:before="0" w:after="28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sz w:val="24"/>
          <w:szCs w:val="24"/>
        </w:rPr>
        <w:t>五</w:t>
      </w:r>
      <w:bookmarkEnd w:id="711"/>
      <w:r>
        <w:rPr>
          <w:color w:val="000000"/>
          <w:spacing w:val="0"/>
          <w:w w:val="100"/>
          <w:position w:val="0"/>
          <w:sz w:val="24"/>
          <w:szCs w:val="24"/>
        </w:rPr>
        <w:t>、</w:t>
        <w:tab/>
        <w:t>重要会计政策及会计估计</w:t>
      </w:r>
      <w:bookmarkEnd w:id="709"/>
      <w:bookmarkEnd w:id="710"/>
      <w:bookmarkEnd w:id="712"/>
    </w:p>
    <w:p>
      <w:pPr>
        <w:pStyle w:val="Style13"/>
        <w:keepNext w:val="0"/>
        <w:keepLines w:val="0"/>
        <w:widowControl w:val="0"/>
        <w:shd w:val="clear" w:color="auto" w:fill="auto"/>
        <w:bidi w:val="0"/>
        <w:spacing w:before="0" w:after="360" w:line="312" w:lineRule="exact"/>
        <w:ind w:left="0" w:right="0"/>
        <w:jc w:val="both"/>
      </w:pPr>
      <w:r>
        <w:rPr>
          <w:color w:val="000000"/>
          <w:spacing w:val="0"/>
          <w:w w:val="100"/>
          <w:position w:val="0"/>
        </w:rPr>
        <w:t>具体会计政策和会计估计提示：本集团根据实际生产经营特点制定的具体会计政策和会计估计包括营业周期、应收款项 坏账准备的确认和计量、发出存货计量、固定资产分类及折旧方法、无形资产摊销、开发支出资本化条件、商誉减值测试、 收入确认和计量等。</w:t>
      </w:r>
    </w:p>
    <w:p>
      <w:pPr>
        <w:pStyle w:val="Style29"/>
        <w:keepNext/>
        <w:keepLines/>
        <w:widowControl w:val="0"/>
        <w:shd w:val="clear" w:color="auto" w:fill="auto"/>
        <w:tabs>
          <w:tab w:pos="368" w:val="left"/>
        </w:tabs>
        <w:bidi w:val="0"/>
        <w:spacing w:before="0" w:after="28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w:t>
        <w:tab/>
        <w:t>遵循企业会计准则的声明</w:t>
      </w:r>
      <w:bookmarkEnd w:id="713"/>
      <w:bookmarkEnd w:id="714"/>
      <w:bookmarkEnd w:id="716"/>
    </w:p>
    <w:p>
      <w:pPr>
        <w:pStyle w:val="Style1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本公司编制的财务报表符合企业会计准则的要求，真实、完整地反映了本公司及本集团的财务状况、经营成果和现金 流量等有关信息。</w:t>
      </w:r>
    </w:p>
    <w:p>
      <w:pPr>
        <w:pStyle w:val="Style29"/>
        <w:keepNext/>
        <w:keepLines/>
        <w:widowControl w:val="0"/>
        <w:shd w:val="clear" w:color="auto" w:fill="auto"/>
        <w:tabs>
          <w:tab w:pos="378" w:val="left"/>
        </w:tabs>
        <w:bidi w:val="0"/>
        <w:spacing w:before="0" w:after="280" w:line="240" w:lineRule="auto"/>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w:t>
        <w:tab/>
        <w:t>会计期间</w:t>
      </w:r>
      <w:bookmarkEnd w:id="717"/>
      <w:bookmarkEnd w:id="718"/>
      <w:bookmarkEnd w:id="720"/>
    </w:p>
    <w:p>
      <w:pPr>
        <w:pStyle w:val="Style13"/>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9"/>
        <w:keepNext/>
        <w:keepLines/>
        <w:widowControl w:val="0"/>
        <w:shd w:val="clear" w:color="auto" w:fill="auto"/>
        <w:tabs>
          <w:tab w:pos="378" w:val="left"/>
        </w:tabs>
        <w:bidi w:val="0"/>
        <w:spacing w:before="0" w:after="280" w:line="240"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3</w:t>
      </w:r>
      <w:bookmarkEnd w:id="723"/>
      <w:r>
        <w:rPr>
          <w:color w:val="000000"/>
          <w:spacing w:val="0"/>
          <w:w w:val="100"/>
          <w:position w:val="0"/>
        </w:rPr>
        <w:t>、</w:t>
        <w:tab/>
        <w:t>营业周期</w:t>
      </w:r>
      <w:bookmarkEnd w:id="721"/>
      <w:bookmarkEnd w:id="722"/>
      <w:bookmarkEnd w:id="724"/>
    </w:p>
    <w:p>
      <w:pPr>
        <w:pStyle w:val="Style13"/>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本集团的营业周期为公历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日，并且作为资产和负债的流动性划分标准。</w:t>
      </w:r>
    </w:p>
    <w:p>
      <w:pPr>
        <w:pStyle w:val="Style29"/>
        <w:keepNext/>
        <w:keepLines/>
        <w:widowControl w:val="0"/>
        <w:shd w:val="clear" w:color="auto" w:fill="auto"/>
        <w:tabs>
          <w:tab w:pos="378" w:val="left"/>
        </w:tabs>
        <w:bidi w:val="0"/>
        <w:spacing w:before="0" w:after="280" w:line="240" w:lineRule="auto"/>
        <w:ind w:left="0" w:right="0" w:firstLine="0"/>
        <w:jc w:val="both"/>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4</w:t>
      </w:r>
      <w:bookmarkEnd w:id="727"/>
      <w:r>
        <w:rPr>
          <w:color w:val="000000"/>
          <w:spacing w:val="0"/>
          <w:w w:val="100"/>
          <w:position w:val="0"/>
        </w:rPr>
        <w:t>、</w:t>
        <w:tab/>
        <w:t>记账本位币</w:t>
      </w:r>
      <w:bookmarkEnd w:id="725"/>
      <w:bookmarkEnd w:id="726"/>
      <w:bookmarkEnd w:id="728"/>
    </w:p>
    <w:p>
      <w:pPr>
        <w:pStyle w:val="Style13"/>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本集团以人民币为记账本位币。</w:t>
      </w:r>
    </w:p>
    <w:p>
      <w:pPr>
        <w:pStyle w:val="Style29"/>
        <w:keepNext/>
        <w:keepLines/>
        <w:widowControl w:val="0"/>
        <w:shd w:val="clear" w:color="auto" w:fill="auto"/>
        <w:tabs>
          <w:tab w:pos="378" w:val="left"/>
        </w:tabs>
        <w:bidi w:val="0"/>
        <w:spacing w:before="0" w:after="2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5</w:t>
      </w:r>
      <w:bookmarkEnd w:id="731"/>
      <w:r>
        <w:rPr>
          <w:color w:val="000000"/>
          <w:spacing w:val="0"/>
          <w:w w:val="100"/>
          <w:position w:val="0"/>
        </w:rPr>
        <w:t>、</w:t>
        <w:tab/>
        <w:t>同一控制下和非同一控制下企业合并的会计处理方法</w:t>
      </w:r>
      <w:bookmarkEnd w:id="729"/>
      <w:bookmarkEnd w:id="730"/>
      <w:bookmarkEnd w:id="732"/>
    </w:p>
    <w:p>
      <w:pPr>
        <w:pStyle w:val="Style1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企业合并分为同一控制下的企业合并和非同一控制下的企业合并。</w:t>
      </w:r>
    </w:p>
    <w:p>
      <w:pPr>
        <w:pStyle w:val="Style13"/>
        <w:keepNext w:val="0"/>
        <w:keepLines w:val="0"/>
        <w:widowControl w:val="0"/>
        <w:shd w:val="clear" w:color="auto" w:fill="auto"/>
        <w:tabs>
          <w:tab w:pos="900" w:val="left"/>
        </w:tabs>
        <w:bidi w:val="0"/>
        <w:spacing w:before="0" w:after="0" w:line="314" w:lineRule="exact"/>
        <w:ind w:left="0" w:right="0" w:firstLine="460"/>
        <w:jc w:val="both"/>
      </w:pPr>
      <w:bookmarkStart w:id="733" w:name="bookmark733"/>
      <w:r>
        <w:rPr>
          <w:color w:val="000000"/>
          <w:spacing w:val="0"/>
          <w:w w:val="100"/>
          <w:position w:val="0"/>
        </w:rPr>
        <w:t>（</w:t>
      </w:r>
      <w:bookmarkEnd w:id="733"/>
      <w:r>
        <w:rPr>
          <w:color w:val="000000"/>
          <w:spacing w:val="0"/>
          <w:w w:val="100"/>
          <w:position w:val="0"/>
        </w:rPr>
        <w:t>1）</w:t>
        <w:tab/>
      </w:r>
      <w:r>
        <w:rPr>
          <w:color w:val="000000"/>
          <w:spacing w:val="0"/>
          <w:w w:val="100"/>
          <w:position w:val="0"/>
        </w:rPr>
        <w:t>同一控制下的企业合并</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参与合并的企业在合并前后均受同一方或相同的多方最终控制，且该控制并非暂时性的，为同一控制下的企业合并。</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在企业合并中取得的资产和负债，按合并日其在被合并方的账面价值计量。合并方取得的净资产账面价值与支付的合 并对价的账面价值/发行股份面值总额的差额，调整资本公积中的股本溢价，股本溢价不足冲减的则调整留存收益。</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为进行企业合并发生的各项直接费用，于发生时计入当期损益。合并日为合并方实际取得对被合并方控制权的日期。</w:t>
      </w:r>
    </w:p>
    <w:p>
      <w:pPr>
        <w:pStyle w:val="Style13"/>
        <w:keepNext w:val="0"/>
        <w:keepLines w:val="0"/>
        <w:widowControl w:val="0"/>
        <w:shd w:val="clear" w:color="auto" w:fill="auto"/>
        <w:tabs>
          <w:tab w:pos="880" w:val="left"/>
        </w:tabs>
        <w:bidi w:val="0"/>
        <w:spacing w:before="0" w:after="0" w:line="314" w:lineRule="exact"/>
        <w:ind w:left="0" w:right="0" w:firstLine="440"/>
        <w:jc w:val="both"/>
      </w:pPr>
      <w:bookmarkStart w:id="734" w:name="bookmark734"/>
      <w:r>
        <w:rPr>
          <w:color w:val="000000"/>
          <w:spacing w:val="0"/>
          <w:w w:val="100"/>
          <w:position w:val="0"/>
        </w:rPr>
        <w:t>（</w:t>
      </w:r>
      <w:bookmarkEnd w:id="734"/>
      <w:r>
        <w:rPr>
          <w:color w:val="000000"/>
          <w:spacing w:val="0"/>
          <w:w w:val="100"/>
          <w:position w:val="0"/>
        </w:rPr>
        <w:t>2）</w:t>
        <w:tab/>
      </w:r>
      <w:r>
        <w:rPr>
          <w:color w:val="000000"/>
          <w:spacing w:val="0"/>
          <w:w w:val="100"/>
          <w:position w:val="0"/>
        </w:rPr>
        <w:t>非同一控制下的企业合并</w:t>
      </w:r>
    </w:p>
    <w:p>
      <w:pPr>
        <w:pStyle w:val="Style13"/>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 xml:space="preserve">在非同一控制下企业合并中取得的被购买方可辨认资产、负债及或有负债在收购日以公允价值计量。合并成本为本集 团在购买日为取得对被购买方的控制权而支付的现金或非现金资产、发行或承担的负债、发行的权益性证券等的公允价值以 </w:t>
      </w:r>
      <w:r>
        <w:rPr>
          <w:color w:val="000000"/>
          <w:spacing w:val="0"/>
          <w:w w:val="100"/>
          <w:position w:val="0"/>
        </w:rPr>
        <w:t>及在企业合并中发生的各项直接相关费用之和（通过多次交易分步实现的企业合并，其合并成本为每一单项交易的成本之 和）。合并成本大于合并中取得的被购买方可辨认净资产公允价值份额的差额，确认为商誉；合并成本小于合并中取得的被 购买方可辨认净资产公允价值份额的，首先对合并中取得的各项可辨认资产、负债及或有负债的公允价值、以及合并对价的 非现金资产或发行的权益性证券等的公允价值进行复核，经复核后，合并成本仍小于合并中取得的被购买方可辨认净资产公 允价值份额的，将其差额计入合并当期营业外收入。</w:t>
      </w:r>
    </w:p>
    <w:p>
      <w:pPr>
        <w:pStyle w:val="Style29"/>
        <w:keepNext/>
        <w:keepLines/>
        <w:widowControl w:val="0"/>
        <w:shd w:val="clear" w:color="auto" w:fill="auto"/>
        <w:tabs>
          <w:tab w:pos="347" w:val="left"/>
        </w:tabs>
        <w:bidi w:val="0"/>
        <w:spacing w:before="0" w:after="26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6</w:t>
      </w:r>
      <w:bookmarkEnd w:id="737"/>
      <w:r>
        <w:rPr>
          <w:color w:val="000000"/>
          <w:spacing w:val="0"/>
          <w:w w:val="100"/>
          <w:position w:val="0"/>
        </w:rPr>
        <w:t>、</w:t>
        <w:tab/>
        <w:t>合并财务报表的编制方法</w:t>
      </w:r>
      <w:bookmarkEnd w:id="735"/>
      <w:bookmarkEnd w:id="736"/>
      <w:bookmarkEnd w:id="738"/>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合并财务报表的合并范围以控制为基础予以确定。控制是指本集团拥有对被投资方的权力，通过参与被投资方的相关 活动而享有可变回报，并且有能力运用对被投资方的权力影响其回报金额。一旦相关事实和情况的变化导致上述控制定义涉 及的相关要素发生了变化，本集团将进行重新评估。</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本集团将所有控制的子公司纳入合并财务报表范围。</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在编制合并财务报表时，子公司与本公司采用的会计政策或会计期间不一致的，按照本公司的会计政策或会计期间对 子公司财务报表进行必要的调整。</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合并范围内的所有重大内部交易、往来余额及未实现利润在合并报表编制时予以抵销。子公司的所有者权益中不属于 母公司的份额以及当期净损益、其他综合收益及综合收益总额中属于少数股东权益的份额，分别在合并财务报表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rPr>
        <w:t>“</w:t>
      </w:r>
      <w:r>
        <w:rPr>
          <w:color w:val="000000"/>
          <w:spacing w:val="0"/>
          <w:w w:val="100"/>
          <w:position w:val="0"/>
        </w:rPr>
        <w:t>少数股东 权益、少数股东损益、归属于少数股东的其他综合收益及归属于少数股东的综合收益总额</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13"/>
        <w:keepNext w:val="0"/>
        <w:keepLines w:val="0"/>
        <w:widowControl w:val="0"/>
        <w:shd w:val="clear" w:color="auto" w:fill="auto"/>
        <w:bidi w:val="0"/>
        <w:spacing w:before="0" w:after="0" w:line="311" w:lineRule="exact"/>
        <w:ind w:left="0" w:right="0"/>
        <w:jc w:val="both"/>
      </w:pPr>
      <w:r>
        <w:rPr>
          <w:color w:val="000000"/>
          <w:spacing w:val="0"/>
          <w:w w:val="100"/>
          <w:position w:val="0"/>
        </w:rPr>
        <w:t>对于同一控制下企业合并取得的子公司，其经营成果和现金流量自合并当期期初纳入合并财务报表。编制比较合并财务 报表时，对上年财务报表的相关项目进行调整，视同合并后形成的报告主体自最终控制方开始控制时点起一直存在。</w:t>
      </w:r>
    </w:p>
    <w:p>
      <w:pPr>
        <w:pStyle w:val="Style13"/>
        <w:keepNext w:val="0"/>
        <w:keepLines w:val="0"/>
        <w:widowControl w:val="0"/>
        <w:shd w:val="clear" w:color="auto" w:fill="auto"/>
        <w:bidi w:val="0"/>
        <w:spacing w:before="0" w:after="360" w:line="311" w:lineRule="exact"/>
        <w:ind w:left="0" w:right="0" w:firstLine="460"/>
        <w:jc w:val="both"/>
      </w:pPr>
      <w:r>
        <w:rPr>
          <w:color w:val="000000"/>
          <w:spacing w:val="0"/>
          <w:w w:val="100"/>
          <w:position w:val="0"/>
        </w:rPr>
        <w:t>对于非同一控制下企业合并取得子公司，经营成果和现金流量自本集团取得控制权之日起纳入合并财务报表。在编制 合并财务报表时，以购买日确定的各项可辨认资产、负债及或有负债的公允价值为基础对子公司的财务报表进行调整。</w:t>
      </w:r>
    </w:p>
    <w:p>
      <w:pPr>
        <w:pStyle w:val="Style29"/>
        <w:keepNext/>
        <w:keepLines/>
        <w:widowControl w:val="0"/>
        <w:shd w:val="clear" w:color="auto" w:fill="auto"/>
        <w:tabs>
          <w:tab w:pos="347" w:val="left"/>
        </w:tabs>
        <w:bidi w:val="0"/>
        <w:spacing w:before="0" w:after="26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7</w:t>
      </w:r>
      <w:bookmarkEnd w:id="741"/>
      <w:r>
        <w:rPr>
          <w:color w:val="000000"/>
          <w:spacing w:val="0"/>
          <w:w w:val="100"/>
          <w:position w:val="0"/>
        </w:rPr>
        <w:t>、</w:t>
        <w:tab/>
        <w:t>合营安排分类及共同经营会计处理方法</w:t>
      </w:r>
      <w:bookmarkEnd w:id="739"/>
      <w:bookmarkEnd w:id="740"/>
      <w:bookmarkEnd w:id="742"/>
    </w:p>
    <w:p>
      <w:pPr>
        <w:pStyle w:val="Style1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本集团的合营安排包括共同经营和合营企业。对于共同经营项目，本集团作为共同经营中的合营方确认单独持有的资产 和承担的负债，以及按份额确认持有的资产和承担的负债，根据相关约定单独或按份额确认相关的收入和费用。与共同经营 发生购买、销售不构成业务的资产交易的，仅确认因该交易产生的损益中归属于共同经营其他参与方的部分。</w:t>
      </w:r>
    </w:p>
    <w:p>
      <w:pPr>
        <w:pStyle w:val="Style29"/>
        <w:keepNext/>
        <w:keepLines/>
        <w:widowControl w:val="0"/>
        <w:shd w:val="clear" w:color="auto" w:fill="auto"/>
        <w:tabs>
          <w:tab w:pos="347" w:val="left"/>
        </w:tabs>
        <w:bidi w:val="0"/>
        <w:spacing w:before="0" w:after="26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8</w:t>
      </w:r>
      <w:bookmarkEnd w:id="745"/>
      <w:r>
        <w:rPr>
          <w:color w:val="000000"/>
          <w:spacing w:val="0"/>
          <w:w w:val="100"/>
          <w:position w:val="0"/>
        </w:rPr>
        <w:t>、</w:t>
        <w:tab/>
        <w:t>现金及现金等价物的确定标准</w:t>
      </w:r>
      <w:bookmarkEnd w:id="743"/>
      <w:bookmarkEnd w:id="744"/>
      <w:bookmarkEnd w:id="746"/>
    </w:p>
    <w:p>
      <w:pPr>
        <w:pStyle w:val="Style13"/>
        <w:keepNext w:val="0"/>
        <w:keepLines w:val="0"/>
        <w:widowControl w:val="0"/>
        <w:shd w:val="clear" w:color="auto" w:fill="auto"/>
        <w:bidi w:val="0"/>
        <w:spacing w:before="0" w:after="360" w:line="331" w:lineRule="exact"/>
        <w:ind w:left="0" w:right="0" w:firstLine="460"/>
        <w:jc w:val="both"/>
        <w:rPr>
          <w:sz w:val="22"/>
          <w:szCs w:val="22"/>
        </w:rPr>
      </w:pPr>
      <w:r>
        <w:rPr>
          <w:color w:val="000000"/>
          <w:spacing w:val="0"/>
          <w:w w:val="100"/>
          <w:position w:val="0"/>
          <w:sz w:val="18"/>
          <w:szCs w:val="18"/>
        </w:rPr>
        <w:t>本集团现金流量表之现金指库存现金以及可以随时用于支付的存款。现金流量表之现金等价物指持有期限不超过</w:t>
      </w:r>
      <w:r>
        <w:rPr>
          <w:color w:val="000000"/>
          <w:spacing w:val="0"/>
          <w:w w:val="100"/>
          <w:position w:val="0"/>
          <w:sz w:val="18"/>
          <w:szCs w:val="18"/>
        </w:rPr>
        <w:t>3</w:t>
      </w:r>
      <w:r>
        <w:rPr>
          <w:color w:val="000000"/>
          <w:spacing w:val="0"/>
          <w:w w:val="100"/>
          <w:position w:val="0"/>
          <w:sz w:val="18"/>
          <w:szCs w:val="18"/>
        </w:rPr>
        <w:t>个 月、流动性强、易于转换为已知金额现金且价值变动风险很小的投资</w:t>
      </w:r>
      <w:r>
        <w:rPr>
          <w:color w:val="000000"/>
          <w:spacing w:val="0"/>
          <w:w w:val="100"/>
          <w:position w:val="0"/>
          <w:sz w:val="22"/>
          <w:szCs w:val="22"/>
        </w:rPr>
        <w:t>。</w:t>
      </w:r>
    </w:p>
    <w:p>
      <w:pPr>
        <w:pStyle w:val="Style29"/>
        <w:keepNext/>
        <w:keepLines/>
        <w:widowControl w:val="0"/>
        <w:shd w:val="clear" w:color="auto" w:fill="auto"/>
        <w:tabs>
          <w:tab w:pos="347" w:val="left"/>
        </w:tabs>
        <w:bidi w:val="0"/>
        <w:spacing w:before="0" w:after="2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9</w:t>
      </w:r>
      <w:bookmarkEnd w:id="749"/>
      <w:r>
        <w:rPr>
          <w:color w:val="000000"/>
          <w:spacing w:val="0"/>
          <w:w w:val="100"/>
          <w:position w:val="0"/>
        </w:rPr>
        <w:t>、</w:t>
        <w:tab/>
        <w:t>外币业务和外币报表折算</w:t>
      </w:r>
      <w:bookmarkEnd w:id="747"/>
      <w:bookmarkEnd w:id="748"/>
      <w:bookmarkEnd w:id="750"/>
    </w:p>
    <w:p>
      <w:pPr>
        <w:pStyle w:val="Style13"/>
        <w:keepNext w:val="0"/>
        <w:keepLines w:val="0"/>
        <w:widowControl w:val="0"/>
        <w:shd w:val="clear" w:color="auto" w:fill="auto"/>
        <w:tabs>
          <w:tab w:pos="869" w:val="left"/>
        </w:tabs>
        <w:bidi w:val="0"/>
        <w:spacing w:before="0" w:after="0" w:line="312" w:lineRule="exact"/>
        <w:ind w:left="0" w:right="0" w:firstLine="460"/>
        <w:jc w:val="both"/>
      </w:pPr>
      <w:bookmarkStart w:id="751" w:name="bookmark751"/>
      <w:r>
        <w:rPr>
          <w:color w:val="000000"/>
          <w:spacing w:val="0"/>
          <w:w w:val="100"/>
          <w:position w:val="0"/>
        </w:rPr>
        <w:t>（</w:t>
      </w:r>
      <w:bookmarkEnd w:id="751"/>
      <w:r>
        <w:rPr>
          <w:color w:val="000000"/>
          <w:spacing w:val="0"/>
          <w:w w:val="100"/>
          <w:position w:val="0"/>
        </w:rPr>
        <w:t>1）</w:t>
        <w:tab/>
      </w:r>
      <w:r>
        <w:rPr>
          <w:color w:val="000000"/>
          <w:spacing w:val="0"/>
          <w:w w:val="100"/>
          <w:position w:val="0"/>
        </w:rPr>
        <w:t>外币交易</w:t>
      </w:r>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本集团外币交易按交易发生日的即期汇率将外币金额折算为人民币金额。于资产负债表日，外币货币性项目采用资产 负债表日的即期汇率折算为人民币，所产生的折算差额除了为购建或生产符合资本化条件的资产而借入的外币专门借款产生 的汇兑差额按资本化的原则处理外，直接计入当期损益。以公允价值计量的外币非货币性项目，采用公允价值确定日的即期 汇率折算为人民币，所产生的折算差额，作为公允价值变动直接计入当期损益。以历史成本计量的外币非货币性项目，仍采 用交易发生日的即期汇率折算，不改变其人民币金额。</w:t>
      </w:r>
    </w:p>
    <w:p>
      <w:pPr>
        <w:pStyle w:val="Style13"/>
        <w:keepNext w:val="0"/>
        <w:keepLines w:val="0"/>
        <w:widowControl w:val="0"/>
        <w:shd w:val="clear" w:color="auto" w:fill="auto"/>
        <w:tabs>
          <w:tab w:pos="869" w:val="left"/>
        </w:tabs>
        <w:bidi w:val="0"/>
        <w:spacing w:before="0" w:after="0" w:line="312" w:lineRule="exact"/>
        <w:ind w:left="0" w:right="0" w:firstLine="460"/>
        <w:jc w:val="left"/>
      </w:pPr>
      <w:bookmarkStart w:id="752" w:name="bookmark752"/>
      <w:r>
        <w:rPr>
          <w:color w:val="000000"/>
          <w:spacing w:val="0"/>
          <w:w w:val="100"/>
          <w:position w:val="0"/>
        </w:rPr>
        <w:t>（</w:t>
      </w:r>
      <w:bookmarkEnd w:id="752"/>
      <w:r>
        <w:rPr>
          <w:color w:val="000000"/>
          <w:spacing w:val="0"/>
          <w:w w:val="100"/>
          <w:position w:val="0"/>
        </w:rPr>
        <w:t>2）</w:t>
        <w:tab/>
      </w:r>
      <w:r>
        <w:rPr>
          <w:color w:val="000000"/>
          <w:spacing w:val="0"/>
          <w:w w:val="100"/>
          <w:position w:val="0"/>
        </w:rPr>
        <w:t>外币财务报表的折算</w:t>
      </w:r>
    </w:p>
    <w:p>
      <w:pPr>
        <w:pStyle w:val="Style1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 xml:space="preserve">外币资产负债表中资产、负债类项目采用资产负债表日的即期汇率折算；所有者权益类项目除“未分配利润”外，均 按业务发生时的即期汇率折算；利润表中的收入与费用项目，采用交易发生日的即期汇率折算。上述折算产生的外币报表折 算差额，在其他综合收益项目中列示。外币现金流量采用现金流量发生日的即期汇率折算。汇率变动对现金的影响额，在现 </w:t>
      </w:r>
      <w:r>
        <w:rPr>
          <w:color w:val="000000"/>
          <w:spacing w:val="0"/>
          <w:w w:val="100"/>
          <w:position w:val="0"/>
        </w:rPr>
        <w:t>金流量表中单独列示。</w:t>
      </w:r>
    </w:p>
    <w:p>
      <w:pPr>
        <w:pStyle w:val="Style29"/>
        <w:keepNext/>
        <w:keepLines/>
        <w:widowControl w:val="0"/>
        <w:shd w:val="clear" w:color="auto" w:fill="auto"/>
        <w:bidi w:val="0"/>
        <w:spacing w:before="0" w:after="2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3"/>
      <w:bookmarkEnd w:id="754"/>
      <w:bookmarkEnd w:id="756"/>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1.</w:t>
      </w:r>
      <w:r>
        <w:rPr>
          <w:color w:val="000000"/>
          <w:spacing w:val="0"/>
          <w:w w:val="100"/>
          <w:position w:val="0"/>
        </w:rPr>
        <w:t>金融资产和金融负债</w:t>
      </w:r>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本集团成为金融工具合同的一方时确认一项金融资产或金融负债。</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对于以常规方式购买或出售金融资产的，在交易日确认将收到的资产和为此将承担的负债，或者在交易日终止确认已 出售的资产。</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金融资产和金融负债在初始确认时以公允价值计量。对于以公允价值计量且其变动计入当期损益的金融资产和金融负 债，相关的交易费用直接计入当期损益；对于其他类别的金融资产和金融负债，相关交易费用计入初始确认金额。当本集团 按照《企业会计准则第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收入》（“收入准则”）初始确认未包含重大融资成分或不考虑不超过一年的合同中的融资 成分的应收账款时，按照收入准则定义的交易价格进行初始计量。</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实际利率法是指计算金融资产或金融负债的摊余成本以及将利息收入或利息费用分摊计入各会计期间的方法。</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实际利率，是指将金融资产或金融负债在预计存续期的估计未来现金流量，折现为该金融资产账面余额或该金融负债 摊余成本所使用的利率。在确定实际利率时，在考虑金融资产或金融负债所有合同条款（如提前还款、展期、看涨期权或其 他类似期权等）的基础上估计预期现金流量，但不考虑预期信用损失。</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金融资产或金融负债的摊余成本是以该金融资产或金融负债的初始确认金额扣除已偿还的本金，加上或减去采用实际 利率法将该初始确认金额与到期日金额之间的差额进行摊销形成的累计摊销额，再扣除累计计提的损失准备（仅适用于金融 资产）。</w:t>
      </w:r>
    </w:p>
    <w:p>
      <w:pPr>
        <w:pStyle w:val="Style13"/>
        <w:keepNext w:val="0"/>
        <w:keepLines w:val="0"/>
        <w:widowControl w:val="0"/>
        <w:shd w:val="clear" w:color="auto" w:fill="auto"/>
        <w:bidi w:val="0"/>
        <w:spacing w:before="0" w:after="0" w:line="312" w:lineRule="exact"/>
        <w:ind w:left="0" w:right="0" w:firstLine="560"/>
        <w:jc w:val="both"/>
      </w:pPr>
      <w:bookmarkStart w:id="757" w:name="bookmark757"/>
      <w:r>
        <w:rPr>
          <w:color w:val="000000"/>
          <w:spacing w:val="0"/>
          <w:w w:val="100"/>
          <w:position w:val="0"/>
        </w:rPr>
        <w:t>（</w:t>
      </w:r>
      <w:bookmarkEnd w:id="757"/>
      <w:r>
        <w:rPr>
          <w:color w:val="000000"/>
          <w:spacing w:val="0"/>
          <w:w w:val="100"/>
          <w:position w:val="0"/>
        </w:rPr>
        <w:t>1）</w:t>
      </w:r>
      <w:r>
        <w:rPr>
          <w:color w:val="000000"/>
          <w:spacing w:val="0"/>
          <w:w w:val="100"/>
          <w:position w:val="0"/>
        </w:rPr>
        <w:t>金融资产</w:t>
      </w:r>
    </w:p>
    <w:p>
      <w:pPr>
        <w:pStyle w:val="Style13"/>
        <w:keepNext w:val="0"/>
        <w:keepLines w:val="0"/>
        <w:widowControl w:val="0"/>
        <w:shd w:val="clear" w:color="auto" w:fill="auto"/>
        <w:bidi w:val="0"/>
        <w:spacing w:before="0" w:after="0" w:line="312" w:lineRule="exact"/>
        <w:ind w:left="0" w:right="0" w:firstLine="680"/>
        <w:jc w:val="both"/>
      </w:pPr>
      <w:bookmarkStart w:id="758" w:name="bookmark758"/>
      <w:r>
        <w:rPr>
          <w:color w:val="000000"/>
          <w:spacing w:val="0"/>
          <w:w w:val="100"/>
          <w:position w:val="0"/>
        </w:rPr>
        <w:t>1</w:t>
      </w:r>
      <w:bookmarkEnd w:id="758"/>
      <w:r>
        <w:rPr>
          <w:color w:val="000000"/>
          <w:spacing w:val="0"/>
          <w:w w:val="100"/>
          <w:position w:val="0"/>
        </w:rPr>
        <w:t>）</w:t>
      </w:r>
      <w:r>
        <w:rPr>
          <w:color w:val="000000"/>
          <w:spacing w:val="0"/>
          <w:w w:val="100"/>
          <w:position w:val="0"/>
        </w:rPr>
        <w:t>金融资产分类、确认依据和计量方法</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本集团根据管理金融资产的业务模式和金融资产的合同现金流特征，将金融资产分类为以摊余成本计量的金融资产、 以公允价值计量且其变动计入其他综合收益的金融资产、以公允价值计量且其变动计入当期损益的金融资产。</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本集团将同时符合下列条件的金融资产分类为以摊余成本计量的金融资产：①管理该金融资产的业务模式是以收取合 同现金流量为目标。②该金融资产的合同条款规定，在特定日期产生的现金流量，仅为对本金和以未偿付本金金额为基础的 利息的支付。此类金融资产按照公允价值进行初始计量，相关交易费用计入初始确认金额，以摊余成本进行后续计量。不属 于任何套期关系的一部分的该类金融资产，按照实际利率法摊销、减值、汇兑损益以及终止确认时产生的利得或损失，计入 当期损益。</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本集团将同时符合下列条件的金融资产分类为以公允价值计量且其变动计入其他综合收益的金融资产：①管理该金融 资产的业务模式既以收取合同现金流量为目标又以出售该金融资产为目标。②该金融资产的合同条款规定，在特定日期产生 的现金流量，仅为对本金和以未偿付本金金额为基础的利息的支付。此类金融资产按照公允价值进行初始计量，相关交易费 用计入初始确认金额。不属于任何套期关系的一部分的该类金融资产所产生的所有利得或损失，除信用减值损失或利得、汇 兑损益和按照实际利率法计算的该金融资产利息之外，所产生的其他利得或损失，均计入其他综合收益；金融资产终止确认 时，之前计入其他综合收益的累计利得或损失应当从其他综合收益中转出，计入当期损益。</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本集团按照实际利率法确认利息收入。利息收入根据金融资产账面余额乘以实际利率计算确定，但下列情况除外：① 对于购入或源生的已发生信用减值的金融资产，自初始确认起，按照该金融资产的摊余成本和经信用调整的实际利率计算确 定其利息收入。②对于购入或源生的未发生信用减值、但在后续期间成为已发生信用减值的金融资产，在后续期间，按照该 金融资产的摊余成本和实际利率计算确定其利息收入。</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本集团将非交易性权益工具投资指定为以公允价值计量且其变动计入其他综合收益的金融资产。该指定一经作出，不 得撤销。本集团指定的以公允价值计量且其变动计入其他综合收益的非交易性权益工具投资，按照公允价值进行初始计量， 相关交易费用计入初始确认金额；除了获得股利（属于投资成本收回部分的除外）计入当期损益外，其他相关的利得和损失 （包括汇兑损益）均计入其他综合收益，且后续不得转入当期损益。当其终止确认时，之前计入其他综合收益的累计利得或 损失从其他综合收益中转出，计入留存收益。</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除上述分类为以摊余成本计量的金融资产和分类为以公允价值计量且其变动计入其他综合收益的金融资产之外的金 </w:t>
      </w:r>
      <w:r>
        <w:rPr>
          <w:color w:val="000000"/>
          <w:spacing w:val="0"/>
          <w:w w:val="100"/>
          <w:position w:val="0"/>
        </w:rPr>
        <w:t>融资产，本集团将其分类为以公允价值计量且其变动计入当期损益的金融资产。此类金融资产按照公允价值进行初始计量， 相关交易费用直接计入当期损益。此类金融资产的利得或损失，计入当期损益。</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本集团在非同一控制下的企业合并中确认的或有对价构成金融资产的，该金融资产分类为以公允价值计量且其变动计 入当期损益的金融资产。</w:t>
      </w:r>
    </w:p>
    <w:p>
      <w:pPr>
        <w:pStyle w:val="Style13"/>
        <w:keepNext w:val="0"/>
        <w:keepLines w:val="0"/>
        <w:widowControl w:val="0"/>
        <w:shd w:val="clear" w:color="auto" w:fill="auto"/>
        <w:bidi w:val="0"/>
        <w:spacing w:before="0" w:after="0" w:line="312" w:lineRule="exact"/>
        <w:ind w:left="0" w:right="0" w:firstLine="680"/>
        <w:jc w:val="both"/>
      </w:pPr>
      <w:bookmarkStart w:id="759" w:name="bookmark759"/>
      <w:r>
        <w:rPr>
          <w:color w:val="000000"/>
          <w:spacing w:val="0"/>
          <w:w w:val="100"/>
          <w:position w:val="0"/>
        </w:rPr>
        <w:t>2</w:t>
      </w:r>
      <w:bookmarkEnd w:id="759"/>
      <w:r>
        <w:rPr>
          <w:color w:val="000000"/>
          <w:spacing w:val="0"/>
          <w:w w:val="100"/>
          <w:position w:val="0"/>
        </w:rPr>
        <w:t>）</w:t>
      </w:r>
      <w:r>
        <w:rPr>
          <w:color w:val="000000"/>
          <w:spacing w:val="0"/>
          <w:w w:val="100"/>
          <w:position w:val="0"/>
        </w:rPr>
        <w:t>金融资产转移的确认依据和计量方法</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本集团将满足下列条件之一的金融资产予以终止确认：①收取该金融资产现金流量的合同权利终止；②金融资产发生 转移，本集团转移了金融资产所有权上几乎所有风险和报酬；③金融资产发生转移，本集团既没有转移也没有保留金融资产 所有权上几乎所有风险和报酬，且未保留对该金融资产控制的。</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若本集团既没有转移也没有保留金融资产所有权上几乎所有风险和报酬，且保留了对该金融资产控制的，则按照其继 续涉入被转移金融资产的程度继续确认该被转移金融资产，并相应确认相关负债。本集团按照下列方式对相关负债进行计量:</w:t>
      </w:r>
    </w:p>
    <w:p>
      <w:pPr>
        <w:pStyle w:val="Style13"/>
        <w:keepNext w:val="0"/>
        <w:keepLines w:val="0"/>
        <w:widowControl w:val="0"/>
        <w:shd w:val="clear" w:color="auto" w:fill="auto"/>
        <w:bidi w:val="0"/>
        <w:spacing w:before="0" w:after="0" w:line="312" w:lineRule="exact"/>
        <w:ind w:left="0" w:right="0" w:firstLine="580"/>
        <w:jc w:val="both"/>
      </w:pPr>
      <w:r>
        <w:rPr>
          <w:color w:val="000000"/>
          <w:spacing w:val="0"/>
          <w:w w:val="100"/>
          <w:position w:val="0"/>
        </w:rPr>
        <w:t>被转移金融资产以摊余成本计量的，相关负债的账面价值等于继续涉入被转移金融资产的账面价值减去本集团保留 的权利（如果本集团因金融资产转移保留了相关权利）的摊余成本并加上本集团承担的义务（如果本集团因金融资产转移承担 了相关义务）的摊余成本，相关负债不指定为以公允价值计量且其变动计入当期损益的金融负债。</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被转移金融资产以公允价值计量的，相关负债的账面价值等于继续涉入被转移金融资产的账面价值减去本集团保留的 权利（如果本集团因金融资产转移保留了相关权利）的公允价值并加上本集团承担的义务（如果本集团因金融资产转移承担了 相关义务）的公允价值，该权利和义务的公允价值为按独立基础计量时的公允价值。</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金融资产整体转移满足终止确认条件的，将所转移金融资产在终止确认日的账面价值，与因转移而收到的对价及原直 接计入其他综合收益的公允价值变动累计额中对应终止确认部分的金额（涉及转移的金融资产同时符合下列条件：集团管理 该金融资产的业务模式是以收取合同现金流量为目标；该金融资产的合同条款规定，在特定日期产生的现金流，仅为对本金 金额为基础的利息的支付）之和的差额计入当期损益。</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金融资产部分转移满足终止确认条件的，将转移前金融资产整体的账面价值在终止确认部分和继续确认部分之间按照 转移日各自的相对公允价值进行分摊，并将终止确认部分收到的对价和原计入其他综合收益的公允价值变动累计额中对应终 止确认部分的金额（涉及转移的金融资产同时符合下列条件:集团管理该金融资产的业务模式是以收取合同现金流量为目标; 该金融资产的合同条款规定，在特定日期产生的现金流，仅为对本金金额为基础的利息的支付）之和，与分摊的前述金融资 产整体账面价值的差额计入当期损益。</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金融资产整体转移未满足终止确认条件的，本集团继续确认所转移的金融资产整体，并将收到的对价确认为金融负债。</w:t>
      </w:r>
    </w:p>
    <w:p>
      <w:pPr>
        <w:pStyle w:val="Style13"/>
        <w:keepNext w:val="0"/>
        <w:keepLines w:val="0"/>
        <w:widowControl w:val="0"/>
        <w:shd w:val="clear" w:color="auto" w:fill="auto"/>
        <w:bidi w:val="0"/>
        <w:spacing w:before="0" w:after="0" w:line="312" w:lineRule="exact"/>
        <w:ind w:left="0" w:right="0" w:firstLine="560"/>
        <w:jc w:val="both"/>
      </w:pPr>
      <w:bookmarkStart w:id="760" w:name="bookmark760"/>
      <w:r>
        <w:rPr>
          <w:color w:val="000000"/>
          <w:spacing w:val="0"/>
          <w:w w:val="100"/>
          <w:position w:val="0"/>
        </w:rPr>
        <w:t>（</w:t>
      </w:r>
      <w:bookmarkEnd w:id="760"/>
      <w:r>
        <w:rPr>
          <w:color w:val="000000"/>
          <w:spacing w:val="0"/>
          <w:w w:val="100"/>
          <w:position w:val="0"/>
        </w:rPr>
        <w:t>2）</w:t>
      </w:r>
      <w:r>
        <w:rPr>
          <w:color w:val="000000"/>
          <w:spacing w:val="0"/>
          <w:w w:val="100"/>
          <w:position w:val="0"/>
        </w:rPr>
        <w:t>金融负债</w:t>
      </w:r>
    </w:p>
    <w:p>
      <w:pPr>
        <w:pStyle w:val="Style13"/>
        <w:keepNext w:val="0"/>
        <w:keepLines w:val="0"/>
        <w:widowControl w:val="0"/>
        <w:shd w:val="clear" w:color="auto" w:fill="auto"/>
        <w:tabs>
          <w:tab w:pos="969" w:val="left"/>
        </w:tabs>
        <w:bidi w:val="0"/>
        <w:spacing w:before="0" w:after="0" w:line="312" w:lineRule="exact"/>
        <w:ind w:left="0" w:right="0" w:firstLine="680"/>
        <w:jc w:val="both"/>
      </w:pPr>
      <w:bookmarkStart w:id="761" w:name="bookmark761"/>
      <w:r>
        <w:rPr>
          <w:color w:val="000000"/>
          <w:spacing w:val="0"/>
          <w:w w:val="100"/>
          <w:position w:val="0"/>
        </w:rPr>
        <w:t>1</w:t>
      </w:r>
      <w:bookmarkEnd w:id="761"/>
      <w:r>
        <w:rPr>
          <w:color w:val="000000"/>
          <w:spacing w:val="0"/>
          <w:w w:val="100"/>
          <w:position w:val="0"/>
        </w:rPr>
        <w:t>）</w:t>
        <w:tab/>
      </w:r>
      <w:r>
        <w:rPr>
          <w:color w:val="000000"/>
          <w:spacing w:val="0"/>
          <w:w w:val="100"/>
          <w:position w:val="0"/>
        </w:rPr>
        <w:t>金融负债分类、确认依据和计量方法</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本集团的金融负债于初始确认时分类为以公允价值计量且其变动计入当期损益的金融负债和其他金融负债。</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以公允价值计量且其变动计入当期损益的金融负债（含属于金融负债的衍生工具），包括交易性金融负债和初始确认 时指定为以公允价值计量且其变动计入当期损益的金融负债。交易性金融负债，是指满足下列条件之一的金融负债：承担该 金融负债的目的是为了在近期内回购；属于进行集中管理的可辨认金融工具组合的一部分，且有客观证据表明企业近期采用 短期获利方式对该组合进行管理；属于衍生工具，但是，被指定且为有效套期工具的衍生工具、属于财务担保合同的衍生工 具、与在活跃市场中没有报价且其公允价值不能可靠计量的权益工具投资挂钩并须通过交付该权益工具结算的衍生工具除 外。对于此类金融负债，按照公允价值进行后续计量，所有已实现和未实现的损益均计入当期损益。</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其他金融负债，采用实际利率法，按照摊余成本进行后续计量。除下列各项外，本集团将金融负债分类为以摊余成本 计量的金融负债：①以公允价值计量且其变动计入当期损益的金融负债，包括交易性金融负债（含属于金融负债的衍生工具） 和指定为以公允价值计量且其变动计入当期损益的金融负债。②不符合终止确认条件的金融资产转移或继续涉入被转移金融 资产所形成的金融负债。③不属于以上①或②情形的财务担保合同，以及不属于以上①情形的以低于市场利率贷款的贷款承 诺。</w:t>
      </w:r>
    </w:p>
    <w:p>
      <w:pPr>
        <w:pStyle w:val="Style13"/>
        <w:keepNext w:val="0"/>
        <w:keepLines w:val="0"/>
        <w:widowControl w:val="0"/>
        <w:shd w:val="clear" w:color="auto" w:fill="auto"/>
        <w:tabs>
          <w:tab w:pos="978" w:val="left"/>
        </w:tabs>
        <w:bidi w:val="0"/>
        <w:spacing w:before="0" w:after="0" w:line="312" w:lineRule="exact"/>
        <w:ind w:left="0" w:right="0" w:firstLine="680"/>
        <w:jc w:val="both"/>
      </w:pPr>
      <w:bookmarkStart w:id="762" w:name="bookmark762"/>
      <w:r>
        <w:rPr>
          <w:color w:val="000000"/>
          <w:spacing w:val="0"/>
          <w:w w:val="100"/>
          <w:position w:val="0"/>
        </w:rPr>
        <w:t>2</w:t>
      </w:r>
      <w:bookmarkEnd w:id="762"/>
      <w:r>
        <w:rPr>
          <w:color w:val="000000"/>
          <w:spacing w:val="0"/>
          <w:w w:val="100"/>
          <w:position w:val="0"/>
        </w:rPr>
        <w:t>）</w:t>
        <w:tab/>
      </w:r>
      <w:r>
        <w:rPr>
          <w:color w:val="000000"/>
          <w:spacing w:val="0"/>
          <w:w w:val="100"/>
          <w:position w:val="0"/>
        </w:rPr>
        <w:t>金融负债终止确认条件</w:t>
      </w:r>
    </w:p>
    <w:p>
      <w:pPr>
        <w:pStyle w:val="Style1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当金融负债的现时义务全部或部分已经解除时，终止确认该金融负债或义务已解除的部分。本集团与债权人之间签订 协议，以承担新金融负债方式替换现存金融负债，且新金融负债与现存金融负债的合同条款实质上不同的，终止确认现存金 融负债，并同时确认新金融负债。本集团对现存金融负债全部或部分的合同条款作出实质性修改的，终止确认现存金融负债 </w:t>
      </w:r>
      <w:r>
        <w:rPr>
          <w:color w:val="000000"/>
          <w:spacing w:val="0"/>
          <w:w w:val="100"/>
          <w:position w:val="0"/>
        </w:rPr>
        <w:t>或其一部分，同时将修改条款后的金融负债确认为一项新金融负债。终止确认部分的账面价值与支付的对价之间的差额，计 入当期损益。</w:t>
      </w:r>
    </w:p>
    <w:p>
      <w:pPr>
        <w:pStyle w:val="Style13"/>
        <w:keepNext w:val="0"/>
        <w:keepLines w:val="0"/>
        <w:widowControl w:val="0"/>
        <w:shd w:val="clear" w:color="auto" w:fill="auto"/>
        <w:tabs>
          <w:tab w:pos="760" w:val="left"/>
        </w:tabs>
        <w:bidi w:val="0"/>
        <w:spacing w:before="0" w:after="0" w:line="312" w:lineRule="exact"/>
        <w:ind w:left="0" w:right="0"/>
        <w:jc w:val="both"/>
      </w:pPr>
      <w:bookmarkStart w:id="763" w:name="bookmark763"/>
      <w:r>
        <w:rPr>
          <w:color w:val="000000"/>
          <w:spacing w:val="0"/>
          <w:w w:val="100"/>
          <w:position w:val="0"/>
        </w:rPr>
        <w:t>（</w:t>
      </w:r>
      <w:bookmarkEnd w:id="763"/>
      <w:r>
        <w:rPr>
          <w:color w:val="000000"/>
          <w:spacing w:val="0"/>
          <w:w w:val="100"/>
          <w:position w:val="0"/>
        </w:rPr>
        <w:t>3）</w:t>
        <w:tab/>
      </w:r>
      <w:r>
        <w:rPr>
          <w:color w:val="000000"/>
          <w:spacing w:val="0"/>
          <w:w w:val="100"/>
          <w:position w:val="0"/>
        </w:rPr>
        <w:t>金融资产和金融负债的公允价值确定方法</w:t>
      </w:r>
    </w:p>
    <w:p>
      <w:pPr>
        <w:pStyle w:val="Style1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本集团以主要市场的价格计量金融资产和金融负债的公允价值，不存在主要市场的，以最有利市场的价格计量金融资 产和金融负债的公允价值，并且采用当时适用并且有足够可利用数据和其他信息支持的估值技术。公允价值计量所使用的输 入值分为三个层次，即第一层次输入值是计量日能够取得的相同资产或负债在活跃市场上未经调整的报价；第二层次输入值 是除第一层次输入值外相关资产或负债直接或间接可观察的输入值；第三层次输入值是相关资产或负债的不可观察输入值。 本集团优先使用第一层次输入值，最后再使用第三层次输入值。公允价值计量结果所属的层次，由对公允价值计量整体而言 具有重大意义的输入值所属的最低层次决定。</w:t>
      </w:r>
    </w:p>
    <w:p>
      <w:pPr>
        <w:pStyle w:val="Style13"/>
        <w:keepNext w:val="0"/>
        <w:keepLines w:val="0"/>
        <w:widowControl w:val="0"/>
        <w:shd w:val="clear" w:color="auto" w:fill="auto"/>
        <w:tabs>
          <w:tab w:pos="760" w:val="left"/>
        </w:tabs>
        <w:bidi w:val="0"/>
        <w:spacing w:before="0" w:after="0" w:line="312" w:lineRule="exact"/>
        <w:ind w:left="0" w:right="0"/>
        <w:jc w:val="both"/>
      </w:pPr>
      <w:bookmarkStart w:id="764" w:name="bookmark764"/>
      <w:r>
        <w:rPr>
          <w:color w:val="000000"/>
          <w:spacing w:val="0"/>
          <w:w w:val="100"/>
          <w:position w:val="0"/>
        </w:rPr>
        <w:t>（</w:t>
      </w:r>
      <w:bookmarkEnd w:id="764"/>
      <w:r>
        <w:rPr>
          <w:color w:val="000000"/>
          <w:spacing w:val="0"/>
          <w:w w:val="100"/>
          <w:position w:val="0"/>
        </w:rPr>
        <w:t>4）</w:t>
        <w:tab/>
      </w:r>
      <w:r>
        <w:rPr>
          <w:color w:val="000000"/>
          <w:spacing w:val="0"/>
          <w:w w:val="100"/>
          <w:position w:val="0"/>
        </w:rPr>
        <w:t>金融资产和金融负债的抵销</w:t>
      </w:r>
    </w:p>
    <w:p>
      <w:pPr>
        <w:pStyle w:val="Style1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本集团的金融资产和金融负债在资产负债表内分别列示，不相互抵销。但同时满足下列条件时，以相互抵销后的净额 在资产负债表内列示：</w:t>
      </w:r>
      <w:r>
        <w:rPr>
          <w:color w:val="000000"/>
          <w:spacing w:val="0"/>
          <w:w w:val="100"/>
          <w:position w:val="0"/>
        </w:rPr>
        <w:t>1）</w:t>
      </w:r>
      <w:r>
        <w:rPr>
          <w:color w:val="000000"/>
          <w:spacing w:val="0"/>
          <w:w w:val="100"/>
          <w:position w:val="0"/>
        </w:rPr>
        <w:t>本集团具有抵销已确认金额的法定权利，且该种法定权利是当前可执行的；</w:t>
      </w:r>
      <w:r>
        <w:rPr>
          <w:color w:val="000000"/>
          <w:spacing w:val="0"/>
          <w:w w:val="100"/>
          <w:position w:val="0"/>
        </w:rPr>
        <w:t>2）</w:t>
      </w:r>
      <w:r>
        <w:rPr>
          <w:color w:val="000000"/>
          <w:spacing w:val="0"/>
          <w:w w:val="100"/>
          <w:position w:val="0"/>
        </w:rPr>
        <w:t>本集团计划以净额 结算，或同时变现该金融资产和清偿该金融负债。</w:t>
      </w:r>
    </w:p>
    <w:p>
      <w:pPr>
        <w:pStyle w:val="Style13"/>
        <w:keepNext w:val="0"/>
        <w:keepLines w:val="0"/>
        <w:widowControl w:val="0"/>
        <w:shd w:val="clear" w:color="auto" w:fill="auto"/>
        <w:tabs>
          <w:tab w:pos="760" w:val="left"/>
        </w:tabs>
        <w:bidi w:val="0"/>
        <w:spacing w:before="0" w:after="0" w:line="312" w:lineRule="exact"/>
        <w:ind w:left="0" w:right="0"/>
        <w:jc w:val="both"/>
      </w:pPr>
      <w:bookmarkStart w:id="765" w:name="bookmark765"/>
      <w:r>
        <w:rPr>
          <w:color w:val="000000"/>
          <w:spacing w:val="0"/>
          <w:w w:val="100"/>
          <w:position w:val="0"/>
        </w:rPr>
        <w:t>（</w:t>
      </w:r>
      <w:bookmarkEnd w:id="765"/>
      <w:r>
        <w:rPr>
          <w:color w:val="000000"/>
          <w:spacing w:val="0"/>
          <w:w w:val="100"/>
          <w:position w:val="0"/>
        </w:rPr>
        <w:t>5）</w:t>
        <w:tab/>
      </w:r>
      <w:r>
        <w:rPr>
          <w:color w:val="000000"/>
          <w:spacing w:val="0"/>
          <w:w w:val="100"/>
          <w:position w:val="0"/>
        </w:rPr>
        <w:t>金融负债与权益工具的区分及相关处理方法</w:t>
      </w:r>
    </w:p>
    <w:p>
      <w:pPr>
        <w:pStyle w:val="Style1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本集团按照以下原则区分金融负债与权益工具：</w:t>
      </w:r>
      <w:r>
        <w:rPr>
          <w:color w:val="000000"/>
          <w:spacing w:val="0"/>
          <w:w w:val="100"/>
          <w:position w:val="0"/>
        </w:rPr>
        <w:t>1）</w:t>
      </w:r>
      <w:r>
        <w:rPr>
          <w:color w:val="000000"/>
          <w:spacing w:val="0"/>
          <w:w w:val="100"/>
          <w:position w:val="0"/>
        </w:rPr>
        <w:t>如果本集团不能无条件地避免以交付现金或其他金融资产来履行 一项合同义务，则该合同义务符合金融负债的定义。有些金融工具虽然没有明确地包含交付现金或其他金融资产义务的条款 和条件，但有可能通过其他条款和条件间接地形成合同义务。</w:t>
      </w:r>
      <w:r>
        <w:rPr>
          <w:color w:val="000000"/>
          <w:spacing w:val="0"/>
          <w:w w:val="100"/>
          <w:position w:val="0"/>
        </w:rPr>
        <w:t>2）</w:t>
      </w:r>
      <w:r>
        <w:rPr>
          <w:color w:val="000000"/>
          <w:spacing w:val="0"/>
          <w:w w:val="100"/>
          <w:position w:val="0"/>
        </w:rPr>
        <w:t>如果一项金融工具须用或可用本集团自身权益工具进行结 算，需要考虑用于结算该工具的本集团自身权益工具，是作为现金或其他金融资产的替代品，还是为了使该工具持有方享有 在发行方扣除所有负债后的资产中的剩余权益。如果是前者，该工具是发行方的金融负债；如果是后者，该工具是发行方的 权益工具。在某些情况下，一项金融工具合同规定本集团须用或可用自身权益工具结算该金融工具，其中合同权利或合同义 务的金额等于可获取或需交付的自身权益工具的数量乘以其结算时的公允价值，则无论该合同权利或义务的金额是固定的， 还是完全或部分地基于除本集团自身权益工具的市场价格以外的变量（例如利率、某种商品的价格或某项金融工具的价格） 的变动而变动，该合同分类为金融负债。</w:t>
      </w:r>
    </w:p>
    <w:p>
      <w:pPr>
        <w:pStyle w:val="Style1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本集团在合并报表中对金融工具（或其组成部分）进行分类时，考虑了集团成员和金融工具持有方之间达成的所有条 款和条件。如果集团作为一个整体由于该工具而承担了交付现金、其他金融资产或者以其他导致该工具成为金融负债的方式 进行结算的义务，则该工具应当分类为金融负债。</w:t>
      </w:r>
    </w:p>
    <w:p>
      <w:pPr>
        <w:pStyle w:val="Style1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金融工具或其组成部分属于金融负债的，相关利息、股利（或股息）、利得或损失，以及赎回或再融资产生的利得或 损失等，本集团计入当期损益。</w:t>
      </w:r>
    </w:p>
    <w:p>
      <w:pPr>
        <w:pStyle w:val="Style1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金融工具或其组成部分属于权益工具的，其发行（含再融资）、回购、出售或注销时，本集团作为权益的变动处理，不确认 权益工具的公允价值变动。</w:t>
      </w:r>
    </w:p>
    <w:p>
      <w:pPr>
        <w:pStyle w:val="Style29"/>
        <w:keepNext/>
        <w:keepLines/>
        <w:widowControl w:val="0"/>
        <w:shd w:val="clear" w:color="auto" w:fill="auto"/>
        <w:bidi w:val="0"/>
        <w:spacing w:before="0" w:after="26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1</w:t>
      </w:r>
      <w:r>
        <w:rPr>
          <w:color w:val="000000"/>
          <w:spacing w:val="0"/>
          <w:w w:val="100"/>
          <w:position w:val="0"/>
        </w:rPr>
        <w:t>、金融工具减值</w:t>
      </w:r>
      <w:bookmarkEnd w:id="766"/>
      <w:bookmarkEnd w:id="767"/>
      <w:bookmarkEnd w:id="769"/>
    </w:p>
    <w:p>
      <w:pPr>
        <w:pStyle w:val="Style1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本集团对分类为以摊余成本计量的金融资产、分类为以公允价值计量且其变动计入其他综合收益的金融资产以预期信 用损失为基础确认损失准备。</w:t>
      </w:r>
    </w:p>
    <w:p>
      <w:pPr>
        <w:pStyle w:val="Style1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本集团对由收入准则规范的交易形成的应收账款、长期应收款按照相当于整个存续期内预期信用损失的金额计量损失 准备。</w:t>
      </w:r>
    </w:p>
    <w:p>
      <w:pPr>
        <w:pStyle w:val="Style13"/>
        <w:keepNext w:val="0"/>
        <w:keepLines w:val="0"/>
        <w:widowControl w:val="0"/>
        <w:shd w:val="clear" w:color="auto" w:fill="auto"/>
        <w:bidi w:val="0"/>
        <w:spacing w:before="0" w:after="140" w:line="313" w:lineRule="exact"/>
        <w:ind w:left="0" w:right="0" w:firstLine="480"/>
        <w:jc w:val="both"/>
      </w:pPr>
      <w:r>
        <w:rPr>
          <w:color w:val="000000"/>
          <w:spacing w:val="0"/>
          <w:w w:val="100"/>
          <w:position w:val="0"/>
        </w:rPr>
        <w:t>对于其他金融工具，除购买或源生的已发生信用减值的金融资产外，本集团在每个资产负债表日评估相关金融工具的 信用风险自初始确认后的变动情况。若该金融工具的信用风险自初始确认后已显著增加，本集团按照相当于该金融工具整个 存续期内预期信用损失的金额计量其损失准备；若该等金融工具信用风险自初始确认后并未显著增加，本集团按照相当于该 金融工具未来</w:t>
      </w:r>
      <w:r>
        <w:rPr>
          <w:color w:val="000000"/>
          <w:spacing w:val="0"/>
          <w:w w:val="100"/>
          <w:position w:val="0"/>
        </w:rPr>
        <w:t>12</w:t>
      </w:r>
      <w:r>
        <w:rPr>
          <w:color w:val="000000"/>
          <w:spacing w:val="0"/>
          <w:w w:val="100"/>
          <w:position w:val="0"/>
        </w:rPr>
        <w:t>个月内预期信用损失的金额计量其损失准备。信用损失准备的增加或转回金额，除分类为以公允价值计量且 其变动计入其他综合收益的金融资产外，作为减值损失或利得计入当期损益。对于分类为以公允价值计量且其变动计入其他 综合收益的金融资产，本集团在其他综合收益中确认其信用损失准备，并将减值损失或利得计入当期损益，且不减少该金融 资产在资产负债表中列示的账面价值。</w:t>
      </w:r>
    </w:p>
    <w:p>
      <w:pPr>
        <w:pStyle w:val="Style13"/>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本集团在前一会计期间已经按照相当于金融工具整个存续期内预期信用损失的金额计量了损失准备，但在当期资产负 债表日，该金融工具已不再属于自初始确认后信用风险显著增加的情形的，本集团在当期资产负债表日按照相当于未来</w:t>
      </w:r>
      <w:r>
        <w:rPr>
          <w:color w:val="000000"/>
          <w:spacing w:val="0"/>
          <w:w w:val="100"/>
          <w:position w:val="0"/>
        </w:rPr>
        <w:t xml:space="preserve">12 </w:t>
      </w:r>
      <w:r>
        <w:rPr>
          <w:color w:val="000000"/>
          <w:spacing w:val="0"/>
          <w:w w:val="100"/>
          <w:position w:val="0"/>
        </w:rPr>
        <w:t>个月内预期信用损失的金额计量该金融工具的损失准备，由此形成的损失准备的转回金额作为减值利得计入当期损益。</w:t>
      </w:r>
    </w:p>
    <w:p>
      <w:pPr>
        <w:pStyle w:val="Style13"/>
        <w:keepNext w:val="0"/>
        <w:keepLines w:val="0"/>
        <w:widowControl w:val="0"/>
        <w:shd w:val="clear" w:color="auto" w:fill="auto"/>
        <w:tabs>
          <w:tab w:pos="820" w:val="left"/>
        </w:tabs>
        <w:bidi w:val="0"/>
        <w:spacing w:before="0" w:after="0" w:line="315" w:lineRule="exact"/>
        <w:ind w:left="0" w:right="0"/>
        <w:jc w:val="both"/>
      </w:pPr>
      <w:bookmarkStart w:id="770" w:name="bookmark770"/>
      <w:r>
        <w:rPr>
          <w:color w:val="000000"/>
          <w:spacing w:val="0"/>
          <w:w w:val="100"/>
          <w:position w:val="0"/>
        </w:rPr>
        <w:t>（</w:t>
      </w:r>
      <w:bookmarkEnd w:id="770"/>
      <w:r>
        <w:rPr>
          <w:color w:val="000000"/>
          <w:spacing w:val="0"/>
          <w:w w:val="100"/>
          <w:position w:val="0"/>
        </w:rPr>
        <w:t>1）</w:t>
        <w:tab/>
      </w:r>
      <w:r>
        <w:rPr>
          <w:color w:val="000000"/>
          <w:spacing w:val="0"/>
          <w:w w:val="100"/>
          <w:position w:val="0"/>
        </w:rPr>
        <w:t>信用风险显著增加</w:t>
      </w:r>
    </w:p>
    <w:p>
      <w:pPr>
        <w:pStyle w:val="Style13"/>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本集团利用可获得的合理且有依据的前瞻性信息，通过比较金融工具在资产负债表日发生违约的风险与在初始确认日 发生违约的风险，以确定金融工具的信用风险自初始确认后是否已显著增加。</w:t>
      </w:r>
    </w:p>
    <w:p>
      <w:pPr>
        <w:pStyle w:val="Style13"/>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本集团在评估信用风险是否显著增加时会考虑如下因素：</w:t>
      </w:r>
    </w:p>
    <w:p>
      <w:pPr>
        <w:pStyle w:val="Style13"/>
        <w:keepNext w:val="0"/>
        <w:keepLines w:val="0"/>
        <w:widowControl w:val="0"/>
        <w:shd w:val="clear" w:color="auto" w:fill="auto"/>
        <w:tabs>
          <w:tab w:pos="909" w:val="left"/>
        </w:tabs>
        <w:bidi w:val="0"/>
        <w:spacing w:before="0" w:after="0" w:line="315" w:lineRule="exact"/>
        <w:ind w:left="0" w:right="0" w:firstLine="560"/>
        <w:jc w:val="both"/>
      </w:pPr>
      <w:bookmarkStart w:id="771" w:name="bookmark771"/>
      <w:r>
        <w:rPr>
          <w:color w:val="000000"/>
          <w:spacing w:val="0"/>
          <w:w w:val="100"/>
          <w:position w:val="0"/>
        </w:rPr>
        <w:t>1</w:t>
      </w:r>
      <w:bookmarkEnd w:id="771"/>
      <w:r>
        <w:rPr>
          <w:color w:val="000000"/>
          <w:spacing w:val="0"/>
          <w:w w:val="100"/>
          <w:position w:val="0"/>
        </w:rPr>
        <w:t>）</w:t>
        <w:tab/>
      </w:r>
      <w:r>
        <w:rPr>
          <w:color w:val="000000"/>
          <w:spacing w:val="0"/>
          <w:w w:val="100"/>
          <w:position w:val="0"/>
        </w:rPr>
        <w:t>金融工具外部信用评级实际或预期是否发生显著变化；</w:t>
      </w:r>
    </w:p>
    <w:p>
      <w:pPr>
        <w:pStyle w:val="Style13"/>
        <w:keepNext w:val="0"/>
        <w:keepLines w:val="0"/>
        <w:widowControl w:val="0"/>
        <w:shd w:val="clear" w:color="auto" w:fill="auto"/>
        <w:tabs>
          <w:tab w:pos="918" w:val="left"/>
        </w:tabs>
        <w:bidi w:val="0"/>
        <w:spacing w:before="0" w:after="0" w:line="315" w:lineRule="exact"/>
        <w:ind w:left="0" w:right="0" w:firstLine="560"/>
        <w:jc w:val="both"/>
      </w:pPr>
      <w:bookmarkStart w:id="772" w:name="bookmark772"/>
      <w:r>
        <w:rPr>
          <w:color w:val="000000"/>
          <w:spacing w:val="0"/>
          <w:w w:val="100"/>
          <w:position w:val="0"/>
        </w:rPr>
        <w:t>2</w:t>
      </w:r>
      <w:bookmarkEnd w:id="772"/>
      <w:r>
        <w:rPr>
          <w:color w:val="000000"/>
          <w:spacing w:val="0"/>
          <w:w w:val="100"/>
          <w:position w:val="0"/>
        </w:rPr>
        <w:t>）</w:t>
        <w:tab/>
      </w:r>
      <w:r>
        <w:rPr>
          <w:color w:val="000000"/>
          <w:spacing w:val="0"/>
          <w:w w:val="100"/>
          <w:position w:val="0"/>
        </w:rPr>
        <w:t>同一金融工具或具有相同预计存续期的类似金融工具的信用风险的外部市场指标是否发生显著变化；</w:t>
      </w:r>
    </w:p>
    <w:p>
      <w:pPr>
        <w:pStyle w:val="Style13"/>
        <w:keepNext w:val="0"/>
        <w:keepLines w:val="0"/>
        <w:widowControl w:val="0"/>
        <w:shd w:val="clear" w:color="auto" w:fill="auto"/>
        <w:tabs>
          <w:tab w:pos="918" w:val="left"/>
        </w:tabs>
        <w:bidi w:val="0"/>
        <w:spacing w:before="0" w:after="0" w:line="315" w:lineRule="exact"/>
        <w:ind w:left="0" w:right="0" w:firstLine="560"/>
        <w:jc w:val="both"/>
      </w:pPr>
      <w:bookmarkStart w:id="773" w:name="bookmark773"/>
      <w:r>
        <w:rPr>
          <w:color w:val="000000"/>
          <w:spacing w:val="0"/>
          <w:w w:val="100"/>
          <w:position w:val="0"/>
        </w:rPr>
        <w:t>3</w:t>
      </w:r>
      <w:bookmarkEnd w:id="773"/>
      <w:r>
        <w:rPr>
          <w:color w:val="000000"/>
          <w:spacing w:val="0"/>
          <w:w w:val="100"/>
          <w:position w:val="0"/>
        </w:rPr>
        <w:t>）</w:t>
        <w:tab/>
      </w:r>
      <w:r>
        <w:rPr>
          <w:color w:val="000000"/>
          <w:spacing w:val="0"/>
          <w:w w:val="100"/>
          <w:position w:val="0"/>
        </w:rPr>
        <w:t>对债务人实际或预期的内部信用评级是否下调；</w:t>
      </w:r>
    </w:p>
    <w:p>
      <w:pPr>
        <w:pStyle w:val="Style13"/>
        <w:keepNext w:val="0"/>
        <w:keepLines w:val="0"/>
        <w:widowControl w:val="0"/>
        <w:shd w:val="clear" w:color="auto" w:fill="auto"/>
        <w:tabs>
          <w:tab w:pos="896" w:val="left"/>
        </w:tabs>
        <w:bidi w:val="0"/>
        <w:spacing w:before="0" w:after="0" w:line="315" w:lineRule="exact"/>
        <w:ind w:left="0" w:right="0" w:firstLine="560"/>
        <w:jc w:val="both"/>
      </w:pPr>
      <w:bookmarkStart w:id="774" w:name="bookmark774"/>
      <w:r>
        <w:rPr>
          <w:color w:val="000000"/>
          <w:spacing w:val="0"/>
          <w:w w:val="100"/>
          <w:position w:val="0"/>
        </w:rPr>
        <w:t>4</w:t>
      </w:r>
      <w:bookmarkEnd w:id="774"/>
      <w:r>
        <w:rPr>
          <w:color w:val="000000"/>
          <w:spacing w:val="0"/>
          <w:w w:val="100"/>
          <w:position w:val="0"/>
        </w:rPr>
        <w:t>）</w:t>
        <w:tab/>
      </w:r>
      <w:r>
        <w:rPr>
          <w:color w:val="000000"/>
          <w:spacing w:val="0"/>
          <w:w w:val="100"/>
          <w:position w:val="0"/>
        </w:rPr>
        <w:t>预期将导致债务人履行其偿债义务的能力发生显著变化的业务、财务或经济状况是否出现不利变化，如债务人市 场份额明显下降、主要产品价格急剧持续下跌、主要原材料价格明显上涨、营运资金严重短缺、资产质量下降等；</w:t>
      </w:r>
    </w:p>
    <w:p>
      <w:pPr>
        <w:pStyle w:val="Style13"/>
        <w:keepNext w:val="0"/>
        <w:keepLines w:val="0"/>
        <w:widowControl w:val="0"/>
        <w:shd w:val="clear" w:color="auto" w:fill="auto"/>
        <w:tabs>
          <w:tab w:pos="901" w:val="left"/>
        </w:tabs>
        <w:bidi w:val="0"/>
        <w:spacing w:before="0" w:after="0" w:line="315" w:lineRule="exact"/>
        <w:ind w:left="0" w:right="0" w:firstLine="560"/>
        <w:jc w:val="both"/>
      </w:pPr>
      <w:bookmarkStart w:id="775" w:name="bookmark775"/>
      <w:r>
        <w:rPr>
          <w:color w:val="000000"/>
          <w:spacing w:val="0"/>
          <w:w w:val="100"/>
          <w:position w:val="0"/>
        </w:rPr>
        <w:t>5</w:t>
      </w:r>
      <w:bookmarkEnd w:id="775"/>
      <w:r>
        <w:rPr>
          <w:color w:val="000000"/>
          <w:spacing w:val="0"/>
          <w:w w:val="100"/>
          <w:position w:val="0"/>
        </w:rPr>
        <w:t>）</w:t>
        <w:tab/>
      </w:r>
      <w:r>
        <w:rPr>
          <w:color w:val="000000"/>
          <w:spacing w:val="0"/>
          <w:w w:val="100"/>
          <w:position w:val="0"/>
        </w:rPr>
        <w:t>债务人经营成果实际或预期是否发生显著变化，如收入、利润等经营指标出现明显不利变化且预期短时间内难以 好转；</w:t>
      </w:r>
    </w:p>
    <w:p>
      <w:pPr>
        <w:pStyle w:val="Style13"/>
        <w:keepNext w:val="0"/>
        <w:keepLines w:val="0"/>
        <w:widowControl w:val="0"/>
        <w:shd w:val="clear" w:color="auto" w:fill="auto"/>
        <w:tabs>
          <w:tab w:pos="906" w:val="left"/>
        </w:tabs>
        <w:bidi w:val="0"/>
        <w:spacing w:before="0" w:after="0" w:line="315" w:lineRule="exact"/>
        <w:ind w:left="0" w:right="0" w:firstLine="560"/>
        <w:jc w:val="both"/>
      </w:pPr>
      <w:bookmarkStart w:id="776" w:name="bookmark776"/>
      <w:r>
        <w:rPr>
          <w:color w:val="000000"/>
          <w:spacing w:val="0"/>
          <w:w w:val="100"/>
          <w:position w:val="0"/>
        </w:rPr>
        <w:t>6</w:t>
      </w:r>
      <w:bookmarkEnd w:id="776"/>
      <w:r>
        <w:rPr>
          <w:color w:val="000000"/>
          <w:spacing w:val="0"/>
          <w:w w:val="100"/>
          <w:position w:val="0"/>
        </w:rPr>
        <w:t>）</w:t>
        <w:tab/>
      </w:r>
      <w:r>
        <w:rPr>
          <w:color w:val="000000"/>
          <w:spacing w:val="0"/>
          <w:w w:val="100"/>
          <w:position w:val="0"/>
        </w:rPr>
        <w:t>债务人所处的监管、经济或技术环境是否发生显著不利变化，如技术变革、国家或地方政府拟出台相关政策是否 对债务人产生重大不利影响；</w:t>
      </w:r>
    </w:p>
    <w:p>
      <w:pPr>
        <w:pStyle w:val="Style13"/>
        <w:keepNext w:val="0"/>
        <w:keepLines w:val="0"/>
        <w:widowControl w:val="0"/>
        <w:shd w:val="clear" w:color="auto" w:fill="auto"/>
        <w:tabs>
          <w:tab w:pos="923" w:val="left"/>
        </w:tabs>
        <w:bidi w:val="0"/>
        <w:spacing w:before="0" w:after="0" w:line="315" w:lineRule="exact"/>
        <w:ind w:left="0" w:right="0" w:firstLine="560"/>
        <w:jc w:val="both"/>
      </w:pPr>
      <w:bookmarkStart w:id="777" w:name="bookmark777"/>
      <w:r>
        <w:rPr>
          <w:color w:val="000000"/>
          <w:spacing w:val="0"/>
          <w:w w:val="100"/>
          <w:position w:val="0"/>
        </w:rPr>
        <w:t>7</w:t>
      </w:r>
      <w:bookmarkEnd w:id="777"/>
      <w:r>
        <w:rPr>
          <w:color w:val="000000"/>
          <w:spacing w:val="0"/>
          <w:w w:val="100"/>
          <w:position w:val="0"/>
        </w:rPr>
        <w:t>）</w:t>
        <w:tab/>
      </w:r>
      <w:r>
        <w:rPr>
          <w:color w:val="000000"/>
          <w:spacing w:val="0"/>
          <w:w w:val="100"/>
          <w:position w:val="0"/>
        </w:rPr>
        <w:t>作为债务抵押的担保物价值或第三方提供的担保或信用增级质量的是否发生显著变化；</w:t>
      </w:r>
    </w:p>
    <w:p>
      <w:pPr>
        <w:pStyle w:val="Style13"/>
        <w:keepNext w:val="0"/>
        <w:keepLines w:val="0"/>
        <w:widowControl w:val="0"/>
        <w:shd w:val="clear" w:color="auto" w:fill="auto"/>
        <w:tabs>
          <w:tab w:pos="901" w:val="left"/>
        </w:tabs>
        <w:bidi w:val="0"/>
        <w:spacing w:before="0" w:after="0" w:line="315" w:lineRule="exact"/>
        <w:ind w:left="0" w:right="0" w:firstLine="560"/>
        <w:jc w:val="both"/>
      </w:pPr>
      <w:bookmarkStart w:id="778" w:name="bookmark778"/>
      <w:r>
        <w:rPr>
          <w:color w:val="000000"/>
          <w:spacing w:val="0"/>
          <w:w w:val="100"/>
          <w:position w:val="0"/>
        </w:rPr>
        <w:t>8</w:t>
      </w:r>
      <w:bookmarkEnd w:id="778"/>
      <w:r>
        <w:rPr>
          <w:color w:val="000000"/>
          <w:spacing w:val="0"/>
          <w:w w:val="100"/>
          <w:position w:val="0"/>
        </w:rPr>
        <w:t>）</w:t>
        <w:tab/>
      </w:r>
      <w:r>
        <w:rPr>
          <w:color w:val="000000"/>
          <w:spacing w:val="0"/>
          <w:w w:val="100"/>
          <w:position w:val="0"/>
        </w:rPr>
        <w:t>预期将降低债务人按合同约定期限还款的经济动机的是否发生显著变化，如母公司或其他关联公司能够提供的财 务支持减少，或者信用增级质量的显著变化；</w:t>
      </w:r>
    </w:p>
    <w:p>
      <w:pPr>
        <w:pStyle w:val="Style13"/>
        <w:keepNext w:val="0"/>
        <w:keepLines w:val="0"/>
        <w:widowControl w:val="0"/>
        <w:shd w:val="clear" w:color="auto" w:fill="auto"/>
        <w:tabs>
          <w:tab w:pos="923" w:val="left"/>
        </w:tabs>
        <w:bidi w:val="0"/>
        <w:spacing w:before="0" w:after="0" w:line="315" w:lineRule="exact"/>
        <w:ind w:left="0" w:right="0" w:firstLine="560"/>
        <w:jc w:val="both"/>
      </w:pPr>
      <w:bookmarkStart w:id="779" w:name="bookmark779"/>
      <w:r>
        <w:rPr>
          <w:color w:val="000000"/>
          <w:spacing w:val="0"/>
          <w:w w:val="100"/>
          <w:position w:val="0"/>
        </w:rPr>
        <w:t>9</w:t>
      </w:r>
      <w:bookmarkEnd w:id="779"/>
      <w:r>
        <w:rPr>
          <w:color w:val="000000"/>
          <w:spacing w:val="0"/>
          <w:w w:val="100"/>
          <w:position w:val="0"/>
        </w:rPr>
        <w:t>）</w:t>
        <w:tab/>
      </w:r>
      <w:r>
        <w:rPr>
          <w:color w:val="000000"/>
          <w:spacing w:val="0"/>
          <w:w w:val="100"/>
          <w:position w:val="0"/>
        </w:rPr>
        <w:t>债务人预期表现和还款行为是否发生显著变化；</w:t>
      </w:r>
    </w:p>
    <w:p>
      <w:pPr>
        <w:pStyle w:val="Style13"/>
        <w:keepNext w:val="0"/>
        <w:keepLines w:val="0"/>
        <w:widowControl w:val="0"/>
        <w:shd w:val="clear" w:color="auto" w:fill="auto"/>
        <w:tabs>
          <w:tab w:pos="1000" w:val="left"/>
        </w:tabs>
        <w:bidi w:val="0"/>
        <w:spacing w:before="0" w:after="0" w:line="315" w:lineRule="exact"/>
        <w:ind w:left="0" w:right="0" w:firstLine="560"/>
        <w:jc w:val="both"/>
      </w:pPr>
      <w:bookmarkStart w:id="780" w:name="bookmark780"/>
      <w:r>
        <w:rPr>
          <w:color w:val="000000"/>
          <w:spacing w:val="0"/>
          <w:w w:val="100"/>
          <w:position w:val="0"/>
        </w:rPr>
        <w:t>1</w:t>
      </w:r>
      <w:bookmarkEnd w:id="780"/>
      <w:r>
        <w:rPr>
          <w:color w:val="000000"/>
          <w:spacing w:val="0"/>
          <w:w w:val="100"/>
          <w:position w:val="0"/>
        </w:rPr>
        <w:t>0）</w:t>
        <w:tab/>
      </w:r>
      <w:r>
        <w:rPr>
          <w:color w:val="000000"/>
          <w:spacing w:val="0"/>
          <w:w w:val="100"/>
          <w:position w:val="0"/>
        </w:rPr>
        <w:t>本集团对金融工具信用管理方法是否发生变化。</w:t>
      </w:r>
    </w:p>
    <w:p>
      <w:pPr>
        <w:pStyle w:val="Style13"/>
        <w:keepNext w:val="0"/>
        <w:keepLines w:val="0"/>
        <w:widowControl w:val="0"/>
        <w:shd w:val="clear" w:color="auto" w:fill="auto"/>
        <w:tabs>
          <w:tab w:pos="820" w:val="left"/>
        </w:tabs>
        <w:bidi w:val="0"/>
        <w:spacing w:before="0" w:after="0" w:line="315" w:lineRule="exact"/>
        <w:ind w:left="0" w:right="0"/>
        <w:jc w:val="both"/>
      </w:pPr>
      <w:bookmarkStart w:id="781" w:name="bookmark781"/>
      <w:r>
        <w:rPr>
          <w:color w:val="000000"/>
          <w:spacing w:val="0"/>
          <w:w w:val="100"/>
          <w:position w:val="0"/>
        </w:rPr>
        <w:t>（</w:t>
      </w:r>
      <w:bookmarkEnd w:id="781"/>
      <w:r>
        <w:rPr>
          <w:color w:val="000000"/>
          <w:spacing w:val="0"/>
          <w:w w:val="100"/>
          <w:position w:val="0"/>
        </w:rPr>
        <w:t>2）</w:t>
        <w:tab/>
      </w:r>
      <w:r>
        <w:rPr>
          <w:color w:val="000000"/>
          <w:spacing w:val="0"/>
          <w:w w:val="100"/>
          <w:position w:val="0"/>
        </w:rPr>
        <w:t>已发生信用减值的金融资产</w:t>
      </w:r>
    </w:p>
    <w:p>
      <w:pPr>
        <w:pStyle w:val="Style13"/>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当本集团预期对金融资产未来现金流量具有不利影响的一项或多项事件发生时，该金融资产成为已发生信用减值的金 融资产。金融资产已发生信用减值的证据包括下列可观察信息：</w:t>
      </w:r>
    </w:p>
    <w:p>
      <w:pPr>
        <w:pStyle w:val="Style13"/>
        <w:keepNext w:val="0"/>
        <w:keepLines w:val="0"/>
        <w:widowControl w:val="0"/>
        <w:shd w:val="clear" w:color="auto" w:fill="auto"/>
        <w:tabs>
          <w:tab w:pos="909" w:val="left"/>
        </w:tabs>
        <w:bidi w:val="0"/>
        <w:spacing w:before="0" w:after="0" w:line="315" w:lineRule="exact"/>
        <w:ind w:left="0" w:right="0" w:firstLine="560"/>
        <w:jc w:val="both"/>
      </w:pPr>
      <w:bookmarkStart w:id="782" w:name="bookmark782"/>
      <w:r>
        <w:rPr>
          <w:color w:val="000000"/>
          <w:spacing w:val="0"/>
          <w:w w:val="100"/>
          <w:position w:val="0"/>
        </w:rPr>
        <w:t>1</w:t>
      </w:r>
      <w:bookmarkEnd w:id="782"/>
      <w:r>
        <w:rPr>
          <w:color w:val="000000"/>
          <w:spacing w:val="0"/>
          <w:w w:val="100"/>
          <w:position w:val="0"/>
        </w:rPr>
        <w:t>）</w:t>
        <w:tab/>
      </w:r>
      <w:r>
        <w:rPr>
          <w:color w:val="000000"/>
          <w:spacing w:val="0"/>
          <w:w w:val="100"/>
          <w:position w:val="0"/>
        </w:rPr>
        <w:t>发行方或债务人发生重大财务困难；</w:t>
      </w:r>
    </w:p>
    <w:p>
      <w:pPr>
        <w:pStyle w:val="Style13"/>
        <w:keepNext w:val="0"/>
        <w:keepLines w:val="0"/>
        <w:widowControl w:val="0"/>
        <w:shd w:val="clear" w:color="auto" w:fill="auto"/>
        <w:tabs>
          <w:tab w:pos="918" w:val="left"/>
        </w:tabs>
        <w:bidi w:val="0"/>
        <w:spacing w:before="0" w:after="0" w:line="315" w:lineRule="exact"/>
        <w:ind w:left="0" w:right="0" w:firstLine="560"/>
        <w:jc w:val="both"/>
      </w:pPr>
      <w:bookmarkStart w:id="783" w:name="bookmark783"/>
      <w:r>
        <w:rPr>
          <w:color w:val="000000"/>
          <w:spacing w:val="0"/>
          <w:w w:val="100"/>
          <w:position w:val="0"/>
        </w:rPr>
        <w:t>2</w:t>
      </w:r>
      <w:bookmarkEnd w:id="783"/>
      <w:r>
        <w:rPr>
          <w:color w:val="000000"/>
          <w:spacing w:val="0"/>
          <w:w w:val="100"/>
          <w:position w:val="0"/>
        </w:rPr>
        <w:t>）</w:t>
        <w:tab/>
      </w:r>
      <w:r>
        <w:rPr>
          <w:color w:val="000000"/>
          <w:spacing w:val="0"/>
          <w:w w:val="100"/>
          <w:position w:val="0"/>
        </w:rPr>
        <w:t>债务人违反合同，如偿付利息或本金违约或逾期等；</w:t>
      </w:r>
    </w:p>
    <w:p>
      <w:pPr>
        <w:pStyle w:val="Style13"/>
        <w:keepNext w:val="0"/>
        <w:keepLines w:val="0"/>
        <w:widowControl w:val="0"/>
        <w:shd w:val="clear" w:color="auto" w:fill="auto"/>
        <w:tabs>
          <w:tab w:pos="918" w:val="left"/>
        </w:tabs>
        <w:bidi w:val="0"/>
        <w:spacing w:before="0" w:after="0" w:line="315" w:lineRule="exact"/>
        <w:ind w:left="0" w:right="0" w:firstLine="560"/>
        <w:jc w:val="left"/>
      </w:pPr>
      <w:bookmarkStart w:id="784" w:name="bookmark784"/>
      <w:r>
        <w:rPr>
          <w:color w:val="000000"/>
          <w:spacing w:val="0"/>
          <w:w w:val="100"/>
          <w:position w:val="0"/>
        </w:rPr>
        <w:t>3</w:t>
      </w:r>
      <w:bookmarkEnd w:id="784"/>
      <w:r>
        <w:rPr>
          <w:color w:val="000000"/>
          <w:spacing w:val="0"/>
          <w:w w:val="100"/>
          <w:position w:val="0"/>
        </w:rPr>
        <w:t>）</w:t>
        <w:tab/>
      </w:r>
      <w:r>
        <w:rPr>
          <w:color w:val="000000"/>
          <w:spacing w:val="0"/>
          <w:w w:val="100"/>
          <w:position w:val="0"/>
        </w:rPr>
        <w:t>债权人出于与债务人财务困难有关的经济或合同考虑，给予债务人在任何其他情况下都不会做出的让步；</w:t>
      </w:r>
    </w:p>
    <w:p>
      <w:pPr>
        <w:pStyle w:val="Style13"/>
        <w:keepNext w:val="0"/>
        <w:keepLines w:val="0"/>
        <w:widowControl w:val="0"/>
        <w:shd w:val="clear" w:color="auto" w:fill="auto"/>
        <w:tabs>
          <w:tab w:pos="923" w:val="left"/>
        </w:tabs>
        <w:bidi w:val="0"/>
        <w:spacing w:before="0" w:after="0" w:line="315" w:lineRule="exact"/>
        <w:ind w:left="0" w:right="0" w:firstLine="560"/>
        <w:jc w:val="both"/>
      </w:pPr>
      <w:bookmarkStart w:id="785" w:name="bookmark785"/>
      <w:r>
        <w:rPr>
          <w:color w:val="000000"/>
          <w:spacing w:val="0"/>
          <w:w w:val="100"/>
          <w:position w:val="0"/>
        </w:rPr>
        <w:t>4</w:t>
      </w:r>
      <w:bookmarkEnd w:id="785"/>
      <w:r>
        <w:rPr>
          <w:color w:val="000000"/>
          <w:spacing w:val="0"/>
          <w:w w:val="100"/>
          <w:position w:val="0"/>
        </w:rPr>
        <w:t>）</w:t>
        <w:tab/>
      </w:r>
      <w:r>
        <w:rPr>
          <w:color w:val="000000"/>
          <w:spacing w:val="0"/>
          <w:w w:val="100"/>
          <w:position w:val="0"/>
        </w:rPr>
        <w:t>债务人很可能破产或进行其他财务重组；</w:t>
      </w:r>
    </w:p>
    <w:p>
      <w:pPr>
        <w:pStyle w:val="Style13"/>
        <w:keepNext w:val="0"/>
        <w:keepLines w:val="0"/>
        <w:widowControl w:val="0"/>
        <w:shd w:val="clear" w:color="auto" w:fill="auto"/>
        <w:tabs>
          <w:tab w:pos="923" w:val="left"/>
        </w:tabs>
        <w:bidi w:val="0"/>
        <w:spacing w:before="0" w:after="0" w:line="315" w:lineRule="exact"/>
        <w:ind w:left="0" w:right="0" w:firstLine="560"/>
        <w:jc w:val="both"/>
      </w:pPr>
      <w:bookmarkStart w:id="786" w:name="bookmark786"/>
      <w:r>
        <w:rPr>
          <w:color w:val="000000"/>
          <w:spacing w:val="0"/>
          <w:w w:val="100"/>
          <w:position w:val="0"/>
        </w:rPr>
        <w:t>5</w:t>
      </w:r>
      <w:bookmarkEnd w:id="786"/>
      <w:r>
        <w:rPr>
          <w:color w:val="000000"/>
          <w:spacing w:val="0"/>
          <w:w w:val="100"/>
          <w:position w:val="0"/>
        </w:rPr>
        <w:t>）</w:t>
        <w:tab/>
      </w:r>
      <w:r>
        <w:rPr>
          <w:color w:val="000000"/>
          <w:spacing w:val="0"/>
          <w:w w:val="100"/>
          <w:position w:val="0"/>
        </w:rPr>
        <w:t>发行方或债务人财务困难导致该金融资产的活跃市场消失；</w:t>
      </w:r>
    </w:p>
    <w:p>
      <w:pPr>
        <w:pStyle w:val="Style13"/>
        <w:keepNext w:val="0"/>
        <w:keepLines w:val="0"/>
        <w:widowControl w:val="0"/>
        <w:shd w:val="clear" w:color="auto" w:fill="auto"/>
        <w:tabs>
          <w:tab w:pos="923" w:val="left"/>
        </w:tabs>
        <w:bidi w:val="0"/>
        <w:spacing w:before="0" w:after="0" w:line="315" w:lineRule="exact"/>
        <w:ind w:left="0" w:right="0" w:firstLine="560"/>
        <w:jc w:val="both"/>
      </w:pPr>
      <w:bookmarkStart w:id="787" w:name="bookmark787"/>
      <w:r>
        <w:rPr>
          <w:color w:val="000000"/>
          <w:spacing w:val="0"/>
          <w:w w:val="100"/>
          <w:position w:val="0"/>
        </w:rPr>
        <w:t>6</w:t>
      </w:r>
      <w:bookmarkEnd w:id="787"/>
      <w:r>
        <w:rPr>
          <w:color w:val="000000"/>
          <w:spacing w:val="0"/>
          <w:w w:val="100"/>
          <w:position w:val="0"/>
        </w:rPr>
        <w:t>）</w:t>
        <w:tab/>
      </w:r>
      <w:r>
        <w:rPr>
          <w:color w:val="000000"/>
          <w:spacing w:val="0"/>
          <w:w w:val="100"/>
          <w:position w:val="0"/>
        </w:rPr>
        <w:t>以大幅折扣购买或源生一项金融资产，该折扣反映了发生信用损失的事实。</w:t>
      </w:r>
    </w:p>
    <w:p>
      <w:pPr>
        <w:pStyle w:val="Style13"/>
        <w:keepNext w:val="0"/>
        <w:keepLines w:val="0"/>
        <w:widowControl w:val="0"/>
        <w:shd w:val="clear" w:color="auto" w:fill="auto"/>
        <w:tabs>
          <w:tab w:pos="820" w:val="left"/>
        </w:tabs>
        <w:bidi w:val="0"/>
        <w:spacing w:before="0" w:after="0" w:line="315" w:lineRule="exact"/>
        <w:ind w:left="0" w:right="0"/>
        <w:jc w:val="both"/>
      </w:pPr>
      <w:bookmarkStart w:id="788" w:name="bookmark788"/>
      <w:r>
        <w:rPr>
          <w:color w:val="000000"/>
          <w:spacing w:val="0"/>
          <w:w w:val="100"/>
          <w:position w:val="0"/>
        </w:rPr>
        <w:t>（</w:t>
      </w:r>
      <w:bookmarkEnd w:id="788"/>
      <w:r>
        <w:rPr>
          <w:color w:val="000000"/>
          <w:spacing w:val="0"/>
          <w:w w:val="100"/>
          <w:position w:val="0"/>
        </w:rPr>
        <w:t>3）</w:t>
        <w:tab/>
      </w:r>
      <w:r>
        <w:rPr>
          <w:color w:val="000000"/>
          <w:spacing w:val="0"/>
          <w:w w:val="100"/>
          <w:position w:val="0"/>
        </w:rPr>
        <w:t>预期信用损失的确定</w:t>
      </w:r>
    </w:p>
    <w:p>
      <w:pPr>
        <w:pStyle w:val="Style13"/>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本集团对应收票据、应收账款、其他应收款、长期应收款等在组合基础上采用减值矩阵确定相关金融工具的信用损失。 本集团以共同风险特征为依据，将金融工具分为不同组别。本集团的共同信用风险特征包括：金融工具类型、初始确认日期、 剩余合同期限、债务人所处行业等。本集团基于历史信用损失经验、使用减值矩阵计算应收款项的预期信用损失，相关历史 经验根据资产负债表日应收对象的特定因素、以及对当前状况和未来经济状况预测的评估进行调整。</w:t>
      </w:r>
    </w:p>
    <w:p>
      <w:pPr>
        <w:pStyle w:val="Style13"/>
        <w:keepNext w:val="0"/>
        <w:keepLines w:val="0"/>
        <w:widowControl w:val="0"/>
        <w:shd w:val="clear" w:color="auto" w:fill="auto"/>
        <w:bidi w:val="0"/>
        <w:spacing w:before="0" w:after="0" w:line="315" w:lineRule="exact"/>
        <w:ind w:left="0" w:right="0" w:firstLine="460"/>
        <w:jc w:val="left"/>
      </w:pPr>
      <w:r>
        <w:rPr>
          <w:color w:val="000000"/>
          <w:spacing w:val="0"/>
          <w:w w:val="100"/>
          <w:position w:val="0"/>
        </w:rPr>
        <w:t>本集团按照下列方法确定相关金融工具的预期信用损失：</w:t>
      </w:r>
    </w:p>
    <w:p>
      <w:pPr>
        <w:pStyle w:val="Style13"/>
        <w:keepNext w:val="0"/>
        <w:keepLines w:val="0"/>
        <w:widowControl w:val="0"/>
        <w:shd w:val="clear" w:color="auto" w:fill="auto"/>
        <w:bidi w:val="0"/>
        <w:spacing w:before="0" w:after="0" w:line="315" w:lineRule="exact"/>
        <w:ind w:left="0" w:right="0" w:firstLine="460"/>
        <w:jc w:val="left"/>
      </w:pPr>
      <w:r>
        <w:rPr>
          <w:color w:val="000000"/>
          <w:spacing w:val="0"/>
          <w:w w:val="100"/>
          <w:position w:val="0"/>
        </w:rPr>
        <w:t>对于金融资产，信用损失为本集团应收取的合同现金流量与预期收取的现金流量之间差额的现值。</w:t>
      </w:r>
    </w:p>
    <w:p>
      <w:pPr>
        <w:pStyle w:val="Style13"/>
        <w:keepNext w:val="0"/>
        <w:keepLines w:val="0"/>
        <w:widowControl w:val="0"/>
        <w:shd w:val="clear" w:color="auto" w:fill="auto"/>
        <w:bidi w:val="0"/>
        <w:spacing w:before="0" w:after="0" w:line="315" w:lineRule="exact"/>
        <w:ind w:left="0" w:right="0" w:firstLine="460"/>
        <w:jc w:val="left"/>
      </w:pPr>
      <w:r>
        <w:rPr>
          <w:color w:val="000000"/>
          <w:spacing w:val="0"/>
          <w:w w:val="100"/>
          <w:position w:val="0"/>
        </w:rPr>
        <w:t>本集团计量金融工具预期信用损失的方法反映的因素包括：通过评价一系列可能的结果而确定的无偏概率加权平均金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13"/>
        <w:keepNext w:val="0"/>
        <w:keepLines w:val="0"/>
        <w:widowControl w:val="0"/>
        <w:shd w:val="clear" w:color="auto" w:fill="auto"/>
        <w:bidi w:val="0"/>
        <w:spacing w:before="0" w:after="0" w:line="315" w:lineRule="exact"/>
        <w:ind w:left="0" w:right="0" w:firstLine="460"/>
        <w:jc w:val="left"/>
      </w:pPr>
      <w:r>
        <w:rPr>
          <w:color w:val="000000"/>
          <w:spacing w:val="0"/>
          <w:w w:val="100"/>
          <w:position w:val="0"/>
        </w:rPr>
        <w:t>本集团依据信用风险特征将应收款项划分为若干组合，在组合基础上计算预期信用损失。对于划分为组合的应收款项， 本集团参考历史信用损失经验，结合当前状况以及对未来经济状况的预测，编制应收账款账期或账龄与整个存续期预期信用 损失率对照表，计算预期信用损失。对于划分为组合的其他应收款，本集团编制其他应收款账期与预期信用损失率对照表， 计算预期信用损失。</w:t>
      </w:r>
    </w:p>
    <w:p>
      <w:pPr>
        <w:pStyle w:val="Style29"/>
        <w:keepNext/>
        <w:keepLines/>
        <w:widowControl w:val="0"/>
        <w:shd w:val="clear" w:color="auto" w:fill="auto"/>
        <w:tabs>
          <w:tab w:pos="467" w:val="left"/>
        </w:tabs>
        <w:bidi w:val="0"/>
        <w:spacing w:before="0" w:after="28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89"/>
      <w:bookmarkEnd w:id="790"/>
      <w:bookmarkEnd w:id="792"/>
    </w:p>
    <w:p>
      <w:pPr>
        <w:pStyle w:val="Style1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本集团存货主要包括库存商品、未完工程、在途物资等。</w:t>
      </w:r>
    </w:p>
    <w:p>
      <w:pPr>
        <w:pStyle w:val="Style1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存货实行永续盘存制。存货在取得时按实际成本计价；领用或发出存货，采用按照项目单独核算的移动加权平均法确 定其实际成本。低值易耗品采用一次转销法进行摊销。</w:t>
      </w:r>
    </w:p>
    <w:p>
      <w:pPr>
        <w:pStyle w:val="Style1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年末存货按成本与可变现净值孰低原则计价，对于存货因遭受毁损、全部或部分陈旧过时或销售价格低于成本等原因， 预计其成本不可收回的部分，提取存货跌价准备。库存商品及大宗原材料的存货跌价准备按单个存货项目的成本高于其可变 现净值的差额提取；其他数量繁多、单价较低的原辅材料按类别提取存货跌价准备。</w:t>
      </w:r>
    </w:p>
    <w:p>
      <w:pPr>
        <w:pStyle w:val="Style13"/>
        <w:keepNext w:val="0"/>
        <w:keepLines w:val="0"/>
        <w:widowControl w:val="0"/>
        <w:shd w:val="clear" w:color="auto" w:fill="auto"/>
        <w:bidi w:val="0"/>
        <w:spacing w:before="0" w:after="360" w:line="312" w:lineRule="exact"/>
        <w:ind w:left="0" w:right="0" w:firstLine="460"/>
        <w:jc w:val="left"/>
      </w:pPr>
      <w:r>
        <w:rPr>
          <w:color w:val="000000"/>
          <w:spacing w:val="0"/>
          <w:w w:val="100"/>
          <w:position w:val="0"/>
        </w:rPr>
        <w:t>库存商品、在产品和用于出售的材料等直接用于出售的商品存货，其可变现净值按该存货的估计售价减去估计的销售 费用和相关税费后的金额确定；用于生产而持有的材料存货，其可变现净值按所生产的产成品的估计售价减去至完工时估计 将要发生的成本、估计的销售费用和相关税费后的金额确定。</w:t>
      </w:r>
    </w:p>
    <w:p>
      <w:pPr>
        <w:pStyle w:val="Style29"/>
        <w:keepNext/>
        <w:keepLines/>
        <w:widowControl w:val="0"/>
        <w:shd w:val="clear" w:color="auto" w:fill="auto"/>
        <w:tabs>
          <w:tab w:pos="467"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793"/>
      <w:bookmarkEnd w:id="794"/>
      <w:bookmarkEnd w:id="796"/>
    </w:p>
    <w:p>
      <w:pPr>
        <w:pStyle w:val="Style13"/>
        <w:keepNext w:val="0"/>
        <w:keepLines w:val="0"/>
        <w:widowControl w:val="0"/>
        <w:shd w:val="clear" w:color="auto" w:fill="auto"/>
        <w:tabs>
          <w:tab w:pos="894" w:val="left"/>
        </w:tabs>
        <w:bidi w:val="0"/>
        <w:spacing w:before="0" w:after="0" w:line="314" w:lineRule="exact"/>
        <w:ind w:left="0" w:right="0" w:firstLine="460"/>
        <w:jc w:val="left"/>
      </w:pPr>
      <w:bookmarkStart w:id="797" w:name="bookmark797"/>
      <w:r>
        <w:rPr>
          <w:color w:val="000000"/>
          <w:spacing w:val="0"/>
          <w:w w:val="100"/>
          <w:position w:val="0"/>
        </w:rPr>
        <w:t>（</w:t>
      </w:r>
      <w:bookmarkEnd w:id="797"/>
      <w:r>
        <w:rPr>
          <w:color w:val="000000"/>
          <w:spacing w:val="0"/>
          <w:w w:val="100"/>
          <w:position w:val="0"/>
        </w:rPr>
        <w:t>1）</w:t>
        <w:tab/>
      </w:r>
      <w:r>
        <w:rPr>
          <w:color w:val="000000"/>
          <w:spacing w:val="0"/>
          <w:w w:val="100"/>
          <w:position w:val="0"/>
        </w:rPr>
        <w:t>合同资产的确认方法及标准</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合同资产是指本集团已向客户转让商品或服务而有权收取对价的权利，且该权利取决于时间流逝之外的其他因素。本 集团拥有的无条件（即，仅取决于时间流逝）向客户收取对价的权利作为应收款项单独列示。</w:t>
      </w:r>
    </w:p>
    <w:p>
      <w:pPr>
        <w:pStyle w:val="Style13"/>
        <w:keepNext w:val="0"/>
        <w:keepLines w:val="0"/>
        <w:widowControl w:val="0"/>
        <w:shd w:val="clear" w:color="auto" w:fill="auto"/>
        <w:tabs>
          <w:tab w:pos="894" w:val="left"/>
        </w:tabs>
        <w:bidi w:val="0"/>
        <w:spacing w:before="0" w:after="0" w:line="314" w:lineRule="exact"/>
        <w:ind w:left="0" w:right="0" w:firstLine="460"/>
        <w:jc w:val="both"/>
      </w:pPr>
      <w:bookmarkStart w:id="798" w:name="bookmark798"/>
      <w:r>
        <w:rPr>
          <w:color w:val="000000"/>
          <w:spacing w:val="0"/>
          <w:w w:val="100"/>
          <w:position w:val="0"/>
        </w:rPr>
        <w:t>（</w:t>
      </w:r>
      <w:bookmarkEnd w:id="798"/>
      <w:r>
        <w:rPr>
          <w:color w:val="000000"/>
          <w:spacing w:val="0"/>
          <w:w w:val="100"/>
          <w:position w:val="0"/>
        </w:rPr>
        <w:t>2）</w:t>
        <w:tab/>
      </w:r>
      <w:r>
        <w:rPr>
          <w:color w:val="000000"/>
          <w:spacing w:val="0"/>
          <w:w w:val="100"/>
          <w:position w:val="0"/>
        </w:rPr>
        <w:t>合同资产预期信用损失的确定方法及会计处理方法</w:t>
      </w:r>
    </w:p>
    <w:p>
      <w:pPr>
        <w:pStyle w:val="Style13"/>
        <w:keepNext w:val="0"/>
        <w:keepLines w:val="0"/>
        <w:widowControl w:val="0"/>
        <w:shd w:val="clear" w:color="auto" w:fill="auto"/>
        <w:bidi w:val="0"/>
        <w:spacing w:before="0" w:after="0" w:line="314" w:lineRule="exact"/>
        <w:ind w:left="0" w:right="0" w:firstLine="460"/>
        <w:jc w:val="left"/>
      </w:pPr>
      <w:r>
        <w:rPr>
          <w:color w:val="000000"/>
          <w:spacing w:val="0"/>
          <w:w w:val="100"/>
          <w:position w:val="0"/>
        </w:rPr>
        <w:t>有关合同资产预期信用损失的确定方法，参见五、</w:t>
      </w:r>
      <w:r>
        <w:rPr>
          <w:color w:val="000000"/>
          <w:spacing w:val="0"/>
          <w:w w:val="100"/>
          <w:position w:val="0"/>
        </w:rPr>
        <w:t>11</w:t>
      </w:r>
      <w:r>
        <w:rPr>
          <w:color w:val="000000"/>
          <w:spacing w:val="0"/>
          <w:w w:val="100"/>
          <w:position w:val="0"/>
        </w:rPr>
        <w:t>金融工具减值。</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会计处理方法，本集团在资产负债表日计算合同资产预期信用损失，如果该预期信用损失大于当前合同资产减值准备 的账面金额，本集团将其差额确认为减值损失，借记“资产减值损失”，贷记“合同资产减值准备”。相反，本集团将差额 确认为减值利得，做相反的会计记录。</w:t>
      </w:r>
    </w:p>
    <w:p>
      <w:pPr>
        <w:pStyle w:val="Style13"/>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本集团实际发生信用损失，认定相关合同资产无法收回，经批准予以核销的，根据批准的核销金额，借记“合同资产 减值准备”，贷记“合同资产”。若核销金额大于已计提的损失准备，按其差额借记“资产减值损失”。</w:t>
      </w:r>
    </w:p>
    <w:p>
      <w:pPr>
        <w:pStyle w:val="Style29"/>
        <w:keepNext/>
        <w:keepLines/>
        <w:widowControl w:val="0"/>
        <w:shd w:val="clear" w:color="auto" w:fill="auto"/>
        <w:tabs>
          <w:tab w:pos="467" w:val="left"/>
        </w:tabs>
        <w:bidi w:val="0"/>
        <w:spacing w:before="0" w:after="28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799"/>
      <w:bookmarkEnd w:id="800"/>
      <w:bookmarkEnd w:id="802"/>
    </w:p>
    <w:p>
      <w:pPr>
        <w:pStyle w:val="Style13"/>
        <w:keepNext w:val="0"/>
        <w:keepLines w:val="0"/>
        <w:widowControl w:val="0"/>
        <w:shd w:val="clear" w:color="auto" w:fill="auto"/>
        <w:tabs>
          <w:tab w:pos="894" w:val="left"/>
        </w:tabs>
        <w:bidi w:val="0"/>
        <w:spacing w:before="0" w:after="0" w:line="312" w:lineRule="exact"/>
        <w:ind w:left="0" w:right="0" w:firstLine="460"/>
        <w:jc w:val="left"/>
      </w:pPr>
      <w:bookmarkStart w:id="803" w:name="bookmark803"/>
      <w:r>
        <w:rPr>
          <w:color w:val="000000"/>
          <w:spacing w:val="0"/>
          <w:w w:val="100"/>
          <w:position w:val="0"/>
        </w:rPr>
        <w:t>（</w:t>
      </w:r>
      <w:bookmarkEnd w:id="803"/>
      <w:r>
        <w:rPr>
          <w:color w:val="000000"/>
          <w:spacing w:val="0"/>
          <w:w w:val="100"/>
          <w:position w:val="0"/>
        </w:rPr>
        <w:t>1）</w:t>
        <w:tab/>
      </w:r>
      <w:r>
        <w:rPr>
          <w:color w:val="000000"/>
          <w:spacing w:val="0"/>
          <w:w w:val="100"/>
          <w:position w:val="0"/>
        </w:rPr>
        <w:t>与合同成本有关的资产金额的确定方法</w:t>
      </w:r>
    </w:p>
    <w:p>
      <w:pPr>
        <w:pStyle w:val="Style1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本集团与合同成本有关的资产包括合同履约成本和合同取得成本。</w:t>
      </w:r>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合同履约成本，即本集团为履行合同发生的成本，不属于其他企业会计准则规范范围且同时满足下列条件的，作为合 同履约成本确认为一项资产：该成本与一份当前或预期取得的合同直接相关，包括直接人工、直接材料、制造费用（或类似 费用）、明确由客户承担的成本以及仅因该合同而发生的其他成本；该成本增加了本集团未来用于履行履约义务的资源；该 成本预期能够收回。</w:t>
      </w:r>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合同取得成本，即本集团为取得合同发生的增量成本预期能够收回的，作为合同取得成本确认为一项资产；该资产摊 销期限不超过一年的，在发生时计入当期损益。增量成本，是指本集团不取得合同就不会发生的成本（如销售佣金等）。本 集团为取得合同发生的、除预期能够收回的增量成本之外的其他支出（如无论是否取得合同均会发生的差旅费等），在发生 时计入当期损益，但是，明确由客户承担的除外。</w:t>
      </w:r>
    </w:p>
    <w:p>
      <w:pPr>
        <w:pStyle w:val="Style13"/>
        <w:keepNext w:val="0"/>
        <w:keepLines w:val="0"/>
        <w:widowControl w:val="0"/>
        <w:shd w:val="clear" w:color="auto" w:fill="auto"/>
        <w:tabs>
          <w:tab w:pos="894" w:val="left"/>
        </w:tabs>
        <w:bidi w:val="0"/>
        <w:spacing w:before="0" w:after="0" w:line="312" w:lineRule="exact"/>
        <w:ind w:left="0" w:right="0" w:firstLine="460"/>
        <w:jc w:val="both"/>
      </w:pPr>
      <w:bookmarkStart w:id="804" w:name="bookmark804"/>
      <w:r>
        <w:rPr>
          <w:color w:val="000000"/>
          <w:spacing w:val="0"/>
          <w:w w:val="100"/>
          <w:position w:val="0"/>
        </w:rPr>
        <w:t>（</w:t>
      </w:r>
      <w:bookmarkEnd w:id="804"/>
      <w:r>
        <w:rPr>
          <w:color w:val="000000"/>
          <w:spacing w:val="0"/>
          <w:w w:val="100"/>
          <w:position w:val="0"/>
        </w:rPr>
        <w:t>2）</w:t>
        <w:tab/>
      </w:r>
      <w:r>
        <w:rPr>
          <w:color w:val="000000"/>
          <w:spacing w:val="0"/>
          <w:w w:val="100"/>
          <w:position w:val="0"/>
        </w:rPr>
        <w:t>与合同成本有关的资产的摊销</w:t>
      </w:r>
    </w:p>
    <w:p>
      <w:pPr>
        <w:pStyle w:val="Style1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本集团与合同成本有关的资产采用与该资产相关的商品收入确认相同的基础进行摊销，计入当期损益。</w:t>
      </w:r>
    </w:p>
    <w:p>
      <w:pPr>
        <w:pStyle w:val="Style13"/>
        <w:keepNext w:val="0"/>
        <w:keepLines w:val="0"/>
        <w:widowControl w:val="0"/>
        <w:shd w:val="clear" w:color="auto" w:fill="auto"/>
        <w:tabs>
          <w:tab w:pos="894" w:val="left"/>
        </w:tabs>
        <w:bidi w:val="0"/>
        <w:spacing w:before="0" w:after="0" w:line="312" w:lineRule="exact"/>
        <w:ind w:left="0" w:right="0" w:firstLine="460"/>
        <w:jc w:val="left"/>
      </w:pPr>
      <w:bookmarkStart w:id="805" w:name="bookmark805"/>
      <w:r>
        <w:rPr>
          <w:color w:val="000000"/>
          <w:spacing w:val="0"/>
          <w:w w:val="100"/>
          <w:position w:val="0"/>
        </w:rPr>
        <w:t>（</w:t>
      </w:r>
      <w:bookmarkEnd w:id="805"/>
      <w:r>
        <w:rPr>
          <w:color w:val="000000"/>
          <w:spacing w:val="0"/>
          <w:w w:val="100"/>
          <w:position w:val="0"/>
        </w:rPr>
        <w:t>3）</w:t>
        <w:tab/>
      </w:r>
      <w:r>
        <w:rPr>
          <w:color w:val="000000"/>
          <w:spacing w:val="0"/>
          <w:w w:val="100"/>
          <w:position w:val="0"/>
        </w:rPr>
        <w:t>与合同成本有关的资产的减值</w:t>
      </w:r>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本集团在确定与合同成本有关的资产的减值损失时，首先对按照其他相关企业会计准则确认的、与合同有关的其他资 产确定减值损失;然后根据其账面价值高于本集团因转让与该资产相关的商品预期能够取得的剩余对价以及为转让该相关商 品估计将要发生的成本这两项差额的，超出部分应当计提减值准备，并确认为资产减值损失。</w:t>
      </w:r>
    </w:p>
    <w:p>
      <w:pPr>
        <w:pStyle w:val="Style13"/>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以前期间减值的因素之后发生变化，使得前述差额高于该资产账面价值的，转回原已计提的资产减值准备，并计入当 期损益，但转回后的资产账面价值不应超过假定不计提减值准备情况下该资产在转回日的账面价值。</w:t>
      </w:r>
    </w:p>
    <w:p>
      <w:pPr>
        <w:pStyle w:val="Style29"/>
        <w:keepNext/>
        <w:keepLines/>
        <w:widowControl w:val="0"/>
        <w:shd w:val="clear" w:color="auto" w:fill="auto"/>
        <w:tabs>
          <w:tab w:pos="415" w:val="left"/>
        </w:tabs>
        <w:bidi w:val="0"/>
        <w:spacing w:before="0" w:after="280" w:line="240" w:lineRule="auto"/>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5</w:t>
      </w:r>
      <w:r>
        <w:rPr>
          <w:color w:val="000000"/>
          <w:spacing w:val="0"/>
          <w:w w:val="100"/>
          <w:position w:val="0"/>
        </w:rPr>
        <w:t>、</w:t>
        <w:tab/>
        <w:t>长期股权投资</w:t>
      </w:r>
      <w:bookmarkEnd w:id="806"/>
      <w:bookmarkEnd w:id="807"/>
      <w:bookmarkEnd w:id="809"/>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本集团长期股权投资主要是对子公司的投资、对联营企业的投资和对合营企业的投资。</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本集团对共同控制的判断依据是所有参与方或参与方组合集体控制该安排，并且该安排相关活动的政策必须经过这些 集体控制该安排的参与方一致同意。</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本集团直接或通过子公司间接拥有被投资单位</w:t>
      </w:r>
      <w:r>
        <w:rPr>
          <w:color w:val="000000"/>
          <w:spacing w:val="0"/>
          <w:w w:val="100"/>
          <w:position w:val="0"/>
        </w:rPr>
        <w:t xml:space="preserve">20. </w:t>
      </w:r>
      <w:r>
        <w:rPr>
          <w:color w:val="000000"/>
          <w:spacing w:val="0"/>
          <w:w w:val="100"/>
          <w:position w:val="0"/>
        </w:rPr>
        <w:t>00%</w:t>
      </w:r>
      <w:r>
        <w:rPr>
          <w:color w:val="000000"/>
          <w:spacing w:val="0"/>
          <w:w w:val="100"/>
          <w:position w:val="0"/>
        </w:rPr>
        <w:t>以上但低于</w:t>
      </w:r>
      <w:r>
        <w:rPr>
          <w:color w:val="000000"/>
          <w:spacing w:val="0"/>
          <w:w w:val="100"/>
          <w:position w:val="0"/>
        </w:rPr>
        <w:t xml:space="preserve">50. </w:t>
      </w:r>
      <w:r>
        <w:rPr>
          <w:color w:val="000000"/>
          <w:spacing w:val="0"/>
          <w:w w:val="100"/>
          <w:position w:val="0"/>
        </w:rPr>
        <w:t>00%</w:t>
      </w:r>
      <w:r>
        <w:rPr>
          <w:color w:val="000000"/>
          <w:spacing w:val="0"/>
          <w:w w:val="100"/>
          <w:position w:val="0"/>
        </w:rPr>
        <w:t>的表决权时，通常认为对被投资单位具有重大 影响。持有被投资单位</w:t>
      </w:r>
      <w:r>
        <w:rPr>
          <w:color w:val="000000"/>
          <w:spacing w:val="0"/>
          <w:w w:val="100"/>
          <w:position w:val="0"/>
        </w:rPr>
        <w:t>20.00%</w:t>
      </w:r>
      <w:r>
        <w:rPr>
          <w:color w:val="000000"/>
          <w:spacing w:val="0"/>
          <w:w w:val="100"/>
          <w:position w:val="0"/>
        </w:rPr>
        <w:t>以下表决权的，还需要综合考虑在被投资单位的董事会或类似权力机构中派有代表、或参与被 投资单位财务和经营政策制定过程、或与被投资单位之间发生重要交易、或向被投资单位派出管理人员、或向被投资单位提 供关键技术资料等事实和情况判断对被投资单位具有重大影响。</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对被投资单位形成控制的，为本集团的子公司。通过同一控制下的企业合并取得的长期股权投资，在合并日按照取得 被合并方在最终控制方合并报表中净资产的账面价值的份额作为长期股权投资的初始投资成本。被合并方在合并日的净资产 账面价值为负数的，长期股权投资成本按零确定。通过非同一控制下的企业合并取得的长期股权投资，以合并成本作为初始 投资成本。</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 按照投资合同或协议约定的价值作为投资成本；以债务重组、非货币性资产交换等方式取得的长期股权投资，按相关会计准 则的规定确定初始投资成本。</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本集团对子公司投资采用成本法核算，对合营企业及联营企业投资采用权益法核算。</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后续计量采用成本法核算的长期股权投资，在追加投资时，按照追加投资支付的成本额公允价值及发生的相关交易费 用增加长期股权投资成本的账面价值。被投资单位宣告分派的现金股利或利润，按照应享有的金额确认为当期投资收益。</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后续计量采用权益法核算的长期股权投资，随着被他投资单位所有者权益的变动相应调整增加或减少长期股权投资的 账面价值。其中在确认应享有被投资单位净损益的份额时，以取得投资时被投资单位各项可辨认资产等的公允价值为基础， 按照本集团的会计政策及会计期间，并抵销与联营企业及合营企业之间发生的内部交易损益按照持股比例计算归属于投资企 业的部分，对被投资单位的净利润进行调整后确认。</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处置长期股权投资，其账面价值与实际取得价款的差额，计入当期投资收益。采用权益法核算的长期股权投资，原权 益法核算的相关其他综合收益应当在终止采用权益法核算时采用与被投资单位直接处置相关资产或负债相同的基础进行会 计处理，因被投资单位除净损益、其他综合收益和利润分配以外的其他所有者权益变动而确认的所有者权益，应当在终止采 用权益法核算时全部转入当期投资损益。</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 xml:space="preserve">因处置部分股权投资等原因丧失了对被投资单位的共同控制或重大影响的，处置后的剩余股权适用《企业会计准则第 </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金融工具确认和计量（财会</w:t>
      </w:r>
      <w:r>
        <w:rPr>
          <w:color w:val="000000"/>
          <w:spacing w:val="0"/>
          <w:w w:val="100"/>
          <w:position w:val="0"/>
        </w:rPr>
        <w:t>[2017]7</w:t>
      </w:r>
      <w:r>
        <w:rPr>
          <w:color w:val="000000"/>
          <w:spacing w:val="0"/>
          <w:w w:val="100"/>
          <w:position w:val="0"/>
        </w:rPr>
        <w:t>号）》核算的，剩余股权在丧失共同控制或重大影响之日的公允价值与账面价 值之间的差额计入当期损益。原股权投资因采用权益法核算而确认的其他综合收益，在终止采用权益法核算时采用与被投资 单位直接处置相关资产或负债相同的基础处理并按比例结转，因被投资单位除净损益、其他综合收益和利润分配以外的其他 所有者权益变动而确认的所有者权益，应当按比例转入当期投资收益。</w:t>
      </w:r>
    </w:p>
    <w:p>
      <w:pPr>
        <w:pStyle w:val="Style13"/>
        <w:keepNext w:val="0"/>
        <w:keepLines w:val="0"/>
        <w:widowControl w:val="0"/>
        <w:shd w:val="clear" w:color="auto" w:fill="auto"/>
        <w:bidi w:val="0"/>
        <w:spacing w:before="0" w:after="360" w:line="313" w:lineRule="exact"/>
        <w:ind w:left="0" w:right="0" w:firstLine="460"/>
        <w:jc w:val="both"/>
      </w:pPr>
      <w:r>
        <w:rPr>
          <w:color w:val="000000"/>
          <w:spacing w:val="0"/>
          <w:w w:val="100"/>
          <w:position w:val="0"/>
        </w:rPr>
        <w:t>因处置部分长期股权投资丧失了对被投资单位控制的，处置后的剩余股权能够对被投资单位实施共同控制或施加重大 影响的，改按权益法核算，处置股权账面价值和处置对价的差额计入投资收益，并对该剩余股权视同自取得时即采用权益法 核算进行调整；处置后的剩余股权不能对被投资单位实施共同控制或施加重大影响的，适用《企业会计准则第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 工具确认和计量（财会</w:t>
      </w:r>
      <w:r>
        <w:rPr>
          <w:color w:val="000000"/>
          <w:spacing w:val="0"/>
          <w:w w:val="100"/>
          <w:position w:val="0"/>
        </w:rPr>
        <w:t>[2017]7</w:t>
      </w:r>
      <w:r>
        <w:rPr>
          <w:color w:val="000000"/>
          <w:spacing w:val="0"/>
          <w:w w:val="100"/>
          <w:position w:val="0"/>
        </w:rPr>
        <w:t>号）》进行会计处理，处置股权账面价值和处置对价的差额计入投资收益，剩余股权在丧失 控制之日的公允价值与账面价值间的差额计入当期损益。</w:t>
      </w:r>
    </w:p>
    <w:p>
      <w:pPr>
        <w:pStyle w:val="Style29"/>
        <w:keepNext/>
        <w:keepLines/>
        <w:widowControl w:val="0"/>
        <w:shd w:val="clear" w:color="auto" w:fill="auto"/>
        <w:tabs>
          <w:tab w:pos="415" w:val="left"/>
        </w:tabs>
        <w:bidi w:val="0"/>
        <w:spacing w:before="0" w:after="280" w:line="24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810"/>
      <w:bookmarkEnd w:id="811"/>
      <w:bookmarkEnd w:id="813"/>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本集团投资性房地产为已出租的房屋建筑物。</w:t>
      </w:r>
    </w:p>
    <w:p>
      <w:pPr>
        <w:pStyle w:val="Style13"/>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本集团投资性房地产按其成本作为入账价值，外购投资性房地产的成本包括购买价款、相关税费和可直接归属于该资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1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本集团对投资性房地产采用成本模式进行后续计量，并按照与房屋建筑物一致的政策进行折旧或摊销。</w:t>
      </w:r>
    </w:p>
    <w:p>
      <w:pPr>
        <w:pStyle w:val="Style1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当投资性房地产的用途改变为自用时，则自改变之日起，将该投资性房地产转换为固定资产或无形资产。自用房地产 的用途改变为赚取租金或资本增值时，则自改变之日起，将固定资产或无形资产转换为投资性房地产。发生转换时，以转换 前的账面价值作为转换后的入账价值。</w:t>
      </w:r>
    </w:p>
    <w:p>
      <w:pPr>
        <w:pStyle w:val="Style13"/>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资性房地产出售、转让、报废或毁损的处置收入扣除其账面价值和相关税费后的金额计入当期损益。</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本集团投资性房地产采用平均年限方法计提折旧或摊销。各类投资性房地产的预计使用寿命、净残值率及年折旧（摊销） 率如下：</w:t>
      </w:r>
    </w:p>
    <w:tbl>
      <w:tblPr>
        <w:tblOverlap w:val="never"/>
        <w:jc w:val="center"/>
        <w:tblLayout w:type="fixed"/>
      </w:tblPr>
      <w:tblGrid>
        <w:gridCol w:w="1104"/>
        <w:gridCol w:w="2213"/>
        <w:gridCol w:w="1685"/>
        <w:gridCol w:w="1949"/>
        <w:gridCol w:w="1709"/>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预计残值率（%）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w:t>
            </w:r>
            <w:r>
              <w:rPr>
                <w:color w:val="000000"/>
                <w:spacing w:val="0"/>
                <w:w w:val="100"/>
                <w:position w:val="0"/>
              </w:rPr>
              <w:t>25</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814"/>
      <w:bookmarkEnd w:id="815"/>
      <w:bookmarkEnd w:id="817"/>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本集团固定资产是指公司所拥有或控制的、使用年限在一年以上的，并在使用过程中保持原有实物形态的资产，包括房 屋建筑物、机器设备、运输设备、办公设备。</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固定资产按其取得时的成本作为入账的价值，其中，外购的固定资产成本包括买价、相关税费，以及为使固定资产达到 预定可使用状态前所发生的可直接归属于该资产的其他支出；自行建造固定资产的成本，由建造该项资产达到预定可使用状 态前所发生的必要支出构成；投资者投入的固定资产，按投资合同或协议约定的价值作为入账价值，但合同或协议约定价值 不公允的按公允价值入账；融资租赁租入的固定资产，按租赁开始日租赁资产公允价值与最低租赁付款额现值两者中较低者 作为入账价值。</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与固定资产有关的后续支出，包括修理支出、更新改造支出等，符合固定资产确认条件的，计入固定资产成本，对于被 替换的部分，终止确认其账面价值；不符合固定资产确认条件的，于发生时计入当期损益。</w:t>
      </w:r>
    </w:p>
    <w:p>
      <w:pPr>
        <w:pStyle w:val="Style13"/>
        <w:keepNext w:val="0"/>
        <w:keepLines w:val="0"/>
        <w:widowControl w:val="0"/>
        <w:shd w:val="clear" w:color="auto" w:fill="auto"/>
        <w:bidi w:val="0"/>
        <w:spacing w:before="0" w:after="100" w:line="312" w:lineRule="exact"/>
        <w:ind w:left="0" w:right="0"/>
        <w:jc w:val="both"/>
      </w:pPr>
      <w:r>
        <w:rPr>
          <w:color w:val="000000"/>
          <w:spacing w:val="0"/>
          <w:w w:val="100"/>
          <w:position w:val="0"/>
        </w:rPr>
        <w:t>除已提足折旧仍继续使用的固定资产外，本集团对所有固定资产计提折旧。计提折旧时采用平均年限法，并根据用途分 别计入相关资产的成本或当期费用。本集团固定资产的预计净残值率、分类折旧年限、折旧率如下：</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18-20</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本集团于每年年度终了，对固定资产的预计使用寿命、预计净残值和折旧方法进行复核，如发生改变，则作为会计估 计变更处理。</w:t>
      </w:r>
    </w:p>
    <w:p>
      <w:pPr>
        <w:pStyle w:val="Style1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当固定资产被处置、或者预期通过使用或处置不能产生经济利益时，终止确认该固定资产。固定资产出售、转让、报 废或毁损的处置收入扣除其账面价值和相关税费后的金额计入当期损益。</w:t>
      </w:r>
    </w:p>
    <w:p>
      <w:pPr>
        <w:pStyle w:val="Style29"/>
        <w:keepNext/>
        <w:keepLines/>
        <w:widowControl w:val="0"/>
        <w:shd w:val="clear" w:color="auto" w:fill="auto"/>
        <w:tabs>
          <w:tab w:pos="462" w:val="left"/>
        </w:tabs>
        <w:bidi w:val="0"/>
        <w:spacing w:before="0" w:after="28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818"/>
      <w:bookmarkEnd w:id="819"/>
      <w:bookmarkEnd w:id="821"/>
    </w:p>
    <w:p>
      <w:pPr>
        <w:pStyle w:val="Style13"/>
        <w:keepNext w:val="0"/>
        <w:keepLines w:val="0"/>
        <w:widowControl w:val="0"/>
        <w:shd w:val="clear" w:color="auto" w:fill="auto"/>
        <w:bidi w:val="0"/>
        <w:spacing w:before="0" w:after="360" w:line="322" w:lineRule="exact"/>
        <w:ind w:left="0" w:right="0" w:firstLine="460"/>
        <w:jc w:val="both"/>
      </w:pPr>
      <w:r>
        <w:rPr>
          <w:color w:val="000000"/>
          <w:spacing w:val="0"/>
          <w:w w:val="100"/>
          <w:position w:val="0"/>
        </w:rPr>
        <w:t>在建工程在达到预定可使用状态之日起，根据工程预算、造价或工程实际成本等，按估计的价值结转固定资产，次月 起开始计提折旧，待办理了竣工决算手续后再对固定资产原值差异作调整。</w:t>
      </w:r>
    </w:p>
    <w:p>
      <w:pPr>
        <w:pStyle w:val="Style29"/>
        <w:keepNext/>
        <w:keepLines/>
        <w:widowControl w:val="0"/>
        <w:shd w:val="clear" w:color="auto" w:fill="auto"/>
        <w:tabs>
          <w:tab w:pos="462" w:val="left"/>
        </w:tabs>
        <w:bidi w:val="0"/>
        <w:spacing w:before="0" w:after="280" w:line="24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822"/>
      <w:bookmarkEnd w:id="823"/>
      <w:bookmarkEnd w:id="825"/>
    </w:p>
    <w:p>
      <w:pPr>
        <w:pStyle w:val="Style1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 xml:space="preserve">借款费用包括借款利息、折价或溢价的摊销、辅助费用以及因外币借款而发生的汇兑差额等。可直接归属于符合资本 </w:t>
      </w:r>
      <w:r>
        <w:rPr>
          <w:color w:val="000000"/>
          <w:spacing w:val="0"/>
          <w:w w:val="100"/>
          <w:position w:val="0"/>
        </w:rPr>
        <w:t>化条件的资产的购建或者生产的借款费用，在资产支出已经发生、借款费用已经发生、为使资产达到预定可使用或可销售状 态所必要的购建或生产活动已经开始时，开始资本化;当购建或生产符合资本化条件的资产达到预定可使用或可销售状态时， 停止资本化。其余借款费用在发生当期确认为费用。</w:t>
      </w:r>
    </w:p>
    <w:p>
      <w:pPr>
        <w:pStyle w:val="Style1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专门借款当期实际发生的利息费用，扣除尚未动用的借款资金存入银行取得的利息收入或进行暂时性投资取得的投资 收益后的金额予以资本化;一般借款根据累计资产支出超过专门借款部分的资产支出加权平均数乘以所占用一般借款的加权 平均利率，确定资本化金额。</w:t>
      </w:r>
    </w:p>
    <w:p>
      <w:pPr>
        <w:pStyle w:val="Style1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符合资本化条件的资产，是指需要经过相当长时间（通常指</w:t>
      </w:r>
      <w:r>
        <w:rPr>
          <w:color w:val="000000"/>
          <w:spacing w:val="0"/>
          <w:w w:val="100"/>
          <w:position w:val="0"/>
        </w:rPr>
        <w:t>1</w:t>
      </w:r>
      <w:r>
        <w:rPr>
          <w:color w:val="000000"/>
          <w:spacing w:val="0"/>
          <w:w w:val="100"/>
          <w:position w:val="0"/>
        </w:rPr>
        <w:t>年以上）的购建或者生产活动才能达到预定可使用或者可 销售状态的固定资产、投资性房地产和存货等资产。</w:t>
      </w:r>
    </w:p>
    <w:p>
      <w:pPr>
        <w:pStyle w:val="Style13"/>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如果符合资本化条件的资产在购建或者生产过程中发生非正常中断、且中断时间连续超过</w:t>
      </w:r>
      <w:r>
        <w:rPr>
          <w:color w:val="000000"/>
          <w:spacing w:val="0"/>
          <w:w w:val="100"/>
          <w:position w:val="0"/>
        </w:rPr>
        <w:t>3</w:t>
      </w:r>
      <w:r>
        <w:rPr>
          <w:color w:val="000000"/>
          <w:spacing w:val="0"/>
          <w:w w:val="100"/>
          <w:position w:val="0"/>
        </w:rPr>
        <w:t>个月，暂停借款费用的资本 化，直至资产的购建或生产活动重新开始。</w:t>
      </w:r>
    </w:p>
    <w:p>
      <w:pPr>
        <w:pStyle w:val="Style29"/>
        <w:keepNext/>
        <w:keepLines/>
        <w:widowControl w:val="0"/>
        <w:shd w:val="clear" w:color="auto" w:fill="auto"/>
        <w:tabs>
          <w:tab w:pos="456" w:val="left"/>
        </w:tabs>
        <w:bidi w:val="0"/>
        <w:spacing w:before="0" w:after="28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rFonts w:ascii="Times New Roman" w:eastAsia="Times New Roman" w:hAnsi="Times New Roman" w:cs="Times New Roman"/>
          <w:color w:val="000000"/>
          <w:spacing w:val="0"/>
          <w:w w:val="100"/>
          <w:position w:val="0"/>
        </w:rPr>
        <w:t>0</w:t>
      </w:r>
      <w:r>
        <w:rPr>
          <w:color w:val="000000"/>
          <w:spacing w:val="0"/>
          <w:w w:val="100"/>
          <w:position w:val="0"/>
        </w:rPr>
        <w:t>、</w:t>
        <w:tab/>
        <w:t>使用权资产</w:t>
      </w:r>
      <w:bookmarkEnd w:id="826"/>
      <w:bookmarkEnd w:id="827"/>
      <w:bookmarkEnd w:id="829"/>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使用权资产，是指本集团作为承租人可在租赁期内使用租赁资产的权利。</w:t>
      </w:r>
    </w:p>
    <w:p>
      <w:pPr>
        <w:pStyle w:val="Style13"/>
        <w:keepNext w:val="0"/>
        <w:keepLines w:val="0"/>
        <w:widowControl w:val="0"/>
        <w:shd w:val="clear" w:color="auto" w:fill="auto"/>
        <w:tabs>
          <w:tab w:pos="893" w:val="left"/>
        </w:tabs>
        <w:bidi w:val="0"/>
        <w:spacing w:before="0" w:after="0" w:line="312" w:lineRule="exact"/>
        <w:ind w:left="0" w:right="0" w:firstLine="480"/>
        <w:jc w:val="both"/>
      </w:pPr>
      <w:bookmarkStart w:id="830" w:name="bookmark830"/>
      <w:r>
        <w:rPr>
          <w:color w:val="000000"/>
          <w:spacing w:val="0"/>
          <w:w w:val="100"/>
          <w:position w:val="0"/>
        </w:rPr>
        <w:t>（</w:t>
      </w:r>
      <w:bookmarkEnd w:id="830"/>
      <w:r>
        <w:rPr>
          <w:color w:val="000000"/>
          <w:spacing w:val="0"/>
          <w:w w:val="100"/>
          <w:position w:val="0"/>
        </w:rPr>
        <w:t>1）</w:t>
        <w:tab/>
      </w:r>
      <w:r>
        <w:rPr>
          <w:color w:val="000000"/>
          <w:spacing w:val="0"/>
          <w:w w:val="100"/>
          <w:position w:val="0"/>
        </w:rPr>
        <w:t>初始计量</w:t>
      </w:r>
    </w:p>
    <w:p>
      <w:pPr>
        <w:pStyle w:val="Style1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在租赁期开始日，本集团按照成本对使用权资产进行初始计量。该成本包括下列四项：①租赁负债的初始计量金额； ②在租赁期开始日或之前支付的租赁付款额，存在租赁激励的，扣除已享受的租赁激励相关金额；③发生的初始直接费用， 即为达成租赁所发生的增量成本；④为拆卸及移除租赁资产、复原租赁资产所在场地或将租赁资产恢复至租赁条款约定状态 预计将发生的成本，属于为生产存货而发生的除外。</w:t>
      </w:r>
    </w:p>
    <w:p>
      <w:pPr>
        <w:pStyle w:val="Style13"/>
        <w:keepNext w:val="0"/>
        <w:keepLines w:val="0"/>
        <w:widowControl w:val="0"/>
        <w:shd w:val="clear" w:color="auto" w:fill="auto"/>
        <w:tabs>
          <w:tab w:pos="893" w:val="left"/>
        </w:tabs>
        <w:bidi w:val="0"/>
        <w:spacing w:before="0" w:after="0" w:line="312" w:lineRule="exact"/>
        <w:ind w:left="0" w:right="0" w:firstLine="480"/>
        <w:jc w:val="both"/>
      </w:pPr>
      <w:bookmarkStart w:id="831" w:name="bookmark831"/>
      <w:r>
        <w:rPr>
          <w:color w:val="000000"/>
          <w:spacing w:val="0"/>
          <w:w w:val="100"/>
          <w:position w:val="0"/>
        </w:rPr>
        <w:t>（</w:t>
      </w:r>
      <w:bookmarkEnd w:id="831"/>
      <w:r>
        <w:rPr>
          <w:color w:val="000000"/>
          <w:spacing w:val="0"/>
          <w:w w:val="100"/>
          <w:position w:val="0"/>
        </w:rPr>
        <w:t>2）</w:t>
        <w:tab/>
      </w:r>
      <w:r>
        <w:rPr>
          <w:color w:val="000000"/>
          <w:spacing w:val="0"/>
          <w:w w:val="100"/>
          <w:position w:val="0"/>
        </w:rPr>
        <w:t>后续计量</w:t>
      </w:r>
    </w:p>
    <w:p>
      <w:pPr>
        <w:pStyle w:val="Style1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在租赁期开始日后，本集团采用成本模式对使用权资产进行后续计量，即以成本减累计折旧及累计减值损失计量使用 权资产，本集团按照租赁准则有关规定重新计量租赁负债的，相应调整使用权资产的账面价值。</w:t>
      </w:r>
    </w:p>
    <w:p>
      <w:pPr>
        <w:pStyle w:val="Style13"/>
        <w:keepNext w:val="0"/>
        <w:keepLines w:val="0"/>
        <w:widowControl w:val="0"/>
        <w:shd w:val="clear" w:color="auto" w:fill="auto"/>
        <w:tabs>
          <w:tab w:pos="802" w:val="left"/>
        </w:tabs>
        <w:bidi w:val="0"/>
        <w:spacing w:before="0" w:after="0" w:line="312" w:lineRule="exact"/>
        <w:ind w:left="0" w:right="0" w:firstLine="480"/>
        <w:jc w:val="both"/>
      </w:pPr>
      <w:bookmarkStart w:id="832" w:name="bookmark832"/>
      <w:r>
        <w:rPr>
          <w:color w:val="000000"/>
          <w:spacing w:val="0"/>
          <w:w w:val="100"/>
          <w:position w:val="0"/>
        </w:rPr>
        <w:t>1</w:t>
      </w:r>
      <w:bookmarkEnd w:id="832"/>
      <w:r>
        <w:rPr>
          <w:color w:val="000000"/>
          <w:spacing w:val="0"/>
          <w:w w:val="100"/>
          <w:position w:val="0"/>
        </w:rPr>
        <w:t>）</w:t>
        <w:tab/>
      </w:r>
      <w:r>
        <w:rPr>
          <w:color w:val="000000"/>
          <w:spacing w:val="0"/>
          <w:w w:val="100"/>
          <w:position w:val="0"/>
        </w:rPr>
        <w:t>使用权资产的折旧</w:t>
      </w:r>
    </w:p>
    <w:p>
      <w:pPr>
        <w:pStyle w:val="Style1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自租赁期开始日起，本集团对使用权资产计提折旧。使用权资产通常自租赁期开始的当月计提折旧。计提的折旧金额 根据使用权资产的用途，计入相关资产的成本或者当期损益。</w:t>
      </w:r>
    </w:p>
    <w:p>
      <w:pPr>
        <w:pStyle w:val="Style1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本集团在确定使用权资产的折旧方法时，根据与使用权资产有关的经济利益的预期消耗方式做出决定，以直线法对使 用权资产计提折旧。</w:t>
      </w:r>
    </w:p>
    <w:p>
      <w:pPr>
        <w:pStyle w:val="Style1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本集团在确定使用权资产的折旧年限时，遵循以下原则：能够合理确定租赁期届满时取得租赁资产所有权的，在租赁 资产剩余使用寿命内计提折旧；无法合理确定租赁期届满时能够取得租赁资产所有权的，在租赁期与租赁资产剩余使用寿命 两者孰短的期间内计提折旧。</w:t>
      </w:r>
    </w:p>
    <w:p>
      <w:pPr>
        <w:pStyle w:val="Style13"/>
        <w:keepNext w:val="0"/>
        <w:keepLines w:val="0"/>
        <w:widowControl w:val="0"/>
        <w:shd w:val="clear" w:color="auto" w:fill="auto"/>
        <w:tabs>
          <w:tab w:pos="812" w:val="left"/>
        </w:tabs>
        <w:bidi w:val="0"/>
        <w:spacing w:before="0" w:after="0" w:line="312" w:lineRule="exact"/>
        <w:ind w:left="0" w:right="0" w:firstLine="480"/>
        <w:jc w:val="both"/>
      </w:pPr>
      <w:bookmarkStart w:id="833" w:name="bookmark833"/>
      <w:r>
        <w:rPr>
          <w:color w:val="000000"/>
          <w:spacing w:val="0"/>
          <w:w w:val="100"/>
          <w:position w:val="0"/>
        </w:rPr>
        <w:t>2</w:t>
      </w:r>
      <w:bookmarkEnd w:id="833"/>
      <w:r>
        <w:rPr>
          <w:color w:val="000000"/>
          <w:spacing w:val="0"/>
          <w:w w:val="100"/>
          <w:position w:val="0"/>
        </w:rPr>
        <w:t>）</w:t>
        <w:tab/>
      </w:r>
      <w:r>
        <w:rPr>
          <w:color w:val="000000"/>
          <w:spacing w:val="0"/>
          <w:w w:val="100"/>
          <w:position w:val="0"/>
        </w:rPr>
        <w:t>使用权资产的减值</w:t>
      </w:r>
    </w:p>
    <w:p>
      <w:pPr>
        <w:pStyle w:val="Style13"/>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如果使用权资产发生减值，本集团按照扣除减值损失之后的使用权资产的账面价值，进行后续折旧。</w:t>
      </w:r>
    </w:p>
    <w:p>
      <w:pPr>
        <w:pStyle w:val="Style29"/>
        <w:keepNext/>
        <w:keepLines/>
        <w:widowControl w:val="0"/>
        <w:shd w:val="clear" w:color="auto" w:fill="auto"/>
        <w:tabs>
          <w:tab w:pos="456"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34"/>
      <w:bookmarkEnd w:id="835"/>
      <w:bookmarkEnd w:id="837"/>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本集团无形资产包括土地使用权、软件、专利技术及非专利技术等，按取得时的实际成本计量，其中，购入的无形资产， 按实际支付的价款和相关的其他支出作为实际成本；投资者投入的无形资产，按投资合同或协议约定的价值确定实际成本， 但合同或协议约定价值不公允的，按公允价值确定实际成本；对非同一控制下合并中取得被购买方拥有的但在其财务报表中 未确认的软件无形资产，在对被购买方资产进行初始确认时，按公允价值确认为无形资产。</w:t>
      </w:r>
    </w:p>
    <w:p>
      <w:pPr>
        <w:pStyle w:val="Style13"/>
        <w:keepNext w:val="0"/>
        <w:keepLines w:val="0"/>
        <w:widowControl w:val="0"/>
        <w:shd w:val="clear" w:color="auto" w:fill="auto"/>
        <w:bidi w:val="0"/>
        <w:spacing w:before="0" w:after="280" w:line="312" w:lineRule="exact"/>
        <w:ind w:left="0" w:right="0"/>
        <w:jc w:val="both"/>
      </w:pPr>
      <w:r>
        <w:rPr>
          <w:color w:val="000000"/>
          <w:spacing w:val="0"/>
          <w:w w:val="100"/>
          <w:position w:val="0"/>
        </w:rPr>
        <w:t>土地使用权从出让起始日起，按其出让年限平均摊销；软件、专利技术和非专利技术等无形资产按预计使用年限、合同 规定的受益年限和法律规定的有效年限三者中最短者分期平均摊销。摊销金额按其受益对象计入相关资产成本和当期损益。 对使用寿命有限的无形资产的预计使用寿命及摊销方法于每年年度终了进行复核，如发生改变，则作为会计估计变更处理。</w:t>
      </w:r>
    </w:p>
    <w:p>
      <w:pPr>
        <w:pStyle w:val="Style29"/>
        <w:keepNext/>
        <w:keepLines/>
        <w:widowControl w:val="0"/>
        <w:shd w:val="clear" w:color="auto" w:fill="auto"/>
        <w:tabs>
          <w:tab w:pos="483" w:val="left"/>
        </w:tabs>
        <w:bidi w:val="0"/>
        <w:spacing w:before="0" w:after="2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研究与开发</w:t>
      </w:r>
      <w:bookmarkEnd w:id="838"/>
      <w:bookmarkEnd w:id="839"/>
      <w:bookmarkEnd w:id="841"/>
    </w:p>
    <w:p>
      <w:pPr>
        <w:pStyle w:val="Style1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本集团内部研究开发项目支出根据其性质以及研发活动最终形成无形资产是否具有较大不确定性，分为研究阶段支出 和开发阶段支出。</w:t>
      </w:r>
    </w:p>
    <w:p>
      <w:pPr>
        <w:pStyle w:val="Style1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自行研究开发的无形资产，其研究阶段的支出，于发生时计入当期损益；其开发阶段的支出，同时满足下列条件的， 确认为无形资产：</w:t>
      </w:r>
    </w:p>
    <w:p>
      <w:pPr>
        <w:pStyle w:val="Style13"/>
        <w:keepNext w:val="0"/>
        <w:keepLines w:val="0"/>
        <w:widowControl w:val="0"/>
        <w:shd w:val="clear" w:color="auto" w:fill="auto"/>
        <w:tabs>
          <w:tab w:pos="900" w:val="left"/>
        </w:tabs>
        <w:bidi w:val="0"/>
        <w:spacing w:before="0" w:after="0" w:line="317" w:lineRule="exact"/>
        <w:ind w:left="0" w:right="0" w:firstLine="460"/>
        <w:jc w:val="left"/>
      </w:pPr>
      <w:bookmarkStart w:id="842" w:name="bookmark842"/>
      <w:r>
        <w:rPr>
          <w:color w:val="000000"/>
          <w:spacing w:val="0"/>
          <w:w w:val="100"/>
          <w:position w:val="0"/>
        </w:rPr>
        <w:t>（</w:t>
      </w:r>
      <w:bookmarkEnd w:id="842"/>
      <w:r>
        <w:rPr>
          <w:color w:val="000000"/>
          <w:spacing w:val="0"/>
          <w:w w:val="100"/>
          <w:position w:val="0"/>
        </w:rPr>
        <w:t>1）</w:t>
        <w:tab/>
      </w:r>
      <w:r>
        <w:rPr>
          <w:color w:val="000000"/>
          <w:spacing w:val="0"/>
          <w:w w:val="100"/>
          <w:position w:val="0"/>
        </w:rPr>
        <w:t>完成该无形资产以使其能够使用或出售在技术上具有可行性；</w:t>
      </w:r>
    </w:p>
    <w:p>
      <w:pPr>
        <w:pStyle w:val="Style13"/>
        <w:keepNext w:val="0"/>
        <w:keepLines w:val="0"/>
        <w:widowControl w:val="0"/>
        <w:shd w:val="clear" w:color="auto" w:fill="auto"/>
        <w:tabs>
          <w:tab w:pos="900" w:val="left"/>
        </w:tabs>
        <w:bidi w:val="0"/>
        <w:spacing w:before="0" w:after="0" w:line="317" w:lineRule="exact"/>
        <w:ind w:left="0" w:right="0" w:firstLine="460"/>
        <w:jc w:val="left"/>
      </w:pPr>
      <w:bookmarkStart w:id="843" w:name="bookmark843"/>
      <w:r>
        <w:rPr>
          <w:color w:val="000000"/>
          <w:spacing w:val="0"/>
          <w:w w:val="100"/>
          <w:position w:val="0"/>
        </w:rPr>
        <w:t>（</w:t>
      </w:r>
      <w:bookmarkEnd w:id="843"/>
      <w:r>
        <w:rPr>
          <w:color w:val="000000"/>
          <w:spacing w:val="0"/>
          <w:w w:val="100"/>
          <w:position w:val="0"/>
        </w:rPr>
        <w:t>2）</w:t>
        <w:tab/>
      </w:r>
      <w:r>
        <w:rPr>
          <w:color w:val="000000"/>
          <w:spacing w:val="0"/>
          <w:w w:val="100"/>
          <w:position w:val="0"/>
        </w:rPr>
        <w:t>具有完成该无形资产并使用或出售的意图；</w:t>
      </w:r>
    </w:p>
    <w:p>
      <w:pPr>
        <w:pStyle w:val="Style13"/>
        <w:keepNext w:val="0"/>
        <w:keepLines w:val="0"/>
        <w:widowControl w:val="0"/>
        <w:shd w:val="clear" w:color="auto" w:fill="auto"/>
        <w:tabs>
          <w:tab w:pos="900" w:val="left"/>
        </w:tabs>
        <w:bidi w:val="0"/>
        <w:spacing w:before="0" w:after="0" w:line="317" w:lineRule="exact"/>
        <w:ind w:left="0" w:right="0" w:firstLine="460"/>
        <w:jc w:val="left"/>
      </w:pPr>
      <w:bookmarkStart w:id="844" w:name="bookmark844"/>
      <w:r>
        <w:rPr>
          <w:color w:val="000000"/>
          <w:spacing w:val="0"/>
          <w:w w:val="100"/>
          <w:position w:val="0"/>
        </w:rPr>
        <w:t>（</w:t>
      </w:r>
      <w:bookmarkEnd w:id="844"/>
      <w:r>
        <w:rPr>
          <w:color w:val="000000"/>
          <w:spacing w:val="0"/>
          <w:w w:val="100"/>
          <w:position w:val="0"/>
        </w:rPr>
        <w:t>3）</w:t>
        <w:tab/>
      </w:r>
      <w:r>
        <w:rPr>
          <w:color w:val="000000"/>
          <w:spacing w:val="0"/>
          <w:w w:val="100"/>
          <w:position w:val="0"/>
        </w:rPr>
        <w:t>运用该无形资产生产的产品存在市场或无形资产自身存在市场；</w:t>
      </w:r>
    </w:p>
    <w:p>
      <w:pPr>
        <w:pStyle w:val="Style13"/>
        <w:keepNext w:val="0"/>
        <w:keepLines w:val="0"/>
        <w:widowControl w:val="0"/>
        <w:shd w:val="clear" w:color="auto" w:fill="auto"/>
        <w:tabs>
          <w:tab w:pos="900" w:val="left"/>
        </w:tabs>
        <w:bidi w:val="0"/>
        <w:spacing w:before="0" w:after="0" w:line="317" w:lineRule="exact"/>
        <w:ind w:left="0" w:right="0" w:firstLine="460"/>
        <w:jc w:val="left"/>
      </w:pPr>
      <w:bookmarkStart w:id="845" w:name="bookmark845"/>
      <w:r>
        <w:rPr>
          <w:color w:val="000000"/>
          <w:spacing w:val="0"/>
          <w:w w:val="100"/>
          <w:position w:val="0"/>
        </w:rPr>
        <w:t>（</w:t>
      </w:r>
      <w:bookmarkEnd w:id="845"/>
      <w:r>
        <w:rPr>
          <w:color w:val="000000"/>
          <w:spacing w:val="0"/>
          <w:w w:val="100"/>
          <w:position w:val="0"/>
        </w:rPr>
        <w:t>4）</w:t>
        <w:tab/>
      </w:r>
      <w:r>
        <w:rPr>
          <w:color w:val="000000"/>
          <w:spacing w:val="0"/>
          <w:w w:val="100"/>
          <w:position w:val="0"/>
        </w:rPr>
        <w:t>有足够的技术、财务资源和其他资源支持，以完成该无形资产的开发，并有能力使用或出售该无形资产；</w:t>
      </w:r>
    </w:p>
    <w:p>
      <w:pPr>
        <w:pStyle w:val="Style13"/>
        <w:keepNext w:val="0"/>
        <w:keepLines w:val="0"/>
        <w:widowControl w:val="0"/>
        <w:shd w:val="clear" w:color="auto" w:fill="auto"/>
        <w:tabs>
          <w:tab w:pos="900" w:val="left"/>
        </w:tabs>
        <w:bidi w:val="0"/>
        <w:spacing w:before="0" w:after="0" w:line="317" w:lineRule="exact"/>
        <w:ind w:left="0" w:right="0" w:firstLine="460"/>
        <w:jc w:val="left"/>
      </w:pPr>
      <w:bookmarkStart w:id="846" w:name="bookmark846"/>
      <w:r>
        <w:rPr>
          <w:color w:val="000000"/>
          <w:spacing w:val="0"/>
          <w:w w:val="100"/>
          <w:position w:val="0"/>
        </w:rPr>
        <w:t>（</w:t>
      </w:r>
      <w:bookmarkEnd w:id="846"/>
      <w:r>
        <w:rPr>
          <w:color w:val="000000"/>
          <w:spacing w:val="0"/>
          <w:w w:val="100"/>
          <w:position w:val="0"/>
        </w:rPr>
        <w:t>5）</w:t>
        <w:tab/>
      </w:r>
      <w:r>
        <w:rPr>
          <w:color w:val="000000"/>
          <w:spacing w:val="0"/>
          <w:w w:val="100"/>
          <w:position w:val="0"/>
        </w:rPr>
        <w:t>归属于该无形资产开发阶段的支出能够可靠地计量。</w:t>
      </w:r>
    </w:p>
    <w:p>
      <w:pPr>
        <w:pStyle w:val="Style13"/>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不满足上述条件的开发阶段的支出，于发生时计入当期损益。前期已计入损益的开发支出不在以后期间确认为资产。 已资本化的开发阶段的支出在资产负债表上列示为开发支出，自该项目达到预定可使用状态之日起转为无形资产。</w:t>
      </w:r>
    </w:p>
    <w:p>
      <w:pPr>
        <w:pStyle w:val="Style29"/>
        <w:keepNext/>
        <w:keepLines/>
        <w:widowControl w:val="0"/>
        <w:shd w:val="clear" w:color="auto" w:fill="auto"/>
        <w:tabs>
          <w:tab w:pos="483" w:val="left"/>
        </w:tabs>
        <w:bidi w:val="0"/>
        <w:spacing w:before="0" w:after="28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3</w:t>
      </w:r>
      <w:r>
        <w:rPr>
          <w:color w:val="000000"/>
          <w:spacing w:val="0"/>
          <w:w w:val="100"/>
          <w:position w:val="0"/>
        </w:rPr>
        <w:t>、</w:t>
        <w:tab/>
        <w:t>长期资产减值</w:t>
      </w:r>
      <w:bookmarkEnd w:id="847"/>
      <w:bookmarkEnd w:id="848"/>
      <w:bookmarkEnd w:id="850"/>
    </w:p>
    <w:p>
      <w:pPr>
        <w:pStyle w:val="Style13"/>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本集团于每一资产负债表日对长期股权投资、采用成本模式计量的投资性房地产、固定资产、在建工程、使用寿命有 限的无形资产等项目进行检查，当存在下列迹象时，表明资产可能发生了减值，本集团将估计其可收回金额，进行减值测试。</w:t>
      </w:r>
    </w:p>
    <w:p>
      <w:pPr>
        <w:pStyle w:val="Style13"/>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可收回金额根据资产的公允价值减去处置费用后的净额与资产预计未来现金流量的现值两者之间较高者确定。本集团 以单项资产为基础估计其可收回金额；难以对单项资产的可收回金额进行估计的，以该资产所属的资产组为基础确定资产组 的可收回金额。资产组的认定，以资产组产生的主要现金流入是否独立于其他资产或者资产组的现金流入为依据。</w:t>
      </w:r>
    </w:p>
    <w:p>
      <w:pPr>
        <w:pStyle w:val="Style13"/>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当资产或者资产组的可收回金额低于其账面价值时，本集团将其账面价值减记至可收回金额，减记的金额计入当期损 益，同时计提相应的资产减值准备。</w:t>
      </w:r>
    </w:p>
    <w:p>
      <w:pPr>
        <w:pStyle w:val="Style13"/>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出现减值的迹象如下：</w:t>
      </w:r>
    </w:p>
    <w:p>
      <w:pPr>
        <w:pStyle w:val="Style13"/>
        <w:keepNext w:val="0"/>
        <w:keepLines w:val="0"/>
        <w:widowControl w:val="0"/>
        <w:shd w:val="clear" w:color="auto" w:fill="auto"/>
        <w:tabs>
          <w:tab w:pos="900" w:val="left"/>
        </w:tabs>
        <w:bidi w:val="0"/>
        <w:spacing w:before="0" w:after="0" w:line="315" w:lineRule="exact"/>
        <w:ind w:left="0" w:right="0" w:firstLine="460"/>
        <w:jc w:val="left"/>
      </w:pPr>
      <w:bookmarkStart w:id="851" w:name="bookmark851"/>
      <w:r>
        <w:rPr>
          <w:color w:val="000000"/>
          <w:spacing w:val="0"/>
          <w:w w:val="100"/>
          <w:position w:val="0"/>
        </w:rPr>
        <w:t>（</w:t>
      </w:r>
      <w:bookmarkEnd w:id="851"/>
      <w:r>
        <w:rPr>
          <w:color w:val="000000"/>
          <w:spacing w:val="0"/>
          <w:w w:val="100"/>
          <w:position w:val="0"/>
        </w:rPr>
        <w:t>1）</w:t>
        <w:tab/>
      </w:r>
      <w:r>
        <w:rPr>
          <w:color w:val="000000"/>
          <w:spacing w:val="0"/>
          <w:w w:val="100"/>
          <w:position w:val="0"/>
        </w:rPr>
        <w:t>资产的市价当期大幅度下跌，其跌幅明显高于因时间的推移或者正常使用而预计的下跌。</w:t>
      </w:r>
    </w:p>
    <w:p>
      <w:pPr>
        <w:pStyle w:val="Style13"/>
        <w:keepNext w:val="0"/>
        <w:keepLines w:val="0"/>
        <w:widowControl w:val="0"/>
        <w:shd w:val="clear" w:color="auto" w:fill="auto"/>
        <w:tabs>
          <w:tab w:pos="982" w:val="left"/>
        </w:tabs>
        <w:bidi w:val="0"/>
        <w:spacing w:before="0" w:after="0" w:line="315" w:lineRule="exact"/>
        <w:ind w:left="0" w:right="0" w:firstLine="460"/>
        <w:jc w:val="both"/>
      </w:pPr>
      <w:bookmarkStart w:id="852" w:name="bookmark852"/>
      <w:r>
        <w:rPr>
          <w:color w:val="000000"/>
          <w:spacing w:val="0"/>
          <w:w w:val="100"/>
          <w:position w:val="0"/>
        </w:rPr>
        <w:t>（</w:t>
      </w:r>
      <w:bookmarkEnd w:id="852"/>
      <w:r>
        <w:rPr>
          <w:color w:val="000000"/>
          <w:spacing w:val="0"/>
          <w:w w:val="100"/>
          <w:position w:val="0"/>
        </w:rPr>
        <w:t>2）</w:t>
        <w:tab/>
      </w:r>
      <w:r>
        <w:rPr>
          <w:color w:val="000000"/>
          <w:spacing w:val="0"/>
          <w:w w:val="100"/>
          <w:position w:val="0"/>
        </w:rPr>
        <w:t>企业经营所处的经济、技术或者法律等环境以及资产所处的市场在当期或者将在近期发生重大变化，从而对企业 产生不利影响。</w:t>
      </w:r>
    </w:p>
    <w:p>
      <w:pPr>
        <w:pStyle w:val="Style13"/>
        <w:keepNext w:val="0"/>
        <w:keepLines w:val="0"/>
        <w:widowControl w:val="0"/>
        <w:shd w:val="clear" w:color="auto" w:fill="auto"/>
        <w:tabs>
          <w:tab w:pos="978" w:val="left"/>
        </w:tabs>
        <w:bidi w:val="0"/>
        <w:spacing w:before="0" w:after="0" w:line="315" w:lineRule="exact"/>
        <w:ind w:left="0" w:right="0" w:firstLine="460"/>
        <w:jc w:val="both"/>
      </w:pPr>
      <w:bookmarkStart w:id="853" w:name="bookmark853"/>
      <w:r>
        <w:rPr>
          <w:color w:val="000000"/>
          <w:spacing w:val="0"/>
          <w:w w:val="100"/>
          <w:position w:val="0"/>
        </w:rPr>
        <w:t>（</w:t>
      </w:r>
      <w:bookmarkEnd w:id="853"/>
      <w:r>
        <w:rPr>
          <w:color w:val="000000"/>
          <w:spacing w:val="0"/>
          <w:w w:val="100"/>
          <w:position w:val="0"/>
        </w:rPr>
        <w:t>3）</w:t>
        <w:tab/>
      </w:r>
      <w:r>
        <w:rPr>
          <w:color w:val="000000"/>
          <w:spacing w:val="0"/>
          <w:w w:val="100"/>
          <w:position w:val="0"/>
        </w:rPr>
        <w:t>市场利率或者其他市场投资报酬率在当期已经提高，从而影响企业计算资产预计未来现金流量现值的折现率，导 致资产可收回金额大幅度降低。</w:t>
      </w:r>
    </w:p>
    <w:p>
      <w:pPr>
        <w:pStyle w:val="Style13"/>
        <w:keepNext w:val="0"/>
        <w:keepLines w:val="0"/>
        <w:widowControl w:val="0"/>
        <w:shd w:val="clear" w:color="auto" w:fill="auto"/>
        <w:tabs>
          <w:tab w:pos="900" w:val="left"/>
        </w:tabs>
        <w:bidi w:val="0"/>
        <w:spacing w:before="0" w:after="0" w:line="316" w:lineRule="exact"/>
        <w:ind w:left="0" w:right="0" w:firstLine="460"/>
        <w:jc w:val="both"/>
      </w:pPr>
      <w:bookmarkStart w:id="854" w:name="bookmark854"/>
      <w:r>
        <w:rPr>
          <w:color w:val="000000"/>
          <w:spacing w:val="0"/>
          <w:w w:val="100"/>
          <w:position w:val="0"/>
        </w:rPr>
        <w:t>（</w:t>
      </w:r>
      <w:bookmarkEnd w:id="854"/>
      <w:r>
        <w:rPr>
          <w:color w:val="000000"/>
          <w:spacing w:val="0"/>
          <w:w w:val="100"/>
          <w:position w:val="0"/>
        </w:rPr>
        <w:t>4）</w:t>
        <w:tab/>
      </w:r>
      <w:r>
        <w:rPr>
          <w:color w:val="000000"/>
          <w:spacing w:val="0"/>
          <w:w w:val="100"/>
          <w:position w:val="0"/>
        </w:rPr>
        <w:t>有证据表明资产已经陈旧过时或者其实体已经损坏。</w:t>
      </w:r>
    </w:p>
    <w:p>
      <w:pPr>
        <w:pStyle w:val="Style13"/>
        <w:keepNext w:val="0"/>
        <w:keepLines w:val="0"/>
        <w:widowControl w:val="0"/>
        <w:shd w:val="clear" w:color="auto" w:fill="auto"/>
        <w:tabs>
          <w:tab w:pos="900" w:val="left"/>
        </w:tabs>
        <w:bidi w:val="0"/>
        <w:spacing w:before="0" w:after="0" w:line="316" w:lineRule="exact"/>
        <w:ind w:left="0" w:right="0" w:firstLine="460"/>
        <w:jc w:val="both"/>
      </w:pPr>
      <w:bookmarkStart w:id="855" w:name="bookmark855"/>
      <w:r>
        <w:rPr>
          <w:color w:val="000000"/>
          <w:spacing w:val="0"/>
          <w:w w:val="100"/>
          <w:position w:val="0"/>
        </w:rPr>
        <w:t>（</w:t>
      </w:r>
      <w:bookmarkEnd w:id="855"/>
      <w:r>
        <w:rPr>
          <w:color w:val="000000"/>
          <w:spacing w:val="0"/>
          <w:w w:val="100"/>
          <w:position w:val="0"/>
        </w:rPr>
        <w:t>5）</w:t>
        <w:tab/>
      </w:r>
      <w:r>
        <w:rPr>
          <w:color w:val="000000"/>
          <w:spacing w:val="0"/>
          <w:w w:val="100"/>
          <w:position w:val="0"/>
        </w:rPr>
        <w:t>资产已经或者将被闲置、终止使用或者计划提前处置。</w:t>
      </w:r>
    </w:p>
    <w:p>
      <w:pPr>
        <w:pStyle w:val="Style13"/>
        <w:keepNext w:val="0"/>
        <w:keepLines w:val="0"/>
        <w:widowControl w:val="0"/>
        <w:shd w:val="clear" w:color="auto" w:fill="auto"/>
        <w:tabs>
          <w:tab w:pos="978" w:val="left"/>
        </w:tabs>
        <w:bidi w:val="0"/>
        <w:spacing w:before="0" w:after="0" w:line="316" w:lineRule="exact"/>
        <w:ind w:left="0" w:right="0" w:firstLine="460"/>
        <w:jc w:val="both"/>
      </w:pPr>
      <w:bookmarkStart w:id="856" w:name="bookmark856"/>
      <w:r>
        <w:rPr>
          <w:color w:val="000000"/>
          <w:spacing w:val="0"/>
          <w:w w:val="100"/>
          <w:position w:val="0"/>
        </w:rPr>
        <w:t>（</w:t>
      </w:r>
      <w:bookmarkEnd w:id="856"/>
      <w:r>
        <w:rPr>
          <w:color w:val="000000"/>
          <w:spacing w:val="0"/>
          <w:w w:val="100"/>
          <w:position w:val="0"/>
        </w:rPr>
        <w:t>6）</w:t>
        <w:tab/>
      </w:r>
      <w:r>
        <w:rPr>
          <w:color w:val="000000"/>
          <w:spacing w:val="0"/>
          <w:w w:val="100"/>
          <w:position w:val="0"/>
        </w:rPr>
        <w:t>企业内部报告的证据表明资产的经济绩效已经低于或者将低于预期，如资产所创造的净现金流量或者实现的营业 利润（或者亏损）远远低于（或者高于）预计金额等。</w:t>
      </w:r>
    </w:p>
    <w:p>
      <w:pPr>
        <w:pStyle w:val="Style13"/>
        <w:keepNext w:val="0"/>
        <w:keepLines w:val="0"/>
        <w:widowControl w:val="0"/>
        <w:shd w:val="clear" w:color="auto" w:fill="auto"/>
        <w:tabs>
          <w:tab w:pos="900" w:val="left"/>
        </w:tabs>
        <w:bidi w:val="0"/>
        <w:spacing w:before="0" w:after="0" w:line="316" w:lineRule="exact"/>
        <w:ind w:left="0" w:right="0" w:firstLine="460"/>
        <w:jc w:val="both"/>
      </w:pPr>
      <w:bookmarkStart w:id="857" w:name="bookmark857"/>
      <w:r>
        <w:rPr>
          <w:color w:val="000000"/>
          <w:spacing w:val="0"/>
          <w:w w:val="100"/>
          <w:position w:val="0"/>
        </w:rPr>
        <w:t>（</w:t>
      </w:r>
      <w:bookmarkEnd w:id="857"/>
      <w:r>
        <w:rPr>
          <w:color w:val="000000"/>
          <w:spacing w:val="0"/>
          <w:w w:val="100"/>
          <w:position w:val="0"/>
        </w:rPr>
        <w:t>7）</w:t>
        <w:tab/>
      </w:r>
      <w:r>
        <w:rPr>
          <w:color w:val="000000"/>
          <w:spacing w:val="0"/>
          <w:w w:val="100"/>
          <w:position w:val="0"/>
        </w:rPr>
        <w:t>其他表明资产可能已经发生减值的迹象。</w:t>
      </w:r>
    </w:p>
    <w:p>
      <w:pPr>
        <w:pStyle w:val="Style13"/>
        <w:keepNext w:val="0"/>
        <w:keepLines w:val="0"/>
        <w:widowControl w:val="0"/>
        <w:shd w:val="clear" w:color="auto" w:fill="auto"/>
        <w:bidi w:val="0"/>
        <w:spacing w:before="0" w:after="0" w:line="316" w:lineRule="exact"/>
        <w:ind w:left="0" w:right="0" w:firstLine="460"/>
        <w:jc w:val="both"/>
      </w:pPr>
      <w:r>
        <w:rPr>
          <w:color w:val="000000"/>
          <w:spacing w:val="0"/>
          <w:w w:val="100"/>
          <w:position w:val="0"/>
        </w:rPr>
        <w:t>商誉至少在每年年度终了进行减值测试。对商誉进行减值测试时，结合与其相关的资产组或者资产组组合进行。即， 自购买日起将商誉的账面价值按照合理的方法分摊到能够从企业合并的协同效应中受益的资产组或资产组组合，如包含分摊 的商誉的资产组或资产组组合的可收回金额低于其账面价值的，确认相应的减值损失。减值损失金额首先抵减分摊到该资产 组或资产组组合的商誉的账面价值，再根据资产组或资产组组合中除商誉以外的其他各项资产的账面价值所占比重，按比例 抵减其他各项资产的账面价值。</w:t>
      </w:r>
    </w:p>
    <w:p>
      <w:pPr>
        <w:pStyle w:val="Style13"/>
        <w:keepNext w:val="0"/>
        <w:keepLines w:val="0"/>
        <w:widowControl w:val="0"/>
        <w:shd w:val="clear" w:color="auto" w:fill="auto"/>
        <w:bidi w:val="0"/>
        <w:spacing w:before="0" w:after="360" w:line="316" w:lineRule="exact"/>
        <w:ind w:left="0" w:right="0" w:firstLine="460"/>
        <w:jc w:val="both"/>
      </w:pPr>
      <w:r>
        <w:rPr>
          <w:color w:val="000000"/>
          <w:spacing w:val="0"/>
          <w:w w:val="100"/>
          <w:position w:val="0"/>
        </w:rPr>
        <w:t>上述资产减值损失一经确认，在以后会计期间不再转回。</w:t>
      </w:r>
    </w:p>
    <w:p>
      <w:pPr>
        <w:pStyle w:val="Style29"/>
        <w:keepNext/>
        <w:keepLines/>
        <w:widowControl w:val="0"/>
        <w:shd w:val="clear" w:color="auto" w:fill="auto"/>
        <w:tabs>
          <w:tab w:pos="483" w:val="left"/>
        </w:tabs>
        <w:bidi w:val="0"/>
        <w:spacing w:before="0" w:after="28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858"/>
      <w:bookmarkEnd w:id="859"/>
      <w:bookmarkEnd w:id="861"/>
    </w:p>
    <w:p>
      <w:pPr>
        <w:pStyle w:val="Style13"/>
        <w:keepNext w:val="0"/>
        <w:keepLines w:val="0"/>
        <w:widowControl w:val="0"/>
        <w:shd w:val="clear" w:color="auto" w:fill="auto"/>
        <w:bidi w:val="0"/>
        <w:spacing w:before="0" w:after="360" w:line="307" w:lineRule="exact"/>
        <w:ind w:left="0" w:right="0" w:firstLine="460"/>
        <w:jc w:val="both"/>
      </w:pPr>
      <w:r>
        <w:rPr>
          <w:color w:val="000000"/>
          <w:spacing w:val="0"/>
          <w:w w:val="100"/>
          <w:position w:val="0"/>
        </w:rPr>
        <w:t>本集团长期待摊费用是指已经支出，但应由当期及以后各期承担的摊销期限在</w:t>
      </w:r>
      <w:r>
        <w:rPr>
          <w:color w:val="000000"/>
          <w:spacing w:val="0"/>
          <w:w w:val="100"/>
          <w:position w:val="0"/>
        </w:rPr>
        <w:t>1</w:t>
      </w:r>
      <w:r>
        <w:rPr>
          <w:color w:val="000000"/>
          <w:spacing w:val="0"/>
          <w:w w:val="100"/>
          <w:position w:val="0"/>
        </w:rPr>
        <w:t>年以上（不含</w:t>
      </w:r>
      <w:r>
        <w:rPr>
          <w:color w:val="000000"/>
          <w:spacing w:val="0"/>
          <w:w w:val="100"/>
          <w:position w:val="0"/>
        </w:rPr>
        <w:t>1</w:t>
      </w:r>
      <w:r>
        <w:rPr>
          <w:color w:val="000000"/>
          <w:spacing w:val="0"/>
          <w:w w:val="100"/>
          <w:position w:val="0"/>
        </w:rPr>
        <w:t xml:space="preserve">年）的各项费用，该等费 用在受益期内平均摊销。如果长期待摊费用项目不能使以后会计期间受益，则将尚未摊销的该项目的摊余价值全部转入当期 </w:t>
      </w:r>
      <w:r>
        <w:rPr>
          <w:color w:val="000000"/>
          <w:spacing w:val="0"/>
          <w:w w:val="100"/>
          <w:position w:val="0"/>
        </w:rPr>
        <w:t>损益。</w:t>
      </w:r>
    </w:p>
    <w:p>
      <w:pPr>
        <w:pStyle w:val="Style29"/>
        <w:keepNext/>
        <w:keepLines/>
        <w:widowControl w:val="0"/>
        <w:shd w:val="clear" w:color="auto" w:fill="auto"/>
        <w:tabs>
          <w:tab w:pos="483" w:val="left"/>
        </w:tabs>
        <w:bidi w:val="0"/>
        <w:spacing w:before="0" w:after="28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5</w:t>
      </w:r>
      <w:r>
        <w:rPr>
          <w:color w:val="000000"/>
          <w:spacing w:val="0"/>
          <w:w w:val="100"/>
          <w:position w:val="0"/>
        </w:rPr>
        <w:t>、</w:t>
        <w:tab/>
        <w:t>合同负债</w:t>
      </w:r>
      <w:bookmarkEnd w:id="862"/>
      <w:bookmarkEnd w:id="863"/>
      <w:bookmarkEnd w:id="865"/>
    </w:p>
    <w:p>
      <w:pPr>
        <w:pStyle w:val="Style1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合同负债是指本集团已收或应收客户对价而应向客户转让商品或服务的义务。同一合同下的合同资产和合同负债以净 额列示。</w:t>
      </w:r>
    </w:p>
    <w:p>
      <w:pPr>
        <w:pStyle w:val="Style29"/>
        <w:keepNext/>
        <w:keepLines/>
        <w:widowControl w:val="0"/>
        <w:shd w:val="clear" w:color="auto" w:fill="auto"/>
        <w:tabs>
          <w:tab w:pos="483" w:val="left"/>
        </w:tabs>
        <w:bidi w:val="0"/>
        <w:spacing w:before="0" w:after="2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6</w:t>
      </w:r>
      <w:r>
        <w:rPr>
          <w:color w:val="000000"/>
          <w:spacing w:val="0"/>
          <w:w w:val="100"/>
          <w:position w:val="0"/>
        </w:rPr>
        <w:t>、</w:t>
        <w:tab/>
        <w:t>职工薪酬</w:t>
      </w:r>
      <w:bookmarkEnd w:id="866"/>
      <w:bookmarkEnd w:id="867"/>
      <w:bookmarkEnd w:id="869"/>
    </w:p>
    <w:p>
      <w:pPr>
        <w:pStyle w:val="Style13"/>
        <w:keepNext w:val="0"/>
        <w:keepLines w:val="0"/>
        <w:widowControl w:val="0"/>
        <w:shd w:val="clear" w:color="auto" w:fill="auto"/>
        <w:bidi w:val="0"/>
        <w:spacing w:before="0" w:after="360" w:line="311" w:lineRule="exact"/>
        <w:ind w:left="0" w:right="0" w:firstLine="460"/>
        <w:jc w:val="both"/>
      </w:pPr>
      <w:r>
        <w:rPr>
          <w:color w:val="000000"/>
          <w:spacing w:val="0"/>
          <w:w w:val="100"/>
          <w:position w:val="0"/>
        </w:rPr>
        <w:t>本集团职工薪酬主要包括短期薪酬、离职后福利和辞退福利。</w:t>
      </w:r>
    </w:p>
    <w:p>
      <w:pPr>
        <w:pStyle w:val="Style37"/>
        <w:keepNext/>
        <w:keepLines/>
        <w:widowControl w:val="0"/>
        <w:shd w:val="clear" w:color="auto" w:fill="auto"/>
        <w:tabs>
          <w:tab w:pos="493" w:val="left"/>
        </w:tabs>
        <w:bidi w:val="0"/>
        <w:spacing w:before="0" w:line="240" w:lineRule="auto"/>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70"/>
      <w:bookmarkEnd w:id="871"/>
      <w:bookmarkEnd w:id="873"/>
    </w:p>
    <w:p>
      <w:pPr>
        <w:pStyle w:val="Style13"/>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短期薪酬主要包括工资、奖金、津贴和补贴、职工福利费、社会保险费及住房公积金、工会经费和职工教育经费等与 获得职工提供的服务相关的支出，在职工提供服务的会计期间，将实际发生的短期薪酬确认为负债，并按照受益对象计入当 期损益或相关资产成本。</w:t>
      </w:r>
    </w:p>
    <w:p>
      <w:pPr>
        <w:pStyle w:val="Style37"/>
        <w:keepNext/>
        <w:keepLines/>
        <w:widowControl w:val="0"/>
        <w:shd w:val="clear" w:color="auto" w:fill="auto"/>
        <w:tabs>
          <w:tab w:pos="493" w:val="left"/>
        </w:tabs>
        <w:bidi w:val="0"/>
        <w:spacing w:before="0" w:line="240" w:lineRule="auto"/>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4"/>
      <w:bookmarkEnd w:id="875"/>
      <w:bookmarkEnd w:id="877"/>
    </w:p>
    <w:p>
      <w:pPr>
        <w:pStyle w:val="Style13"/>
        <w:keepNext w:val="0"/>
        <w:keepLines w:val="0"/>
        <w:widowControl w:val="0"/>
        <w:shd w:val="clear" w:color="auto" w:fill="auto"/>
        <w:bidi w:val="0"/>
        <w:spacing w:before="0" w:after="360" w:line="314" w:lineRule="exact"/>
        <w:ind w:left="0" w:right="0" w:firstLine="460"/>
        <w:jc w:val="left"/>
      </w:pPr>
      <w:r>
        <w:rPr>
          <w:color w:val="000000"/>
          <w:spacing w:val="0"/>
          <w:w w:val="100"/>
          <w:position w:val="0"/>
        </w:rPr>
        <w:t>离职后福利主要包括基本养老保险、失业保险、补充养老保险等，按照公司承担的风险和义务，分类为设定提存计划。 对于设定提存计划根据在资产负债日为换取职工在会计期间提供的服务而单独通过主体缴存的提存金额确认为负债，并按照 受益对象计入当期损益或相关资产成本。</w:t>
      </w:r>
    </w:p>
    <w:p>
      <w:pPr>
        <w:pStyle w:val="Style37"/>
        <w:keepNext/>
        <w:keepLines/>
        <w:widowControl w:val="0"/>
        <w:shd w:val="clear" w:color="auto" w:fill="auto"/>
        <w:tabs>
          <w:tab w:pos="493" w:val="left"/>
        </w:tabs>
        <w:bidi w:val="0"/>
        <w:spacing w:before="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8"/>
      <w:bookmarkEnd w:id="879"/>
      <w:bookmarkEnd w:id="881"/>
    </w:p>
    <w:p>
      <w:pPr>
        <w:pStyle w:val="Style13"/>
        <w:keepNext w:val="0"/>
        <w:keepLines w:val="0"/>
        <w:widowControl w:val="0"/>
        <w:shd w:val="clear" w:color="auto" w:fill="auto"/>
        <w:bidi w:val="0"/>
        <w:spacing w:before="0" w:after="360" w:line="310" w:lineRule="exact"/>
        <w:ind w:left="0" w:right="0" w:firstLine="460"/>
        <w:jc w:val="both"/>
      </w:pPr>
      <w:r>
        <w:rPr>
          <w:color w:val="000000"/>
          <w:spacing w:val="0"/>
          <w:w w:val="100"/>
          <w:position w:val="0"/>
        </w:rPr>
        <w:t>辞退福利是指如在职工劳动合同到期之前决定解除与职工的劳动关系，或为鼓励职工自愿接受裁减而提出给予补偿的 建议，如果本集团已经制定正式的解除劳动关系计划或提出自愿裁减建议，并即将实施，同时本集团不能单方面撤回解除劳 动关系计划或裁减建议的，确认因解除与职工劳动关系给予补偿产生的预计负债，计入当期损益。</w:t>
      </w:r>
    </w:p>
    <w:p>
      <w:pPr>
        <w:pStyle w:val="Style29"/>
        <w:keepNext/>
        <w:keepLines/>
        <w:widowControl w:val="0"/>
        <w:shd w:val="clear" w:color="auto" w:fill="auto"/>
        <w:tabs>
          <w:tab w:pos="483" w:val="left"/>
        </w:tabs>
        <w:bidi w:val="0"/>
        <w:spacing w:before="0" w:after="2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882"/>
      <w:bookmarkEnd w:id="883"/>
      <w:bookmarkEnd w:id="885"/>
    </w:p>
    <w:p>
      <w:pPr>
        <w:pStyle w:val="Style13"/>
        <w:keepNext w:val="0"/>
        <w:keepLines w:val="0"/>
        <w:widowControl w:val="0"/>
        <w:shd w:val="clear" w:color="auto" w:fill="auto"/>
        <w:bidi w:val="0"/>
        <w:spacing w:before="0" w:after="0" w:line="311" w:lineRule="exact"/>
        <w:ind w:left="0" w:right="0" w:firstLine="460"/>
        <w:jc w:val="both"/>
      </w:pPr>
      <w:bookmarkStart w:id="886" w:name="bookmark886"/>
      <w:r>
        <w:rPr>
          <w:color w:val="000000"/>
          <w:spacing w:val="0"/>
          <w:w w:val="100"/>
          <w:position w:val="0"/>
        </w:rPr>
        <w:t>（</w:t>
      </w:r>
      <w:bookmarkEnd w:id="886"/>
      <w:r>
        <w:rPr>
          <w:color w:val="000000"/>
          <w:spacing w:val="0"/>
          <w:w w:val="100"/>
          <w:position w:val="0"/>
        </w:rPr>
        <w:t>1）</w:t>
      </w:r>
      <w:r>
        <w:rPr>
          <w:color w:val="000000"/>
          <w:spacing w:val="0"/>
          <w:w w:val="100"/>
          <w:position w:val="0"/>
        </w:rPr>
        <w:t>初始计量</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除短期租赁和低价值资产租赁外，本集团按照租赁期开始日尚未支付的租赁付款额的现值对租赁负债进行初始计量。</w:t>
      </w:r>
    </w:p>
    <w:p>
      <w:pPr>
        <w:pStyle w:val="Style13"/>
        <w:keepNext w:val="0"/>
        <w:keepLines w:val="0"/>
        <w:widowControl w:val="0"/>
        <w:shd w:val="clear" w:color="auto" w:fill="auto"/>
        <w:tabs>
          <w:tab w:pos="809" w:val="left"/>
        </w:tabs>
        <w:bidi w:val="0"/>
        <w:spacing w:before="0" w:after="0" w:line="311" w:lineRule="exact"/>
        <w:ind w:left="0" w:right="0" w:firstLine="460"/>
        <w:jc w:val="both"/>
      </w:pPr>
      <w:bookmarkStart w:id="887" w:name="bookmark887"/>
      <w:r>
        <w:rPr>
          <w:color w:val="000000"/>
          <w:spacing w:val="0"/>
          <w:w w:val="100"/>
          <w:position w:val="0"/>
        </w:rPr>
        <w:t>1</w:t>
      </w:r>
      <w:bookmarkEnd w:id="887"/>
      <w:r>
        <w:rPr>
          <w:color w:val="000000"/>
          <w:spacing w:val="0"/>
          <w:w w:val="100"/>
          <w:position w:val="0"/>
        </w:rPr>
        <w:t>）</w:t>
        <w:tab/>
      </w:r>
      <w:r>
        <w:rPr>
          <w:color w:val="000000"/>
          <w:spacing w:val="0"/>
          <w:w w:val="100"/>
          <w:position w:val="0"/>
        </w:rPr>
        <w:t>租赁付款额</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租赁付款额，是指本集团向出租人支付的与在租赁期内使用租赁资产的权利相关的款项，包括：①固定付款额及实质 固定付款额，存在租赁激励的，扣除租赁激励相关金额；②取决于指数或比率的可变租赁付款额，该款额在初始计量时根据 租赁期开始日的指数或比率确定；③本集团合理确定将行使购买选择权时，购买选择权的行权价格；④租赁期反映出本集团 将行使终止租赁选择权时，行使终止租赁选择权需支付的款项；⑤根据本集团提供的担保余值预计应支付的款项。</w:t>
      </w:r>
    </w:p>
    <w:p>
      <w:pPr>
        <w:pStyle w:val="Style13"/>
        <w:keepNext w:val="0"/>
        <w:keepLines w:val="0"/>
        <w:widowControl w:val="0"/>
        <w:shd w:val="clear" w:color="auto" w:fill="auto"/>
        <w:tabs>
          <w:tab w:pos="818" w:val="left"/>
        </w:tabs>
        <w:bidi w:val="0"/>
        <w:spacing w:before="0" w:after="0" w:line="311" w:lineRule="exact"/>
        <w:ind w:left="0" w:right="0" w:firstLine="460"/>
        <w:jc w:val="left"/>
      </w:pPr>
      <w:bookmarkStart w:id="888" w:name="bookmark888"/>
      <w:r>
        <w:rPr>
          <w:color w:val="000000"/>
          <w:spacing w:val="0"/>
          <w:w w:val="100"/>
          <w:position w:val="0"/>
        </w:rPr>
        <w:t>2</w:t>
      </w:r>
      <w:bookmarkEnd w:id="888"/>
      <w:r>
        <w:rPr>
          <w:color w:val="000000"/>
          <w:spacing w:val="0"/>
          <w:w w:val="100"/>
          <w:position w:val="0"/>
        </w:rPr>
        <w:t>）</w:t>
        <w:tab/>
      </w:r>
      <w:r>
        <w:rPr>
          <w:color w:val="000000"/>
          <w:spacing w:val="0"/>
          <w:w w:val="100"/>
          <w:position w:val="0"/>
        </w:rPr>
        <w:t>折现率</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 xml:space="preserve">在计算租赁付款额的现值时，本集团采用租赁内含利率作为折现率，无法确定租赁内含利率的，采用增量借款利率作 为折现率。该增量借款利率，是指本集团在类似经济环境下为获得与使用权资产价值接近的资产，在类似期间以类似抵押条 件借入资金须支付的利率。该增量借款利率，是指本集团在类似经济环境下为获得与使用权资产价值接近的资产，在类似期 间以类似抵押条件借入资金须支付的利率。该利率与下列事项相关：①本集团自身情况，即集团的偿债能力和信用状况；② “借款”的期限，即租赁期；③“借入”资金的金额，即租赁负债的金额；④“抵押条件”，即标的资产的性质和质量；⑤ 经济环境，包括承租人所处的司法管辖区、计价货币、合同签订时间等。本集团以最近一期类似资产抵押贷款利率为基础， </w:t>
      </w:r>
      <w:r>
        <w:rPr>
          <w:color w:val="000000"/>
          <w:spacing w:val="0"/>
          <w:w w:val="100"/>
          <w:position w:val="0"/>
        </w:rPr>
        <w:t>考虑上述因素进行调整而得出该增量借款利率。</w:t>
      </w:r>
    </w:p>
    <w:p>
      <w:pPr>
        <w:pStyle w:val="Style13"/>
        <w:keepNext w:val="0"/>
        <w:keepLines w:val="0"/>
        <w:widowControl w:val="0"/>
        <w:shd w:val="clear" w:color="auto" w:fill="auto"/>
        <w:tabs>
          <w:tab w:pos="863" w:val="left"/>
        </w:tabs>
        <w:bidi w:val="0"/>
        <w:spacing w:before="0" w:after="0" w:line="312" w:lineRule="exact"/>
        <w:ind w:left="0" w:right="0" w:firstLine="460"/>
        <w:jc w:val="left"/>
      </w:pPr>
      <w:bookmarkStart w:id="889" w:name="bookmark889"/>
      <w:r>
        <w:rPr>
          <w:color w:val="000000"/>
          <w:spacing w:val="0"/>
          <w:w w:val="100"/>
          <w:position w:val="0"/>
        </w:rPr>
        <w:t>（</w:t>
      </w:r>
      <w:bookmarkEnd w:id="889"/>
      <w:r>
        <w:rPr>
          <w:color w:val="000000"/>
          <w:spacing w:val="0"/>
          <w:w w:val="100"/>
          <w:position w:val="0"/>
        </w:rPr>
        <w:t>2）</w:t>
        <w:tab/>
      </w:r>
      <w:r>
        <w:rPr>
          <w:color w:val="000000"/>
          <w:spacing w:val="0"/>
          <w:w w:val="100"/>
          <w:position w:val="0"/>
        </w:rPr>
        <w:t>后续计量</w:t>
      </w:r>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在租赁期开始日后，本集团按以下原则对租赁负债进行后续计量：①确认租赁负债的利息时，增加租赁负债的账面金 额；②支付租赁付款额时，减少租赁负债的账面金额；③因重估或租赁变更等原因导致租赁付款额发生变动时，重新计量租 赁负债的账面价值。</w:t>
      </w:r>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本集团按照固定的周期性利率计算租赁负债在租赁期内各期间的利息费用，并计入当期损益，但应当资本化的除外。 周期性利率是指本集团对租赁负债进行初始计量时所采用的折现率，或者因租赁付款额发生变动或因租赁变更而需按照修订 后的折现率对租赁负债进行重新计量时，本集团所采用的修订后的折现率。</w:t>
      </w:r>
    </w:p>
    <w:p>
      <w:pPr>
        <w:pStyle w:val="Style13"/>
        <w:keepNext w:val="0"/>
        <w:keepLines w:val="0"/>
        <w:widowControl w:val="0"/>
        <w:shd w:val="clear" w:color="auto" w:fill="auto"/>
        <w:tabs>
          <w:tab w:pos="863" w:val="left"/>
        </w:tabs>
        <w:bidi w:val="0"/>
        <w:spacing w:before="0" w:after="0" w:line="312" w:lineRule="exact"/>
        <w:ind w:left="0" w:right="0" w:firstLine="460"/>
        <w:jc w:val="left"/>
      </w:pPr>
      <w:bookmarkStart w:id="890" w:name="bookmark890"/>
      <w:r>
        <w:rPr>
          <w:color w:val="000000"/>
          <w:spacing w:val="0"/>
          <w:w w:val="100"/>
          <w:position w:val="0"/>
        </w:rPr>
        <w:t>（</w:t>
      </w:r>
      <w:bookmarkEnd w:id="890"/>
      <w:r>
        <w:rPr>
          <w:color w:val="000000"/>
          <w:spacing w:val="0"/>
          <w:w w:val="100"/>
          <w:position w:val="0"/>
        </w:rPr>
        <w:t>3）</w:t>
        <w:tab/>
      </w:r>
      <w:r>
        <w:rPr>
          <w:color w:val="000000"/>
          <w:spacing w:val="0"/>
          <w:w w:val="100"/>
          <w:position w:val="0"/>
        </w:rPr>
        <w:t>重新计量</w:t>
      </w:r>
    </w:p>
    <w:p>
      <w:pPr>
        <w:pStyle w:val="Style1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在租赁期开始日后，发生下列情形时，本集团按照变动后租赁付款额的现值重新计量租赁负债，并相应调整使用权资 产的账面价值。使用权资产的账面价值已调减至零，但租赁负债仍需进一步调减的，本集团将剩余金额计入当期损益。①实 质固定付款额发生变动（该情形下，采用原折现率折现）；②保余值预计的应付金额发生变动（该情形下，采用原折现率折 现）；③用于确定租赁付款额的指数或比率发生变动（该情形下，采用修订后的折现率折现）；④购买选择权的评估结果发 生变化（该情形下，采用修订后的折现率折现）；⑤续租选择权或终止租赁选择权的评估结果或实际行使情况发生变化（该 情形下，采用修订后的折现率折现）。</w:t>
      </w:r>
    </w:p>
    <w:p>
      <w:pPr>
        <w:pStyle w:val="Style29"/>
        <w:keepNext/>
        <w:keepLines/>
        <w:widowControl w:val="0"/>
        <w:shd w:val="clear" w:color="auto" w:fill="auto"/>
        <w:tabs>
          <w:tab w:pos="446" w:val="left"/>
        </w:tabs>
        <w:bidi w:val="0"/>
        <w:spacing w:before="0" w:after="28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891"/>
      <w:bookmarkEnd w:id="892"/>
      <w:bookmarkEnd w:id="894"/>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当与对外担保、商业承兑汇票贴现、未决诉讼或仲裁、产品质量保证等或有事项相关的业务同时符合以下条件时，本 集团将其确认为负债：该义务是本集团承担的现时义务；该义务的履行很可能导致经济利益流出企业；该义务的金额能够可 靠地计量。</w:t>
      </w:r>
    </w:p>
    <w:p>
      <w:pPr>
        <w:pStyle w:val="Style13"/>
        <w:keepNext w:val="0"/>
        <w:keepLines w:val="0"/>
        <w:widowControl w:val="0"/>
        <w:shd w:val="clear" w:color="auto" w:fill="auto"/>
        <w:bidi w:val="0"/>
        <w:spacing w:before="0" w:after="360" w:line="311" w:lineRule="exact"/>
        <w:ind w:left="0" w:right="0" w:firstLine="460"/>
        <w:jc w:val="both"/>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和货币时间价值等因素。货币时间价值影响重大的，通过对相关未来现金流出进行折现后确定最佳估计数。每个资产负债表 日对预计负债的账面价值进行复核，如有改变则对账面价值进行调整以反映当前最佳估计数。</w:t>
      </w:r>
    </w:p>
    <w:p>
      <w:pPr>
        <w:pStyle w:val="Style29"/>
        <w:keepNext/>
        <w:keepLines/>
        <w:widowControl w:val="0"/>
        <w:shd w:val="clear" w:color="auto" w:fill="auto"/>
        <w:tabs>
          <w:tab w:pos="446" w:val="left"/>
        </w:tabs>
        <w:bidi w:val="0"/>
        <w:spacing w:before="0" w:after="2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9</w:t>
      </w:r>
      <w:r>
        <w:rPr>
          <w:color w:val="000000"/>
          <w:spacing w:val="0"/>
          <w:w w:val="100"/>
          <w:position w:val="0"/>
        </w:rPr>
        <w:t>、</w:t>
        <w:tab/>
        <w:t>股份支付</w:t>
      </w:r>
      <w:bookmarkEnd w:id="895"/>
      <w:bookmarkEnd w:id="896"/>
      <w:bookmarkEnd w:id="898"/>
    </w:p>
    <w:p>
      <w:pPr>
        <w:pStyle w:val="Style13"/>
        <w:keepNext w:val="0"/>
        <w:keepLines w:val="0"/>
        <w:widowControl w:val="0"/>
        <w:shd w:val="clear" w:color="auto" w:fill="auto"/>
        <w:bidi w:val="0"/>
        <w:spacing w:before="0" w:after="0" w:line="310" w:lineRule="exact"/>
        <w:ind w:left="0" w:right="0" w:firstLine="460"/>
        <w:jc w:val="left"/>
      </w:pPr>
      <w:r>
        <w:rPr>
          <w:color w:val="000000"/>
          <w:spacing w:val="0"/>
          <w:w w:val="100"/>
          <w:position w:val="0"/>
        </w:rPr>
        <w:t>股份支付，分为以权益结算的股份支付和以现金结算的股份支付。</w:t>
      </w:r>
    </w:p>
    <w:p>
      <w:pPr>
        <w:pStyle w:val="Style1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用以换取职工提供服务的以权益结算的股份支付，以授予职工权益工具在授予日的公允价值计量。该公允价值的金额 在完成等待期内的服务或达到规定业绩条件才可行权的情况下，在等待期内以对可行权权益工具数量的最佳估计为基础，按 直线法计算计入相关成本或费用，相应增加资本公积。</w:t>
      </w:r>
    </w:p>
    <w:p>
      <w:pPr>
        <w:pStyle w:val="Style1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以现金结算的股份支付，按照本集团承担的以股份或其他权益工具为基础确定的负债的公允价值计量。如授予后立即 可行权，在授予日以承担负债的公允价值计入相关成本或费用，相应增加负债；如需完成等待期内的服务或达到规定业绩条 件以后才可行权，在等待期的每个资产负债表日，以对可行权情况的最佳估计为基础，按照本集团承担负债的公允价值金额， 将当期取得的服务计入成本或费用，相应调整负债。</w:t>
      </w:r>
    </w:p>
    <w:p>
      <w:pPr>
        <w:pStyle w:val="Style13"/>
        <w:keepNext w:val="0"/>
        <w:keepLines w:val="0"/>
        <w:widowControl w:val="0"/>
        <w:shd w:val="clear" w:color="auto" w:fill="auto"/>
        <w:bidi w:val="0"/>
        <w:spacing w:before="0" w:after="0" w:line="310" w:lineRule="exact"/>
        <w:ind w:left="0" w:right="0" w:firstLine="460"/>
        <w:jc w:val="left"/>
      </w:pPr>
      <w:r>
        <w:rPr>
          <w:color w:val="000000"/>
          <w:spacing w:val="0"/>
          <w:w w:val="100"/>
          <w:position w:val="0"/>
        </w:rPr>
        <w:t>在相关负债结算前的每个资产负债表日以及结算日，对负债的公允价值重新计量，其变动计入当期损益。</w:t>
      </w:r>
    </w:p>
    <w:p>
      <w:pPr>
        <w:pStyle w:val="Style13"/>
        <w:keepNext w:val="0"/>
        <w:keepLines w:val="0"/>
        <w:widowControl w:val="0"/>
        <w:shd w:val="clear" w:color="auto" w:fill="auto"/>
        <w:bidi w:val="0"/>
        <w:spacing w:before="0" w:after="360" w:line="310" w:lineRule="exact"/>
        <w:ind w:left="0" w:right="0" w:firstLine="460"/>
        <w:jc w:val="both"/>
      </w:pPr>
      <w:r>
        <w:rPr>
          <w:color w:val="000000"/>
          <w:spacing w:val="0"/>
          <w:w w:val="100"/>
          <w:position w:val="0"/>
        </w:rPr>
        <w:t>本集团在等待期内取消所授予权益工具的（因未满足可行权条件而被取消的除外），作为加速行权处理，即视同剩余 等待期内的股权支付计划已经全部满足可行权条件，在取消所授予权益工具的当期确认剩余等待期内的所有费用。</w:t>
      </w:r>
    </w:p>
    <w:p>
      <w:pPr>
        <w:pStyle w:val="Style29"/>
        <w:keepNext/>
        <w:keepLines/>
        <w:widowControl w:val="0"/>
        <w:shd w:val="clear" w:color="auto" w:fill="auto"/>
        <w:tabs>
          <w:tab w:pos="446" w:val="left"/>
        </w:tabs>
        <w:bidi w:val="0"/>
        <w:spacing w:before="0" w:after="28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3</w:t>
      </w:r>
      <w:bookmarkEnd w:id="901"/>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899"/>
      <w:bookmarkEnd w:id="900"/>
      <w:bookmarkEnd w:id="902"/>
    </w:p>
    <w:p>
      <w:pPr>
        <w:pStyle w:val="Style1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本集团的营业收入主要包括系统集成收入、软件开发及技术服务收入，收入确认原则如下：</w:t>
      </w:r>
    </w:p>
    <w:p>
      <w:pPr>
        <w:pStyle w:val="Style13"/>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本集团在履行了合同中的履约义务，即在客户取得相关商品或服务控制权时，按照分摊至该项履约义务的交易价格确 认收入。履约义务，是指合同中本集团向客户转让可明确区分商品或服务的承诺。交易价格，是指本集团因向客户转让商品 或服务而预期有权收取的对价金额，但不包含代第三方收取的款项以及本集团预期将退还给客户的款项。</w:t>
      </w:r>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满足下列条件之一的，属于在某一时间段内履行的履约义务，本集团按照履约进度，在一段时间内确认收入：</w:t>
      </w:r>
      <w:r>
        <w:rPr>
          <w:color w:val="000000"/>
          <w:spacing w:val="0"/>
          <w:w w:val="100"/>
          <w:position w:val="0"/>
        </w:rPr>
        <w:t>（1）</w:t>
      </w:r>
      <w:r>
        <w:rPr>
          <w:color w:val="000000"/>
          <w:spacing w:val="0"/>
          <w:w w:val="100"/>
          <w:position w:val="0"/>
        </w:rPr>
        <w:t>客户 在本集团履约的同时即取得并消耗本集团履约所带来的经济利益</w:t>
      </w:r>
      <w:r>
        <w:rPr>
          <w:color w:val="000000"/>
          <w:spacing w:val="0"/>
          <w:w w:val="100"/>
          <w:position w:val="0"/>
        </w:rPr>
        <w:t>；（2）</w:t>
      </w:r>
      <w:r>
        <w:rPr>
          <w:color w:val="000000"/>
          <w:spacing w:val="0"/>
          <w:w w:val="100"/>
          <w:position w:val="0"/>
        </w:rPr>
        <w:t>客户能够控制本集团履约过程中在建的商品；</w:t>
      </w:r>
      <w:r>
        <w:rPr>
          <w:color w:val="000000"/>
          <w:spacing w:val="0"/>
          <w:w w:val="100"/>
          <w:position w:val="0"/>
        </w:rPr>
        <w:t>（3）</w:t>
      </w:r>
      <w:r>
        <w:rPr>
          <w:color w:val="000000"/>
          <w:spacing w:val="0"/>
          <w:w w:val="100"/>
          <w:position w:val="0"/>
        </w:rPr>
        <w:t>本 集团履约过程中所产出的商品具有不可替代用途，且本集团在整个合同期间内有权就累计至今已完成的履约部分收取款项。 否则，本集团在客户取得相关商品或服务控制权的时点确认收入。</w:t>
      </w:r>
    </w:p>
    <w:p>
      <w:pPr>
        <w:pStyle w:val="Style1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收入确认的具体处理方法：</w:t>
      </w:r>
    </w:p>
    <w:p>
      <w:pPr>
        <w:pStyle w:val="Style13"/>
        <w:keepNext w:val="0"/>
        <w:keepLines w:val="0"/>
        <w:widowControl w:val="0"/>
        <w:shd w:val="clear" w:color="auto" w:fill="auto"/>
        <w:tabs>
          <w:tab w:pos="808" w:val="left"/>
        </w:tabs>
        <w:bidi w:val="0"/>
        <w:spacing w:before="0" w:after="0" w:line="312" w:lineRule="exact"/>
        <w:ind w:left="0" w:right="0" w:firstLine="400"/>
        <w:jc w:val="left"/>
      </w:pPr>
      <w:bookmarkStart w:id="903" w:name="bookmark903"/>
      <w:r>
        <w:rPr>
          <w:color w:val="000000"/>
          <w:spacing w:val="0"/>
          <w:w w:val="100"/>
          <w:position w:val="0"/>
        </w:rPr>
        <w:t>（</w:t>
      </w:r>
      <w:bookmarkEnd w:id="903"/>
      <w:r>
        <w:rPr>
          <w:color w:val="000000"/>
          <w:spacing w:val="0"/>
          <w:w w:val="100"/>
          <w:position w:val="0"/>
        </w:rPr>
        <w:t>1）</w:t>
        <w:tab/>
      </w:r>
      <w:r>
        <w:rPr>
          <w:color w:val="000000"/>
          <w:spacing w:val="0"/>
          <w:w w:val="100"/>
          <w:position w:val="0"/>
        </w:rPr>
        <w:t>系统集成收入</w:t>
      </w:r>
    </w:p>
    <w:p>
      <w:pPr>
        <w:pStyle w:val="Style1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本集团在客户取得相关商品或服务控制权时点确认收入，即在发货完成后并取得客户的收货证明时确认收入。</w:t>
      </w:r>
    </w:p>
    <w:p>
      <w:pPr>
        <w:pStyle w:val="Style13"/>
        <w:keepNext w:val="0"/>
        <w:keepLines w:val="0"/>
        <w:widowControl w:val="0"/>
        <w:shd w:val="clear" w:color="auto" w:fill="auto"/>
        <w:tabs>
          <w:tab w:pos="808" w:val="left"/>
        </w:tabs>
        <w:bidi w:val="0"/>
        <w:spacing w:before="0" w:after="0" w:line="312" w:lineRule="exact"/>
        <w:ind w:left="0" w:right="0" w:firstLine="400"/>
        <w:jc w:val="left"/>
      </w:pPr>
      <w:bookmarkStart w:id="904" w:name="bookmark904"/>
      <w:r>
        <w:rPr>
          <w:color w:val="000000"/>
          <w:spacing w:val="0"/>
          <w:w w:val="100"/>
          <w:position w:val="0"/>
        </w:rPr>
        <w:t>（</w:t>
      </w:r>
      <w:bookmarkEnd w:id="904"/>
      <w:r>
        <w:rPr>
          <w:color w:val="000000"/>
          <w:spacing w:val="0"/>
          <w:w w:val="100"/>
          <w:position w:val="0"/>
        </w:rPr>
        <w:t>2）</w:t>
        <w:tab/>
      </w:r>
      <w:r>
        <w:rPr>
          <w:color w:val="000000"/>
          <w:spacing w:val="0"/>
          <w:w w:val="100"/>
          <w:position w:val="0"/>
        </w:rPr>
        <w:t>软件开发及技术服务收入</w:t>
      </w:r>
    </w:p>
    <w:p>
      <w:pPr>
        <w:pStyle w:val="Style1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如果属于在某一时间段内履行的履约义务，本集团按照履约进度，在一段时间内确认收入。确定履约进度的方法系完 工百分比法，完工百分比按照实际成本支出与预算成本支出的比例来确定。否则，本集团在客户取得相关商品或服务控制权 的时点确认收入。对于软件产品的销售，以客户验收确认，作为销售收入的实现。</w:t>
      </w:r>
    </w:p>
    <w:p>
      <w:pPr>
        <w:pStyle w:val="Style29"/>
        <w:keepNext/>
        <w:keepLines/>
        <w:widowControl w:val="0"/>
        <w:shd w:val="clear" w:color="auto" w:fill="auto"/>
        <w:tabs>
          <w:tab w:pos="451" w:val="left"/>
        </w:tabs>
        <w:bidi w:val="0"/>
        <w:spacing w:before="0" w:after="2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3</w:t>
      </w:r>
      <w:bookmarkEnd w:id="907"/>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905"/>
      <w:bookmarkEnd w:id="906"/>
      <w:bookmarkEnd w:id="908"/>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政府补助包括与资产相关的政府补助及与收益相关的政府补助。其中，与资产相关的政府补助，是指本公司取得的、 用于购建或以其他方式形成长期资产的政府补助；与收益相关的政府补助，是指除与资产相关的政府补助之外的政府补助。 如果政府文件中未明确规定补助对象，本公司按照上述区分原则进行判断，难以区分的，整体归类为与收益相关的政府补助。</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政府补助为货币性资产的，按照实际收到的金额计量，对于按照固定的定额标准拨付的补助，或对年末有确凿证据表 明能够符合财政扶持政策规定的相关条件且预计能够收到财政扶持资金时，按照应收的金额计量；政府补助为非货币性资 产的，按照公允价值计量，公允价值不能可靠取得的，按照名义金额</w:t>
      </w:r>
      <w:r>
        <w:rPr>
          <w:color w:val="000000"/>
          <w:spacing w:val="0"/>
          <w:w w:val="100"/>
          <w:position w:val="0"/>
        </w:rPr>
        <w:t>（1</w:t>
      </w:r>
      <w:r>
        <w:rPr>
          <w:color w:val="000000"/>
          <w:spacing w:val="0"/>
          <w:w w:val="100"/>
          <w:position w:val="0"/>
        </w:rPr>
        <w:t>元）计量。</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与资产相关的政府补助，冲减相关资产的账面价值或确认为递延收益，确认为递延收益的与资产相关的政府补助，在相 关资产使用寿命内按照合理、系统的方法分期计入损益。</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相关资产在使用寿命结束前被出售、转让、报废或发生毁损的，将尚未分配的相关递延收益余额转入资产处置当期的 损益。</w:t>
      </w:r>
    </w:p>
    <w:p>
      <w:pPr>
        <w:pStyle w:val="Style13"/>
        <w:keepNext w:val="0"/>
        <w:keepLines w:val="0"/>
        <w:widowControl w:val="0"/>
        <w:shd w:val="clear" w:color="auto" w:fill="auto"/>
        <w:bidi w:val="0"/>
        <w:spacing w:before="0" w:after="360" w:line="311" w:lineRule="exact"/>
        <w:ind w:left="0" w:right="0" w:firstLine="460"/>
        <w:jc w:val="both"/>
      </w:pPr>
      <w:r>
        <w:rPr>
          <w:color w:val="000000"/>
          <w:spacing w:val="0"/>
          <w:w w:val="100"/>
          <w:position w:val="0"/>
        </w:rPr>
        <w:t>与收益相关的政府补助，用于补偿以后期间的相关成本费用或损失的，确认为递延收益，并在确认相关成本费用或损 失的期间计入当期损益或冲减相关成本。与日常活动相关的政府补助，按照经济业务实质，计入其他收益或冲减相关成本费 用。与日常活动无关的政府补助，计入营业外收支。</w:t>
      </w:r>
    </w:p>
    <w:p>
      <w:pPr>
        <w:pStyle w:val="Style29"/>
        <w:keepNext/>
        <w:keepLines/>
        <w:widowControl w:val="0"/>
        <w:shd w:val="clear" w:color="auto" w:fill="auto"/>
        <w:tabs>
          <w:tab w:pos="451"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3</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09"/>
      <w:bookmarkEnd w:id="910"/>
      <w:bookmarkEnd w:id="912"/>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本集团递延所得税资产和递延所得税负债根据资产和负债的计税基础与其账面价值的差额（暂时性差异）计算确认。对 于按照税法规定能够于以后年度抵减应纳税所得额的可抵扣亏损和税款抵减，视同暂时性差异确认相应的递延所得税资产。 于资产负债表日，递延所得税资产和递延所得税负债，按照预期收回该资产或清偿该负债期间的适用税率计量。</w:t>
      </w:r>
    </w:p>
    <w:p>
      <w:pPr>
        <w:pStyle w:val="Style1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本集团以很可能取得用来抵扣可抵扣暂时性差异的应纳税所得额为限，确认由可抵扣暂时性差异产生的递延所得税资 产。对已确认的递延所得税资产，当预计到未来期间很可能无法获得足够的应纳税所得额用以抵扣递延所得税资产时，应当 减记递延所得税资产的账面价值。在很可能获得足够的应纳税所得额时，减记的金额予以转回。</w:t>
      </w:r>
    </w:p>
    <w:p>
      <w:pPr>
        <w:pStyle w:val="Style29"/>
        <w:keepNext/>
        <w:keepLines/>
        <w:widowControl w:val="0"/>
        <w:shd w:val="clear" w:color="auto" w:fill="auto"/>
        <w:tabs>
          <w:tab w:pos="451" w:val="left"/>
        </w:tabs>
        <w:bidi w:val="0"/>
        <w:spacing w:before="0" w:after="2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3</w:t>
      </w:r>
      <w:bookmarkEnd w:id="915"/>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913"/>
      <w:bookmarkEnd w:id="914"/>
      <w:bookmarkEnd w:id="916"/>
    </w:p>
    <w:p>
      <w:pPr>
        <w:pStyle w:val="Style13"/>
        <w:keepNext w:val="0"/>
        <w:keepLines w:val="0"/>
        <w:widowControl w:val="0"/>
        <w:shd w:val="clear" w:color="auto" w:fill="auto"/>
        <w:bidi w:val="0"/>
        <w:spacing w:before="0" w:after="0" w:line="362" w:lineRule="exact"/>
        <w:ind w:left="0" w:right="0" w:firstLine="400"/>
        <w:jc w:val="left"/>
      </w:pPr>
      <w:r>
        <w:rPr>
          <w:color w:val="000000"/>
          <w:spacing w:val="0"/>
          <w:w w:val="100"/>
          <w:position w:val="0"/>
        </w:rPr>
        <w:t>（1）</w:t>
      </w:r>
      <w:r>
        <w:rPr>
          <w:color w:val="000000"/>
          <w:spacing w:val="0"/>
          <w:w w:val="100"/>
          <w:position w:val="0"/>
        </w:rPr>
        <w:t>租赁的识别</w:t>
      </w:r>
    </w:p>
    <w:p>
      <w:pPr>
        <w:pStyle w:val="Style13"/>
        <w:keepNext w:val="0"/>
        <w:keepLines w:val="0"/>
        <w:widowControl w:val="0"/>
        <w:shd w:val="clear" w:color="auto" w:fill="auto"/>
        <w:bidi w:val="0"/>
        <w:spacing w:before="0" w:after="280" w:line="362" w:lineRule="exact"/>
        <w:ind w:left="0" w:right="0" w:firstLine="460"/>
        <w:jc w:val="both"/>
      </w:pPr>
      <w:r>
        <w:rPr>
          <w:color w:val="000000"/>
          <w:spacing w:val="0"/>
          <w:w w:val="100"/>
          <w:position w:val="0"/>
        </w:rPr>
        <w:t>租赁，是指在一定期间内，出租人将资产的使用权让与承租人以获取对价的合同。在合同开始日，本集团评估合同是 否为租赁或者包含租赁。如果合同一方让渡了在一定期间内控制一项或多项已识别资产使用的权利以换取对价，则该合同为 租赁或者包含租赁。为确定合同是否让渡了在一定期间内控制已识别资产使用的权利，本集团评估合同中的客户是否有权获 得在使用期间内因使用已识别资产所产生的几乎全部经济利益，并有权在该使用期间主导已识别资产的使用。</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合同中同时包含多项单独租赁的，本集团将合同予以分拆，并分别各项单独租赁进行会计处理。合同中同时包含租赁 和非租赁部分的，本集团将租赁和非租赁部分分拆后进行会计处理。</w:t>
      </w:r>
    </w:p>
    <w:p>
      <w:pPr>
        <w:pStyle w:val="Style13"/>
        <w:keepNext w:val="0"/>
        <w:keepLines w:val="0"/>
        <w:widowControl w:val="0"/>
        <w:shd w:val="clear" w:color="auto" w:fill="auto"/>
        <w:tabs>
          <w:tab w:pos="788" w:val="left"/>
        </w:tabs>
        <w:bidi w:val="0"/>
        <w:spacing w:before="0" w:after="0" w:line="360" w:lineRule="exact"/>
        <w:ind w:left="0" w:right="0" w:firstLine="400"/>
        <w:jc w:val="both"/>
      </w:pPr>
      <w:bookmarkStart w:id="917" w:name="bookmark917"/>
      <w:r>
        <w:rPr>
          <w:color w:val="000000"/>
          <w:spacing w:val="0"/>
          <w:w w:val="100"/>
          <w:position w:val="0"/>
        </w:rPr>
        <w:t>（</w:t>
      </w:r>
      <w:bookmarkEnd w:id="917"/>
      <w:r>
        <w:rPr>
          <w:color w:val="000000"/>
          <w:spacing w:val="0"/>
          <w:w w:val="100"/>
          <w:position w:val="0"/>
        </w:rPr>
        <w:t>2）</w:t>
        <w:tab/>
      </w:r>
      <w:r>
        <w:rPr>
          <w:color w:val="000000"/>
          <w:spacing w:val="0"/>
          <w:w w:val="100"/>
          <w:position w:val="0"/>
        </w:rPr>
        <w:t>本集团作为承租人</w:t>
      </w:r>
    </w:p>
    <w:p>
      <w:pPr>
        <w:pStyle w:val="Style13"/>
        <w:keepNext w:val="0"/>
        <w:keepLines w:val="0"/>
        <w:widowControl w:val="0"/>
        <w:shd w:val="clear" w:color="auto" w:fill="auto"/>
        <w:tabs>
          <w:tab w:pos="700" w:val="left"/>
        </w:tabs>
        <w:bidi w:val="0"/>
        <w:spacing w:before="0" w:after="0" w:line="360" w:lineRule="exact"/>
        <w:ind w:left="0" w:right="0" w:firstLine="400"/>
        <w:jc w:val="both"/>
      </w:pPr>
      <w:bookmarkStart w:id="918" w:name="bookmark918"/>
      <w:r>
        <w:rPr>
          <w:color w:val="000000"/>
          <w:spacing w:val="0"/>
          <w:w w:val="100"/>
          <w:position w:val="0"/>
        </w:rPr>
        <w:t>1</w:t>
      </w:r>
      <w:bookmarkEnd w:id="918"/>
      <w:r>
        <w:rPr>
          <w:color w:val="000000"/>
          <w:spacing w:val="0"/>
          <w:w w:val="100"/>
          <w:position w:val="0"/>
        </w:rPr>
        <w:t>）</w:t>
        <w:tab/>
      </w:r>
      <w:r>
        <w:rPr>
          <w:color w:val="000000"/>
          <w:spacing w:val="0"/>
          <w:w w:val="100"/>
          <w:position w:val="0"/>
        </w:rPr>
        <w:t>租赁确认</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在租赁期开始日，本集团对租赁确认使用权资产和租赁负债。使用权资产和租赁负债的确认和计量参见附注五</w:t>
      </w:r>
      <w:r>
        <w:rPr>
          <w:color w:val="000000"/>
          <w:spacing w:val="0"/>
          <w:w w:val="100"/>
          <w:position w:val="0"/>
        </w:rPr>
        <w:t>“20.</w:t>
      </w:r>
      <w:r>
        <w:rPr>
          <w:color w:val="000000"/>
          <w:spacing w:val="0"/>
          <w:w w:val="100"/>
          <w:position w:val="0"/>
        </w:rPr>
        <w:t>使 用权资产”以及</w:t>
      </w:r>
      <w:r>
        <w:rPr>
          <w:color w:val="000000"/>
          <w:spacing w:val="0"/>
          <w:w w:val="100"/>
          <w:position w:val="0"/>
        </w:rPr>
        <w:t>“27.</w:t>
      </w:r>
      <w:r>
        <w:rPr>
          <w:color w:val="000000"/>
          <w:spacing w:val="0"/>
          <w:w w:val="100"/>
          <w:position w:val="0"/>
        </w:rPr>
        <w:t>租赁负债”。</w:t>
      </w:r>
    </w:p>
    <w:p>
      <w:pPr>
        <w:pStyle w:val="Style13"/>
        <w:keepNext w:val="0"/>
        <w:keepLines w:val="0"/>
        <w:widowControl w:val="0"/>
        <w:shd w:val="clear" w:color="auto" w:fill="auto"/>
        <w:tabs>
          <w:tab w:pos="701" w:val="left"/>
        </w:tabs>
        <w:bidi w:val="0"/>
        <w:spacing w:before="0" w:after="0" w:line="360" w:lineRule="exact"/>
        <w:ind w:left="0" w:right="0" w:firstLine="400"/>
        <w:jc w:val="both"/>
      </w:pPr>
      <w:bookmarkStart w:id="919" w:name="bookmark919"/>
      <w:r>
        <w:rPr>
          <w:color w:val="000000"/>
          <w:spacing w:val="0"/>
          <w:w w:val="100"/>
          <w:position w:val="0"/>
        </w:rPr>
        <w:t>2</w:t>
      </w:r>
      <w:bookmarkEnd w:id="919"/>
      <w:r>
        <w:rPr>
          <w:color w:val="000000"/>
          <w:spacing w:val="0"/>
          <w:w w:val="100"/>
          <w:position w:val="0"/>
        </w:rPr>
        <w:t>）</w:t>
        <w:tab/>
      </w:r>
      <w:r>
        <w:rPr>
          <w:color w:val="000000"/>
          <w:spacing w:val="0"/>
          <w:w w:val="100"/>
          <w:position w:val="0"/>
        </w:rPr>
        <w:t>租赁变更</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租赁变更，是指原合同条款之外的租赁范围、租赁对价、租赁期限的变更，包括增加或终止一项或多项租赁资产的使 用权，延长或缩短合同规定的租赁期等。租赁变更生效日，是指双方就租赁变更达成一致的日期。</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租赁发生变更且同时符合下列条件的，本集团将该租赁变更作为一项单独租赁进行会计处理：①该租赁变更通过增加 一项或多项租赁资产的使用权而扩大了租赁范围或延长了租赁期限;②增加的对价与租赁范围扩大部分或租赁期限延长部分 的单独价格按该合同情况调整后的金额相当。</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租赁变更未作为一项单独租赁进行会计处理的，在租赁变更生效日，本集团按照租赁准则有关规定对变更后合同的对 价进行分摊，重新确定变更后的租赁期；并采用修订后的折现率对变更后的租赁付款额进行折现，以重新计量租赁负债。在 计算变更后租赁付款额的现值时，本集团采用剩余租赁期间的租赁内含利率作为折现率；无法确定剩余租赁期间的租赁内含 利率的，本集团采用租赁变更生效日的承租人增量借款利率作为折现率。就上述租赁负债调整的影响，本集团区分以下情形 进行会计处理：①租赁变更导致租赁范围缩小或租赁期缩短的，承租人应当调减使用权资产的账面价值，并将部分终止或完 全终止租赁的相关利得或损失计入当期损益。②其他租赁变更导致租赁负债重新计量的，承租人相应调整使用权资产的账面 价值。</w:t>
      </w:r>
    </w:p>
    <w:p>
      <w:pPr>
        <w:pStyle w:val="Style13"/>
        <w:keepNext w:val="0"/>
        <w:keepLines w:val="0"/>
        <w:widowControl w:val="0"/>
        <w:shd w:val="clear" w:color="auto" w:fill="auto"/>
        <w:tabs>
          <w:tab w:pos="701" w:val="left"/>
        </w:tabs>
        <w:bidi w:val="0"/>
        <w:spacing w:before="0" w:after="0" w:line="360" w:lineRule="exact"/>
        <w:ind w:left="0" w:right="0" w:firstLine="400"/>
        <w:jc w:val="both"/>
      </w:pPr>
      <w:bookmarkStart w:id="920" w:name="bookmark920"/>
      <w:r>
        <w:rPr>
          <w:color w:val="000000"/>
          <w:spacing w:val="0"/>
          <w:w w:val="100"/>
          <w:position w:val="0"/>
        </w:rPr>
        <w:t>3</w:t>
      </w:r>
      <w:bookmarkEnd w:id="920"/>
      <w:r>
        <w:rPr>
          <w:color w:val="000000"/>
          <w:spacing w:val="0"/>
          <w:w w:val="100"/>
          <w:position w:val="0"/>
        </w:rPr>
        <w:t>）</w:t>
        <w:tab/>
      </w:r>
      <w:r>
        <w:rPr>
          <w:color w:val="000000"/>
          <w:spacing w:val="0"/>
          <w:w w:val="100"/>
          <w:position w:val="0"/>
        </w:rPr>
        <w:t>短期租赁和低价值资产租赁</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对于租赁期不超过</w:t>
      </w:r>
      <w:r>
        <w:rPr>
          <w:color w:val="000000"/>
          <w:spacing w:val="0"/>
          <w:w w:val="100"/>
          <w:position w:val="0"/>
        </w:rPr>
        <w:t>12</w:t>
      </w:r>
      <w:r>
        <w:rPr>
          <w:color w:val="000000"/>
          <w:spacing w:val="0"/>
          <w:w w:val="100"/>
          <w:position w:val="0"/>
        </w:rPr>
        <w:t>个月的短期租赁和单项租赁资产为全新资产时价值较低的低价值资产租赁，本集团选择不确认使 用权资产和租赁负债。本集团将短期租赁和低价值资产租赁的租赁付款额，在租赁期内各个期间按照直线法计入相关资产成 本或当期损益。</w:t>
      </w:r>
    </w:p>
    <w:p>
      <w:pPr>
        <w:pStyle w:val="Style13"/>
        <w:keepNext w:val="0"/>
        <w:keepLines w:val="0"/>
        <w:widowControl w:val="0"/>
        <w:shd w:val="clear" w:color="auto" w:fill="auto"/>
        <w:tabs>
          <w:tab w:pos="788" w:val="left"/>
        </w:tabs>
        <w:bidi w:val="0"/>
        <w:spacing w:before="0" w:after="0" w:line="360" w:lineRule="exact"/>
        <w:ind w:left="0" w:right="0" w:firstLine="400"/>
        <w:jc w:val="both"/>
      </w:pPr>
      <w:bookmarkStart w:id="921" w:name="bookmark921"/>
      <w:r>
        <w:rPr>
          <w:color w:val="000000"/>
          <w:spacing w:val="0"/>
          <w:w w:val="100"/>
          <w:position w:val="0"/>
        </w:rPr>
        <w:t>（</w:t>
      </w:r>
      <w:bookmarkEnd w:id="921"/>
      <w:r>
        <w:rPr>
          <w:color w:val="000000"/>
          <w:spacing w:val="0"/>
          <w:w w:val="100"/>
          <w:position w:val="0"/>
        </w:rPr>
        <w:t>3）</w:t>
        <w:tab/>
      </w:r>
      <w:r>
        <w:rPr>
          <w:color w:val="000000"/>
          <w:spacing w:val="0"/>
          <w:w w:val="100"/>
          <w:position w:val="0"/>
        </w:rPr>
        <w:t>本集团为出租人</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在</w:t>
      </w:r>
      <w:r>
        <w:rPr>
          <w:color w:val="000000"/>
          <w:spacing w:val="0"/>
          <w:w w:val="100"/>
          <w:position w:val="0"/>
        </w:rPr>
        <w:t>（1）</w:t>
      </w:r>
      <w:r>
        <w:rPr>
          <w:color w:val="000000"/>
          <w:spacing w:val="0"/>
          <w:w w:val="100"/>
          <w:position w:val="0"/>
        </w:rPr>
        <w:t>评估的该合同为租赁或包含租赁的基础上，本集团作为出租人，在租赁开始日，将租赁分为融资租赁和经营租 赁。</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如果一项租赁实质上转移了与租赁资产所有权有关的几乎全部风险和报酬，出租人将该项租赁分类为融资租赁，除融 资租赁以外的其他租赁分类为经营租赁。</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一项租赁存在下列一种或多种情形的，本集团通常将其分类为融资租赁：①在租赁期届满时，租赁资产的所有权转移 给承租人；②承租人有购买租赁资产的选择权，所订立的购买价款与预计行使选择权时租赁资产的公允价值相比足够低，因 而在租赁开始日就可以合理确定承租人将行使该选择权；③资产的所有权虽然不转移，但租赁期占租赁资产使用寿命的大部 分（不低于租赁资产使用寿命的</w:t>
      </w:r>
      <w:r>
        <w:rPr>
          <w:color w:val="000000"/>
          <w:spacing w:val="0"/>
          <w:w w:val="100"/>
          <w:position w:val="0"/>
        </w:rPr>
        <w:t>75%）</w:t>
      </w:r>
      <w:r>
        <w:rPr>
          <w:color w:val="000000"/>
          <w:spacing w:val="0"/>
          <w:w w:val="100"/>
          <w:position w:val="0"/>
        </w:rPr>
        <w:t>；④在租赁开始日，租赁收款额的现值几乎相当于租赁资产的公允价值（不低于租赁 资产公允价值的</w:t>
      </w:r>
      <w:r>
        <w:rPr>
          <w:color w:val="000000"/>
          <w:spacing w:val="0"/>
          <w:w w:val="100"/>
          <w:position w:val="0"/>
        </w:rPr>
        <w:t>90%）；⑤</w:t>
      </w:r>
      <w:r>
        <w:rPr>
          <w:color w:val="000000"/>
          <w:spacing w:val="0"/>
          <w:w w:val="100"/>
          <w:position w:val="0"/>
        </w:rPr>
        <w:t>租赁资产性质特殊，如果不作较大改造，只有承租人才能使用。一项租赁存在下列一项或多项迹 象的，本集团也可能将其分类为融资租赁：①若承租人撤销租赁，撤销租赁对出租人造成的损失由承租人承担；②资产余值 的公允价值波动所产生的利得或损失归属于承租人；③承租人有能力以远低于市场水平的租金继续租赁至下一期间。</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1）</w:t>
      </w:r>
      <w:r>
        <w:rPr>
          <w:color w:val="000000"/>
          <w:spacing w:val="0"/>
          <w:w w:val="100"/>
          <w:position w:val="0"/>
        </w:rPr>
        <w:t>融资租赁会计处理</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初始计量</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 xml:space="preserve">在租赁期开始日，本集团对融资租赁确认应收融资租赁款，并终止确认融资租赁资产。本集团对应收融资租赁款进行 </w:t>
      </w:r>
      <w:r>
        <w:rPr>
          <w:color w:val="000000"/>
          <w:spacing w:val="0"/>
          <w:w w:val="100"/>
          <w:position w:val="0"/>
        </w:rPr>
        <w:t>初始计量时，以租赁投资净额作为应收融资租赁款的入账价值。</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租赁投资净额为未担保余值和租赁期开始日尚未收到的租赁收款额按照租赁内含利率折现的现值之和。租赁收款额， 是指出租人因让渡在租赁期内使用租赁资产的权利而应向承租人收取的款项，包括：①承租人需支付的固定付款额及实质固 定付款额；存在租赁激励的，扣除租赁激励相关金额；②取决于指数或比率的可变租赁付款额，该款项在初始计量时根据租 赁期开始日的指数或比率确定；③购买选择权的行权价格，前提是合理确定承租人将行使该选择权；④承租人行使终止租赁 选择权需支付的款项，前提是租赁期反映出承租人将行使终止租赁选择权；⑤由承租人、与承租人有关的一方以及有经济能 力履行担保义务的独立第三方向出租人提供的担保余值。</w:t>
      </w:r>
    </w:p>
    <w:p>
      <w:pPr>
        <w:pStyle w:val="Style13"/>
        <w:keepNext w:val="0"/>
        <w:keepLines w:val="0"/>
        <w:widowControl w:val="0"/>
        <w:shd w:val="clear" w:color="auto" w:fill="auto"/>
        <w:bidi w:val="0"/>
        <w:spacing w:before="0" w:after="0" w:line="360" w:lineRule="exact"/>
        <w:ind w:left="0" w:right="0" w:firstLine="400"/>
        <w:jc w:val="left"/>
      </w:pPr>
      <w:r>
        <w:rPr>
          <w:color w:val="000000"/>
          <w:spacing w:val="0"/>
          <w:w w:val="100"/>
          <w:position w:val="0"/>
        </w:rPr>
        <w:t>后续计量</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本集团按照固定的周期性利率计算并确认租赁期内各个期间的利息收入。该周期性利率，是指确定租赁投资净额采用 内含折现率（转租情况下，若转租的租赁内含利率无法确定，采用原租赁的折现率），或者融资租赁的变更未作为一项单独 租赁进行会计处理，且满足假如变更在租赁开始日生效，该租赁会被分类为融资租赁条件时按相关规定确定的修订后的折现 率。</w:t>
      </w:r>
    </w:p>
    <w:p>
      <w:pPr>
        <w:pStyle w:val="Style13"/>
        <w:keepNext w:val="0"/>
        <w:keepLines w:val="0"/>
        <w:widowControl w:val="0"/>
        <w:shd w:val="clear" w:color="auto" w:fill="auto"/>
        <w:bidi w:val="0"/>
        <w:spacing w:before="0" w:after="0" w:line="360" w:lineRule="exact"/>
        <w:ind w:left="0" w:right="0" w:firstLine="400"/>
        <w:jc w:val="left"/>
      </w:pPr>
      <w:r>
        <w:rPr>
          <w:color w:val="000000"/>
          <w:spacing w:val="0"/>
          <w:w w:val="100"/>
          <w:position w:val="0"/>
        </w:rPr>
        <w:t>租赁变更的会计处理</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融资租赁发生变更且同时符合下列条件的，本集团将该变更作为一项单独租赁进行会计处理：①该变更通过增加一项 或多项租赁资产的使用权而扩大了租赁范围；②增加的对价与租赁范围扩大部分的单独价格按该合同情况调整后的金额相 当。</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如果融资租赁的变更未作为一项单独租赁进行会计处理，且满足假如变更在租赁开始日生效，该租赁会被分类为经营 租赁条件的，本集团自租赁变更生效日开始将其作为一项新租赁进行会计处理，并以租赁变更生效日前的租赁投资净额作为 租赁资产的账面价值。</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2）</w:t>
      </w:r>
      <w:r>
        <w:rPr>
          <w:color w:val="000000"/>
          <w:spacing w:val="0"/>
          <w:w w:val="100"/>
          <w:position w:val="0"/>
        </w:rPr>
        <w:t>经营租赁的会计处理</w:t>
      </w:r>
    </w:p>
    <w:p>
      <w:pPr>
        <w:pStyle w:val="Style13"/>
        <w:keepNext w:val="0"/>
        <w:keepLines w:val="0"/>
        <w:widowControl w:val="0"/>
        <w:shd w:val="clear" w:color="auto" w:fill="auto"/>
        <w:bidi w:val="0"/>
        <w:spacing w:before="0" w:after="0" w:line="360" w:lineRule="exact"/>
        <w:ind w:left="0" w:right="0" w:firstLine="400"/>
        <w:jc w:val="left"/>
      </w:pPr>
      <w:r>
        <w:rPr>
          <w:color w:val="000000"/>
          <w:spacing w:val="0"/>
          <w:w w:val="100"/>
          <w:position w:val="0"/>
        </w:rPr>
        <w:t>租金的处理</w:t>
      </w:r>
    </w:p>
    <w:p>
      <w:pPr>
        <w:pStyle w:val="Style13"/>
        <w:keepNext w:val="0"/>
        <w:keepLines w:val="0"/>
        <w:widowControl w:val="0"/>
        <w:shd w:val="clear" w:color="auto" w:fill="auto"/>
        <w:bidi w:val="0"/>
        <w:spacing w:before="0" w:after="0" w:line="360" w:lineRule="exact"/>
        <w:ind w:left="0" w:right="0" w:firstLine="400"/>
        <w:jc w:val="left"/>
      </w:pPr>
      <w:r>
        <w:rPr>
          <w:color w:val="000000"/>
          <w:spacing w:val="0"/>
          <w:w w:val="100"/>
          <w:position w:val="0"/>
        </w:rPr>
        <w:t>在租赁期内各个期间，本集团采用直线法将经营租赁的租赁收款额确认为租金收入。</w:t>
      </w:r>
    </w:p>
    <w:p>
      <w:pPr>
        <w:pStyle w:val="Style13"/>
        <w:keepNext w:val="0"/>
        <w:keepLines w:val="0"/>
        <w:widowControl w:val="0"/>
        <w:shd w:val="clear" w:color="auto" w:fill="auto"/>
        <w:bidi w:val="0"/>
        <w:spacing w:before="0" w:after="0" w:line="360" w:lineRule="exact"/>
        <w:ind w:left="0" w:right="0" w:firstLine="400"/>
        <w:jc w:val="left"/>
      </w:pPr>
      <w:r>
        <w:rPr>
          <w:color w:val="000000"/>
          <w:spacing w:val="0"/>
          <w:w w:val="100"/>
          <w:position w:val="0"/>
        </w:rPr>
        <w:t>提供的激励措施</w:t>
      </w:r>
    </w:p>
    <w:p>
      <w:pPr>
        <w:pStyle w:val="Style13"/>
        <w:keepNext w:val="0"/>
        <w:keepLines w:val="0"/>
        <w:widowControl w:val="0"/>
        <w:shd w:val="clear" w:color="auto" w:fill="auto"/>
        <w:bidi w:val="0"/>
        <w:spacing w:before="0" w:after="0" w:line="360" w:lineRule="exact"/>
        <w:ind w:left="0" w:right="0" w:firstLine="400"/>
        <w:jc w:val="left"/>
      </w:pPr>
      <w:r>
        <w:rPr>
          <w:color w:val="000000"/>
          <w:spacing w:val="0"/>
          <w:w w:val="100"/>
          <w:position w:val="0"/>
        </w:rPr>
        <w:t>提供免租期的，本集团将租金总额在不扣除免租期的整个租赁期内，按直线法进行分配，免租期内应当确认租金收入。 本集团承担了承租人某些费用的，将该费用自租金收入总额中扣除，按扣除后的租金收入余额在租赁期内进行分配。</w:t>
      </w:r>
    </w:p>
    <w:p>
      <w:pPr>
        <w:pStyle w:val="Style13"/>
        <w:keepNext w:val="0"/>
        <w:keepLines w:val="0"/>
        <w:widowControl w:val="0"/>
        <w:shd w:val="clear" w:color="auto" w:fill="auto"/>
        <w:bidi w:val="0"/>
        <w:spacing w:before="0" w:after="0" w:line="360" w:lineRule="exact"/>
        <w:ind w:left="0" w:right="0" w:firstLine="400"/>
        <w:jc w:val="left"/>
      </w:pPr>
      <w:r>
        <w:rPr>
          <w:color w:val="000000"/>
          <w:spacing w:val="0"/>
          <w:w w:val="100"/>
          <w:position w:val="0"/>
        </w:rPr>
        <w:t>初始直接费用</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本集团发生的与经营租赁有关的初始直接费用应当资本化至租赁标的资产的成本，在租赁期内按照与租金收入相同的 确认基础分期计入当期损益。</w:t>
      </w:r>
    </w:p>
    <w:p>
      <w:pPr>
        <w:pStyle w:val="Style13"/>
        <w:keepNext w:val="0"/>
        <w:keepLines w:val="0"/>
        <w:widowControl w:val="0"/>
        <w:shd w:val="clear" w:color="auto" w:fill="auto"/>
        <w:bidi w:val="0"/>
        <w:spacing w:before="0" w:after="0" w:line="360" w:lineRule="exact"/>
        <w:ind w:left="0" w:right="0" w:firstLine="400"/>
        <w:jc w:val="left"/>
      </w:pPr>
      <w:r>
        <w:rPr>
          <w:color w:val="000000"/>
          <w:spacing w:val="0"/>
          <w:w w:val="100"/>
          <w:position w:val="0"/>
        </w:rPr>
        <w:t>折旧</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对于经营租赁资产中的固定资产，本集团采用类似资产的折旧政策计提折旧；对于其他经营租赁资产，采用系统合理 的方法进行摊销。</w:t>
      </w:r>
    </w:p>
    <w:p>
      <w:pPr>
        <w:pStyle w:val="Style13"/>
        <w:keepNext w:val="0"/>
        <w:keepLines w:val="0"/>
        <w:widowControl w:val="0"/>
        <w:shd w:val="clear" w:color="auto" w:fill="auto"/>
        <w:bidi w:val="0"/>
        <w:spacing w:before="0" w:after="0" w:line="360" w:lineRule="exact"/>
        <w:ind w:left="0" w:right="0" w:firstLine="400"/>
        <w:jc w:val="left"/>
      </w:pPr>
      <w:r>
        <w:rPr>
          <w:color w:val="000000"/>
          <w:spacing w:val="0"/>
          <w:w w:val="100"/>
          <w:position w:val="0"/>
        </w:rPr>
        <w:t>可变租赁付款额</w:t>
      </w:r>
    </w:p>
    <w:p>
      <w:pPr>
        <w:pStyle w:val="Style13"/>
        <w:keepNext w:val="0"/>
        <w:keepLines w:val="0"/>
        <w:widowControl w:val="0"/>
        <w:shd w:val="clear" w:color="auto" w:fill="auto"/>
        <w:bidi w:val="0"/>
        <w:spacing w:before="0" w:after="0" w:line="360" w:lineRule="exact"/>
        <w:ind w:left="0" w:right="0" w:firstLine="400"/>
        <w:jc w:val="left"/>
      </w:pPr>
      <w:r>
        <w:rPr>
          <w:color w:val="000000"/>
          <w:spacing w:val="0"/>
          <w:w w:val="100"/>
          <w:position w:val="0"/>
        </w:rPr>
        <w:t>本集团取得的与经营租赁有关的未计入租赁收款额的可变租赁付款额，在实际发生时计入当期损益。</w:t>
      </w:r>
    </w:p>
    <w:p>
      <w:pPr>
        <w:pStyle w:val="Style13"/>
        <w:keepNext w:val="0"/>
        <w:keepLines w:val="0"/>
        <w:widowControl w:val="0"/>
        <w:shd w:val="clear" w:color="auto" w:fill="auto"/>
        <w:bidi w:val="0"/>
        <w:spacing w:before="0" w:after="0" w:line="360" w:lineRule="exact"/>
        <w:ind w:left="0" w:right="0" w:firstLine="400"/>
        <w:jc w:val="left"/>
      </w:pPr>
      <w:r>
        <w:rPr>
          <w:color w:val="000000"/>
          <w:spacing w:val="0"/>
          <w:w w:val="100"/>
          <w:position w:val="0"/>
        </w:rPr>
        <w:t>经营租赁的变更</w:t>
      </w:r>
    </w:p>
    <w:p>
      <w:pPr>
        <w:pStyle w:val="Style13"/>
        <w:keepNext w:val="0"/>
        <w:keepLines w:val="0"/>
        <w:widowControl w:val="0"/>
        <w:shd w:val="clear" w:color="auto" w:fill="auto"/>
        <w:bidi w:val="0"/>
        <w:spacing w:before="0" w:after="0" w:line="360" w:lineRule="exact"/>
        <w:ind w:left="0" w:right="0" w:firstLine="400"/>
        <w:jc w:val="both"/>
      </w:pPr>
      <w:r>
        <w:rPr>
          <w:color w:val="000000"/>
          <w:spacing w:val="0"/>
          <w:w w:val="100"/>
          <w:position w:val="0"/>
        </w:rPr>
        <w:t>经营租赁发生变更的，本集团自变更生效日开始，将其作为一项新的租赁进行会计处理，与变更前租赁有关的预收或 应收租赁收款额视为新租赁的收款额。</w:t>
      </w:r>
    </w:p>
    <w:p>
      <w:pPr>
        <w:pStyle w:val="Style29"/>
        <w:keepNext/>
        <w:keepLines/>
        <w:widowControl w:val="0"/>
        <w:shd w:val="clear" w:color="auto" w:fill="auto"/>
        <w:tabs>
          <w:tab w:pos="427" w:val="left"/>
        </w:tabs>
        <w:bidi w:val="0"/>
        <w:spacing w:before="0" w:after="280" w:line="24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w:t>
      </w:r>
      <w:bookmarkEnd w:id="924"/>
      <w:r>
        <w:rPr>
          <w:rFonts w:ascii="Times New Roman" w:eastAsia="Times New Roman" w:hAnsi="Times New Roman" w:cs="Times New Roman"/>
          <w:color w:val="000000"/>
          <w:spacing w:val="0"/>
          <w:w w:val="100"/>
          <w:position w:val="0"/>
        </w:rPr>
        <w:t>4</w:t>
      </w:r>
      <w:r>
        <w:rPr>
          <w:color w:val="000000"/>
          <w:spacing w:val="0"/>
          <w:w w:val="100"/>
          <w:position w:val="0"/>
        </w:rPr>
        <w:t>、</w:t>
        <w:tab/>
        <w:t>持有待售</w:t>
      </w:r>
      <w:bookmarkEnd w:id="922"/>
      <w:bookmarkEnd w:id="923"/>
      <w:bookmarkEnd w:id="925"/>
    </w:p>
    <w:p>
      <w:pPr>
        <w:pStyle w:val="Style13"/>
        <w:keepNext w:val="0"/>
        <w:keepLines w:val="0"/>
        <w:widowControl w:val="0"/>
        <w:shd w:val="clear" w:color="auto" w:fill="auto"/>
        <w:bidi w:val="0"/>
        <w:spacing w:before="0" w:after="0" w:line="314" w:lineRule="exact"/>
        <w:ind w:left="0" w:right="0"/>
        <w:jc w:val="both"/>
      </w:pPr>
      <w:r>
        <w:rPr>
          <w:color w:val="000000"/>
          <w:spacing w:val="0"/>
          <w:w w:val="100"/>
          <w:position w:val="0"/>
        </w:rPr>
        <w:t>（1）</w:t>
      </w:r>
      <w:r>
        <w:rPr>
          <w:color w:val="000000"/>
          <w:spacing w:val="0"/>
          <w:w w:val="100"/>
          <w:position w:val="0"/>
        </w:rPr>
        <w:t>本集团将同时符合下列条件的非流动资产或处置组划分为持有待售：</w:t>
      </w:r>
      <w:r>
        <w:rPr>
          <w:color w:val="000000"/>
          <w:spacing w:val="0"/>
          <w:w w:val="100"/>
          <w:position w:val="0"/>
        </w:rPr>
        <w:t>1）</w:t>
      </w:r>
      <w:r>
        <w:rPr>
          <w:color w:val="000000"/>
          <w:spacing w:val="0"/>
          <w:w w:val="100"/>
          <w:position w:val="0"/>
        </w:rPr>
        <w:t>根据类似交易中出售此类资产或处置组的 惯例，在当前状况下即可立即出售；</w:t>
      </w:r>
      <w:r>
        <w:rPr>
          <w:color w:val="000000"/>
          <w:spacing w:val="0"/>
          <w:w w:val="100"/>
          <w:position w:val="0"/>
        </w:rPr>
        <w:t>2）</w:t>
      </w:r>
      <w:r>
        <w:rPr>
          <w:color w:val="000000"/>
          <w:spacing w:val="0"/>
          <w:w w:val="100"/>
          <w:position w:val="0"/>
        </w:rPr>
        <w:t>出售极可能发生，即已经就一项出售计划作出决议且获得确定的购买承诺，预计出 售将在一年内完成。有关规定要求相关权力机构或者监管部门批准后方可出售的需要获得相关批准。本集团将非流动资产或 处置组首次划分为持有待售类别前，按照相关会计准则规定计量非流动资产或处置组中各项资产和负债的账面价值。初始计 量或在资产负债表日重新计量持有待售的非流动资产或处置组时，其账面价值高于公允价值减去出售费用后的净额的，将账 面价值减记至公允价值减去出售费用后的净额，减记的金额确认为资产减值损失，计入当期损益，同时计提持有待售资产减 值准备。</w:t>
      </w:r>
    </w:p>
    <w:p>
      <w:pPr>
        <w:pStyle w:val="Style13"/>
        <w:keepNext w:val="0"/>
        <w:keepLines w:val="0"/>
        <w:widowControl w:val="0"/>
        <w:shd w:val="clear" w:color="auto" w:fill="auto"/>
        <w:tabs>
          <w:tab w:pos="836" w:val="left"/>
        </w:tabs>
        <w:bidi w:val="0"/>
        <w:spacing w:before="0" w:after="0" w:line="314" w:lineRule="exact"/>
        <w:ind w:left="0" w:right="0" w:firstLine="460"/>
        <w:jc w:val="both"/>
      </w:pPr>
      <w:bookmarkStart w:id="926" w:name="bookmark926"/>
      <w:r>
        <w:rPr>
          <w:color w:val="000000"/>
          <w:spacing w:val="0"/>
          <w:w w:val="100"/>
          <w:position w:val="0"/>
        </w:rPr>
        <w:t>（</w:t>
      </w:r>
      <w:bookmarkEnd w:id="926"/>
      <w:r>
        <w:rPr>
          <w:color w:val="000000"/>
          <w:spacing w:val="0"/>
          <w:w w:val="100"/>
          <w:position w:val="0"/>
        </w:rPr>
        <w:t>2）</w:t>
        <w:tab/>
      </w:r>
      <w:r>
        <w:rPr>
          <w:color w:val="000000"/>
          <w:spacing w:val="0"/>
          <w:w w:val="100"/>
          <w:position w:val="0"/>
        </w:rPr>
        <w:t>本集团专为转售而取得的非流动资产或处置组，在取得日满足“预计出售将在一年内完成”的规定条件，且短期 （通常为</w:t>
      </w:r>
      <w:r>
        <w:rPr>
          <w:color w:val="000000"/>
          <w:spacing w:val="0"/>
          <w:w w:val="100"/>
          <w:position w:val="0"/>
        </w:rPr>
        <w:t>3</w:t>
      </w:r>
      <w:r>
        <w:rPr>
          <w:color w:val="000000"/>
          <w:spacing w:val="0"/>
          <w:w w:val="100"/>
          <w:position w:val="0"/>
        </w:rPr>
        <w:t>个月）内很可能满足持有待售类别的其他划分条件的，在取得日将其划分为持有待售类别。在初始计量时，比较</w:t>
      </w:r>
    </w:p>
    <w:p>
      <w:pPr>
        <w:pStyle w:val="Style13"/>
        <w:keepNext w:val="0"/>
        <w:keepLines w:val="0"/>
        <w:widowControl w:val="0"/>
        <w:shd w:val="clear" w:color="auto" w:fill="auto"/>
        <w:bidi w:val="0"/>
        <w:spacing w:before="0" w:after="0" w:line="314" w:lineRule="exact"/>
        <w:ind w:left="0" w:right="0" w:firstLine="0"/>
        <w:jc w:val="both"/>
      </w:pPr>
      <w:r>
        <w:rPr>
          <w:color w:val="000000"/>
          <w:spacing w:val="0"/>
          <w:w w:val="100"/>
          <w:position w:val="0"/>
        </w:rPr>
        <w:t>假定其不划分为持有待售类别情况下的初始计量金额和公允价值减去出售费用后的净额，以两者孰低计量。除企业合并中取 得的非流动资产或处置组外，由非流动资产或处置组以公允价值减去出售费用后的净额作为初始计量金额而产生的差额，计 入当期损益。</w:t>
      </w:r>
    </w:p>
    <w:p>
      <w:pPr>
        <w:pStyle w:val="Style13"/>
        <w:keepNext w:val="0"/>
        <w:keepLines w:val="0"/>
        <w:widowControl w:val="0"/>
        <w:shd w:val="clear" w:color="auto" w:fill="auto"/>
        <w:tabs>
          <w:tab w:pos="921" w:val="left"/>
        </w:tabs>
        <w:bidi w:val="0"/>
        <w:spacing w:before="0" w:after="0" w:line="314" w:lineRule="exact"/>
        <w:ind w:left="0" w:right="0" w:firstLine="460"/>
        <w:jc w:val="both"/>
      </w:pPr>
      <w:bookmarkStart w:id="927" w:name="bookmark927"/>
      <w:r>
        <w:rPr>
          <w:color w:val="000000"/>
          <w:spacing w:val="0"/>
          <w:w w:val="100"/>
          <w:position w:val="0"/>
        </w:rPr>
        <w:t>（</w:t>
      </w:r>
      <w:bookmarkEnd w:id="927"/>
      <w:r>
        <w:rPr>
          <w:color w:val="000000"/>
          <w:spacing w:val="0"/>
          <w:w w:val="100"/>
          <w:position w:val="0"/>
        </w:rPr>
        <w:t>3）</w:t>
        <w:tab/>
      </w:r>
      <w:r>
        <w:rPr>
          <w:color w:val="000000"/>
          <w:spacing w:val="0"/>
          <w:w w:val="100"/>
          <w:position w:val="0"/>
        </w:rPr>
        <w:t>本集团因出售对子公司的投资等原因导致丧失对子公司控制权的，无论出售后本集团是否保留部分权益性投资， 在拟出售的对子公司投资满足持有待售类别划分条件时，在母公司个别财务报表中将对子公司投资整体划分为持有待售类 别，在合并财务报表中将子公司所有资产和负债划分为持有待售类别。</w:t>
      </w:r>
    </w:p>
    <w:p>
      <w:pPr>
        <w:pStyle w:val="Style13"/>
        <w:keepNext w:val="0"/>
        <w:keepLines w:val="0"/>
        <w:widowControl w:val="0"/>
        <w:shd w:val="clear" w:color="auto" w:fill="auto"/>
        <w:tabs>
          <w:tab w:pos="921" w:val="left"/>
        </w:tabs>
        <w:bidi w:val="0"/>
        <w:spacing w:before="0" w:after="0" w:line="314" w:lineRule="exact"/>
        <w:ind w:left="0" w:right="0" w:firstLine="460"/>
        <w:jc w:val="both"/>
      </w:pPr>
      <w:bookmarkStart w:id="928" w:name="bookmark928"/>
      <w:r>
        <w:rPr>
          <w:color w:val="000000"/>
          <w:spacing w:val="0"/>
          <w:w w:val="100"/>
          <w:position w:val="0"/>
        </w:rPr>
        <w:t>（</w:t>
      </w:r>
      <w:bookmarkEnd w:id="928"/>
      <w:r>
        <w:rPr>
          <w:color w:val="000000"/>
          <w:spacing w:val="0"/>
          <w:w w:val="100"/>
          <w:position w:val="0"/>
        </w:rPr>
        <w:t>4）</w:t>
        <w:tab/>
      </w:r>
      <w:r>
        <w:rPr>
          <w:color w:val="000000"/>
          <w:spacing w:val="0"/>
          <w:w w:val="100"/>
          <w:position w:val="0"/>
        </w:rPr>
        <w:t>后续资产负债表日持有待售的非流动资产公允价值减去出售费用后的净额增加的，以前减记的金额应当予以恢复， 并在划分为持有待售类别后确认的资产减值损失金额内转回，转回金额计入当期损益。划分为持有待售类别前确认的资产减 值损失不得转回。</w:t>
      </w:r>
    </w:p>
    <w:p>
      <w:pPr>
        <w:pStyle w:val="Style13"/>
        <w:keepNext w:val="0"/>
        <w:keepLines w:val="0"/>
        <w:widowControl w:val="0"/>
        <w:shd w:val="clear" w:color="auto" w:fill="auto"/>
        <w:tabs>
          <w:tab w:pos="921" w:val="left"/>
        </w:tabs>
        <w:bidi w:val="0"/>
        <w:spacing w:before="0" w:after="0" w:line="314" w:lineRule="exact"/>
        <w:ind w:left="0" w:right="0" w:firstLine="460"/>
        <w:jc w:val="both"/>
      </w:pPr>
      <w:bookmarkStart w:id="929" w:name="bookmark929"/>
      <w:r>
        <w:rPr>
          <w:color w:val="000000"/>
          <w:spacing w:val="0"/>
          <w:w w:val="100"/>
          <w:position w:val="0"/>
        </w:rPr>
        <w:t>（</w:t>
      </w:r>
      <w:bookmarkEnd w:id="929"/>
      <w:r>
        <w:rPr>
          <w:color w:val="000000"/>
          <w:spacing w:val="0"/>
          <w:w w:val="100"/>
          <w:position w:val="0"/>
        </w:rPr>
        <w:t>5）</w:t>
        <w:tab/>
      </w:r>
      <w:r>
        <w:rPr>
          <w:color w:val="000000"/>
          <w:spacing w:val="0"/>
          <w:w w:val="100"/>
          <w:position w:val="0"/>
        </w:rPr>
        <w:t>对于持有待售的处置组确认的资产减值损失金额，先抵减处置组中商誉的账面价值，再根据各项非流动资产账面 价值所占比重，按比例抵减其账面价值。</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后续资产负债表日持有待售的处置组公允价值减去出售费用后的净额增加的，以前减记的金额应当予以恢复，并在划 分为持有待售类别后适用相关计量规定的非流动资产确认的资产减值损失金额内转回，转回金额计入当期损益。已抵减的商 誉账面价值，以及非流动资产在划分为持有待售类别前确认的资产减值损失不得转回。持有待售的处置组确认的资产减值损 失后续转回金额，根据处置组中除商誉外，各项非流动资产账面价值所占比重，按比例增加其账面价值。</w:t>
      </w:r>
    </w:p>
    <w:p>
      <w:pPr>
        <w:pStyle w:val="Style13"/>
        <w:keepNext w:val="0"/>
        <w:keepLines w:val="0"/>
        <w:widowControl w:val="0"/>
        <w:shd w:val="clear" w:color="auto" w:fill="auto"/>
        <w:tabs>
          <w:tab w:pos="921" w:val="left"/>
        </w:tabs>
        <w:bidi w:val="0"/>
        <w:spacing w:before="0" w:after="0" w:line="314" w:lineRule="exact"/>
        <w:ind w:left="0" w:right="0" w:firstLine="460"/>
        <w:jc w:val="both"/>
      </w:pPr>
      <w:bookmarkStart w:id="930" w:name="bookmark930"/>
      <w:r>
        <w:rPr>
          <w:color w:val="000000"/>
          <w:spacing w:val="0"/>
          <w:w w:val="100"/>
          <w:position w:val="0"/>
        </w:rPr>
        <w:t>（</w:t>
      </w:r>
      <w:bookmarkEnd w:id="930"/>
      <w:r>
        <w:rPr>
          <w:color w:val="000000"/>
          <w:spacing w:val="0"/>
          <w:w w:val="100"/>
          <w:position w:val="0"/>
        </w:rPr>
        <w:t>6）</w:t>
        <w:tab/>
      </w:r>
      <w:r>
        <w:rPr>
          <w:color w:val="000000"/>
          <w:spacing w:val="0"/>
          <w:w w:val="100"/>
          <w:position w:val="0"/>
        </w:rPr>
        <w:t>持有待售的非流动资产或处置组中的非流动资产不计提折旧或摊销，持有待售的处置组中负债的利息和其他费用 继续予以确认。</w:t>
      </w:r>
    </w:p>
    <w:p>
      <w:pPr>
        <w:pStyle w:val="Style13"/>
        <w:keepNext w:val="0"/>
        <w:keepLines w:val="0"/>
        <w:widowControl w:val="0"/>
        <w:shd w:val="clear" w:color="auto" w:fill="auto"/>
        <w:tabs>
          <w:tab w:pos="921" w:val="left"/>
        </w:tabs>
        <w:bidi w:val="0"/>
        <w:spacing w:before="0" w:after="0" w:line="314" w:lineRule="exact"/>
        <w:ind w:left="0" w:right="0" w:firstLine="460"/>
        <w:jc w:val="both"/>
      </w:pPr>
      <w:bookmarkStart w:id="931" w:name="bookmark931"/>
      <w:r>
        <w:rPr>
          <w:color w:val="000000"/>
          <w:spacing w:val="0"/>
          <w:w w:val="100"/>
          <w:position w:val="0"/>
        </w:rPr>
        <w:t>（</w:t>
      </w:r>
      <w:bookmarkEnd w:id="931"/>
      <w:r>
        <w:rPr>
          <w:color w:val="000000"/>
          <w:spacing w:val="0"/>
          <w:w w:val="100"/>
          <w:position w:val="0"/>
        </w:rPr>
        <w:t>7）</w:t>
        <w:tab/>
      </w:r>
      <w:r>
        <w:rPr>
          <w:color w:val="000000"/>
          <w:spacing w:val="0"/>
          <w:w w:val="100"/>
          <w:position w:val="0"/>
        </w:rPr>
        <w:t>持有待售的非流动资产或处置组因不再满足持有待售类别的划分条件，而不再继续划分为持有待售类别或非流动 资产从持有待售的处置组中移除时，按照以下两者孰低计量：</w:t>
      </w:r>
      <w:r>
        <w:rPr>
          <w:color w:val="000000"/>
          <w:spacing w:val="0"/>
          <w:w w:val="100"/>
          <w:position w:val="0"/>
        </w:rPr>
        <w:t>1）</w:t>
      </w:r>
      <w:r>
        <w:rPr>
          <w:color w:val="000000"/>
          <w:spacing w:val="0"/>
          <w:w w:val="100"/>
          <w:position w:val="0"/>
        </w:rPr>
        <w:t>划分为持有待售类别前的账面价值，按照假定不划分为持 有待售类别情况下本应确认的折旧、摊销或减值等进行调整后的金额；</w:t>
      </w:r>
      <w:r>
        <w:rPr>
          <w:color w:val="000000"/>
          <w:spacing w:val="0"/>
          <w:w w:val="100"/>
          <w:position w:val="0"/>
        </w:rPr>
        <w:t>2）</w:t>
      </w:r>
      <w:r>
        <w:rPr>
          <w:color w:val="000000"/>
          <w:spacing w:val="0"/>
          <w:w w:val="100"/>
          <w:position w:val="0"/>
        </w:rPr>
        <w:t>可收回金额。</w:t>
      </w:r>
    </w:p>
    <w:p>
      <w:pPr>
        <w:pStyle w:val="Style13"/>
        <w:keepNext w:val="0"/>
        <w:keepLines w:val="0"/>
        <w:widowControl w:val="0"/>
        <w:shd w:val="clear" w:color="auto" w:fill="auto"/>
        <w:tabs>
          <w:tab w:pos="844" w:val="left"/>
        </w:tabs>
        <w:bidi w:val="0"/>
        <w:spacing w:before="0" w:after="360" w:line="314" w:lineRule="exact"/>
        <w:ind w:left="0" w:right="0" w:firstLine="460"/>
        <w:jc w:val="both"/>
      </w:pPr>
      <w:bookmarkStart w:id="932" w:name="bookmark932"/>
      <w:r>
        <w:rPr>
          <w:color w:val="000000"/>
          <w:spacing w:val="0"/>
          <w:w w:val="100"/>
          <w:position w:val="0"/>
        </w:rPr>
        <w:t>（</w:t>
      </w:r>
      <w:bookmarkEnd w:id="932"/>
      <w:r>
        <w:rPr>
          <w:color w:val="000000"/>
          <w:spacing w:val="0"/>
          <w:w w:val="100"/>
          <w:position w:val="0"/>
        </w:rPr>
        <w:t>8）</w:t>
        <w:tab/>
      </w:r>
      <w:r>
        <w:rPr>
          <w:color w:val="000000"/>
          <w:spacing w:val="0"/>
          <w:w w:val="100"/>
          <w:position w:val="0"/>
        </w:rPr>
        <w:t>终止确认持有待售的非流动资产或处置组时，将尚未确认的利得或损失计入当期损益。</w:t>
      </w:r>
    </w:p>
    <w:p>
      <w:pPr>
        <w:pStyle w:val="Style29"/>
        <w:keepNext/>
        <w:keepLines/>
        <w:widowControl w:val="0"/>
        <w:shd w:val="clear" w:color="auto" w:fill="auto"/>
        <w:tabs>
          <w:tab w:pos="427" w:val="left"/>
        </w:tabs>
        <w:bidi w:val="0"/>
        <w:spacing w:before="0" w:after="28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rFonts w:ascii="Times New Roman" w:eastAsia="Times New Roman" w:hAnsi="Times New Roman" w:cs="Times New Roman"/>
          <w:color w:val="000000"/>
          <w:spacing w:val="0"/>
          <w:w w:val="100"/>
          <w:position w:val="0"/>
        </w:rPr>
        <w:t>5</w:t>
      </w:r>
      <w:r>
        <w:rPr>
          <w:color w:val="000000"/>
          <w:spacing w:val="0"/>
          <w:w w:val="100"/>
          <w:position w:val="0"/>
        </w:rPr>
        <w:t>、</w:t>
        <w:tab/>
        <w:t>终止经营</w:t>
      </w:r>
      <w:bookmarkEnd w:id="933"/>
      <w:bookmarkEnd w:id="934"/>
      <w:bookmarkEnd w:id="936"/>
    </w:p>
    <w:p>
      <w:pPr>
        <w:pStyle w:val="Style13"/>
        <w:keepNext w:val="0"/>
        <w:keepLines w:val="0"/>
        <w:widowControl w:val="0"/>
        <w:shd w:val="clear" w:color="auto" w:fill="auto"/>
        <w:bidi w:val="0"/>
        <w:spacing w:before="0" w:after="360" w:line="310" w:lineRule="exact"/>
        <w:ind w:left="0" w:right="0" w:firstLine="460"/>
        <w:jc w:val="both"/>
      </w:pPr>
      <w:r>
        <w:rPr>
          <w:color w:val="000000"/>
          <w:spacing w:val="0"/>
          <w:w w:val="100"/>
          <w:position w:val="0"/>
        </w:rPr>
        <w:t>终止经营，是指本集团满足下列条件之一的、能够单独区分的组成部分，且该组成部分已经处置或划分为持有待售类 别：</w:t>
      </w:r>
      <w:r>
        <w:rPr>
          <w:color w:val="000000"/>
          <w:spacing w:val="0"/>
          <w:w w:val="100"/>
          <w:position w:val="0"/>
        </w:rPr>
        <w:t>（1）</w:t>
      </w:r>
      <w:r>
        <w:rPr>
          <w:color w:val="000000"/>
          <w:spacing w:val="0"/>
          <w:w w:val="100"/>
          <w:position w:val="0"/>
        </w:rPr>
        <w:t>该组成部分代表一项独立的主要业务或一个单独的主要经营地区；</w:t>
      </w:r>
      <w:r>
        <w:rPr>
          <w:color w:val="000000"/>
          <w:spacing w:val="0"/>
          <w:w w:val="100"/>
          <w:position w:val="0"/>
        </w:rPr>
        <w:t>（2）</w:t>
      </w:r>
      <w:r>
        <w:rPr>
          <w:color w:val="000000"/>
          <w:spacing w:val="0"/>
          <w:w w:val="100"/>
          <w:position w:val="0"/>
        </w:rPr>
        <w:t>该组成部分是拟对一项独立的主要业务或 一个单独的主要经营地区进行处置的一项相关联计划的一部分；</w:t>
      </w:r>
      <w:r>
        <w:rPr>
          <w:color w:val="000000"/>
          <w:spacing w:val="0"/>
          <w:w w:val="100"/>
          <w:position w:val="0"/>
        </w:rPr>
        <w:t>（3）</w:t>
      </w:r>
      <w:r>
        <w:rPr>
          <w:color w:val="000000"/>
          <w:spacing w:val="0"/>
          <w:w w:val="100"/>
          <w:position w:val="0"/>
        </w:rPr>
        <w:t>该组成部分是专为转售而取得的子公司。</w:t>
      </w:r>
    </w:p>
    <w:p>
      <w:pPr>
        <w:pStyle w:val="Style29"/>
        <w:keepNext/>
        <w:keepLines/>
        <w:widowControl w:val="0"/>
        <w:shd w:val="clear" w:color="auto" w:fill="auto"/>
        <w:tabs>
          <w:tab w:pos="427" w:val="left"/>
        </w:tabs>
        <w:bidi w:val="0"/>
        <w:spacing w:before="0" w:after="28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6</w:t>
      </w:r>
      <w:r>
        <w:rPr>
          <w:color w:val="000000"/>
          <w:spacing w:val="0"/>
          <w:w w:val="100"/>
          <w:position w:val="0"/>
        </w:rPr>
        <w:t>、</w:t>
        <w:tab/>
        <w:t>重大会计判断和估计</w:t>
      </w:r>
      <w:bookmarkEnd w:id="937"/>
      <w:bookmarkEnd w:id="938"/>
      <w:bookmarkEnd w:id="940"/>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编制合并财务报表要求管理层作出判断、估计和假设，这些判断、估计和假设会影响收入、费用、资产和负债的列报金 额及其披露，以及资产负债表日或有负债的披露。然而，这些假设和估计的不确定性所导致的结果可能造成对未来受影响的 资产或负债的账面金额进行重大调整。</w:t>
      </w:r>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以下为于资产负债表日有关未来的关键假设以及估计不确定性的其他关键来源，可能会导致未来会计期间资产和负债 </w:t>
      </w:r>
      <w:r>
        <w:rPr>
          <w:color w:val="000000"/>
          <w:spacing w:val="0"/>
          <w:w w:val="100"/>
          <w:position w:val="0"/>
        </w:rPr>
        <w:t>账面金额重大调整。</w:t>
      </w:r>
    </w:p>
    <w:p>
      <w:pPr>
        <w:pStyle w:val="Style13"/>
        <w:keepNext w:val="0"/>
        <w:keepLines w:val="0"/>
        <w:widowControl w:val="0"/>
        <w:shd w:val="clear" w:color="auto" w:fill="auto"/>
        <w:tabs>
          <w:tab w:pos="896" w:val="left"/>
        </w:tabs>
        <w:bidi w:val="0"/>
        <w:spacing w:before="0" w:after="0" w:line="310" w:lineRule="exact"/>
        <w:ind w:left="0" w:right="0" w:firstLine="460"/>
        <w:jc w:val="both"/>
      </w:pPr>
      <w:bookmarkStart w:id="941" w:name="bookmark941"/>
      <w:r>
        <w:rPr>
          <w:color w:val="000000"/>
          <w:spacing w:val="0"/>
          <w:w w:val="100"/>
          <w:position w:val="0"/>
        </w:rPr>
        <w:t>（</w:t>
      </w:r>
      <w:bookmarkEnd w:id="941"/>
      <w:r>
        <w:rPr>
          <w:color w:val="000000"/>
          <w:spacing w:val="0"/>
          <w:w w:val="100"/>
          <w:position w:val="0"/>
        </w:rPr>
        <w:t>1）</w:t>
        <w:tab/>
      </w:r>
      <w:r>
        <w:rPr>
          <w:color w:val="000000"/>
          <w:spacing w:val="0"/>
          <w:w w:val="100"/>
          <w:position w:val="0"/>
        </w:rPr>
        <w:t>应收账款的预期信用损失准备</w:t>
      </w:r>
    </w:p>
    <w:p>
      <w:pPr>
        <w:pStyle w:val="Style1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本集团采用减值矩阵确定应收账款的预期信用损失准备。本集团将具有类似风险特征的各类应收账款确定相应的损失 准备的比例。减值矩阵基于本集团历史逾期比例考虑无须付出不必要的额外成本或努力即可获得的合理且有依据的前瞻性信 息确定。</w:t>
      </w:r>
    </w:p>
    <w:p>
      <w:pPr>
        <w:pStyle w:val="Style1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该预期信用损失准备的金额将随本集团的估计而发生变化。本集团的应收账款的预期信用损失准备的具体情况详见附 注七、</w:t>
      </w:r>
      <w:r>
        <w:rPr>
          <w:color w:val="000000"/>
          <w:spacing w:val="0"/>
          <w:w w:val="100"/>
          <w:position w:val="0"/>
        </w:rPr>
        <w:t>4</w:t>
      </w:r>
      <w:r>
        <w:rPr>
          <w:color w:val="000000"/>
          <w:spacing w:val="0"/>
          <w:w w:val="100"/>
          <w:position w:val="0"/>
        </w:rPr>
        <w:t>。</w:t>
      </w:r>
    </w:p>
    <w:p>
      <w:pPr>
        <w:pStyle w:val="Style13"/>
        <w:keepNext w:val="0"/>
        <w:keepLines w:val="0"/>
        <w:widowControl w:val="0"/>
        <w:shd w:val="clear" w:color="auto" w:fill="auto"/>
        <w:tabs>
          <w:tab w:pos="896" w:val="left"/>
        </w:tabs>
        <w:bidi w:val="0"/>
        <w:spacing w:before="0" w:after="0" w:line="310" w:lineRule="exact"/>
        <w:ind w:left="0" w:right="0" w:firstLine="460"/>
        <w:jc w:val="both"/>
      </w:pPr>
      <w:bookmarkStart w:id="942" w:name="bookmark942"/>
      <w:r>
        <w:rPr>
          <w:color w:val="000000"/>
          <w:spacing w:val="0"/>
          <w:w w:val="100"/>
          <w:position w:val="0"/>
        </w:rPr>
        <w:t>（</w:t>
      </w:r>
      <w:bookmarkEnd w:id="942"/>
      <w:r>
        <w:rPr>
          <w:color w:val="000000"/>
          <w:spacing w:val="0"/>
          <w:w w:val="100"/>
          <w:position w:val="0"/>
        </w:rPr>
        <w:t>2）</w:t>
        <w:tab/>
      </w:r>
      <w:r>
        <w:rPr>
          <w:color w:val="000000"/>
          <w:spacing w:val="0"/>
          <w:w w:val="100"/>
          <w:position w:val="0"/>
        </w:rPr>
        <w:t>存货跌价准备</w:t>
      </w:r>
    </w:p>
    <w:p>
      <w:pPr>
        <w:pStyle w:val="Style1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本集团根据存货会计政策，按照成本与可变现净值孰低计量，对成本高于可变现净值及陈旧和滞销的存货，计提存货 跌价准备。存货的可变现净值是指存货的估计售价减去估计的销售费用以及相关税费后的金额。管理层对存货的可变现净值 计算涉及到对估计售价、估计的销售费用以及相关税费的估计。本集团于每个资产负债表日对单个存货是否陈旧和滞销、可 变现净值是否低于存货成本进行重新估计。如重新估计结果与现有估计存在差异，该差异将会影响估计改变期间的存货账面 价值。</w:t>
      </w:r>
    </w:p>
    <w:p>
      <w:pPr>
        <w:pStyle w:val="Style13"/>
        <w:keepNext w:val="0"/>
        <w:keepLines w:val="0"/>
        <w:widowControl w:val="0"/>
        <w:shd w:val="clear" w:color="auto" w:fill="auto"/>
        <w:tabs>
          <w:tab w:pos="896" w:val="left"/>
        </w:tabs>
        <w:bidi w:val="0"/>
        <w:spacing w:before="0" w:after="0" w:line="310" w:lineRule="exact"/>
        <w:ind w:left="0" w:right="0" w:firstLine="460"/>
        <w:jc w:val="both"/>
      </w:pPr>
      <w:bookmarkStart w:id="943" w:name="bookmark943"/>
      <w:r>
        <w:rPr>
          <w:color w:val="000000"/>
          <w:spacing w:val="0"/>
          <w:w w:val="100"/>
          <w:position w:val="0"/>
        </w:rPr>
        <w:t>（</w:t>
      </w:r>
      <w:bookmarkEnd w:id="943"/>
      <w:r>
        <w:rPr>
          <w:color w:val="000000"/>
          <w:spacing w:val="0"/>
          <w:w w:val="100"/>
          <w:position w:val="0"/>
        </w:rPr>
        <w:t>3）</w:t>
        <w:tab/>
      </w:r>
      <w:r>
        <w:rPr>
          <w:color w:val="000000"/>
          <w:spacing w:val="0"/>
          <w:w w:val="100"/>
          <w:position w:val="0"/>
        </w:rPr>
        <w:t>商誉减值准备的会计估计</w:t>
      </w:r>
    </w:p>
    <w:p>
      <w:pPr>
        <w:pStyle w:val="Style1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本集团每年对商誉进行减值测试。包含商誉的资产组和资产组组合的可收回金额为其预计未来现金流量的现值，其计 算需要采用会计估计。</w:t>
      </w:r>
    </w:p>
    <w:p>
      <w:pPr>
        <w:pStyle w:val="Style1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如果管理层对资产组和资产组组合未来现金流量计算中采用的毛利率或收入增长率等进行修订，修订后的毛利率或收 入增长率低于目前采用的毛利率或收入增长率，本集团可能需对商誉增加计提减值准备。</w:t>
      </w:r>
    </w:p>
    <w:p>
      <w:pPr>
        <w:pStyle w:val="Style13"/>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如果管理层对应用于现金流量折现的税前折现率进行重新修订，修订后的税前折现率高于目前采用的税前折现率，本 集团可能需对商誉增加计提减值准备。</w:t>
      </w:r>
    </w:p>
    <w:p>
      <w:pPr>
        <w:pStyle w:val="Style13"/>
        <w:keepNext w:val="0"/>
        <w:keepLines w:val="0"/>
        <w:widowControl w:val="0"/>
        <w:shd w:val="clear" w:color="auto" w:fill="auto"/>
        <w:bidi w:val="0"/>
        <w:spacing w:before="0" w:after="660" w:line="310" w:lineRule="exact"/>
        <w:ind w:left="0" w:right="0" w:firstLine="440"/>
        <w:jc w:val="both"/>
      </w:pPr>
      <w:r>
        <w:rPr>
          <w:color w:val="000000"/>
          <w:spacing w:val="0"/>
          <w:w w:val="100"/>
          <w:position w:val="0"/>
        </w:rPr>
        <w:t>如果实际毛利率、收入增长率或税前折现率高于或低于管理层的估计，本公司不能转回原已计提的商誉减值损失。</w:t>
      </w:r>
    </w:p>
    <w:p>
      <w:pPr>
        <w:pStyle w:val="Style29"/>
        <w:keepNext/>
        <w:keepLines/>
        <w:widowControl w:val="0"/>
        <w:shd w:val="clear" w:color="auto" w:fill="auto"/>
        <w:bidi w:val="0"/>
        <w:spacing w:before="0" w:after="34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7</w:t>
      </w:r>
      <w:r>
        <w:rPr>
          <w:color w:val="000000"/>
          <w:spacing w:val="0"/>
          <w:w w:val="100"/>
          <w:position w:val="0"/>
        </w:rPr>
        <w:t>、重要会计政策和会计估计变更</w:t>
      </w:r>
      <w:bookmarkEnd w:id="944"/>
      <w:bookmarkEnd w:id="945"/>
      <w:bookmarkEnd w:id="947"/>
    </w:p>
    <w:p>
      <w:pPr>
        <w:pStyle w:val="Style37"/>
        <w:keepNext/>
        <w:keepLines/>
        <w:widowControl w:val="0"/>
        <w:shd w:val="clear" w:color="auto" w:fill="auto"/>
        <w:bidi w:val="0"/>
        <w:spacing w:before="0" w:after="26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8"/>
      <w:bookmarkEnd w:id="949"/>
      <w:bookmarkEnd w:id="951"/>
    </w:p>
    <w:p>
      <w:pPr>
        <w:pStyle w:val="Style13"/>
        <w:keepNext w:val="0"/>
        <w:keepLines w:val="0"/>
        <w:widowControl w:val="0"/>
        <w:shd w:val="clear" w:color="auto" w:fill="auto"/>
        <w:bidi w:val="0"/>
        <w:spacing w:before="0" w:after="0" w:line="318" w:lineRule="exact"/>
        <w:ind w:left="0" w:right="0" w:firstLine="460"/>
        <w:jc w:val="both"/>
      </w:pPr>
      <w:r>
        <w:rPr>
          <w:color w:val="000000"/>
          <w:spacing w:val="0"/>
          <w:w w:val="100"/>
          <w:position w:val="0"/>
        </w:rPr>
        <w:t>2018</w:t>
      </w:r>
      <w:r>
        <w:rPr>
          <w:color w:val="000000"/>
          <w:spacing w:val="0"/>
          <w:w w:val="100"/>
          <w:position w:val="0"/>
        </w:rPr>
        <w:t>年，财政部颁布了修订的《企业会计准则第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w:t>
      </w:r>
      <w:r>
        <w:rPr>
          <w:color w:val="000000"/>
          <w:spacing w:val="0"/>
          <w:w w:val="100"/>
          <w:position w:val="0"/>
        </w:rPr>
        <w:t>），</w:t>
      </w:r>
      <w:r>
        <w:rPr>
          <w:color w:val="000000"/>
          <w:spacing w:val="0"/>
          <w:w w:val="100"/>
          <w:position w:val="0"/>
        </w:rPr>
        <w:t>根据新租赁准则执行期限 的要求，本集团自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日开始按照新修订的租赁准则进行会计处理，对首次执行日前已存在的合同，选择不重新评估 其是否为租赁或者包含租赁，并根据衔接规定，对可比期间信息不予调整，首次执行日新租赁准则与现行租赁准则的差异追 溯调整本报告期期初留存收益</w:t>
      </w:r>
    </w:p>
    <w:p>
      <w:pPr>
        <w:pStyle w:val="Style13"/>
        <w:keepNext w:val="0"/>
        <w:keepLines w:val="0"/>
        <w:widowControl w:val="0"/>
        <w:shd w:val="clear" w:color="auto" w:fill="auto"/>
        <w:bidi w:val="0"/>
        <w:spacing w:before="0" w:after="80" w:line="318" w:lineRule="exact"/>
        <w:ind w:left="0" w:right="0" w:firstLine="460"/>
        <w:jc w:val="both"/>
      </w:pPr>
      <w:r>
        <w:rPr>
          <w:color w:val="000000"/>
          <w:spacing w:val="0"/>
          <w:w w:val="100"/>
          <w:position w:val="0"/>
        </w:rPr>
        <w:t>本集团对首次执行日之前租赁资产属于低价值资产的经营租赁或将于</w:t>
      </w:r>
      <w:r>
        <w:rPr>
          <w:color w:val="000000"/>
          <w:spacing w:val="0"/>
          <w:w w:val="100"/>
          <w:position w:val="0"/>
        </w:rPr>
        <w:t>12</w:t>
      </w:r>
      <w:r>
        <w:rPr>
          <w:color w:val="000000"/>
          <w:spacing w:val="0"/>
          <w:w w:val="100"/>
          <w:position w:val="0"/>
        </w:rPr>
        <w:t>个月内完成的经营租赁，采用简化处理，未确 认使用权资产和租赁负债。</w:t>
      </w:r>
    </w:p>
    <w:p>
      <w:pPr>
        <w:pStyle w:val="Style27"/>
        <w:keepNext w:val="0"/>
        <w:keepLines w:val="0"/>
        <w:widowControl w:val="0"/>
        <w:shd w:val="clear" w:color="auto" w:fill="auto"/>
        <w:bidi w:val="0"/>
        <w:spacing w:before="0" w:after="0" w:line="240" w:lineRule="auto"/>
        <w:ind w:left="403" w:right="0" w:firstLine="0"/>
        <w:jc w:val="left"/>
      </w:pPr>
      <w:r>
        <w:rPr>
          <w:color w:val="000000"/>
          <w:spacing w:val="0"/>
          <w:w w:val="100"/>
          <w:position w:val="0"/>
        </w:rPr>
        <w:t>本集团执行上述规定的主要影响如下:</w:t>
      </w:r>
    </w:p>
    <w:tbl>
      <w:tblPr>
        <w:tblOverlap w:val="never"/>
        <w:jc w:val="left"/>
        <w:tblLayout w:type="fixed"/>
      </w:tblPr>
      <w:tblGrid>
        <w:gridCol w:w="1843"/>
        <w:gridCol w:w="2448"/>
        <w:gridCol w:w="2208"/>
        <w:gridCol w:w="2376"/>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2020年12月31日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新租赁准则调整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2021年1月1日</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27,315, </w:t>
            </w:r>
            <w:r>
              <w:rPr>
                <w:color w:val="000000"/>
                <w:spacing w:val="0"/>
                <w:w w:val="100"/>
                <w:position w:val="0"/>
              </w:rPr>
              <w:t xml:space="preserve">839.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27,315, </w:t>
            </w:r>
            <w:r>
              <w:rPr>
                <w:color w:val="000000"/>
                <w:spacing w:val="0"/>
                <w:w w:val="100"/>
                <w:position w:val="0"/>
              </w:rPr>
              <w:t xml:space="preserve">839. </w:t>
            </w:r>
            <w:r>
              <w:rPr>
                <w:color w:val="000000"/>
                <w:spacing w:val="0"/>
                <w:w w:val="100"/>
                <w:position w:val="0"/>
              </w:rPr>
              <w:t>14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4,785,136.52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-187, 609.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4,597,527.31</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9,554,230.27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9,554,230.27</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17,573,999.66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17,573,999.66</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52"/>
      <w:bookmarkEnd w:id="953"/>
      <w:bookmarkEnd w:id="955"/>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7"/>
        <w:keepNext/>
        <w:keepLines/>
        <w:widowControl w:val="0"/>
        <w:shd w:val="clear" w:color="auto" w:fill="auto"/>
        <w:tabs>
          <w:tab w:pos="493" w:val="left"/>
        </w:tabs>
        <w:bidi w:val="0"/>
        <w:spacing w:before="0" w:after="36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shd w:val="clear" w:color="auto" w:fill="FFFFFF"/>
        </w:rPr>
        <w:t>（</w:t>
      </w:r>
      <w:bookmarkEnd w:id="958"/>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56"/>
      <w:bookmarkEnd w:id="957"/>
      <w:bookmarkEnd w:id="959"/>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是否需要调整年初资产负债表科目</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合并资产负债表</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1,941,313,168.04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1,941,313,168.04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750,007,662.48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750,007,662.48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4,759,879.29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4,759,879.29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1,946,829,284.49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1,946,829,284.49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101,767,749.65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101,767,749.65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146,475,000.58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146,475,000.58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2,784,103,976.38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2,784,103,976.38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1,640,000,224.71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1,640,000,224.71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4,785,136.52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4,597,527.31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-187,609.21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9,320,042,082.14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9,319,854,472.93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-187,609.21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110,304,194.00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110,304,194.00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163,000,470.68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163,000,470.68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154,829,413.56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154,829,413.56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13,630,176.99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13,630,176.99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453,057,913.67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453,057,913.67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27,315,839.14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27,315,839.14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131,559,390.41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131,559,390.41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38,441,116.25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38,441,116.25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1,505,197,394.63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1,505,197,394.63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9,122,916.12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9,122,916.12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152,677,767.07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152,677,767.07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2,731,820,753.38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2,759,136,592.52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27,315,839.14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12,051,862,835.52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12,078,991,065.45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27,128,229.93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722,279,881.25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722,279,881.25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552,013,491.84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552,013,491.84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2,373,036,760.20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2,373,036,760.20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1,756,268,042.19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1,756,268,042.19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495,368,850.46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495,368,850.46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188,127,416.31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188,127,416.31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222,115,124.98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222,115,124.98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9,554,230.27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9,554,230.27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6,309,209,567.23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6,318,763,797.50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9,554,230.27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17,573,999.66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17,573,999.66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20,061,059.53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20,061,059.53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36,724,613.52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36,724,613.52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56,785,673.05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74,359,672.71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17,573,999.66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6,365,995,240.28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6,393,123,470.21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27,128,229.93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975,768,827.00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975,768,827.00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2,406,151,454.21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2,406,151,454.21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160,204,801.44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160,204,801.44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98,993,052.24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98,993,052.24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34,958,025.22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34,958,025.22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2,229,478,383.79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2,229,478,383.79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5,585,144,941.02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5,585,144,941.02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100,722,654.22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100,722,654.22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5,685,867,595.24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5,685,867,595.24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12,051,862,835.52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12,078,991,065.45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27,128,229.93</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60,656,839.66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60,656,839.66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251,195,662.48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251,195,662.48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67,707,014.64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67,707,014.64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169,280.31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169,280.31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119,492,209.92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119,492,209.92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17,450,338.26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17,450,338.26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314,866,835.38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314,866,835.38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2,417,532.14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2,417,532.14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816,505,374.53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816,505,374.53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2,788,806,117.37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2,788,806,117.37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33,902,624.00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33,902,624.00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105,668.24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105,668.24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202,708.35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98,587.25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98,587.25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16,082,174.29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16,082,174.29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2,839,007,772.15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2,839,210,480.50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202,708.35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3,655,513,146.68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3,655,715,855.03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202,708.35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29,532,881.97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29,532,881.97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363,473,041.78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363,473,041.78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61,786,437.12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61,786,437.12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17,369,340.87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17,369,340.87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12,519,926.27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12,519,926.27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29,357,609.93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29,357,609.93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112,775.83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112,775.83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514,039,237.94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514,152,013.77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112,775.83</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89,932.51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89,932.51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89,932.51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89,932.51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514,039,237.94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514,241,946.28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202,708.34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975,768,827.00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975,768,827.00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2,243,077,639.50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2,243,077,639.50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160,204,801.44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160,204,801.44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-21,108,077.44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-21,108,077.44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34,958,025.22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34,958,025.22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68,982,295.90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68,982,295.90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3,141,473,908.74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3,141,473,908.74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3,655,513,146.68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3,655,715,855.02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202,708.34</w:t>
            </w:r>
          </w:p>
        </w:tc>
      </w:tr>
    </w:tbl>
    <w:p>
      <w:pPr>
        <w:widowControl w:val="0"/>
        <w:spacing w:after="299" w:line="1" w:lineRule="exact"/>
      </w:pPr>
    </w:p>
    <w:p>
      <w:pPr>
        <w:pStyle w:val="Style37"/>
        <w:keepNext/>
        <w:keepLines/>
        <w:widowControl w:val="0"/>
        <w:numPr>
          <w:ilvl w:val="0"/>
          <w:numId w:val="15"/>
        </w:numPr>
        <w:shd w:val="clear" w:color="auto" w:fill="auto"/>
        <w:tabs>
          <w:tab w:pos="493" w:val="left"/>
        </w:tabs>
        <w:bidi w:val="0"/>
        <w:spacing w:before="0" w:after="360" w:line="240" w:lineRule="auto"/>
        <w:ind w:left="0" w:right="0" w:firstLine="0"/>
        <w:jc w:val="left"/>
      </w:pPr>
      <w:bookmarkStart w:id="960" w:name="bookmark960"/>
      <w:bookmarkStart w:id="961" w:name="bookmark961"/>
      <w:bookmarkStart w:id="962" w:name="bookmark962"/>
      <w:bookmarkStart w:id="963" w:name="bookmark963"/>
      <w:bookmarkEnd w:id="962"/>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60"/>
      <w:bookmarkEnd w:id="961"/>
      <w:bookmarkEnd w:id="963"/>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sz w:val="24"/>
          <w:szCs w:val="24"/>
        </w:rPr>
        <w:t>六</w:t>
      </w:r>
      <w:bookmarkEnd w:id="966"/>
      <w:r>
        <w:rPr>
          <w:color w:val="000000"/>
          <w:spacing w:val="0"/>
          <w:w w:val="100"/>
          <w:position w:val="0"/>
          <w:sz w:val="24"/>
          <w:szCs w:val="24"/>
        </w:rPr>
        <w:t>、税项</w:t>
      </w:r>
      <w:bookmarkEnd w:id="964"/>
      <w:bookmarkEnd w:id="965"/>
      <w:bookmarkEnd w:id="967"/>
    </w:p>
    <w:p>
      <w:pPr>
        <w:pStyle w:val="Style29"/>
        <w:keepNext/>
        <w:keepLines/>
        <w:widowControl w:val="0"/>
        <w:shd w:val="clear" w:color="auto" w:fill="auto"/>
        <w:bidi w:val="0"/>
        <w:spacing w:before="0" w:after="340" w:line="240" w:lineRule="auto"/>
        <w:ind w:left="0" w:right="0" w:firstLine="0"/>
        <w:jc w:val="left"/>
      </w:pPr>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68"/>
      <w:bookmarkEnd w:id="969"/>
      <w:bookmarkEnd w:id="970"/>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应纳税增值额</w:t>
            </w:r>
            <w:r>
              <w:rPr>
                <w:rFonts w:ascii="Times New Roman" w:eastAsia="Times New Roman" w:hAnsi="Times New Roman" w:cs="Times New Roman"/>
                <w:color w:val="000000"/>
                <w:spacing w:val="0"/>
                <w:w w:val="100"/>
                <w:position w:val="0"/>
              </w:rPr>
              <w:t>（</w:t>
            </w:r>
            <w:r>
              <w:rPr>
                <w:color w:val="000000"/>
                <w:spacing w:val="0"/>
                <w:w w:val="100"/>
                <w:position w:val="0"/>
              </w:rPr>
              <w:t>一般纳税人应纳税额按应 纳税销售额乘以适用税率扣除当期允许 抵扣的进项税后的余额计算；小规模纳 税人按应税收入乘以适用税率计算</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、免征 所得税</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p>
        </w:tc>
      </w:tr>
    </w:tbl>
    <w:p>
      <w:pPr>
        <w:pStyle w:val="Style13"/>
        <w:keepNext w:val="0"/>
        <w:keepLines w:val="0"/>
        <w:widowControl w:val="0"/>
        <w:shd w:val="clear" w:color="auto" w:fill="auto"/>
        <w:bidi w:val="0"/>
        <w:spacing w:before="0" w:after="0" w:line="370" w:lineRule="exact"/>
        <w:ind w:left="0" w:right="0" w:firstLine="460"/>
        <w:jc w:val="both"/>
      </w:pPr>
      <w:r>
        <w:rPr>
          <w:color w:val="000000"/>
          <w:spacing w:val="0"/>
          <w:w w:val="100"/>
          <w:position w:val="0"/>
        </w:rPr>
        <w:t>注</w:t>
      </w:r>
      <w:r>
        <w:rPr>
          <w:color w:val="000000"/>
          <w:spacing w:val="0"/>
          <w:w w:val="100"/>
          <w:position w:val="0"/>
        </w:rPr>
        <w:t>1：</w:t>
      </w:r>
      <w:r>
        <w:rPr>
          <w:color w:val="000000"/>
          <w:spacing w:val="0"/>
          <w:w w:val="100"/>
          <w:position w:val="0"/>
        </w:rPr>
        <w:t>神州数码系统集成服务有限公司之子公司</w:t>
      </w:r>
      <w:r>
        <w:rPr>
          <w:color w:val="000000"/>
          <w:spacing w:val="0"/>
          <w:w w:val="100"/>
          <w:position w:val="0"/>
        </w:rPr>
        <w:t>Digital China Software （BVI） Ltd,</w:t>
      </w:r>
      <w:r>
        <w:rPr>
          <w:color w:val="000000"/>
          <w:spacing w:val="0"/>
          <w:w w:val="100"/>
          <w:position w:val="0"/>
        </w:rPr>
        <w:t>为注册在英属维尔京群岛的离 岸企业。按照当地税务法例，非当地经营所得利润以及资本利得，不缴纳利得税。</w:t>
      </w:r>
    </w:p>
    <w:p>
      <w:pPr>
        <w:pStyle w:val="Style13"/>
        <w:keepNext w:val="0"/>
        <w:keepLines w:val="0"/>
        <w:widowControl w:val="0"/>
        <w:shd w:val="clear" w:color="auto" w:fill="auto"/>
        <w:bidi w:val="0"/>
        <w:spacing w:before="0" w:after="0" w:line="365" w:lineRule="exact"/>
        <w:ind w:left="0" w:right="0" w:firstLine="460"/>
        <w:jc w:val="both"/>
      </w:pPr>
      <w:r>
        <w:rPr>
          <w:color w:val="000000"/>
          <w:spacing w:val="0"/>
          <w:w w:val="100"/>
          <w:position w:val="0"/>
        </w:rPr>
        <w:t>Digital China Software (BVI) Ltd</w:t>
      </w:r>
      <w:r>
        <w:rPr>
          <w:color w:val="000000"/>
          <w:spacing w:val="0"/>
          <w:w w:val="100"/>
          <w:position w:val="0"/>
        </w:rPr>
        <w:t xml:space="preserve">.之子公司 </w:t>
      </w:r>
      <w:r>
        <w:rPr>
          <w:color w:val="000000"/>
          <w:spacing w:val="0"/>
          <w:w w:val="100"/>
          <w:position w:val="0"/>
        </w:rPr>
        <w:t xml:space="preserve">Digital China Advanced Systems Limited </w:t>
      </w:r>
      <w:r>
        <w:rPr>
          <w:color w:val="000000"/>
          <w:spacing w:val="0"/>
          <w:w w:val="100"/>
          <w:position w:val="0"/>
        </w:rPr>
        <w:t>申请海外收入税务优惠， 不缴纳利得税。</w:t>
      </w:r>
    </w:p>
    <w:p>
      <w:pPr>
        <w:pStyle w:val="Style13"/>
        <w:keepNext w:val="0"/>
        <w:keepLines w:val="0"/>
        <w:widowControl w:val="0"/>
        <w:shd w:val="clear" w:color="auto" w:fill="auto"/>
        <w:bidi w:val="0"/>
        <w:spacing w:before="0" w:after="460" w:line="365" w:lineRule="exact"/>
        <w:ind w:left="0" w:right="0" w:firstLine="460"/>
        <w:jc w:val="both"/>
      </w:pPr>
      <w:r>
        <w:rPr>
          <w:color w:val="000000"/>
          <w:spacing w:val="0"/>
          <w:w w:val="100"/>
          <w:position w:val="0"/>
        </w:rPr>
        <w:t>Digital China Software (BVI) Ltd</w:t>
      </w:r>
      <w:r>
        <w:rPr>
          <w:color w:val="000000"/>
          <w:spacing w:val="0"/>
          <w:w w:val="100"/>
          <w:position w:val="0"/>
        </w:rPr>
        <w:t xml:space="preserve">.之子公司 </w:t>
      </w:r>
      <w:r>
        <w:rPr>
          <w:color w:val="000000"/>
          <w:spacing w:val="0"/>
          <w:w w:val="100"/>
          <w:position w:val="0"/>
        </w:rPr>
        <w:t>Digital China Financial Service Holding Limited</w:t>
      </w:r>
      <w:r>
        <w:rPr>
          <w:color w:val="000000"/>
          <w:spacing w:val="0"/>
          <w:w w:val="100"/>
          <w:position w:val="0"/>
        </w:rPr>
        <w:t xml:space="preserve">、 </w:t>
      </w:r>
      <w:r>
        <w:rPr>
          <w:color w:val="000000"/>
          <w:spacing w:val="0"/>
          <w:w w:val="100"/>
          <w:position w:val="0"/>
        </w:rPr>
        <w:t xml:space="preserve">Digital China Advanced Systems Limited </w:t>
      </w:r>
      <w:r>
        <w:rPr>
          <w:color w:val="000000"/>
          <w:spacing w:val="0"/>
          <w:w w:val="100"/>
          <w:position w:val="0"/>
        </w:rPr>
        <w:t xml:space="preserve">之子公司 </w:t>
      </w:r>
      <w:r>
        <w:rPr>
          <w:color w:val="000000"/>
          <w:spacing w:val="0"/>
          <w:w w:val="100"/>
          <w:position w:val="0"/>
        </w:rPr>
        <w:t xml:space="preserve">Digital China Information Technology Co. Limited </w:t>
      </w:r>
      <w:r>
        <w:rPr>
          <w:color w:val="000000"/>
          <w:spacing w:val="0"/>
          <w:w w:val="100"/>
          <w:position w:val="0"/>
        </w:rPr>
        <w:t>为香港居民企业，其所得税适 用香港税务法例。按照香港税务法例，其适用利得税税率为</w:t>
      </w:r>
      <w:r>
        <w:rPr>
          <w:color w:val="000000"/>
          <w:spacing w:val="0"/>
          <w:w w:val="100"/>
          <w:position w:val="0"/>
        </w:rPr>
        <w:t>16.5%</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北京云核网络技术有限公司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湖南中农信达信息科技有限公司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神州国信（北京）量子科技有限公司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杨凌农业云服务有限公司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北京神州数码方圆科技有限公司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南京华苏软件有限公司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江苏神州数码国信信息技术有限公司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北京神州通慧科技有限公司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北京神州数码锐行快捷信息技术服务有限公司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神州龙安（青海）信息技术服务有限公司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神州龙安（江苏）信息技术服务有限公司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南京瑞擎科技有限公司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神州土地（北京）信息技术有限公司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神州数码信息系统（扬州）有限公司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深圳神州数码信息技术服务有限公司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杨凌安全农产品溯源标识管理有限公司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新疆神州三宝信息技术有限公司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贵州中农信达信息技术有限公司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中能国电（北京）新能源投资有限公司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神州龙安（成都）信息技术服务有限公司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神州龙安（内蒙古）信息技术服务有限公司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神州龙安（山西）信息技术服务有限公司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香河旗硕智能科技有限公司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西安远景信息技术有限公司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12.5% </w:t>
            </w:r>
            <w:r>
              <w:rPr>
                <w:color w:val="000000"/>
                <w:spacing w:val="0"/>
                <w:w w:val="100"/>
                <w:position w:val="0"/>
              </w:rPr>
              <w:t>（按法定税率</w:t>
            </w:r>
            <w:r>
              <w:rPr>
                <w:rFonts w:ascii="Times New Roman" w:eastAsia="Times New Roman" w:hAnsi="Times New Roman" w:cs="Times New Roman"/>
                <w:color w:val="000000"/>
                <w:spacing w:val="0"/>
                <w:w w:val="100"/>
                <w:position w:val="0"/>
              </w:rPr>
              <w:t>25%</w:t>
            </w:r>
            <w:r>
              <w:rPr>
                <w:color w:val="000000"/>
                <w:spacing w:val="0"/>
                <w:w w:val="100"/>
                <w:position w:val="0"/>
              </w:rPr>
              <w:t>减半征收）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神州远景（西安）科技发展有限公司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12.5% </w:t>
            </w:r>
            <w:r>
              <w:rPr>
                <w:color w:val="000000"/>
                <w:spacing w:val="0"/>
                <w:w w:val="100"/>
                <w:position w:val="0"/>
              </w:rPr>
              <w:t>（按法定税率</w:t>
            </w:r>
            <w:r>
              <w:rPr>
                <w:rFonts w:ascii="Times New Roman" w:eastAsia="Times New Roman" w:hAnsi="Times New Roman" w:cs="Times New Roman"/>
                <w:color w:val="000000"/>
                <w:spacing w:val="0"/>
                <w:w w:val="100"/>
                <w:position w:val="0"/>
              </w:rPr>
              <w:t>25%</w:t>
            </w:r>
            <w:r>
              <w:rPr>
                <w:color w:val="000000"/>
                <w:spacing w:val="0"/>
                <w:w w:val="100"/>
                <w:position w:val="0"/>
              </w:rPr>
              <w:t>减半征收）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上海神州数码信息技术服务有限公司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北京神州数字科技有限公司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bl>
    <w:p>
      <w:pPr>
        <w:widowControl w:val="0"/>
        <w:spacing w:after="319" w:line="1" w:lineRule="exact"/>
      </w:pPr>
    </w:p>
    <w:p>
      <w:pPr>
        <w:pStyle w:val="Style13"/>
        <w:keepNext w:val="0"/>
        <w:keepLines w:val="0"/>
        <w:widowControl w:val="0"/>
        <w:shd w:val="clear" w:color="auto" w:fill="auto"/>
        <w:bidi w:val="0"/>
        <w:spacing w:before="0" w:after="320" w:line="311" w:lineRule="exact"/>
        <w:ind w:left="0" w:right="0" w:firstLine="0"/>
        <w:jc w:val="left"/>
      </w:pPr>
      <w:r>
        <w:rPr>
          <w:color w:val="000000"/>
          <w:spacing w:val="0"/>
          <w:w w:val="100"/>
          <w:position w:val="0"/>
        </w:rPr>
        <w:t>注：本公司及除上表中的其他中国大陆子公司适用所得税税率</w:t>
      </w:r>
      <w:r>
        <w:rPr>
          <w:color w:val="000000"/>
          <w:spacing w:val="0"/>
          <w:w w:val="100"/>
          <w:position w:val="0"/>
        </w:rPr>
        <w:t>25%</w:t>
      </w:r>
      <w:r>
        <w:rPr>
          <w:color w:val="000000"/>
          <w:spacing w:val="0"/>
          <w:w w:val="100"/>
          <w:position w:val="0"/>
        </w:rPr>
        <w:t>。</w:t>
      </w:r>
    </w:p>
    <w:p>
      <w:pPr>
        <w:pStyle w:val="Style29"/>
        <w:keepNext/>
        <w:keepLines/>
        <w:widowControl w:val="0"/>
        <w:shd w:val="clear" w:color="auto" w:fill="auto"/>
        <w:bidi w:val="0"/>
        <w:spacing w:before="0" w:after="260" w:line="240" w:lineRule="auto"/>
        <w:ind w:left="0" w:right="0" w:firstLine="0"/>
        <w:jc w:val="left"/>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71"/>
      <w:bookmarkEnd w:id="972"/>
      <w:bookmarkEnd w:id="973"/>
    </w:p>
    <w:p>
      <w:pPr>
        <w:pStyle w:val="Style13"/>
        <w:keepNext w:val="0"/>
        <w:keepLines w:val="0"/>
        <w:widowControl w:val="0"/>
        <w:shd w:val="clear" w:color="auto" w:fill="auto"/>
        <w:bidi w:val="0"/>
        <w:spacing w:before="0" w:after="0" w:line="311" w:lineRule="exact"/>
        <w:ind w:left="0" w:right="0"/>
        <w:jc w:val="both"/>
      </w:pPr>
      <w:r>
        <w:rPr>
          <w:color w:val="000000"/>
          <w:spacing w:val="0"/>
          <w:w w:val="100"/>
          <w:position w:val="0"/>
        </w:rPr>
        <w:t>（1）</w:t>
      </w:r>
      <w:r>
        <w:rPr>
          <w:color w:val="000000"/>
          <w:spacing w:val="0"/>
          <w:w w:val="100"/>
          <w:position w:val="0"/>
        </w:rPr>
        <w:t>企业所得税</w:t>
      </w:r>
    </w:p>
    <w:p>
      <w:pPr>
        <w:pStyle w:val="Style13"/>
        <w:keepNext w:val="0"/>
        <w:keepLines w:val="0"/>
        <w:widowControl w:val="0"/>
        <w:shd w:val="clear" w:color="auto" w:fill="auto"/>
        <w:bidi w:val="0"/>
        <w:spacing w:before="0" w:after="0" w:line="311" w:lineRule="exact"/>
        <w:ind w:left="0" w:right="0"/>
        <w:jc w:val="both"/>
      </w:pPr>
      <w:r>
        <w:rPr>
          <w:color w:val="000000"/>
          <w:spacing w:val="0"/>
          <w:w w:val="100"/>
          <w:position w:val="0"/>
        </w:rPr>
        <w:t>神州数码系统集成服务有限公司</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月取得高新技术企业认证，并于</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月和</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 xml:space="preserve">月通过高新技术企业复审, </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月通过高新技术企业重新认定。根据《中华人民共和国企业所得税法》规定，自获得高新技术企业认定后三年内， 将享受按</w:t>
      </w:r>
      <w:r>
        <w:rPr>
          <w:color w:val="000000"/>
          <w:spacing w:val="0"/>
          <w:w w:val="100"/>
          <w:position w:val="0"/>
        </w:rPr>
        <w:t>15%</w:t>
      </w:r>
      <w:r>
        <w:rPr>
          <w:color w:val="000000"/>
          <w:spacing w:val="0"/>
          <w:w w:val="100"/>
          <w:position w:val="0"/>
        </w:rPr>
        <w:t>的税率征收企业所得税的税收优惠政策。</w:t>
      </w:r>
      <w:r>
        <w:rPr>
          <w:color w:val="000000"/>
          <w:spacing w:val="0"/>
          <w:w w:val="100"/>
          <w:position w:val="0"/>
        </w:rPr>
        <w:t>2021</w:t>
      </w:r>
      <w:r>
        <w:rPr>
          <w:color w:val="000000"/>
          <w:spacing w:val="0"/>
          <w:w w:val="100"/>
          <w:position w:val="0"/>
        </w:rPr>
        <w:t>年适用所得税税率为</w:t>
      </w:r>
      <w:r>
        <w:rPr>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0" w:line="311" w:lineRule="exact"/>
        <w:ind w:left="0" w:right="0"/>
        <w:jc w:val="both"/>
      </w:pPr>
      <w:r>
        <w:rPr>
          <w:color w:val="000000"/>
          <w:spacing w:val="0"/>
          <w:w w:val="100"/>
          <w:position w:val="0"/>
        </w:rPr>
        <w:t>上海神州数码信息技术服务有限公司于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月取得高新技术企业认证。根据《中华人民共和国企业所得税法》规定， 自获得高新技术企业认定后三年内，将享受按</w:t>
      </w:r>
      <w:r>
        <w:rPr>
          <w:color w:val="000000"/>
          <w:spacing w:val="0"/>
          <w:w w:val="100"/>
          <w:position w:val="0"/>
        </w:rPr>
        <w:t>15%</w:t>
      </w:r>
      <w:r>
        <w:rPr>
          <w:color w:val="000000"/>
          <w:spacing w:val="0"/>
          <w:w w:val="100"/>
          <w:position w:val="0"/>
        </w:rPr>
        <w:t>的税率征收企业所得税的税收优惠政策。</w:t>
      </w:r>
      <w:r>
        <w:rPr>
          <w:color w:val="000000"/>
          <w:spacing w:val="0"/>
          <w:w w:val="100"/>
          <w:position w:val="0"/>
        </w:rPr>
        <w:t>2021</w:t>
      </w:r>
      <w:r>
        <w:rPr>
          <w:color w:val="000000"/>
          <w:spacing w:val="0"/>
          <w:w w:val="100"/>
          <w:position w:val="0"/>
        </w:rPr>
        <w:t>年适用所得税税率为</w:t>
      </w:r>
      <w:r>
        <w:rPr>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0" w:line="311" w:lineRule="exact"/>
        <w:ind w:left="0" w:right="0"/>
        <w:jc w:val="both"/>
      </w:pPr>
      <w:r>
        <w:rPr>
          <w:color w:val="000000"/>
          <w:spacing w:val="0"/>
          <w:w w:val="100"/>
          <w:position w:val="0"/>
        </w:rPr>
        <w:t>神州数码信息系统有限公司</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月取得高新技术企业认证，根据《中华人民共和国企业所得税法》规定，自获得高 新技术企业认定后三年内，将享受按</w:t>
      </w:r>
      <w:r>
        <w:rPr>
          <w:color w:val="000000"/>
          <w:spacing w:val="0"/>
          <w:w w:val="100"/>
          <w:position w:val="0"/>
        </w:rPr>
        <w:t>15%</w:t>
      </w:r>
      <w:r>
        <w:rPr>
          <w:color w:val="000000"/>
          <w:spacing w:val="0"/>
          <w:w w:val="100"/>
          <w:position w:val="0"/>
        </w:rPr>
        <w:t>的税率征收企业所得税的税收优惠政策。</w:t>
      </w:r>
      <w:r>
        <w:rPr>
          <w:color w:val="000000"/>
          <w:spacing w:val="0"/>
          <w:w w:val="100"/>
          <w:position w:val="0"/>
        </w:rPr>
        <w:t>2021</w:t>
      </w:r>
      <w:r>
        <w:rPr>
          <w:color w:val="000000"/>
          <w:spacing w:val="0"/>
          <w:w w:val="100"/>
          <w:position w:val="0"/>
        </w:rPr>
        <w:t>年适用所得税税率为</w:t>
      </w:r>
      <w:r>
        <w:rPr>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0" w:line="311" w:lineRule="exact"/>
        <w:ind w:left="0" w:right="0"/>
        <w:jc w:val="both"/>
      </w:pPr>
      <w:r>
        <w:rPr>
          <w:color w:val="000000"/>
          <w:spacing w:val="0"/>
          <w:w w:val="100"/>
          <w:position w:val="0"/>
        </w:rPr>
        <w:t>神州数码融信软件有限公司于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月取得高新技术企业认证。根据《中华人民共和国企业所得税法》规定，自获得 高新技术企业认定后三年内，将享受按</w:t>
      </w:r>
      <w:r>
        <w:rPr>
          <w:color w:val="000000"/>
          <w:spacing w:val="0"/>
          <w:w w:val="100"/>
          <w:position w:val="0"/>
        </w:rPr>
        <w:t>15%</w:t>
      </w:r>
      <w:r>
        <w:rPr>
          <w:color w:val="000000"/>
          <w:spacing w:val="0"/>
          <w:w w:val="100"/>
          <w:position w:val="0"/>
        </w:rPr>
        <w:t>的税率征收企业所得税的税收优惠政策。</w:t>
      </w:r>
      <w:r>
        <w:rPr>
          <w:color w:val="000000"/>
          <w:spacing w:val="0"/>
          <w:w w:val="100"/>
          <w:position w:val="0"/>
        </w:rPr>
        <w:t>2021</w:t>
      </w:r>
      <w:r>
        <w:rPr>
          <w:color w:val="000000"/>
          <w:spacing w:val="0"/>
          <w:w w:val="100"/>
          <w:position w:val="0"/>
        </w:rPr>
        <w:t>年适用所得税税率为</w:t>
      </w:r>
      <w:r>
        <w:rPr>
          <w:color w:val="000000"/>
          <w:spacing w:val="0"/>
          <w:w w:val="100"/>
          <w:position w:val="0"/>
        </w:rPr>
        <w:t>15%</w:t>
      </w:r>
      <w:r>
        <w:rPr>
          <w:color w:val="000000"/>
          <w:spacing w:val="0"/>
          <w:w w:val="100"/>
          <w:position w:val="0"/>
        </w:rPr>
        <w:t>。神州数码 融信软件有限公司</w:t>
      </w:r>
      <w:r>
        <w:rPr>
          <w:color w:val="000000"/>
          <w:spacing w:val="0"/>
          <w:w w:val="100"/>
          <w:position w:val="0"/>
        </w:rPr>
        <w:t>2017</w:t>
      </w:r>
      <w:r>
        <w:rPr>
          <w:color w:val="000000"/>
          <w:spacing w:val="0"/>
          <w:w w:val="100"/>
          <w:position w:val="0"/>
        </w:rPr>
        <w:t>年度、</w:t>
      </w:r>
      <w:r>
        <w:rPr>
          <w:color w:val="000000"/>
          <w:spacing w:val="0"/>
          <w:w w:val="100"/>
          <w:position w:val="0"/>
        </w:rPr>
        <w:t>2018</w:t>
      </w:r>
      <w:r>
        <w:rPr>
          <w:color w:val="000000"/>
          <w:spacing w:val="0"/>
          <w:w w:val="100"/>
          <w:position w:val="0"/>
        </w:rPr>
        <w:t>年度及</w:t>
      </w:r>
      <w:r>
        <w:rPr>
          <w:color w:val="000000"/>
          <w:spacing w:val="0"/>
          <w:w w:val="100"/>
          <w:position w:val="0"/>
        </w:rPr>
        <w:t>2019</w:t>
      </w:r>
      <w:r>
        <w:rPr>
          <w:color w:val="000000"/>
          <w:spacing w:val="0"/>
          <w:w w:val="100"/>
          <w:position w:val="0"/>
        </w:rPr>
        <w:t>年度符合国家规划布局内的重点软件企业申报条件，适用所得税税率为</w:t>
      </w:r>
      <w:r>
        <w:rPr>
          <w:color w:val="000000"/>
          <w:spacing w:val="0"/>
          <w:w w:val="100"/>
          <w:position w:val="0"/>
        </w:rPr>
        <w:t xml:space="preserve">10%； </w:t>
      </w:r>
      <w:r>
        <w:rPr>
          <w:color w:val="000000"/>
          <w:spacing w:val="0"/>
          <w:w w:val="100"/>
          <w:position w:val="0"/>
        </w:rPr>
        <w:t>神州数码融信软件有限公司认为其</w:t>
      </w:r>
      <w:r>
        <w:rPr>
          <w:color w:val="000000"/>
          <w:spacing w:val="0"/>
          <w:w w:val="100"/>
          <w:position w:val="0"/>
        </w:rPr>
        <w:t>2021</w:t>
      </w:r>
      <w:r>
        <w:rPr>
          <w:color w:val="000000"/>
          <w:spacing w:val="0"/>
          <w:w w:val="100"/>
          <w:position w:val="0"/>
        </w:rPr>
        <w:t>年度继续符合重点软件企业申报条件，</w:t>
      </w:r>
      <w:r>
        <w:rPr>
          <w:color w:val="000000"/>
          <w:spacing w:val="0"/>
          <w:w w:val="100"/>
          <w:position w:val="0"/>
        </w:rPr>
        <w:t>2021</w:t>
      </w:r>
      <w:r>
        <w:rPr>
          <w:color w:val="000000"/>
          <w:spacing w:val="0"/>
          <w:w w:val="100"/>
          <w:position w:val="0"/>
        </w:rPr>
        <w:t>年按</w:t>
      </w:r>
      <w:r>
        <w:rPr>
          <w:color w:val="000000"/>
          <w:spacing w:val="0"/>
          <w:w w:val="100"/>
          <w:position w:val="0"/>
        </w:rPr>
        <w:t>10%</w:t>
      </w:r>
      <w:r>
        <w:rPr>
          <w:color w:val="000000"/>
          <w:spacing w:val="0"/>
          <w:w w:val="100"/>
          <w:position w:val="0"/>
        </w:rPr>
        <w:t>所得税税率计算应纳所得税额。</w:t>
      </w:r>
    </w:p>
    <w:p>
      <w:pPr>
        <w:pStyle w:val="Style13"/>
        <w:keepNext w:val="0"/>
        <w:keepLines w:val="0"/>
        <w:widowControl w:val="0"/>
        <w:shd w:val="clear" w:color="auto" w:fill="auto"/>
        <w:bidi w:val="0"/>
        <w:spacing w:before="0" w:after="0" w:line="311" w:lineRule="exact"/>
        <w:ind w:left="0" w:right="0"/>
        <w:jc w:val="both"/>
      </w:pPr>
      <w:r>
        <w:rPr>
          <w:color w:val="000000"/>
          <w:spacing w:val="0"/>
          <w:w w:val="100"/>
          <w:position w:val="0"/>
        </w:rPr>
        <w:t>北京云核网络技术有限公司于</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月取得高新技术企业认证，并于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月通过高新技术企业复审，根据《中华 人民共和国企业所得税法》规定，自获得高新技术企业认定后三年内，将享受按</w:t>
      </w:r>
      <w:r>
        <w:rPr>
          <w:color w:val="000000"/>
          <w:spacing w:val="0"/>
          <w:w w:val="100"/>
          <w:position w:val="0"/>
        </w:rPr>
        <w:t>15%</w:t>
      </w:r>
      <w:r>
        <w:rPr>
          <w:color w:val="000000"/>
          <w:spacing w:val="0"/>
          <w:w w:val="100"/>
          <w:position w:val="0"/>
        </w:rPr>
        <w:t xml:space="preserve">的税率征收企业所得税的税收优惠政策。 </w:t>
      </w:r>
      <w:r>
        <w:rPr>
          <w:color w:val="000000"/>
          <w:spacing w:val="0"/>
          <w:w w:val="100"/>
          <w:position w:val="0"/>
        </w:rPr>
        <w:t>2021</w:t>
      </w:r>
      <w:r>
        <w:rPr>
          <w:color w:val="000000"/>
          <w:spacing w:val="0"/>
          <w:w w:val="100"/>
          <w:position w:val="0"/>
        </w:rPr>
        <w:t>年适用所得税税率为</w:t>
      </w:r>
      <w:r>
        <w:rPr>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120" w:line="311" w:lineRule="exact"/>
        <w:ind w:left="0" w:right="0"/>
        <w:jc w:val="both"/>
      </w:pPr>
      <w:r>
        <w:rPr>
          <w:color w:val="000000"/>
          <w:spacing w:val="0"/>
          <w:w w:val="100"/>
          <w:position w:val="0"/>
        </w:rPr>
        <w:t>杨凌农业云服务有限公司于</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月取得高新技术企业认证，并于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月通过高新技术企业复审。根据《中华人 民共和国企业所得税法》规定，自获得高新技术企业认定后三年内，将享受按</w:t>
      </w:r>
      <w:r>
        <w:rPr>
          <w:color w:val="000000"/>
          <w:spacing w:val="0"/>
          <w:w w:val="100"/>
          <w:position w:val="0"/>
        </w:rPr>
        <w:t>15%</w:t>
      </w:r>
      <w:r>
        <w:rPr>
          <w:color w:val="000000"/>
          <w:spacing w:val="0"/>
          <w:w w:val="100"/>
          <w:position w:val="0"/>
        </w:rPr>
        <w:t>的税率征收企业所得税的税收优惠政策。</w:t>
      </w:r>
    </w:p>
    <w:p>
      <w:pPr>
        <w:pStyle w:val="Style13"/>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color w:val="000000"/>
          <w:spacing w:val="0"/>
          <w:w w:val="100"/>
          <w:position w:val="0"/>
        </w:rPr>
        <w:t>年适用所得税税率为</w:t>
      </w:r>
      <w:r>
        <w:rPr>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中农信达于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月取得高新技术企业认证。根据《中华人民共和国企业所得税法》规定，自获得高新技术企业认定 后三年内，将享受按</w:t>
      </w:r>
      <w:r>
        <w:rPr>
          <w:color w:val="000000"/>
          <w:spacing w:val="0"/>
          <w:w w:val="100"/>
          <w:position w:val="0"/>
        </w:rPr>
        <w:t>15%</w:t>
      </w:r>
      <w:r>
        <w:rPr>
          <w:color w:val="000000"/>
          <w:spacing w:val="0"/>
          <w:w w:val="100"/>
          <w:position w:val="0"/>
        </w:rPr>
        <w:t>的税率征收企业所得税的税收优惠政策。</w:t>
      </w:r>
      <w:r>
        <w:rPr>
          <w:color w:val="000000"/>
          <w:spacing w:val="0"/>
          <w:w w:val="100"/>
          <w:position w:val="0"/>
        </w:rPr>
        <w:t>2021</w:t>
      </w:r>
      <w:r>
        <w:rPr>
          <w:color w:val="000000"/>
          <w:spacing w:val="0"/>
          <w:w w:val="100"/>
          <w:position w:val="0"/>
        </w:rPr>
        <w:t>年适用所得税税率为</w:t>
      </w:r>
      <w:r>
        <w:rPr>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北京旗硕基业科技股份有限公司于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月取得高新技术企业认证。根据《中华人民共和国企业所得税法》规定，自 获得高新技术企业认定后三年内，将享受按</w:t>
      </w:r>
      <w:r>
        <w:rPr>
          <w:color w:val="000000"/>
          <w:spacing w:val="0"/>
          <w:w w:val="100"/>
          <w:position w:val="0"/>
        </w:rPr>
        <w:t>15%</w:t>
      </w:r>
      <w:r>
        <w:rPr>
          <w:color w:val="000000"/>
          <w:spacing w:val="0"/>
          <w:w w:val="100"/>
          <w:position w:val="0"/>
        </w:rPr>
        <w:t>的税率征收企业所得税的税收优惠政策。</w:t>
      </w:r>
      <w:r>
        <w:rPr>
          <w:color w:val="000000"/>
          <w:spacing w:val="0"/>
          <w:w w:val="100"/>
          <w:position w:val="0"/>
        </w:rPr>
        <w:t>2021</w:t>
      </w:r>
      <w:r>
        <w:rPr>
          <w:color w:val="000000"/>
          <w:spacing w:val="0"/>
          <w:w w:val="100"/>
          <w:position w:val="0"/>
        </w:rPr>
        <w:t>年适用所得税税率为</w:t>
      </w:r>
      <w:r>
        <w:rPr>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神州国信（北京）量子科技有限公司于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日取得高新技术企业认证。根据《中华人民共和国企业所得税法》 规定，自获得高新技术企业认定后三年内，将享受按</w:t>
      </w:r>
      <w:r>
        <w:rPr>
          <w:color w:val="000000"/>
          <w:spacing w:val="0"/>
          <w:w w:val="100"/>
          <w:position w:val="0"/>
        </w:rPr>
        <w:t>15%</w:t>
      </w:r>
      <w:r>
        <w:rPr>
          <w:color w:val="000000"/>
          <w:spacing w:val="0"/>
          <w:w w:val="100"/>
          <w:position w:val="0"/>
        </w:rPr>
        <w:t>的税率征收企业所得税的税收优惠政策。</w:t>
      </w:r>
      <w:r>
        <w:rPr>
          <w:color w:val="000000"/>
          <w:spacing w:val="0"/>
          <w:w w:val="100"/>
          <w:position w:val="0"/>
        </w:rPr>
        <w:t>2021</w:t>
      </w:r>
      <w:r>
        <w:rPr>
          <w:color w:val="000000"/>
          <w:spacing w:val="0"/>
          <w:w w:val="100"/>
          <w:position w:val="0"/>
        </w:rPr>
        <w:t xml:space="preserve">年适用所得税税率为 </w:t>
      </w:r>
      <w:r>
        <w:rPr>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华苏科技自</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月通过高新技术企业认证，并于</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 xml:space="preserve">月通过复审并取得高新技术企业证书（证书编号 </w:t>
      </w:r>
      <w:r>
        <w:rPr>
          <w:color w:val="000000"/>
          <w:spacing w:val="0"/>
          <w:w w:val="100"/>
          <w:position w:val="0"/>
        </w:rPr>
        <w:t>GR202132003376）</w:t>
      </w:r>
      <w:r>
        <w:rPr>
          <w:color w:val="000000"/>
          <w:spacing w:val="0"/>
          <w:w w:val="100"/>
          <w:position w:val="0"/>
        </w:rPr>
        <w:t>。</w:t>
      </w:r>
      <w:r>
        <w:rPr>
          <w:color w:val="000000"/>
          <w:spacing w:val="0"/>
          <w:w w:val="100"/>
          <w:position w:val="0"/>
        </w:rPr>
        <w:t>根据《中华人民共和国企业所得税法》规定，自获得高新技术企业认定后三年内，将享受按</w:t>
      </w:r>
      <w:r>
        <w:rPr>
          <w:color w:val="000000"/>
          <w:spacing w:val="0"/>
          <w:w w:val="100"/>
          <w:position w:val="0"/>
        </w:rPr>
        <w:t>15%</w:t>
      </w:r>
      <w:r>
        <w:rPr>
          <w:color w:val="000000"/>
          <w:spacing w:val="0"/>
          <w:w w:val="100"/>
          <w:position w:val="0"/>
        </w:rPr>
        <w:t>的税率 征收企业所得税的税收优惠政策。华苏科技认为</w:t>
      </w:r>
      <w:r>
        <w:rPr>
          <w:color w:val="000000"/>
          <w:spacing w:val="0"/>
          <w:w w:val="100"/>
          <w:position w:val="0"/>
        </w:rPr>
        <w:t>2021</w:t>
      </w:r>
      <w:r>
        <w:rPr>
          <w:color w:val="000000"/>
          <w:spacing w:val="0"/>
          <w:w w:val="100"/>
          <w:position w:val="0"/>
        </w:rPr>
        <w:t xml:space="preserve">年度符合国家规划布局内的重点软件企业申报条件且已申请备案，故 </w:t>
      </w:r>
      <w:r>
        <w:rPr>
          <w:color w:val="000000"/>
          <w:spacing w:val="0"/>
          <w:w w:val="100"/>
          <w:position w:val="0"/>
        </w:rPr>
        <w:t>2021</w:t>
      </w:r>
      <w:r>
        <w:rPr>
          <w:color w:val="000000"/>
          <w:spacing w:val="0"/>
          <w:w w:val="100"/>
          <w:position w:val="0"/>
        </w:rPr>
        <w:t>年按</w:t>
      </w:r>
      <w:r>
        <w:rPr>
          <w:color w:val="000000"/>
          <w:spacing w:val="0"/>
          <w:w w:val="100"/>
          <w:position w:val="0"/>
        </w:rPr>
        <w:t>10%</w:t>
      </w:r>
      <w:r>
        <w:rPr>
          <w:color w:val="000000"/>
          <w:spacing w:val="0"/>
          <w:w w:val="100"/>
          <w:position w:val="0"/>
        </w:rPr>
        <w:t>所得税税率计算应纳所得税额。</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西安远景信息技术有限公司于</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月取得高新技术企业认证。根据《中华人民共和国企业所得税法》规定，自获得 高新技术企业认定后三年内，将享受按</w:t>
      </w:r>
      <w:r>
        <w:rPr>
          <w:color w:val="000000"/>
          <w:spacing w:val="0"/>
          <w:w w:val="100"/>
          <w:position w:val="0"/>
        </w:rPr>
        <w:t>15%</w:t>
      </w:r>
      <w:r>
        <w:rPr>
          <w:color w:val="000000"/>
          <w:spacing w:val="0"/>
          <w:w w:val="100"/>
          <w:position w:val="0"/>
        </w:rPr>
        <w:t>的税率征收企业所得税的税收优惠政策。同时，根据《财政部税务总局关于集成 电路设计和软件产业企业所得税政策的公告》（财政部税务总局公告</w:t>
      </w:r>
      <w:r>
        <w:rPr>
          <w:color w:val="000000"/>
          <w:spacing w:val="0"/>
          <w:w w:val="100"/>
          <w:position w:val="0"/>
        </w:rPr>
        <w:t>2019</w:t>
      </w:r>
      <w:r>
        <w:rPr>
          <w:color w:val="000000"/>
          <w:spacing w:val="0"/>
          <w:w w:val="100"/>
          <w:position w:val="0"/>
        </w:rPr>
        <w:t>年第</w:t>
      </w:r>
      <w:r>
        <w:rPr>
          <w:color w:val="000000"/>
          <w:spacing w:val="0"/>
          <w:w w:val="100"/>
          <w:position w:val="0"/>
        </w:rPr>
        <w:t>68</w:t>
      </w:r>
      <w:r>
        <w:rPr>
          <w:color w:val="000000"/>
          <w:spacing w:val="0"/>
          <w:w w:val="100"/>
          <w:position w:val="0"/>
        </w:rPr>
        <w:t>号）规定，西安远景信息技术有限公司符合 《进一步鼓励软件产业和集成电路产业发展的若干政策》和《软件企业评估标准》的有关规定，于</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日评估为软 件企业（证书编号：陕</w:t>
      </w:r>
      <w:r>
        <w:rPr>
          <w:color w:val="000000"/>
          <w:spacing w:val="0"/>
          <w:w w:val="100"/>
          <w:position w:val="0"/>
        </w:rPr>
        <w:t>RQ-2019-0134）</w:t>
      </w:r>
      <w:r>
        <w:rPr>
          <w:color w:val="000000"/>
          <w:spacing w:val="0"/>
          <w:w w:val="100"/>
          <w:position w:val="0"/>
        </w:rPr>
        <w:t>，</w:t>
      </w:r>
      <w:r>
        <w:rPr>
          <w:color w:val="000000"/>
          <w:spacing w:val="0"/>
          <w:w w:val="100"/>
          <w:position w:val="0"/>
        </w:rPr>
        <w:t>在</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日前自获利年度起计算优惠期，第一年至第二年免征企业所得税， 第三年至第五年按照</w:t>
      </w:r>
      <w:r>
        <w:rPr>
          <w:color w:val="000000"/>
          <w:spacing w:val="0"/>
          <w:w w:val="100"/>
          <w:position w:val="0"/>
        </w:rPr>
        <w:t>25%</w:t>
      </w:r>
      <w:r>
        <w:rPr>
          <w:color w:val="000000"/>
          <w:spacing w:val="0"/>
          <w:w w:val="100"/>
          <w:position w:val="0"/>
        </w:rPr>
        <w:t>的法定税率减半征收企业所得税。</w:t>
      </w:r>
      <w:r>
        <w:rPr>
          <w:color w:val="000000"/>
          <w:spacing w:val="0"/>
          <w:w w:val="100"/>
          <w:position w:val="0"/>
        </w:rPr>
        <w:t>2021</w:t>
      </w:r>
      <w:r>
        <w:rPr>
          <w:color w:val="000000"/>
          <w:spacing w:val="0"/>
          <w:w w:val="100"/>
          <w:position w:val="0"/>
        </w:rPr>
        <w:t>年按照</w:t>
      </w:r>
      <w:r>
        <w:rPr>
          <w:color w:val="000000"/>
          <w:spacing w:val="0"/>
          <w:w w:val="100"/>
          <w:position w:val="0"/>
        </w:rPr>
        <w:t>25%</w:t>
      </w:r>
      <w:r>
        <w:rPr>
          <w:color w:val="000000"/>
          <w:spacing w:val="0"/>
          <w:w w:val="100"/>
          <w:position w:val="0"/>
        </w:rPr>
        <w:t>的法定税率减半征收企业所得税，适用所得税税率 为</w:t>
      </w:r>
      <w:r>
        <w:rPr>
          <w:color w:val="000000"/>
          <w:spacing w:val="0"/>
          <w:w w:val="100"/>
          <w:position w:val="0"/>
        </w:rPr>
        <w:t xml:space="preserve">12. </w:t>
      </w:r>
      <w:r>
        <w:rPr>
          <w:color w:val="000000"/>
          <w:spacing w:val="0"/>
          <w:w w:val="100"/>
          <w:position w:val="0"/>
        </w:rPr>
        <w:t>5%</w:t>
      </w:r>
      <w:r>
        <w:rPr>
          <w:color w:val="000000"/>
          <w:spacing w:val="0"/>
          <w:w w:val="100"/>
          <w:position w:val="0"/>
        </w:rPr>
        <w:t>。</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神州远景（西安）科技发展有限公司于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日评估为软件企业（证书编号：陕</w:t>
      </w:r>
      <w:r>
        <w:rPr>
          <w:color w:val="000000"/>
          <w:spacing w:val="0"/>
          <w:w w:val="100"/>
          <w:position w:val="0"/>
        </w:rPr>
        <w:t>RQ-2020-0149）</w:t>
      </w:r>
      <w:r>
        <w:rPr>
          <w:color w:val="000000"/>
          <w:spacing w:val="0"/>
          <w:w w:val="100"/>
          <w:position w:val="0"/>
        </w:rPr>
        <w:t>，</w:t>
      </w:r>
      <w:r>
        <w:rPr>
          <w:color w:val="000000"/>
          <w:spacing w:val="0"/>
          <w:w w:val="100"/>
          <w:position w:val="0"/>
        </w:rPr>
        <w:t>根据《财政部 税务总局关于集成电路设计和软件产业企业所得税政策的公告》（财政部税务总局公告</w:t>
      </w:r>
      <w:r>
        <w:rPr>
          <w:color w:val="000000"/>
          <w:spacing w:val="0"/>
          <w:w w:val="100"/>
          <w:position w:val="0"/>
        </w:rPr>
        <w:t>2019</w:t>
      </w:r>
      <w:r>
        <w:rPr>
          <w:color w:val="000000"/>
          <w:spacing w:val="0"/>
          <w:w w:val="100"/>
          <w:position w:val="0"/>
        </w:rPr>
        <w:t>年第</w:t>
      </w:r>
      <w:r>
        <w:rPr>
          <w:color w:val="000000"/>
          <w:spacing w:val="0"/>
          <w:w w:val="100"/>
          <w:position w:val="0"/>
        </w:rPr>
        <w:t>68</w:t>
      </w:r>
      <w:r>
        <w:rPr>
          <w:color w:val="000000"/>
          <w:spacing w:val="0"/>
          <w:w w:val="100"/>
          <w:position w:val="0"/>
        </w:rPr>
        <w:t>号）规定，西安远景信息 技术有限公司符合《进一步鼓励软件产业和集成电路产业发展的若干政策》和《软件企业评估标准》的有关规定，在</w:t>
      </w:r>
      <w:r>
        <w:rPr>
          <w:color w:val="000000"/>
          <w:spacing w:val="0"/>
          <w:w w:val="100"/>
          <w:position w:val="0"/>
        </w:rPr>
        <w:t xml:space="preserve">2019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日前自获利年度起计算优惠期，第一年至第二年免征企业所得税，第三年至第五年按照</w:t>
      </w:r>
      <w:r>
        <w:rPr>
          <w:color w:val="000000"/>
          <w:spacing w:val="0"/>
          <w:w w:val="100"/>
          <w:position w:val="0"/>
        </w:rPr>
        <w:t>25%</w:t>
      </w:r>
      <w:r>
        <w:rPr>
          <w:color w:val="000000"/>
          <w:spacing w:val="0"/>
          <w:w w:val="100"/>
          <w:position w:val="0"/>
        </w:rPr>
        <w:t>的法定税率减半征收企 业所得税。</w:t>
      </w:r>
      <w:r>
        <w:rPr>
          <w:color w:val="000000"/>
          <w:spacing w:val="0"/>
          <w:w w:val="100"/>
          <w:position w:val="0"/>
        </w:rPr>
        <w:t>2021</w:t>
      </w:r>
      <w:r>
        <w:rPr>
          <w:color w:val="000000"/>
          <w:spacing w:val="0"/>
          <w:w w:val="100"/>
          <w:position w:val="0"/>
        </w:rPr>
        <w:t>年按照</w:t>
      </w:r>
      <w:r>
        <w:rPr>
          <w:color w:val="000000"/>
          <w:spacing w:val="0"/>
          <w:w w:val="100"/>
          <w:position w:val="0"/>
        </w:rPr>
        <w:t>25%</w:t>
      </w:r>
      <w:r>
        <w:rPr>
          <w:color w:val="000000"/>
          <w:spacing w:val="0"/>
          <w:w w:val="100"/>
          <w:position w:val="0"/>
        </w:rPr>
        <w:t>的法定税率减半征收企业所得税，适用所得税税率为</w:t>
      </w:r>
      <w:r>
        <w:rPr>
          <w:color w:val="000000"/>
          <w:spacing w:val="0"/>
          <w:w w:val="100"/>
          <w:position w:val="0"/>
        </w:rPr>
        <w:t xml:space="preserve">12. </w:t>
      </w:r>
      <w:r>
        <w:rPr>
          <w:color w:val="000000"/>
          <w:spacing w:val="0"/>
          <w:w w:val="100"/>
          <w:position w:val="0"/>
        </w:rPr>
        <w:t>5%</w:t>
      </w:r>
      <w:r>
        <w:rPr>
          <w:color w:val="000000"/>
          <w:spacing w:val="0"/>
          <w:w w:val="100"/>
          <w:position w:val="0"/>
        </w:rPr>
        <w:t>。</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北京神州数字科技有限公司于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月取得高新技术企业认证。根据《中华人民共和国企业所得税法》规定，自获得 高新技术企业认定后三年内，将享受按</w:t>
      </w:r>
      <w:r>
        <w:rPr>
          <w:color w:val="000000"/>
          <w:spacing w:val="0"/>
          <w:w w:val="100"/>
          <w:position w:val="0"/>
        </w:rPr>
        <w:t>15%</w:t>
      </w:r>
      <w:r>
        <w:rPr>
          <w:color w:val="000000"/>
          <w:spacing w:val="0"/>
          <w:w w:val="100"/>
          <w:position w:val="0"/>
        </w:rPr>
        <w:t>的税率征收企业所得税的税收优惠政策。</w:t>
      </w:r>
      <w:r>
        <w:rPr>
          <w:color w:val="000000"/>
          <w:spacing w:val="0"/>
          <w:w w:val="100"/>
          <w:position w:val="0"/>
        </w:rPr>
        <w:t>2021</w:t>
      </w:r>
      <w:r>
        <w:rPr>
          <w:color w:val="000000"/>
          <w:spacing w:val="0"/>
          <w:w w:val="100"/>
          <w:position w:val="0"/>
        </w:rPr>
        <w:t>年适用所得税税率为</w:t>
      </w:r>
      <w:r>
        <w:rPr>
          <w:color w:val="000000"/>
          <w:spacing w:val="0"/>
          <w:w w:val="100"/>
          <w:position w:val="0"/>
        </w:rPr>
        <w:t>15%</w:t>
      </w:r>
      <w:r>
        <w:rPr>
          <w:color w:val="000000"/>
          <w:spacing w:val="0"/>
          <w:w w:val="100"/>
          <w:position w:val="0"/>
        </w:rPr>
        <w:t>。</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根据《财政部税务总局关于实施小微企业普惠性税收减免政策的通知》（财税</w:t>
      </w:r>
      <w:r>
        <w:rPr>
          <w:color w:val="000000"/>
          <w:spacing w:val="0"/>
          <w:w w:val="100"/>
          <w:position w:val="0"/>
        </w:rPr>
        <w:t>[2019]13</w:t>
      </w:r>
      <w:r>
        <w:rPr>
          <w:color w:val="000000"/>
          <w:spacing w:val="0"/>
          <w:w w:val="100"/>
          <w:position w:val="0"/>
        </w:rPr>
        <w:t>号）规定，对小型微利企业年应 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的税率缴纳企业所得税；对年应纳税所得额超过</w:t>
      </w:r>
      <w:r>
        <w:rPr>
          <w:color w:val="000000"/>
          <w:spacing w:val="0"/>
          <w:w w:val="100"/>
          <w:position w:val="0"/>
        </w:rPr>
        <w:t xml:space="preserve">100 </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的税率缴纳企业所得税。北京神州数码方圆科技有限公司、 湖南中农信达信息科技有限公司、南京华苏软件有限公司、江苏神州数码国信信息技术有限公司、北京神州通慧科技有限公 司、北京神州数码锐行快捷信息技术服务有限公司、神州龙安（青海）信息技术服务有限公司、神州龙安（江苏）信息技术 服务有限公司、南京瑞擎科技有限公司、神州土地（北京）信息技术有限公司、神州数码信息系统（扬州）有限公司、深圳 神州数码信息技术服务有限公司、杨凌安全农产品溯源标识管理有限公司、新疆神州三宝信息技术有限公司、贵州中农信达 信息技术有限公司、中能国电（北京）新能源投资有限公司、神州龙安（成都）信息技术服务有限公司、神州龙安（内蒙古） 信息技术服务有限公司、神州龙安（山西）信息技术服务有限公司、香河旗硕智能科技有限公司本年适用上述规定，可根据 本年应纳税所得额实际情况，自行适用相应减免优惠政策。</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（2）</w:t>
      </w:r>
      <w:r>
        <w:rPr>
          <w:color w:val="000000"/>
          <w:spacing w:val="0"/>
          <w:w w:val="100"/>
          <w:position w:val="0"/>
        </w:rPr>
        <w:t>增值税</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根据《财政部、国家税务总局关于软件产品增值税政策的通知》（财税</w:t>
      </w:r>
      <w:r>
        <w:rPr>
          <w:color w:val="000000"/>
          <w:spacing w:val="0"/>
          <w:w w:val="100"/>
          <w:position w:val="0"/>
        </w:rPr>
        <w:t>[2011]100</w:t>
      </w:r>
      <w:r>
        <w:rPr>
          <w:color w:val="000000"/>
          <w:spacing w:val="0"/>
          <w:w w:val="100"/>
          <w:position w:val="0"/>
        </w:rPr>
        <w:t>号）规定，本公司之子公司神州数码 系统集成服务有限公司、神州数码信息系统有限公司、神州数码融信软件有限公司、中农信达、北京旗硕基业科技股份有限 公司、北京云核网络技术有限公司、杨凌农业云服务有限公司销售其自行开发生产的软件产品，按法定税率征收增值税后， 对增值税实际税负超过</w:t>
      </w:r>
      <w:r>
        <w:rPr>
          <w:color w:val="000000"/>
          <w:spacing w:val="0"/>
          <w:w w:val="100"/>
          <w:position w:val="0"/>
        </w:rPr>
        <w:t>3%</w:t>
      </w:r>
      <w:r>
        <w:rPr>
          <w:color w:val="000000"/>
          <w:spacing w:val="0"/>
          <w:w w:val="100"/>
          <w:position w:val="0"/>
        </w:rPr>
        <w:t>的部分实行即征即退政策。</w:t>
      </w:r>
    </w:p>
    <w:p>
      <w:pPr>
        <w:pStyle w:val="Style13"/>
        <w:keepNext w:val="0"/>
        <w:keepLines w:val="0"/>
        <w:widowControl w:val="0"/>
        <w:shd w:val="clear" w:color="auto" w:fill="auto"/>
        <w:bidi w:val="0"/>
        <w:spacing w:before="0" w:after="0" w:line="312" w:lineRule="exact"/>
        <w:ind w:left="0" w:right="0"/>
        <w:jc w:val="both"/>
      </w:pPr>
      <w:r>
        <w:rPr>
          <w:color w:val="000000"/>
          <w:spacing w:val="0"/>
          <w:w w:val="100"/>
          <w:position w:val="0"/>
        </w:rPr>
        <w:t>根据《财政部、国家税务总局关于全面推开营业税改征增值税试点的通知》（财税</w:t>
      </w:r>
      <w:r>
        <w:rPr>
          <w:color w:val="000000"/>
          <w:spacing w:val="0"/>
          <w:w w:val="100"/>
          <w:position w:val="0"/>
        </w:rPr>
        <w:t>[2016]36</w:t>
      </w:r>
      <w:r>
        <w:rPr>
          <w:color w:val="000000"/>
          <w:spacing w:val="0"/>
          <w:w w:val="100"/>
          <w:position w:val="0"/>
        </w:rPr>
        <w:t xml:space="preserve">号）规定，本公司之子公司 神州数码系统集成服务有限公司、神州数码信息系统有限公司、神州数码融信软件有限公司、杨凌农业云服务有限公司、北 京神州数字科技有限公司、北京云核网络技术有限公司、中农信达的技术转让、技术开发和与之相关的技术咨询、技术服务 </w:t>
      </w:r>
      <w:r>
        <w:rPr>
          <w:color w:val="000000"/>
          <w:spacing w:val="0"/>
          <w:w w:val="100"/>
          <w:position w:val="0"/>
        </w:rPr>
        <w:t>收入免征增值税。</w:t>
      </w:r>
    </w:p>
    <w:p>
      <w:pPr>
        <w:pStyle w:val="Style13"/>
        <w:keepNext w:val="0"/>
        <w:keepLines w:val="0"/>
        <w:widowControl w:val="0"/>
        <w:shd w:val="clear" w:color="auto" w:fill="auto"/>
        <w:bidi w:val="0"/>
        <w:spacing w:before="0" w:after="0" w:line="314" w:lineRule="exact"/>
        <w:ind w:left="0" w:right="0"/>
        <w:jc w:val="left"/>
      </w:pPr>
      <w:r>
        <w:rPr>
          <w:color w:val="000000"/>
          <w:spacing w:val="0"/>
          <w:w w:val="100"/>
          <w:position w:val="0"/>
        </w:rPr>
        <w:t>根据《财政部、国家税务总局关于深化增值税改革有关政策的公告》（财政部税务总局海关总署公告</w:t>
      </w:r>
      <w:r>
        <w:rPr>
          <w:color w:val="000000"/>
          <w:spacing w:val="0"/>
          <w:w w:val="100"/>
          <w:position w:val="0"/>
        </w:rPr>
        <w:t>2019</w:t>
      </w:r>
      <w:r>
        <w:rPr>
          <w:color w:val="000000"/>
          <w:spacing w:val="0"/>
          <w:w w:val="100"/>
          <w:position w:val="0"/>
        </w:rPr>
        <w:t>年第</w:t>
      </w:r>
      <w:r>
        <w:rPr>
          <w:color w:val="000000"/>
          <w:spacing w:val="0"/>
          <w:w w:val="100"/>
          <w:position w:val="0"/>
        </w:rPr>
        <w:t>39</w:t>
      </w:r>
      <w:r>
        <w:rPr>
          <w:color w:val="000000"/>
          <w:spacing w:val="0"/>
          <w:w w:val="100"/>
          <w:position w:val="0"/>
        </w:rPr>
        <w:t>号） 规定，本公司之子公司神州数码融信软件有限公司、神州国信（北京）量子科技有限公司、中农信达、上海神州数码信息技 术服务有限公司、江苏神州数码国信信息技术有限公司、杨凌农业云服务有限公司、神州远景（西安）科技发展有限公司、西 安远景信息技术有限公司、华苏科技、南京华苏软件科技有限公司、南京瑞擎科技有限公司、湖南中农信达信息科技有限公 司按照当期可抵扣进项税额加计</w:t>
      </w:r>
      <w:r>
        <w:rPr>
          <w:color w:val="000000"/>
          <w:spacing w:val="0"/>
          <w:w w:val="100"/>
          <w:position w:val="0"/>
        </w:rPr>
        <w:t>10%，</w:t>
      </w:r>
      <w:r>
        <w:rPr>
          <w:color w:val="000000"/>
          <w:spacing w:val="0"/>
          <w:w w:val="100"/>
          <w:position w:val="0"/>
        </w:rPr>
        <w:t>抵减应纳税额。</w:t>
      </w:r>
    </w:p>
    <w:p>
      <w:pPr>
        <w:pStyle w:val="Style13"/>
        <w:keepNext w:val="0"/>
        <w:keepLines w:val="0"/>
        <w:widowControl w:val="0"/>
        <w:shd w:val="clear" w:color="auto" w:fill="auto"/>
        <w:bidi w:val="0"/>
        <w:spacing w:before="0" w:after="0" w:line="314" w:lineRule="exact"/>
        <w:ind w:left="0" w:right="0"/>
        <w:jc w:val="left"/>
      </w:pPr>
      <w:r>
        <w:rPr>
          <w:color w:val="000000"/>
          <w:spacing w:val="0"/>
          <w:w w:val="100"/>
          <w:position w:val="0"/>
        </w:rPr>
        <w:t>根据《财政部、税务总局关于支持个体工商户复工复业增值税政策的公告》（财政部税务总局公告</w:t>
      </w:r>
      <w:r>
        <w:rPr>
          <w:color w:val="000000"/>
          <w:spacing w:val="0"/>
          <w:w w:val="100"/>
          <w:position w:val="0"/>
        </w:rPr>
        <w:t>2020</w:t>
      </w:r>
      <w:r>
        <w:rPr>
          <w:color w:val="000000"/>
          <w:spacing w:val="0"/>
          <w:w w:val="100"/>
          <w:position w:val="0"/>
        </w:rPr>
        <w:t>年第</w:t>
      </w:r>
      <w:r>
        <w:rPr>
          <w:color w:val="000000"/>
          <w:spacing w:val="0"/>
          <w:w w:val="100"/>
          <w:position w:val="0"/>
        </w:rPr>
        <w:t>13</w:t>
      </w:r>
      <w:r>
        <w:rPr>
          <w:color w:val="000000"/>
          <w:spacing w:val="0"/>
          <w:w w:val="100"/>
          <w:position w:val="0"/>
        </w:rPr>
        <w:t>号）规 定，本公司之子公司杨凌安全农产品溯源标识管理有限公司适用</w:t>
      </w:r>
      <w:r>
        <w:rPr>
          <w:color w:val="000000"/>
          <w:spacing w:val="0"/>
          <w:w w:val="100"/>
          <w:position w:val="0"/>
        </w:rPr>
        <w:t>3%</w:t>
      </w:r>
      <w:r>
        <w:rPr>
          <w:color w:val="000000"/>
          <w:spacing w:val="0"/>
          <w:w w:val="100"/>
          <w:position w:val="0"/>
        </w:rPr>
        <w:t>征收率的应税销售收入减按</w:t>
      </w:r>
      <w:r>
        <w:rPr>
          <w:color w:val="000000"/>
          <w:spacing w:val="0"/>
          <w:w w:val="100"/>
          <w:position w:val="0"/>
        </w:rPr>
        <w:t>1%</w:t>
      </w:r>
      <w:r>
        <w:rPr>
          <w:color w:val="000000"/>
          <w:spacing w:val="0"/>
          <w:w w:val="100"/>
          <w:position w:val="0"/>
        </w:rPr>
        <w:t>征收率征收增值税。</w:t>
      </w:r>
    </w:p>
    <w:p>
      <w:pPr>
        <w:pStyle w:val="Style13"/>
        <w:keepNext w:val="0"/>
        <w:keepLines w:val="0"/>
        <w:widowControl w:val="0"/>
        <w:shd w:val="clear" w:color="auto" w:fill="auto"/>
        <w:bidi w:val="0"/>
        <w:spacing w:before="0" w:after="360" w:line="314" w:lineRule="exact"/>
        <w:ind w:left="0" w:right="0"/>
        <w:jc w:val="left"/>
      </w:pPr>
      <w:r>
        <w:rPr>
          <w:color w:val="000000"/>
          <w:spacing w:val="0"/>
          <w:w w:val="100"/>
          <w:position w:val="0"/>
        </w:rPr>
        <w:t>2021</w:t>
      </w:r>
      <w:r>
        <w:rPr>
          <w:color w:val="000000"/>
          <w:spacing w:val="0"/>
          <w:w w:val="100"/>
          <w:position w:val="0"/>
        </w:rPr>
        <w:t>年度，本集团共计收到增值税软件退税</w:t>
      </w:r>
      <w:r>
        <w:rPr>
          <w:color w:val="000000"/>
          <w:spacing w:val="0"/>
          <w:w w:val="100"/>
          <w:position w:val="0"/>
        </w:rPr>
        <w:t xml:space="preserve">21,770, </w:t>
      </w:r>
      <w:r>
        <w:rPr>
          <w:color w:val="000000"/>
          <w:spacing w:val="0"/>
          <w:w w:val="100"/>
          <w:position w:val="0"/>
        </w:rPr>
        <w:t>913.20</w:t>
      </w:r>
      <w:r>
        <w:rPr>
          <w:color w:val="000000"/>
          <w:spacing w:val="0"/>
          <w:w w:val="100"/>
          <w:position w:val="0"/>
        </w:rPr>
        <w:t>元，占本年度归属于母公司股东的净利润</w:t>
      </w:r>
      <w:r>
        <w:rPr>
          <w:color w:val="000000"/>
          <w:spacing w:val="0"/>
          <w:w w:val="100"/>
          <w:position w:val="0"/>
        </w:rPr>
        <w:t xml:space="preserve">5. </w:t>
      </w:r>
      <w:r>
        <w:rPr>
          <w:color w:val="000000"/>
          <w:spacing w:val="0"/>
          <w:w w:val="100"/>
          <w:position w:val="0"/>
        </w:rPr>
        <w:t>79%</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sz w:val="24"/>
          <w:szCs w:val="24"/>
        </w:rPr>
        <w:t>七</w:t>
      </w:r>
      <w:bookmarkEnd w:id="976"/>
      <w:r>
        <w:rPr>
          <w:color w:val="000000"/>
          <w:spacing w:val="0"/>
          <w:w w:val="100"/>
          <w:position w:val="0"/>
          <w:sz w:val="24"/>
          <w:szCs w:val="24"/>
        </w:rPr>
        <w:t>、合并财务报表项目注释</w:t>
      </w:r>
      <w:bookmarkEnd w:id="974"/>
      <w:bookmarkEnd w:id="975"/>
      <w:bookmarkEnd w:id="977"/>
    </w:p>
    <w:p>
      <w:pPr>
        <w:pStyle w:val="Style29"/>
        <w:keepNext/>
        <w:keepLines/>
        <w:widowControl w:val="0"/>
        <w:shd w:val="clear" w:color="auto" w:fill="auto"/>
        <w:bidi w:val="0"/>
        <w:spacing w:before="0" w:line="240" w:lineRule="auto"/>
        <w:ind w:left="0" w:right="0" w:firstLine="0"/>
        <w:jc w:val="left"/>
      </w:pPr>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78"/>
      <w:bookmarkEnd w:id="979"/>
      <w:bookmarkEnd w:id="9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1,484,449,940.78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1,789,836,593.55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42,058,874.96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151,476,574.49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1,526,508,815.74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1,941,313,168.04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13,609,608.72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6,781,830.76</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42,058,874.96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161,476,574.49</w:t>
            </w:r>
          </w:p>
        </w:tc>
      </w:tr>
    </w:tbl>
    <w:p>
      <w:pPr>
        <w:widowControl w:val="0"/>
        <w:spacing w:after="319" w:line="1" w:lineRule="exact"/>
      </w:pPr>
    </w:p>
    <w:p>
      <w:pPr>
        <w:pStyle w:val="Style13"/>
        <w:keepNext w:val="0"/>
        <w:keepLines w:val="0"/>
        <w:widowControl w:val="0"/>
        <w:shd w:val="clear" w:color="auto" w:fill="auto"/>
        <w:bidi w:val="0"/>
        <w:spacing w:before="0" w:after="0" w:line="360" w:lineRule="exact"/>
        <w:ind w:left="0" w:right="0"/>
        <w:jc w:val="both"/>
      </w:pPr>
      <w:r>
        <w:rPr>
          <w:color w:val="000000"/>
          <w:spacing w:val="0"/>
          <w:w w:val="100"/>
          <w:position w:val="0"/>
        </w:rPr>
        <w:t>注</w:t>
      </w:r>
      <w:r>
        <w:rPr>
          <w:color w:val="000000"/>
          <w:spacing w:val="0"/>
          <w:w w:val="100"/>
          <w:position w:val="0"/>
        </w:rPr>
        <w:t>1：</w:t>
      </w:r>
      <w:r>
        <w:rPr>
          <w:color w:val="000000"/>
          <w:spacing w:val="0"/>
          <w:w w:val="100"/>
          <w:position w:val="0"/>
        </w:rPr>
        <w:t>年末其他货币资金包括因未决诉讼被冻结的资金</w:t>
      </w:r>
      <w:r>
        <w:rPr>
          <w:color w:val="000000"/>
          <w:spacing w:val="0"/>
          <w:w w:val="100"/>
          <w:position w:val="0"/>
        </w:rPr>
        <w:t xml:space="preserve">19, 638, </w:t>
      </w:r>
      <w:r>
        <w:rPr>
          <w:color w:val="000000"/>
          <w:spacing w:val="0"/>
          <w:w w:val="100"/>
          <w:position w:val="0"/>
        </w:rPr>
        <w:t xml:space="preserve">725. </w:t>
      </w:r>
      <w:r>
        <w:rPr>
          <w:color w:val="000000"/>
          <w:spacing w:val="0"/>
          <w:w w:val="100"/>
          <w:position w:val="0"/>
        </w:rPr>
        <w:t>21</w:t>
      </w:r>
      <w:r>
        <w:rPr>
          <w:color w:val="000000"/>
          <w:spacing w:val="0"/>
          <w:w w:val="100"/>
          <w:position w:val="0"/>
        </w:rPr>
        <w:t>元，一年期定期存款</w:t>
      </w: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r>
        <w:rPr>
          <w:color w:val="000000"/>
          <w:spacing w:val="0"/>
          <w:w w:val="100"/>
          <w:position w:val="0"/>
        </w:rPr>
        <w:t>元，银行承 兑汇票保证金</w:t>
      </w:r>
      <w:r>
        <w:rPr>
          <w:color w:val="000000"/>
          <w:spacing w:val="0"/>
          <w:w w:val="100"/>
          <w:position w:val="0"/>
        </w:rPr>
        <w:t xml:space="preserve">8, 893, </w:t>
      </w:r>
      <w:r>
        <w:rPr>
          <w:color w:val="000000"/>
          <w:spacing w:val="0"/>
          <w:w w:val="100"/>
          <w:position w:val="0"/>
        </w:rPr>
        <w:t xml:space="preserve">938. </w:t>
      </w:r>
      <w:r>
        <w:rPr>
          <w:color w:val="000000"/>
          <w:spacing w:val="0"/>
          <w:w w:val="100"/>
          <w:position w:val="0"/>
        </w:rPr>
        <w:t>90</w:t>
      </w:r>
      <w:r>
        <w:rPr>
          <w:color w:val="000000"/>
          <w:spacing w:val="0"/>
          <w:w w:val="100"/>
          <w:position w:val="0"/>
        </w:rPr>
        <w:t>元，保函保证金</w:t>
      </w:r>
      <w:r>
        <w:rPr>
          <w:color w:val="000000"/>
          <w:spacing w:val="0"/>
          <w:w w:val="100"/>
          <w:position w:val="0"/>
        </w:rPr>
        <w:t xml:space="preserve">1, 942, </w:t>
      </w:r>
      <w:r>
        <w:rPr>
          <w:color w:val="000000"/>
          <w:spacing w:val="0"/>
          <w:w w:val="100"/>
          <w:position w:val="0"/>
        </w:rPr>
        <w:t xml:space="preserve">513. </w:t>
      </w:r>
      <w:r>
        <w:rPr>
          <w:color w:val="000000"/>
          <w:spacing w:val="0"/>
          <w:w w:val="100"/>
          <w:position w:val="0"/>
        </w:rPr>
        <w:t>60</w:t>
      </w:r>
      <w:r>
        <w:rPr>
          <w:color w:val="000000"/>
          <w:spacing w:val="0"/>
          <w:w w:val="100"/>
          <w:position w:val="0"/>
        </w:rPr>
        <w:t>元，履约保证金</w:t>
      </w:r>
      <w:r>
        <w:rPr>
          <w:color w:val="000000"/>
          <w:spacing w:val="0"/>
          <w:w w:val="100"/>
          <w:position w:val="0"/>
        </w:rPr>
        <w:t xml:space="preserve">1, 560, </w:t>
      </w:r>
      <w:r>
        <w:rPr>
          <w:color w:val="000000"/>
          <w:spacing w:val="0"/>
          <w:w w:val="100"/>
          <w:position w:val="0"/>
        </w:rPr>
        <w:t>000.00</w:t>
      </w:r>
      <w:r>
        <w:rPr>
          <w:color w:val="000000"/>
          <w:spacing w:val="0"/>
          <w:w w:val="100"/>
          <w:position w:val="0"/>
        </w:rPr>
        <w:t xml:space="preserve">元，因尚未完成服务冻结共管户 资金 </w:t>
      </w:r>
      <w:r>
        <w:rPr>
          <w:color w:val="000000"/>
          <w:spacing w:val="0"/>
          <w:w w:val="100"/>
          <w:position w:val="0"/>
        </w:rPr>
        <w:t xml:space="preserve">23, </w:t>
      </w:r>
      <w:r>
        <w:rPr>
          <w:color w:val="000000"/>
          <w:spacing w:val="0"/>
          <w:w w:val="100"/>
          <w:position w:val="0"/>
        </w:rPr>
        <w:t xml:space="preserve">697. </w:t>
      </w:r>
      <w:r>
        <w:rPr>
          <w:color w:val="000000"/>
          <w:spacing w:val="0"/>
          <w:w w:val="100"/>
          <w:position w:val="0"/>
        </w:rPr>
        <w:t xml:space="preserve">25 </w:t>
      </w:r>
      <w:r>
        <w:rPr>
          <w:color w:val="000000"/>
          <w:spacing w:val="0"/>
          <w:w w:val="100"/>
          <w:position w:val="0"/>
        </w:rPr>
        <w:t>元。</w:t>
      </w:r>
    </w:p>
    <w:p>
      <w:pPr>
        <w:pStyle w:val="Style13"/>
        <w:keepNext w:val="0"/>
        <w:keepLines w:val="0"/>
        <w:widowControl w:val="0"/>
        <w:shd w:val="clear" w:color="auto" w:fill="auto"/>
        <w:bidi w:val="0"/>
        <w:spacing w:before="0" w:after="60" w:line="360" w:lineRule="exact"/>
        <w:ind w:left="0" w:right="0"/>
        <w:jc w:val="both"/>
      </w:pPr>
      <w:r>
        <w:rPr>
          <w:color w:val="000000"/>
          <w:spacing w:val="0"/>
          <w:w w:val="100"/>
          <w:position w:val="0"/>
        </w:rPr>
        <w:t>上述尚未到期的诉讼冻结款、定期存款、银行承兑汇票保证金、保函及履约保证金、共管户资金共计</w:t>
      </w:r>
      <w:r>
        <w:rPr>
          <w:color w:val="000000"/>
          <w:spacing w:val="0"/>
          <w:w w:val="100"/>
          <w:position w:val="0"/>
        </w:rPr>
        <w:t xml:space="preserve">42, 058, </w:t>
      </w:r>
      <w:r>
        <w:rPr>
          <w:color w:val="000000"/>
          <w:spacing w:val="0"/>
          <w:w w:val="100"/>
          <w:position w:val="0"/>
        </w:rPr>
        <w:t xml:space="preserve">874. </w:t>
      </w:r>
      <w:r>
        <w:rPr>
          <w:color w:val="000000"/>
          <w:spacing w:val="0"/>
          <w:w w:val="100"/>
          <w:position w:val="0"/>
        </w:rPr>
        <w:t xml:space="preserve">96 </w:t>
      </w:r>
      <w:r>
        <w:rPr>
          <w:color w:val="000000"/>
          <w:spacing w:val="0"/>
          <w:w w:val="100"/>
          <w:position w:val="0"/>
        </w:rPr>
        <w:t>元，由于款项使用受到限制，因此不作为现金流量表中的现金及现金等价物。</w:t>
      </w:r>
    </w:p>
    <w:p>
      <w:pPr>
        <w:pStyle w:val="Style13"/>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注</w:t>
      </w:r>
      <w:r>
        <w:rPr>
          <w:color w:val="000000"/>
          <w:spacing w:val="0"/>
          <w:w w:val="100"/>
          <w:position w:val="0"/>
        </w:rPr>
        <w:t>2：</w:t>
      </w:r>
      <w:r>
        <w:rPr>
          <w:color w:val="000000"/>
          <w:spacing w:val="0"/>
          <w:w w:val="100"/>
          <w:position w:val="0"/>
        </w:rPr>
        <w:t>存放在境外的款项不存在汇回受到限制的情形。</w:t>
      </w:r>
    </w:p>
    <w:p>
      <w:pPr>
        <w:pStyle w:val="Style29"/>
        <w:keepNext/>
        <w:keepLines/>
        <w:widowControl w:val="0"/>
        <w:shd w:val="clear" w:color="auto" w:fill="auto"/>
        <w:bidi w:val="0"/>
        <w:spacing w:before="0" w:line="240" w:lineRule="auto"/>
        <w:ind w:left="0" w:right="0" w:firstLine="0"/>
        <w:jc w:val="left"/>
      </w:pPr>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81"/>
      <w:bookmarkEnd w:id="982"/>
      <w:bookmarkEnd w:id="9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733,871,034.44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750,007,662.48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733,871,034.44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750,007,662.48</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733,871,034.44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750,007,662.48</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bl>
      <w:tblPr>
        <w:tblOverlap w:val="never"/>
        <w:jc w:val="center"/>
        <w:tblLayout w:type="fixed"/>
      </w:tblPr>
      <w:tblGrid>
        <w:gridCol w:w="2765"/>
        <w:gridCol w:w="2021"/>
        <w:gridCol w:w="1526"/>
        <w:gridCol w:w="1416"/>
        <w:gridCol w:w="1848"/>
      </w:tblGrid>
      <w:tr>
        <w:trPr>
          <w:trHeight w:val="78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理财产品名称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本金</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公允价值</w:t>
            </w:r>
          </w:p>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变动损益</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华夏理财现金管理类理财产品</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无固定到期日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94,088.71</w:t>
            </w:r>
          </w:p>
        </w:tc>
      </w:tr>
      <w:tr>
        <w:trPr>
          <w:trHeight w:val="73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中信理财之共赢稳健天天利人民币 理财产品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820"/>
              <w:jc w:val="both"/>
            </w:pPr>
            <w:r>
              <w:rPr>
                <w:rFonts w:ascii="Times New Roman" w:eastAsia="Times New Roman" w:hAnsi="Times New Roman" w:cs="Times New Roman"/>
                <w:color w:val="000000"/>
                <w:spacing w:val="0"/>
                <w:w w:val="100"/>
                <w:position w:val="0"/>
              </w:rPr>
              <w:t>207,500,000.00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无固定到期日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410,223.01</w:t>
            </w:r>
          </w:p>
        </w:tc>
      </w:tr>
      <w:tr>
        <w:trPr>
          <w:trHeight w:val="7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招商银行朝招金（多元稳健型）理 财计划</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820"/>
              <w:jc w:val="both"/>
            </w:pPr>
            <w:r>
              <w:rPr>
                <w:rFonts w:ascii="Times New Roman" w:eastAsia="Times New Roman" w:hAnsi="Times New Roman" w:cs="Times New Roman"/>
                <w:color w:val="000000"/>
                <w:spacing w:val="0"/>
                <w:w w:val="100"/>
                <w:position w:val="0"/>
              </w:rPr>
              <w:t>224,500,000.00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无固定到期日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442,767.81</w:t>
            </w:r>
          </w:p>
        </w:tc>
      </w:tr>
      <w:tr>
        <w:trPr>
          <w:trHeight w:val="7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西南证券收益凭证汇沣（</w:t>
            </w:r>
            <w:r>
              <w:rPr>
                <w:rFonts w:ascii="Times New Roman" w:eastAsia="Times New Roman" w:hAnsi="Times New Roman" w:cs="Times New Roman"/>
                <w:color w:val="000000"/>
                <w:spacing w:val="0"/>
                <w:w w:val="100"/>
                <w:position w:val="0"/>
              </w:rPr>
              <w:t>6</w:t>
            </w:r>
            <w:r>
              <w:rPr>
                <w:color w:val="000000"/>
                <w:spacing w:val="0"/>
                <w:w w:val="100"/>
                <w:position w:val="0"/>
              </w:rPr>
              <w:t>月期）</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2021020</w:t>
            </w:r>
            <w:r>
              <w:rPr>
                <w:color w:val="000000"/>
                <w:spacing w:val="0"/>
                <w:w w:val="100"/>
                <w:position w:val="0"/>
              </w:rPr>
              <w:t>期理财产品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9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39,452.05</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弘坤稳健</w:t>
            </w:r>
            <w:r>
              <w:rPr>
                <w:rFonts w:ascii="Times New Roman" w:eastAsia="Times New Roman" w:hAnsi="Times New Roman" w:cs="Times New Roman"/>
                <w:color w:val="000000"/>
                <w:spacing w:val="0"/>
                <w:w w:val="100"/>
                <w:position w:val="0"/>
              </w:rPr>
              <w:t>7</w:t>
            </w:r>
            <w:r>
              <w:rPr>
                <w:color w:val="000000"/>
                <w:spacing w:val="0"/>
                <w:w w:val="100"/>
                <w:position w:val="0"/>
              </w:rPr>
              <w:t>号私募投资基金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无固定到期日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-15,915,497.14</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748,800,000.00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-14,928,965.56</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color w:val="000000"/>
          <w:spacing w:val="0"/>
          <w:w w:val="100"/>
          <w:position w:val="0"/>
        </w:rPr>
        <w:t>、应收票据</w:t>
      </w:r>
      <w:bookmarkEnd w:id="984"/>
      <w:bookmarkEnd w:id="985"/>
      <w:bookmarkEnd w:id="987"/>
    </w:p>
    <w:p>
      <w:pPr>
        <w:pStyle w:val="Style37"/>
        <w:keepNext/>
        <w:keepLines/>
        <w:widowControl w:val="0"/>
        <w:shd w:val="clear" w:color="auto" w:fill="auto"/>
        <w:bidi w:val="0"/>
        <w:spacing w:before="0" w:after="34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88"/>
      <w:bookmarkEnd w:id="989"/>
      <w:bookmarkEnd w:id="9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254,717,073.98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4,518,686.64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6,161,465.58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241,192.65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260,878,539.56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4,759,879.29</w:t>
            </w:r>
          </w:p>
        </w:tc>
      </w:tr>
    </w:tbl>
    <w:p>
      <w:pPr>
        <w:widowControl w:val="0"/>
        <w:spacing w:after="419" w:line="1" w:lineRule="exact"/>
      </w:pPr>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627"/>
        <w:gridCol w:w="1555"/>
        <w:gridCol w:w="1560"/>
        <w:gridCol w:w="1421"/>
        <w:gridCol w:w="170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254,717,073.98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254,717,073.98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6,287,209.78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125,744.20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6,161,465.58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6,287,209.78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125,744.20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6,161,465.58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261,004,283.76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125,744.20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260,878,539.56</w:t>
            </w:r>
          </w:p>
        </w:tc>
      </w:tr>
    </w:tbl>
    <w:p>
      <w:pPr>
        <w:spacing w:lineRule="exact" w:line="1"/>
        <w:rPr>
          <w:sz w:val="2"/>
          <w:szCs w:val="2"/>
        </w:rPr>
      </w:pPr>
      <w:r>
        <w:br w:type="page"/>
      </w:r>
    </w:p>
    <w:tbl>
      <w:tblPr>
        <w:tblOverlap w:val="never"/>
        <w:jc w:val="center"/>
        <w:tblLayout w:type="fixed"/>
      </w:tblPr>
      <w:tblGrid>
        <w:gridCol w:w="1642"/>
        <w:gridCol w:w="1627"/>
        <w:gridCol w:w="1555"/>
        <w:gridCol w:w="1560"/>
        <w:gridCol w:w="1421"/>
        <w:gridCol w:w="1709"/>
      </w:tblGrid>
      <w:tr>
        <w:trPr>
          <w:trHeight w:val="312" w:hRule="exact"/>
        </w:trPr>
        <w:tc>
          <w:tcPr>
            <w:gridSpan w:val="6"/>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（续上表）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4,518,686.64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4,518,686.64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246,114.95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241,192.65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246,114.95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241,192.65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4,764,801.59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4,759,879.29</w:t>
            </w:r>
          </w:p>
        </w:tc>
      </w:tr>
    </w:tbl>
    <w:p>
      <w:pPr>
        <w:pStyle w:val="Style13"/>
        <w:keepNext w:val="0"/>
        <w:keepLines w:val="0"/>
        <w:widowControl w:val="0"/>
        <w:shd w:val="clear" w:color="auto" w:fill="auto"/>
        <w:tabs>
          <w:tab w:pos="360" w:val="left"/>
        </w:tabs>
        <w:bidi w:val="0"/>
        <w:spacing w:before="0" w:after="40" w:line="312" w:lineRule="exact"/>
        <w:ind w:left="380" w:right="0" w:hanging="380"/>
        <w:jc w:val="left"/>
      </w:pPr>
      <w:bookmarkStart w:id="992" w:name="bookmark992"/>
      <w:r>
        <w:rPr>
          <w:rFonts w:ascii="Times New Roman" w:eastAsia="Times New Roman" w:hAnsi="Times New Roman" w:cs="Times New Roman"/>
          <w:color w:val="000000"/>
          <w:spacing w:val="0"/>
          <w:w w:val="100"/>
          <w:position w:val="0"/>
        </w:rPr>
        <w:t>1</w:t>
      </w:r>
      <w:bookmarkEnd w:id="992"/>
      <w:r>
        <w:rPr>
          <w:color w:val="000000"/>
          <w:spacing w:val="0"/>
          <w:w w:val="100"/>
          <w:position w:val="0"/>
        </w:rPr>
        <w:t>）</w:t>
        <w:tab/>
        <w:t>按单项计提应收票据坏账准备：本集团将应收票据-银行承兑汇票按单项计提坏账准备，考虑银行承兑汇票的预期信用 损失率极低，本集团未对其计提坏账准备。</w:t>
      </w:r>
    </w:p>
    <w:p>
      <w:pPr>
        <w:pStyle w:val="Style13"/>
        <w:keepNext w:val="0"/>
        <w:keepLines w:val="0"/>
        <w:widowControl w:val="0"/>
        <w:shd w:val="clear" w:color="auto" w:fill="auto"/>
        <w:tabs>
          <w:tab w:pos="368" w:val="left"/>
        </w:tabs>
        <w:bidi w:val="0"/>
        <w:spacing w:before="0" w:after="40" w:line="312" w:lineRule="exact"/>
        <w:ind w:left="0" w:right="0" w:firstLine="0"/>
        <w:jc w:val="left"/>
      </w:pPr>
      <w:bookmarkStart w:id="993" w:name="bookmark993"/>
      <w:r>
        <w:rPr>
          <w:rFonts w:ascii="Times New Roman" w:eastAsia="Times New Roman" w:hAnsi="Times New Roman" w:cs="Times New Roman"/>
          <w:color w:val="000000"/>
          <w:spacing w:val="0"/>
          <w:w w:val="100"/>
          <w:position w:val="0"/>
        </w:rPr>
        <w:t>2</w:t>
      </w:r>
      <w:bookmarkEnd w:id="993"/>
      <w:r>
        <w:rPr>
          <w:color w:val="000000"/>
          <w:spacing w:val="0"/>
          <w:w w:val="100"/>
          <w:position w:val="0"/>
        </w:rPr>
        <w:t>）</w:t>
        <w:tab/>
        <w:t>按组合计提应收票据坏账准备</w:t>
      </w:r>
    </w:p>
    <w:p>
      <w:pPr>
        <w:pStyle w:val="Style13"/>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6,287,209.78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125,744.20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（续上表）</w:t>
      </w:r>
    </w:p>
    <w:p>
      <w:pPr>
        <w:widowControl w:val="0"/>
        <w:spacing w:after="99" w:line="1" w:lineRule="exact"/>
      </w:pP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246,114.95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94"/>
      <w:bookmarkEnd w:id="995"/>
      <w:bookmarkEnd w:id="997"/>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4,922.30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120,821.90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125,744.20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4,922.30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120,821.90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125,744.20</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7"/>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001"/>
      <w:bookmarkEnd w:id="998"/>
      <w:bookmarkEnd w:id="9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311,320,276.51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311,320,276.51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07" w:lineRule="exact"/>
        <w:ind w:left="0" w:right="0" w:firstLine="0"/>
        <w:jc w:val="left"/>
      </w:pPr>
      <w:bookmarkStart w:id="1002" w:name="bookmark1002"/>
      <w:r>
        <w:rPr>
          <w:color w:val="000000"/>
          <w:spacing w:val="0"/>
          <w:w w:val="100"/>
          <w:position w:val="0"/>
        </w:rPr>
        <w:t>注：本集团认为背书和贴现的应收票据全部系银行承兑汇票且承兑银行信誉较好，该等票据未被偿还而导致本集团被追索的 情况可能性很小，因此本集团在票据背书及贴现时即终止确认应收票据。</w:t>
      </w:r>
      <w:bookmarkEnd w:id="1002"/>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4</w:t>
      </w:r>
      <w:bookmarkEnd w:id="1005"/>
      <w:r>
        <w:rPr>
          <w:color w:val="000000"/>
          <w:spacing w:val="0"/>
          <w:w w:val="100"/>
          <w:position w:val="0"/>
        </w:rPr>
        <w:t>、应收账款</w:t>
      </w:r>
      <w:bookmarkEnd w:id="1003"/>
      <w:bookmarkEnd w:id="1004"/>
      <w:bookmarkEnd w:id="1006"/>
    </w:p>
    <w:p>
      <w:pPr>
        <w:pStyle w:val="Style37"/>
        <w:keepNext/>
        <w:keepLines/>
        <w:widowControl w:val="0"/>
        <w:shd w:val="clear" w:color="auto" w:fill="auto"/>
        <w:bidi w:val="0"/>
        <w:spacing w:before="0" w:after="36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07"/>
      <w:bookmarkEnd w:id="1008"/>
      <w:bookmarkEnd w:id="1010"/>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483"/>
        <w:gridCol w:w="1699"/>
        <w:gridCol w:w="1560"/>
        <w:gridCol w:w="1560"/>
        <w:gridCol w:w="156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31,934,461.85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31,934,461.85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2,428,915,485.83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515,839,281.77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1,913,076,204.06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91,871,072.93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91,871,072.93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2,003,914,643.40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326,535,654.04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1,677,378,989.36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22,672,547.59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22,382,883.10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289,664.49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310,457,221.91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75,049,671.70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235,407,550.21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2,460,849,947.68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547,773,743.62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1,913,076,204.06</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（续上表）</w:t>
      </w:r>
    </w:p>
    <w:p>
      <w:pPr>
        <w:widowControl w:val="0"/>
        <w:spacing w:after="79" w:line="1" w:lineRule="exact"/>
      </w:pPr>
    </w:p>
    <w:tbl>
      <w:tblPr>
        <w:tblOverlap w:val="never"/>
        <w:jc w:val="center"/>
        <w:tblLayout w:type="fixed"/>
      </w:tblPr>
      <w:tblGrid>
        <w:gridCol w:w="1642"/>
        <w:gridCol w:w="1483"/>
        <w:gridCol w:w="1699"/>
        <w:gridCol w:w="1560"/>
        <w:gridCol w:w="1560"/>
        <w:gridCol w:w="156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39,885,176.86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38,534,489.70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1,350,687.16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2,366,259,119.58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420,780,522.25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1,945,478,597.33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76,217,619.00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76,217,619.00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1483"/>
        <w:gridCol w:w="1699"/>
        <w:gridCol w:w="1560"/>
        <w:gridCol w:w="1560"/>
        <w:gridCol w:w="157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1,992,932,880.70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256,905,397.73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1,736,027,482.97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42,026,247.66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40,826,701.52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1,199,546.14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255,082,372.22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46,830,804.00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208,251,568.22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2,406,144,296.44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459,315,011.95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1,946,829,284.49</w:t>
            </w:r>
          </w:p>
        </w:tc>
      </w:tr>
    </w:tbl>
    <w:p>
      <w:pPr>
        <w:widowControl w:val="0"/>
        <w:spacing w:after="359" w:line="1" w:lineRule="exact"/>
      </w:pPr>
    </w:p>
    <w:p>
      <w:pPr>
        <w:pStyle w:val="Style13"/>
        <w:keepNext w:val="0"/>
        <w:keepLines w:val="0"/>
        <w:widowControl w:val="0"/>
        <w:shd w:val="clear" w:color="auto" w:fill="auto"/>
        <w:tabs>
          <w:tab w:pos="349" w:val="left"/>
        </w:tabs>
        <w:bidi w:val="0"/>
        <w:spacing w:before="0" w:after="0" w:line="312" w:lineRule="exact"/>
        <w:ind w:left="0" w:right="0" w:firstLine="0"/>
        <w:jc w:val="left"/>
      </w:pPr>
      <w:bookmarkStart w:id="1011" w:name="bookmark1011"/>
      <w:r>
        <w:rPr>
          <w:rFonts w:ascii="Times New Roman" w:eastAsia="Times New Roman" w:hAnsi="Times New Roman" w:cs="Times New Roman"/>
          <w:color w:val="000000"/>
          <w:spacing w:val="0"/>
          <w:w w:val="100"/>
          <w:position w:val="0"/>
        </w:rPr>
        <w:t>1</w:t>
      </w:r>
      <w:bookmarkEnd w:id="1011"/>
      <w:r>
        <w:rPr>
          <w:color w:val="000000"/>
          <w:spacing w:val="0"/>
          <w:w w:val="100"/>
          <w:position w:val="0"/>
        </w:rPr>
        <w:t>）</w:t>
        <w:tab/>
        <w:t>按单项计提坏账准备的应收账款</w:t>
      </w:r>
    </w:p>
    <w:p>
      <w:pPr>
        <w:pStyle w:val="Style13"/>
        <w:keepNext w:val="0"/>
        <w:keepLines w:val="0"/>
        <w:widowControl w:val="0"/>
        <w:shd w:val="clear" w:color="auto" w:fill="auto"/>
        <w:bidi w:val="0"/>
        <w:spacing w:before="0" w:after="0" w:line="312" w:lineRule="exact"/>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日按单项计提坏账准备的应收账款主要系本公司之孙公司神州数码金信科技股份有限公司和本公司之子 公司中农信达产生的应收款项，原值分别为</w:t>
      </w:r>
      <w:r>
        <w:rPr>
          <w:rFonts w:ascii="Times New Roman" w:eastAsia="Times New Roman" w:hAnsi="Times New Roman" w:cs="Times New Roman"/>
          <w:color w:val="000000"/>
          <w:spacing w:val="0"/>
          <w:w w:val="100"/>
          <w:position w:val="0"/>
        </w:rPr>
        <w:t>23,339,960.25</w:t>
      </w:r>
      <w:r>
        <w:rPr>
          <w:color w:val="000000"/>
          <w:spacing w:val="0"/>
          <w:w w:val="100"/>
          <w:position w:val="0"/>
        </w:rPr>
        <w:t>元和</w:t>
      </w:r>
      <w:r>
        <w:rPr>
          <w:rFonts w:ascii="Times New Roman" w:eastAsia="Times New Roman" w:hAnsi="Times New Roman" w:cs="Times New Roman"/>
          <w:color w:val="000000"/>
          <w:spacing w:val="0"/>
          <w:w w:val="100"/>
          <w:position w:val="0"/>
        </w:rPr>
        <w:t>8,594,501.60</w:t>
      </w:r>
      <w:r>
        <w:rPr>
          <w:color w:val="000000"/>
          <w:spacing w:val="0"/>
          <w:w w:val="100"/>
          <w:position w:val="0"/>
        </w:rPr>
        <w:t>元，坏账准备分别为</w:t>
      </w:r>
      <w:r>
        <w:rPr>
          <w:rFonts w:ascii="Times New Roman" w:eastAsia="Times New Roman" w:hAnsi="Times New Roman" w:cs="Times New Roman"/>
          <w:color w:val="000000"/>
          <w:spacing w:val="0"/>
          <w:w w:val="100"/>
          <w:position w:val="0"/>
        </w:rPr>
        <w:t>23,339,960.25</w:t>
      </w:r>
      <w:r>
        <w:rPr>
          <w:color w:val="000000"/>
          <w:spacing w:val="0"/>
          <w:w w:val="100"/>
          <w:position w:val="0"/>
        </w:rPr>
        <w:t xml:space="preserve">元和 </w:t>
      </w:r>
      <w:r>
        <w:rPr>
          <w:rFonts w:ascii="Times New Roman" w:eastAsia="Times New Roman" w:hAnsi="Times New Roman" w:cs="Times New Roman"/>
          <w:color w:val="000000"/>
          <w:spacing w:val="0"/>
          <w:w w:val="100"/>
          <w:position w:val="0"/>
        </w:rPr>
        <w:t xml:space="preserve">8,594,501.60 </w:t>
      </w:r>
      <w:r>
        <w:rPr>
          <w:color w:val="000000"/>
          <w:spacing w:val="0"/>
          <w:w w:val="100"/>
          <w:position w:val="0"/>
        </w:rPr>
        <w:t>元。</w:t>
      </w:r>
    </w:p>
    <w:p>
      <w:pPr>
        <w:pStyle w:val="Style13"/>
        <w:keepNext w:val="0"/>
        <w:keepLines w:val="0"/>
        <w:widowControl w:val="0"/>
        <w:shd w:val="clear" w:color="auto" w:fill="auto"/>
        <w:tabs>
          <w:tab w:pos="368" w:val="left"/>
        </w:tabs>
        <w:bidi w:val="0"/>
        <w:spacing w:before="0" w:after="120" w:line="312" w:lineRule="exact"/>
        <w:ind w:left="0" w:right="0" w:firstLine="0"/>
        <w:jc w:val="left"/>
      </w:pPr>
      <w:bookmarkStart w:id="1012" w:name="bookmark1012"/>
      <w:r>
        <w:rPr>
          <w:rFonts w:ascii="Times New Roman" w:eastAsia="Times New Roman" w:hAnsi="Times New Roman" w:cs="Times New Roman"/>
          <w:color w:val="000000"/>
          <w:spacing w:val="0"/>
          <w:w w:val="100"/>
          <w:position w:val="0"/>
        </w:rPr>
        <w:t>2</w:t>
      </w:r>
      <w:bookmarkEnd w:id="1012"/>
      <w:r>
        <w:rPr>
          <w:color w:val="000000"/>
          <w:spacing w:val="0"/>
          <w:w w:val="100"/>
          <w:position w:val="0"/>
        </w:rPr>
        <w:t>）</w:t>
        <w:tab/>
        <w:t>组合中，采用账期组合</w:t>
      </w:r>
      <w:r>
        <w:rPr>
          <w:rFonts w:ascii="Times New Roman" w:eastAsia="Times New Roman" w:hAnsi="Times New Roman" w:cs="Times New Roman"/>
          <w:color w:val="000000"/>
          <w:spacing w:val="0"/>
          <w:w w:val="100"/>
          <w:position w:val="0"/>
        </w:rPr>
        <w:t>I</w:t>
      </w:r>
      <w:r>
        <w:rPr>
          <w:color w:val="000000"/>
          <w:spacing w:val="0"/>
          <w:w w:val="100"/>
          <w:position w:val="0"/>
        </w:rPr>
        <w:t>计提坏账准备的应收账款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24,344,209.37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24,344,209.37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9,310,923.28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9,310,923.28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6,660,000.00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6,660,000.00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5,967,867.10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5,967,867.10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5,034,615.04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5,034,615.04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40,553,458.14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40,553,458.14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91,871,072.93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91,871,072.93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（续上表）</w:t>
      </w:r>
    </w:p>
    <w:tbl>
      <w:tblPr>
        <w:tblOverlap w:val="never"/>
        <w:jc w:val="center"/>
        <w:tblLayout w:type="fixed"/>
      </w:tblPr>
      <w:tblGrid>
        <w:gridCol w:w="2414"/>
        <w:gridCol w:w="2410"/>
        <w:gridCol w:w="2414"/>
        <w:gridCol w:w="2414"/>
      </w:tblGrid>
      <w:tr>
        <w:trPr>
          <w:trHeight w:val="432"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10,395,000.00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10,395,000.00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6,199,616.88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6,199,616.88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5,370,000.00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5,370,000.00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5,316,726.87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5,316,726.87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4,799,997.60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4,799,997.60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44,136,277.65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44,136,277.65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76,217,619.00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76,217,619.00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13"/>
        <w:keepNext w:val="0"/>
        <w:keepLines w:val="0"/>
        <w:widowControl w:val="0"/>
        <w:shd w:val="clear" w:color="auto" w:fill="auto"/>
        <w:bidi w:val="0"/>
        <w:spacing w:before="0" w:after="120" w:line="240" w:lineRule="auto"/>
        <w:ind w:left="0" w:right="0" w:firstLine="0"/>
        <w:jc w:val="left"/>
      </w:pPr>
      <w:bookmarkStart w:id="1013" w:name="bookmark1013"/>
      <w:r>
        <w:rPr>
          <w:rFonts w:ascii="Times New Roman" w:eastAsia="Times New Roman" w:hAnsi="Times New Roman" w:cs="Times New Roman"/>
          <w:color w:val="000000"/>
          <w:spacing w:val="0"/>
          <w:w w:val="100"/>
          <w:position w:val="0"/>
        </w:rPr>
        <w:t>3</w:t>
      </w:r>
      <w:bookmarkEnd w:id="1013"/>
      <w:r>
        <w:rPr>
          <w:color w:val="000000"/>
          <w:spacing w:val="0"/>
          <w:w w:val="100"/>
          <w:position w:val="0"/>
        </w:rPr>
        <w:t>）组合中，采用账期组合</w:t>
      </w:r>
      <w:r>
        <w:rPr>
          <w:rFonts w:ascii="Times New Roman" w:eastAsia="Times New Roman" w:hAnsi="Times New Roman" w:cs="Times New Roman"/>
          <w:color w:val="000000"/>
          <w:spacing w:val="0"/>
          <w:w w:val="100"/>
          <w:position w:val="0"/>
        </w:rPr>
        <w:t>II</w:t>
      </w:r>
      <w:r>
        <w:rPr>
          <w:color w:val="000000"/>
          <w:spacing w:val="0"/>
          <w:w w:val="100"/>
          <w:position w:val="0"/>
        </w:rPr>
        <w:t>计提坏账准备的应收账款</w:t>
      </w:r>
    </w:p>
    <w:p>
      <w:pPr>
        <w:pStyle w:val="Style1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1,096,933,318.86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22,625,908.55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1-180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382,236,869.74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26,756,581.13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181-360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226,386,214.93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45,274,754.29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361-540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112,819,251.06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56,409,625.98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541-720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45,773,657.93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35,703,453.21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78.00%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w:t>
            </w:r>
            <w:r>
              <w:rPr>
                <w:color w:val="000000"/>
                <w:spacing w:val="0"/>
                <w:w w:val="100"/>
                <w:position w:val="0"/>
              </w:rPr>
              <w:t>天以上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139,765,330.88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139,765,330.88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2,003,914,643.40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326,535,654.04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（续上表）</w:t>
      </w:r>
    </w:p>
    <w:p>
      <w:pPr>
        <w:widowControl w:val="0"/>
        <w:spacing w:after="79" w:line="1" w:lineRule="exact"/>
      </w:pPr>
    </w:p>
    <w:tbl>
      <w:tblPr>
        <w:tblOverlap w:val="never"/>
        <w:jc w:val="center"/>
        <w:tblLayout w:type="fixed"/>
      </w:tblPr>
      <w:tblGrid>
        <w:gridCol w:w="2414"/>
        <w:gridCol w:w="2410"/>
        <w:gridCol w:w="2414"/>
        <w:gridCol w:w="2414"/>
      </w:tblGrid>
      <w:tr>
        <w:trPr>
          <w:trHeight w:val="427"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1,232,719,500.67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24,177,704.69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1-180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354,116,986.90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24,788,189.29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181-360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219,163,536.63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43,832,707.38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361-540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36,510,492.74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18,255,246.75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541-720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20,776,427.77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16,205,613.63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w:t>
            </w:r>
            <w:r>
              <w:rPr>
                <w:color w:val="000000"/>
                <w:spacing w:val="0"/>
                <w:w w:val="100"/>
                <w:position w:val="0"/>
              </w:rPr>
              <w:t>天以上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129,645,935.99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129,645,935.99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1,992,932,880.70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256,905,397.73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13"/>
        <w:keepNext w:val="0"/>
        <w:keepLines w:val="0"/>
        <w:widowControl w:val="0"/>
        <w:shd w:val="clear" w:color="auto" w:fill="auto"/>
        <w:bidi w:val="0"/>
        <w:spacing w:before="0" w:after="140" w:line="240" w:lineRule="auto"/>
        <w:ind w:left="0" w:right="0" w:firstLine="0"/>
        <w:jc w:val="left"/>
      </w:pPr>
      <w:bookmarkStart w:id="1014" w:name="bookmark1014"/>
      <w:r>
        <w:rPr>
          <w:rFonts w:ascii="Times New Roman" w:eastAsia="Times New Roman" w:hAnsi="Times New Roman" w:cs="Times New Roman"/>
          <w:color w:val="000000"/>
          <w:spacing w:val="0"/>
          <w:w w:val="100"/>
          <w:position w:val="0"/>
        </w:rPr>
        <w:t>4</w:t>
      </w:r>
      <w:bookmarkEnd w:id="1014"/>
      <w:r>
        <w:rPr>
          <w:color w:val="000000"/>
          <w:spacing w:val="0"/>
          <w:w w:val="100"/>
          <w:position w:val="0"/>
        </w:rPr>
        <w:t>）组合中，采用账期组合</w:t>
      </w:r>
      <w:r>
        <w:rPr>
          <w:rFonts w:ascii="Times New Roman" w:eastAsia="Times New Roman" w:hAnsi="Times New Roman" w:cs="Times New Roman"/>
          <w:color w:val="000000"/>
          <w:spacing w:val="0"/>
          <w:w w:val="100"/>
          <w:position w:val="0"/>
        </w:rPr>
        <w:t>III</w:t>
      </w:r>
      <w:r>
        <w:rPr>
          <w:color w:val="000000"/>
          <w:spacing w:val="0"/>
          <w:w w:val="100"/>
          <w:position w:val="0"/>
        </w:rPr>
        <w:t>计提坏账准备的应收账款</w:t>
      </w:r>
    </w:p>
    <w:p>
      <w:pPr>
        <w:pStyle w:val="Style13"/>
        <w:keepNext w:val="0"/>
        <w:keepLines w:val="0"/>
        <w:widowControl w:val="0"/>
        <w:shd w:val="clear" w:color="auto" w:fill="auto"/>
        <w:bidi w:val="0"/>
        <w:spacing w:before="0" w:after="80" w:line="240" w:lineRule="auto"/>
        <w:ind w:left="876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311,457.35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181-270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w:t>
            </w:r>
            <w:r>
              <w:rPr>
                <w:color w:val="000000"/>
                <w:spacing w:val="0"/>
                <w:w w:val="100"/>
                <w:position w:val="0"/>
              </w:rPr>
              <w:t>天以上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22,361,071.92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22,361,071.92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22,672,547.59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22,382,883.10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（续上表）</w:t>
      </w:r>
    </w:p>
    <w:tbl>
      <w:tblPr>
        <w:tblOverlap w:val="never"/>
        <w:jc w:val="center"/>
        <w:tblLayout w:type="fixed"/>
      </w:tblPr>
      <w:tblGrid>
        <w:gridCol w:w="2414"/>
        <w:gridCol w:w="2410"/>
        <w:gridCol w:w="2270"/>
        <w:gridCol w:w="2419"/>
      </w:tblGrid>
      <w:tr>
        <w:trPr>
          <w:trHeight w:val="427"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未超账期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659,578.66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1-90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130,472.03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w:t>
            </w:r>
          </w:p>
        </w:tc>
      </w:tr>
      <w:tr>
        <w:trPr>
          <w:trHeight w:val="4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91-180 </w:t>
            </w:r>
            <w:r>
              <w:rPr>
                <w:color w:val="000000"/>
                <w:spacing w:val="0"/>
                <w:w w:val="100"/>
                <w:position w:val="0"/>
              </w:rPr>
              <w:t>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525,774.90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210,309.96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r>
    </w:tbl>
    <w:p>
      <w:pPr>
        <w:spacing w:lineRule="exact" w:line="1"/>
        <w:rPr>
          <w:sz w:val="2"/>
          <w:szCs w:val="2"/>
        </w:rPr>
      </w:pPr>
      <w:r>
        <w:br w:type="page"/>
      </w:r>
    </w:p>
    <w:tbl>
      <w:tblPr>
        <w:tblOverlap w:val="never"/>
        <w:jc w:val="center"/>
        <w:tblLayout w:type="fixed"/>
      </w:tblPr>
      <w:tblGrid>
        <w:gridCol w:w="2414"/>
        <w:gridCol w:w="2410"/>
        <w:gridCol w:w="2270"/>
        <w:gridCol w:w="2419"/>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 xml:space="preserve">181-270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256,927.35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128,463.68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 xml:space="preserve">271-360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147,851.18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103,495.82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361</w:t>
            </w:r>
            <w:r>
              <w:rPr>
                <w:color w:val="000000"/>
                <w:spacing w:val="0"/>
                <w:w w:val="100"/>
                <w:position w:val="0"/>
              </w:rPr>
              <w:t>天以上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40,305,643.54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40,305,643.54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42,026,247.66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40,826,701.52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13"/>
        <w:keepNext w:val="0"/>
        <w:keepLines w:val="0"/>
        <w:widowControl w:val="0"/>
        <w:shd w:val="clear" w:color="auto" w:fill="auto"/>
        <w:bidi w:val="0"/>
        <w:spacing w:before="0" w:after="100" w:line="240" w:lineRule="auto"/>
        <w:ind w:left="0" w:right="0" w:firstLine="0"/>
        <w:jc w:val="left"/>
      </w:pPr>
      <w:bookmarkStart w:id="1015" w:name="bookmark1015"/>
      <w:r>
        <w:rPr>
          <w:rFonts w:ascii="Times New Roman" w:eastAsia="Times New Roman" w:hAnsi="Times New Roman" w:cs="Times New Roman"/>
          <w:color w:val="000000"/>
          <w:spacing w:val="0"/>
          <w:w w:val="100"/>
          <w:position w:val="0"/>
        </w:rPr>
        <w:t>5</w:t>
      </w:r>
      <w:bookmarkEnd w:id="1015"/>
      <w:r>
        <w:rPr>
          <w:color w:val="000000"/>
          <w:spacing w:val="0"/>
          <w:w w:val="100"/>
          <w:position w:val="0"/>
        </w:rPr>
        <w:t>）组合中，采用账龄组合计提坏账准备的应收账款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117,184,106.43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10,546,569.57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24,078,660.84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4,815,732.17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98,897,985.75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27,691,436.01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57,201,331.77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22,880,532.71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9,949,339.70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5,969,603.82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3,145,797.42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3,145,797.42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310,457,221.91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75,049,671.70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（续上表）</w:t>
      </w:r>
    </w:p>
    <w:tbl>
      <w:tblPr>
        <w:tblOverlap w:val="never"/>
        <w:jc w:val="center"/>
        <w:tblLayout w:type="fixed"/>
      </w:tblPr>
      <w:tblGrid>
        <w:gridCol w:w="2414"/>
        <w:gridCol w:w="2410"/>
        <w:gridCol w:w="2414"/>
        <w:gridCol w:w="2414"/>
      </w:tblGrid>
      <w:tr>
        <w:trPr>
          <w:trHeight w:val="427"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47,742,801.43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4,271,532.29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115,710,103.57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17,356,515.54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73,440,987.56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16,891,427.14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23.00%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13,937,022.24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5,296,068.45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38.00%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2,247,630.62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1,011,433.78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45.00%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2,003,826.80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2,003,826.80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255,082,372.22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46,830,804.00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1,631,394,650.07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337,787,582.74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223,326,491.35</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268,341,223.52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108,338,210.82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76,868,785.64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83,134,227.06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2,460,849,947.68</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6"/>
      <w:bookmarkEnd w:id="1017"/>
      <w:bookmarkEnd w:id="1019"/>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坏帐准备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459,315,011.95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102,320,645.52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13,692,104.81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-169,809.04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547,773,743.62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459,315,011.95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102,320,645.52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13,692,104.81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-169,809.04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547,773,743.62</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20"/>
      <w:bookmarkEnd w:id="1021"/>
      <w:bookmarkEnd w:id="10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13,692,104.81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K</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13,429,126.60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该公司被吊销执照， 收回可能性较小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核销申请由事业部 提出，经财务部审批 后进行账务处理并 进行备案登记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13,429,126.60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24"/>
      <w:bookmarkEnd w:id="1025"/>
      <w:bookmarkEnd w:id="1027"/>
    </w:p>
    <w:p>
      <w:pPr>
        <w:pStyle w:val="Style13"/>
        <w:keepNext w:val="0"/>
        <w:keepLines w:val="0"/>
        <w:widowControl w:val="0"/>
        <w:shd w:val="clear" w:color="auto" w:fill="auto"/>
        <w:bidi w:val="0"/>
        <w:spacing w:before="0" w:after="360" w:line="312" w:lineRule="exact"/>
        <w:ind w:left="0" w:right="0"/>
        <w:jc w:val="both"/>
      </w:pPr>
      <w:r>
        <w:rPr>
          <w:color w:val="000000"/>
          <w:spacing w:val="0"/>
          <w:w w:val="100"/>
          <w:position w:val="0"/>
        </w:rPr>
        <w:t>按欠款方归集的</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日余额前五名应收账款汇总金额</w:t>
      </w:r>
      <w:r>
        <w:rPr>
          <w:color w:val="000000"/>
          <w:spacing w:val="0"/>
          <w:w w:val="100"/>
          <w:position w:val="0"/>
        </w:rPr>
        <w:t xml:space="preserve">373,183, </w:t>
      </w:r>
      <w:r>
        <w:rPr>
          <w:color w:val="000000"/>
          <w:spacing w:val="0"/>
          <w:w w:val="100"/>
          <w:position w:val="0"/>
        </w:rPr>
        <w:t xml:space="preserve">394. </w:t>
      </w:r>
      <w:r>
        <w:rPr>
          <w:color w:val="000000"/>
          <w:spacing w:val="0"/>
          <w:w w:val="100"/>
          <w:position w:val="0"/>
        </w:rPr>
        <w:t>74</w:t>
      </w:r>
      <w:r>
        <w:rPr>
          <w:color w:val="000000"/>
          <w:spacing w:val="0"/>
          <w:w w:val="100"/>
          <w:position w:val="0"/>
        </w:rPr>
        <w:t>元，占应收账款年末余额合计数的比 例为</w:t>
      </w:r>
      <w:r>
        <w:rPr>
          <w:color w:val="000000"/>
          <w:spacing w:val="0"/>
          <w:w w:val="100"/>
          <w:position w:val="0"/>
        </w:rPr>
        <w:t>15.16%，</w:t>
      </w:r>
      <w:r>
        <w:rPr>
          <w:color w:val="000000"/>
          <w:spacing w:val="0"/>
          <w:w w:val="100"/>
          <w:position w:val="0"/>
        </w:rPr>
        <w:t>相应计提的坏账准备金额</w:t>
      </w:r>
      <w:r>
        <w:rPr>
          <w:color w:val="000000"/>
          <w:spacing w:val="0"/>
          <w:w w:val="100"/>
          <w:position w:val="0"/>
        </w:rPr>
        <w:t xml:space="preserve">39, 804, </w:t>
      </w:r>
      <w:r>
        <w:rPr>
          <w:color w:val="000000"/>
          <w:spacing w:val="0"/>
          <w:w w:val="100"/>
          <w:position w:val="0"/>
        </w:rPr>
        <w:t xml:space="preserve">642. </w:t>
      </w:r>
      <w:r>
        <w:rPr>
          <w:color w:val="000000"/>
          <w:spacing w:val="0"/>
          <w:w w:val="100"/>
          <w:position w:val="0"/>
        </w:rPr>
        <w:t>92</w:t>
      </w:r>
      <w:r>
        <w:rPr>
          <w:color w:val="000000"/>
          <w:spacing w:val="0"/>
          <w:w w:val="100"/>
          <w:position w:val="0"/>
        </w:rPr>
        <w:t>元。</w:t>
      </w:r>
    </w:p>
    <w:p>
      <w:pPr>
        <w:pStyle w:val="Style29"/>
        <w:keepNext/>
        <w:keepLines/>
        <w:widowControl w:val="0"/>
        <w:shd w:val="clear" w:color="auto" w:fill="auto"/>
        <w:bidi w:val="0"/>
        <w:spacing w:before="0" w:after="32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5</w:t>
      </w:r>
      <w:bookmarkEnd w:id="1030"/>
      <w:r>
        <w:rPr>
          <w:color w:val="000000"/>
          <w:spacing w:val="0"/>
          <w:w w:val="100"/>
          <w:position w:val="0"/>
        </w:rPr>
        <w:t>、预付款项</w:t>
      </w:r>
      <w:bookmarkEnd w:id="1028"/>
      <w:bookmarkEnd w:id="1029"/>
      <w:bookmarkEnd w:id="1031"/>
    </w:p>
    <w:p>
      <w:pPr>
        <w:pStyle w:val="Style37"/>
        <w:keepNext/>
        <w:keepLines/>
        <w:widowControl w:val="0"/>
        <w:shd w:val="clear" w:color="auto" w:fill="auto"/>
        <w:bidi w:val="0"/>
        <w:spacing w:before="0" w:after="26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32"/>
      <w:bookmarkEnd w:id="1033"/>
      <w:bookmarkEnd w:id="1035"/>
    </w:p>
    <w:p>
      <w:pPr>
        <w:pStyle w:val="Style13"/>
        <w:keepNext w:val="0"/>
        <w:keepLines w:val="0"/>
        <w:widowControl w:val="0"/>
        <w:shd w:val="clear" w:color="auto" w:fill="auto"/>
        <w:bidi w:val="0"/>
        <w:spacing w:before="0" w:after="32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85,642,670.85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84,565,382.01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1,103,009.08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12,943,802.68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9,372,340.21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2,259,508.44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3,853,616.36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1,999,056.52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99,971,636.50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101,767,749.65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36"/>
      <w:bookmarkEnd w:id="1037"/>
      <w:bookmarkEnd w:id="1039"/>
    </w:p>
    <w:p>
      <w:pPr>
        <w:pStyle w:val="Style13"/>
        <w:keepNext w:val="0"/>
        <w:keepLines w:val="0"/>
        <w:widowControl w:val="0"/>
        <w:shd w:val="clear" w:color="auto" w:fill="auto"/>
        <w:bidi w:val="0"/>
        <w:spacing w:before="0" w:after="340" w:line="240" w:lineRule="auto"/>
        <w:ind w:left="0" w:right="0"/>
        <w:jc w:val="left"/>
      </w:pPr>
      <w:r>
        <w:rPr>
          <w:color w:val="000000"/>
          <w:spacing w:val="0"/>
          <w:w w:val="100"/>
          <w:position w:val="0"/>
        </w:rPr>
        <w:t>按预付对象归集的年末余额前五名预付款项汇总金额</w:t>
      </w:r>
      <w:r>
        <w:rPr>
          <w:color w:val="000000"/>
          <w:spacing w:val="0"/>
          <w:w w:val="100"/>
          <w:position w:val="0"/>
        </w:rPr>
        <w:t xml:space="preserve">43, 904, </w:t>
      </w:r>
      <w:r>
        <w:rPr>
          <w:color w:val="000000"/>
          <w:spacing w:val="0"/>
          <w:w w:val="100"/>
          <w:position w:val="0"/>
        </w:rPr>
        <w:t xml:space="preserve">923. </w:t>
      </w:r>
      <w:r>
        <w:rPr>
          <w:color w:val="000000"/>
          <w:spacing w:val="0"/>
          <w:w w:val="100"/>
          <w:position w:val="0"/>
        </w:rPr>
        <w:t>98</w:t>
      </w:r>
      <w:r>
        <w:rPr>
          <w:color w:val="000000"/>
          <w:spacing w:val="0"/>
          <w:w w:val="100"/>
          <w:position w:val="0"/>
        </w:rPr>
        <w:t>元，占预付款项年末余额合计数的比例为</w:t>
      </w:r>
      <w:r>
        <w:rPr>
          <w:color w:val="000000"/>
          <w:spacing w:val="0"/>
          <w:w w:val="100"/>
          <w:position w:val="0"/>
        </w:rPr>
        <w:t xml:space="preserve">43. </w:t>
      </w:r>
      <w:r>
        <w:rPr>
          <w:color w:val="000000"/>
          <w:spacing w:val="0"/>
          <w:w w:val="100"/>
          <w:position w:val="0"/>
        </w:rPr>
        <w:t>92%</w:t>
      </w:r>
      <w:r>
        <w:rPr>
          <w:color w:val="000000"/>
          <w:spacing w:val="0"/>
          <w:w w:val="100"/>
          <w:position w:val="0"/>
        </w:rPr>
        <w:t>。</w:t>
      </w:r>
    </w:p>
    <w:p>
      <w:pPr>
        <w:pStyle w:val="Style29"/>
        <w:keepNext/>
        <w:keepLines/>
        <w:widowControl w:val="0"/>
        <w:shd w:val="clear" w:color="auto" w:fill="auto"/>
        <w:bidi w:val="0"/>
        <w:spacing w:before="0" w:after="34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6</w:t>
      </w:r>
      <w:bookmarkEnd w:id="1042"/>
      <w:r>
        <w:rPr>
          <w:color w:val="000000"/>
          <w:spacing w:val="0"/>
          <w:w w:val="100"/>
          <w:position w:val="0"/>
        </w:rPr>
        <w:t>、其他应收款</w:t>
      </w:r>
      <w:bookmarkEnd w:id="1040"/>
      <w:bookmarkEnd w:id="1041"/>
      <w:bookmarkEnd w:id="1043"/>
    </w:p>
    <w:p>
      <w:pPr>
        <w:pStyle w:val="Style37"/>
        <w:keepNext/>
        <w:keepLines/>
        <w:widowControl w:val="0"/>
        <w:shd w:val="clear" w:color="auto" w:fill="auto"/>
        <w:bidi w:val="0"/>
        <w:spacing w:before="0" w:after="34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1</w:t>
      </w:r>
      <w:bookmarkEnd w:id="1046"/>
      <w:r>
        <w:rPr>
          <w:color w:val="000000"/>
          <w:spacing w:val="0"/>
          <w:w w:val="100"/>
          <w:position w:val="0"/>
        </w:rPr>
        <w:t>）其他应收款按款项性质分类情况</w:t>
      </w:r>
      <w:bookmarkEnd w:id="1044"/>
      <w:bookmarkEnd w:id="1045"/>
      <w:bookmarkEnd w:id="10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170,930,462.82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151,769,203.86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待结诉讼款项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38,876,998.00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38,876,998.00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11,375,250.99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18,624,195.32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463,163.15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690,865.17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73,134,809.31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65,486,261.77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150,511,065.65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146,475,000.58</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bookmarkEnd w:id="1050"/>
      <w:r>
        <w:rPr>
          <w:color w:val="000000"/>
          <w:spacing w:val="0"/>
          <w:w w:val="100"/>
          <w:position w:val="0"/>
        </w:rPr>
        <w:t>）坏账准备计提情况</w:t>
      </w:r>
      <w:bookmarkEnd w:id="1048"/>
      <w:bookmarkEnd w:id="1049"/>
      <w:bookmarkEnd w:id="10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18"/>
        <w:gridCol w:w="1814"/>
        <w:gridCol w:w="1814"/>
        <w:gridCol w:w="1810"/>
        <w:gridCol w:w="182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1,874,978.15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14,199,176.86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49,412,106.76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65,486,261.77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244,109.76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7,466,755.70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7,648,547.54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2,119,087.91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14,136,858.94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56,878,862.46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73,134,809.31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1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85,343,842.42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42,485,064.85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15,545,325.19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80,271,642.50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14,588,281.33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10,747,701.87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54,935,659.30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223,645,874.96</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color w:val="000000"/>
          <w:spacing w:val="0"/>
          <w:w w:val="100"/>
          <w:position w:val="0"/>
        </w:rPr>
        <w:t>）本期计提、收回或转回的坏账准备情况</w:t>
      </w:r>
      <w:bookmarkEnd w:id="1052"/>
      <w:bookmarkEnd w:id="1053"/>
      <w:bookmarkEnd w:id="1055"/>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5"/>
        <w:gridCol w:w="1301"/>
        <w:gridCol w:w="1094"/>
        <w:gridCol w:w="173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坏帐准备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65,486,261.77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7,648,547.54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73,134,809.31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65,486,261.77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7,648,547.54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73,134,809.31</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4</w:t>
      </w:r>
      <w:bookmarkEnd w:id="1058"/>
      <w:r>
        <w:rPr>
          <w:color w:val="000000"/>
          <w:spacing w:val="0"/>
          <w:w w:val="100"/>
          <w:position w:val="0"/>
        </w:rPr>
        <w:t>）按欠款方归集的期末余额前五名的其他应收款情况</w:t>
      </w:r>
      <w:bookmarkEnd w:id="1056"/>
      <w:bookmarkEnd w:id="1057"/>
      <w:bookmarkEnd w:id="10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安力博发集团有限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待结诉讼款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38,876,998.00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38,876,998.00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陕西省人民检察院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11,621,500.00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232,430.00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内蒙古自治区高级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4,695,000.00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北京新动力金科资 产运营管理有限公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3,666,132.99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73,322.66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中共延边州委保密 委员会办公室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3,425,300.00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68,506.00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62,284,930.99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39,345,156.66</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7</w:t>
      </w:r>
      <w:bookmarkEnd w:id="1062"/>
      <w:r>
        <w:rPr>
          <w:color w:val="000000"/>
          <w:spacing w:val="0"/>
          <w:w w:val="100"/>
          <w:position w:val="0"/>
        </w:rPr>
        <w:t>、存货</w:t>
      </w:r>
      <w:bookmarkEnd w:id="1060"/>
      <w:bookmarkEnd w:id="1061"/>
      <w:bookmarkEnd w:id="1063"/>
    </w:p>
    <w:p>
      <w:pPr>
        <w:pStyle w:val="Style37"/>
        <w:keepNext/>
        <w:keepLines/>
        <w:widowControl w:val="0"/>
        <w:shd w:val="clear" w:color="auto" w:fill="auto"/>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4"/>
      <w:bookmarkEnd w:id="1065"/>
      <w:bookmarkEnd w:id="10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存货跌价准备或</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合同履约成本减</w:t>
            </w:r>
          </w:p>
          <w:p>
            <w:pPr>
              <w:pStyle w:val="Style22"/>
              <w:keepNext w:val="0"/>
              <w:keepLines w:val="0"/>
              <w:widowControl w:val="0"/>
              <w:shd w:val="clear" w:color="auto" w:fill="auto"/>
              <w:bidi w:val="0"/>
              <w:spacing w:before="0" w:after="8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1,259,666,577.69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102,549,065.93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1,157,117,511.76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1,402,973,979.40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138,462,891.71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1,264,511,087.69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1,631,529,102.70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1,631,529,102.70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1,390,259,198.99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1,390,259,198.99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246,747,910.02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246,747,910.02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129,333,689.70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129,333,689.70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3,137,943,590.41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102,549,065.93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3,035,394,524.48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2,922,566,868.09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138,462,891.71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2,784,103,976.38</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68"/>
      <w:bookmarkEnd w:id="1069"/>
      <w:bookmarkEnd w:id="10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138,462,891.71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17,972,191.66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53,886,017.44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102,549,065.93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138,462,891.71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17,972,191.66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53,886,017.44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102,549,065.93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8</w:t>
      </w:r>
      <w:bookmarkEnd w:id="1074"/>
      <w:r>
        <w:rPr>
          <w:color w:val="000000"/>
          <w:spacing w:val="0"/>
          <w:w w:val="100"/>
          <w:position w:val="0"/>
        </w:rPr>
        <w:t>、合同资产</w:t>
      </w:r>
      <w:bookmarkEnd w:id="1072"/>
      <w:bookmarkEnd w:id="1073"/>
      <w:bookmarkEnd w:id="10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560"/>
        <w:gridCol w:w="1277"/>
        <w:gridCol w:w="1416"/>
        <w:gridCol w:w="1522"/>
        <w:gridCol w:w="1195"/>
        <w:gridCol w:w="133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2,120,265,655.67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281,463,999.51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1,838,801,656.16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1,851,980,034.27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211,979,809.56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1,640,000,224.71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2,120,265,655.67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281,463,999.51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1,838,801,656.16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1,851,980,034.27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211,979,809.56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1,640,000,224.71</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3"/>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517"/>
        <w:gridCol w:w="1392"/>
        <w:gridCol w:w="989"/>
        <w:gridCol w:w="1277"/>
        <w:gridCol w:w="251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本期转销或核 销</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211,979,809.56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69,484,189.95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281,463,999.51</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9</w:t>
      </w:r>
      <w:bookmarkEnd w:id="1078"/>
      <w:r>
        <w:rPr>
          <w:color w:val="000000"/>
          <w:spacing w:val="0"/>
          <w:w w:val="100"/>
          <w:position w:val="0"/>
        </w:rPr>
        <w:t>、其他流动资产</w:t>
      </w:r>
      <w:bookmarkEnd w:id="1076"/>
      <w:bookmarkEnd w:id="1077"/>
      <w:bookmarkEnd w:id="10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75,331,516.89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4,597,527.31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r>
              <w:rPr>
                <w:rFonts w:ascii="Times New Roman" w:eastAsia="Times New Roman" w:hAnsi="Times New Roman" w:cs="Times New Roman"/>
                <w:color w:val="000000"/>
                <w:spacing w:val="0"/>
                <w:w w:val="100"/>
                <w:position w:val="0"/>
              </w:rPr>
              <w:t>-</w:t>
            </w:r>
            <w:r>
              <w:rPr>
                <w:color w:val="000000"/>
                <w:spacing w:val="0"/>
                <w:w w:val="100"/>
                <w:position w:val="0"/>
              </w:rPr>
              <w:t>房租等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2,035,610.64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459,437.54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77,826,565.07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4,597,527.31</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080"/>
      <w:bookmarkEnd w:id="1081"/>
      <w:bookmarkEnd w:id="1083"/>
    </w:p>
    <w:p>
      <w:pPr>
        <w:pStyle w:val="Style37"/>
        <w:keepNext/>
        <w:keepLines/>
        <w:widowControl w:val="0"/>
        <w:shd w:val="clear" w:color="auto" w:fill="auto"/>
        <w:bidi w:val="0"/>
        <w:spacing w:before="0" w:after="380" w:line="240" w:lineRule="auto"/>
        <w:ind w:left="0" w:right="0" w:firstLine="0"/>
        <w:jc w:val="both"/>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084"/>
      <w:bookmarkEnd w:id="1085"/>
      <w:bookmarkEnd w:id="10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96"/>
        <w:gridCol w:w="1114"/>
        <w:gridCol w:w="1219"/>
        <w:gridCol w:w="1190"/>
        <w:gridCol w:w="1138"/>
        <w:gridCol w:w="1272"/>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 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116,601,663.03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2,332,033.26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114,269,629.77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112,555,300.00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2,251,106.00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110,304,194.00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其中：未实 现融资收益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30,545,336.97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30,545,336.97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34,591,700.00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34,591,700.00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注：本公司之孙公司智慧神州天融（北京）监测技术有限公司与北京市延庆区生态环境局于</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月签订北京市延庆区 智慧环保政府和社会资本合作项目合同，合同价格为</w:t>
      </w:r>
      <w:r>
        <w:rPr>
          <w:color w:val="000000"/>
          <w:spacing w:val="0"/>
          <w:w w:val="100"/>
          <w:position w:val="0"/>
        </w:rPr>
        <w:t>11,255.53</w:t>
      </w:r>
      <w:r>
        <w:rPr>
          <w:color w:val="000000"/>
          <w:spacing w:val="0"/>
          <w:w w:val="100"/>
          <w:position w:val="0"/>
        </w:rPr>
        <w:t>万元，项目已于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月验收。本年按照实际利率法摊 销未确认融资收益</w:t>
      </w:r>
      <w:r>
        <w:rPr>
          <w:color w:val="000000"/>
          <w:spacing w:val="0"/>
          <w:w w:val="100"/>
          <w:position w:val="0"/>
        </w:rPr>
        <w:t xml:space="preserve">4, 046, </w:t>
      </w:r>
      <w:r>
        <w:rPr>
          <w:color w:val="000000"/>
          <w:spacing w:val="0"/>
          <w:w w:val="100"/>
          <w:position w:val="0"/>
        </w:rPr>
        <w:t xml:space="preserve">363. </w:t>
      </w:r>
      <w:r>
        <w:rPr>
          <w:color w:val="000000"/>
          <w:spacing w:val="0"/>
          <w:w w:val="100"/>
          <w:position w:val="0"/>
        </w:rPr>
        <w:t>03</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）坏账准备减值情况</w:t>
      </w:r>
      <w:bookmarkEnd w:id="1088"/>
      <w:bookmarkEnd w:id="1089"/>
      <w:bookmarkEnd w:id="10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2,251,106.00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2,251,106.00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80,927.26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80,927.26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2,332,033.26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2,332,033.26</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13"/>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374" w:right="1047" w:bottom="1451"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92"/>
      <w:bookmarkEnd w:id="1093"/>
      <w:bookmarkEnd w:id="1095"/>
    </w:p>
    <w:p>
      <w:pPr>
        <w:pStyle w:val="Style13"/>
        <w:keepNext w:val="0"/>
        <w:keepLines w:val="0"/>
        <w:widowControl w:val="0"/>
        <w:shd w:val="clear" w:color="auto" w:fill="auto"/>
        <w:bidi w:val="0"/>
        <w:spacing w:before="0" w:after="80" w:line="240" w:lineRule="auto"/>
        <w:ind w:left="0" w:right="660" w:firstLine="0"/>
        <w:jc w:val="right"/>
      </w:pPr>
      <w:r>
        <w:rPr>
          <w:color w:val="000000"/>
          <w:spacing w:val="0"/>
          <w:w w:val="100"/>
          <w:position w:val="0"/>
        </w:rPr>
        <w:t>单位：元</w:t>
      </w:r>
    </w:p>
    <w:tbl>
      <w:tblPr>
        <w:tblOverlap w:val="never"/>
        <w:jc w:val="center"/>
        <w:tblLayout w:type="fixed"/>
      </w:tblPr>
      <w:tblGrid>
        <w:gridCol w:w="1992"/>
        <w:gridCol w:w="1555"/>
        <w:gridCol w:w="854"/>
        <w:gridCol w:w="1133"/>
        <w:gridCol w:w="1277"/>
        <w:gridCol w:w="706"/>
        <w:gridCol w:w="566"/>
        <w:gridCol w:w="994"/>
        <w:gridCol w:w="1133"/>
        <w:gridCol w:w="566"/>
        <w:gridCol w:w="1421"/>
        <w:gridCol w:w="128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期初余额（账面价值）</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期末余额（账面价值）</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减值准备期末余额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权益法下确认的投</w:t>
            </w:r>
          </w:p>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其他综合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其他权</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宣告发放现金</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股利或利润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联营企业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天津国科量子科技有限公司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 xml:space="preserve">1, 904, </w:t>
            </w:r>
            <w:r>
              <w:rPr>
                <w:color w:val="000000"/>
                <w:spacing w:val="0"/>
                <w:w w:val="100"/>
                <w:position w:val="0"/>
                <w:sz w:val="15"/>
                <w:szCs w:val="15"/>
              </w:rPr>
              <w:t xml:space="preserve">588. </w:t>
            </w:r>
            <w:r>
              <w:rPr>
                <w:color w:val="000000"/>
                <w:spacing w:val="0"/>
                <w:w w:val="100"/>
                <w:position w:val="0"/>
                <w:sz w:val="15"/>
                <w:szCs w:val="15"/>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 xml:space="preserve">-369, 006. </w:t>
            </w:r>
            <w:r>
              <w:rPr>
                <w:color w:val="000000"/>
                <w:spacing w:val="0"/>
                <w:w w:val="100"/>
                <w:position w:val="0"/>
                <w:sz w:val="15"/>
                <w:szCs w:val="15"/>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1,535, </w:t>
            </w:r>
            <w:r>
              <w:rPr>
                <w:color w:val="000000"/>
                <w:spacing w:val="0"/>
                <w:w w:val="100"/>
                <w:position w:val="0"/>
                <w:sz w:val="15"/>
                <w:szCs w:val="15"/>
              </w:rPr>
              <w:t>581.61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神州数码融信云技术服务有</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限公司（注</w:t>
            </w:r>
            <w:r>
              <w:rPr>
                <w:color w:val="000000"/>
                <w:spacing w:val="0"/>
                <w:w w:val="100"/>
                <w:position w:val="0"/>
                <w:sz w:val="15"/>
                <w:szCs w:val="15"/>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 xml:space="preserve">122,657, </w:t>
            </w:r>
            <w:r>
              <w:rPr>
                <w:color w:val="000000"/>
                <w:spacing w:val="0"/>
                <w:w w:val="100"/>
                <w:position w:val="0"/>
                <w:sz w:val="15"/>
                <w:szCs w:val="15"/>
              </w:rPr>
              <w:t>142.44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25,728,568.79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6,474,268.30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103,402,841.95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5"/>
                <w:szCs w:val="15"/>
              </w:rPr>
            </w:pPr>
            <w:r>
              <w:rPr>
                <w:color w:val="000000"/>
                <w:spacing w:val="0"/>
                <w:w w:val="100"/>
                <w:position w:val="0"/>
                <w:sz w:val="15"/>
                <w:szCs w:val="15"/>
              </w:rPr>
              <w:t>北京神州邦邦技术服务有限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 xml:space="preserve">8, 567, </w:t>
            </w:r>
            <w:r>
              <w:rPr>
                <w:color w:val="000000"/>
                <w:spacing w:val="0"/>
                <w:w w:val="100"/>
                <w:position w:val="0"/>
                <w:sz w:val="15"/>
                <w:szCs w:val="15"/>
              </w:rPr>
              <w:t xml:space="preserve">542. </w:t>
            </w:r>
            <w:r>
              <w:rPr>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-1,095,494.73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7,472,047.46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北京深思普慧科技有限公司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29, 871, </w:t>
            </w:r>
            <w:r>
              <w:rPr>
                <w:color w:val="000000"/>
                <w:spacing w:val="0"/>
                <w:w w:val="100"/>
                <w:position w:val="0"/>
                <w:sz w:val="15"/>
                <w:szCs w:val="15"/>
              </w:rPr>
              <w:t xml:space="preserve">197. </w:t>
            </w:r>
            <w:r>
              <w:rPr>
                <w:color w:val="000000"/>
                <w:spacing w:val="0"/>
                <w:w w:val="100"/>
                <w:position w:val="0"/>
                <w:sz w:val="15"/>
                <w:szCs w:val="15"/>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 xml:space="preserve">-764, 144. </w:t>
            </w:r>
            <w:r>
              <w:rPr>
                <w:color w:val="000000"/>
                <w:spacing w:val="0"/>
                <w:w w:val="100"/>
                <w:position w:val="0"/>
                <w:sz w:val="15"/>
                <w:szCs w:val="15"/>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29, 107, </w:t>
            </w:r>
            <w:r>
              <w:rPr>
                <w:color w:val="000000"/>
                <w:spacing w:val="0"/>
                <w:w w:val="100"/>
                <w:position w:val="0"/>
                <w:sz w:val="15"/>
                <w:szCs w:val="15"/>
              </w:rPr>
              <w:t xml:space="preserve">053. </w:t>
            </w:r>
            <w:r>
              <w:rPr>
                <w:color w:val="000000"/>
                <w:spacing w:val="0"/>
                <w:w w:val="100"/>
                <w:position w:val="0"/>
                <w:sz w:val="15"/>
                <w:szCs w:val="15"/>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江西倬云数字科技有限公司</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w:t>
            </w:r>
            <w:r>
              <w:rPr>
                <w:color w:val="000000"/>
                <w:spacing w:val="0"/>
                <w:w w:val="100"/>
                <w:position w:val="0"/>
                <w:sz w:val="15"/>
                <w:szCs w:val="15"/>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2,444.91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392,444.91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 xml:space="preserve">163, 000, </w:t>
            </w:r>
            <w:r>
              <w:rPr>
                <w:color w:val="000000"/>
                <w:spacing w:val="0"/>
                <w:w w:val="100"/>
                <w:position w:val="0"/>
                <w:sz w:val="15"/>
                <w:szCs w:val="15"/>
              </w:rPr>
              <w:t xml:space="preserve">470. </w:t>
            </w:r>
            <w:r>
              <w:rPr>
                <w:color w:val="000000"/>
                <w:spacing w:val="0"/>
                <w:w w:val="100"/>
                <w:position w:val="0"/>
                <w:sz w:val="15"/>
                <w:szCs w:val="15"/>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390,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25, 728, </w:t>
            </w:r>
            <w:r>
              <w:rPr>
                <w:color w:val="000000"/>
                <w:spacing w:val="0"/>
                <w:w w:val="100"/>
                <w:position w:val="0"/>
                <w:sz w:val="15"/>
                <w:szCs w:val="15"/>
              </w:rPr>
              <w:t xml:space="preserve">568. </w:t>
            </w:r>
            <w:r>
              <w:rPr>
                <w:color w:val="000000"/>
                <w:spacing w:val="0"/>
                <w:w w:val="100"/>
                <w:position w:val="0"/>
                <w:sz w:val="15"/>
                <w:szCs w:val="15"/>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 xml:space="preserve">4, 248, </w:t>
            </w:r>
            <w:r>
              <w:rPr>
                <w:color w:val="000000"/>
                <w:spacing w:val="0"/>
                <w:w w:val="100"/>
                <w:position w:val="0"/>
                <w:sz w:val="15"/>
                <w:szCs w:val="15"/>
              </w:rPr>
              <w:t xml:space="preserve">067. </w:t>
            </w:r>
            <w:r>
              <w:rPr>
                <w:color w:val="000000"/>
                <w:spacing w:val="0"/>
                <w:w w:val="100"/>
                <w:position w:val="0"/>
                <w:sz w:val="15"/>
                <w:szCs w:val="15"/>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 xml:space="preserve">141,909,969. </w:t>
            </w:r>
            <w:r>
              <w:rPr>
                <w:color w:val="000000"/>
                <w:spacing w:val="0"/>
                <w:w w:val="100"/>
                <w:position w:val="0"/>
                <w:sz w:val="15"/>
                <w:szCs w:val="15"/>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 xml:space="preserve">163, 000, </w:t>
            </w:r>
            <w:r>
              <w:rPr>
                <w:color w:val="000000"/>
                <w:spacing w:val="0"/>
                <w:w w:val="100"/>
                <w:position w:val="0"/>
                <w:sz w:val="15"/>
                <w:szCs w:val="15"/>
              </w:rPr>
              <w:t xml:space="preserve">470. </w:t>
            </w:r>
            <w:r>
              <w:rPr>
                <w:color w:val="000000"/>
                <w:spacing w:val="0"/>
                <w:w w:val="100"/>
                <w:position w:val="0"/>
                <w:sz w:val="15"/>
                <w:szCs w:val="15"/>
              </w:rPr>
              <w:t>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390,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25, 728, </w:t>
            </w:r>
            <w:r>
              <w:rPr>
                <w:color w:val="000000"/>
                <w:spacing w:val="0"/>
                <w:w w:val="100"/>
                <w:position w:val="0"/>
                <w:sz w:val="15"/>
                <w:szCs w:val="15"/>
              </w:rPr>
              <w:t xml:space="preserve">568. </w:t>
            </w:r>
            <w:r>
              <w:rPr>
                <w:color w:val="000000"/>
                <w:spacing w:val="0"/>
                <w:w w:val="100"/>
                <w:position w:val="0"/>
                <w:sz w:val="15"/>
                <w:szCs w:val="15"/>
              </w:rPr>
              <w:t>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 xml:space="preserve">4, 248, </w:t>
            </w:r>
            <w:r>
              <w:rPr>
                <w:color w:val="000000"/>
                <w:spacing w:val="0"/>
                <w:w w:val="100"/>
                <w:position w:val="0"/>
                <w:sz w:val="15"/>
                <w:szCs w:val="15"/>
              </w:rPr>
              <w:t xml:space="preserve">067. </w:t>
            </w:r>
            <w:r>
              <w:rPr>
                <w:color w:val="000000"/>
                <w:spacing w:val="0"/>
                <w:w w:val="100"/>
                <w:position w:val="0"/>
                <w:sz w:val="15"/>
                <w:szCs w:val="15"/>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 xml:space="preserve">141,909,969. </w:t>
            </w:r>
            <w:r>
              <w:rPr>
                <w:color w:val="000000"/>
                <w:spacing w:val="0"/>
                <w:w w:val="100"/>
                <w:position w:val="0"/>
                <w:sz w:val="15"/>
                <w:szCs w:val="15"/>
              </w:rPr>
              <w:t>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注</w:t>
      </w:r>
      <w:r>
        <w:rPr>
          <w:color w:val="000000"/>
          <w:spacing w:val="0"/>
          <w:w w:val="100"/>
          <w:position w:val="0"/>
        </w:rPr>
        <w:t>1： 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22</w:t>
      </w:r>
      <w:r>
        <w:rPr>
          <w:color w:val="000000"/>
          <w:spacing w:val="0"/>
          <w:w w:val="100"/>
          <w:position w:val="0"/>
        </w:rPr>
        <w:t>日，神州数码融信云技术服务有限公司股东神州数码融信软件有限公司、上海尹信宜知网络科技有限公司、横琴嘉瑞信融信息咨询合伙企业（有限合伙）与深 圳市创新投资集团有限公司、北京红土优势产业投资基金中心（有限合伙）、深圳市达晨创鸿私募股权投资企业（有限合伙）、海南三亚达晨投资有限公司、深圳市财智创赢私募 股权投资企业（有限合伙）、深圳市中小担创业投资有限公司、共青城鸿舸投资合伙企业（有限合伙）签订股权转让协议，协议约定，神州数码融信软件有限公司将持有的神州数 码融信云技术服务有限公司</w:t>
      </w:r>
      <w:r>
        <w:rPr>
          <w:color w:val="000000"/>
          <w:spacing w:val="0"/>
          <w:w w:val="100"/>
          <w:position w:val="0"/>
        </w:rPr>
        <w:t>5%</w:t>
      </w:r>
      <w:r>
        <w:rPr>
          <w:color w:val="000000"/>
          <w:spacing w:val="0"/>
          <w:w w:val="100"/>
          <w:position w:val="0"/>
        </w:rPr>
        <w:t>的股权转让给上述受让方。股权转让完成后，神州数码融信软件有限公司对神州数码融信云技术服务有限公司的持股比例由</w:t>
      </w:r>
      <w:r>
        <w:rPr>
          <w:color w:val="000000"/>
          <w:spacing w:val="0"/>
          <w:w w:val="100"/>
          <w:position w:val="0"/>
        </w:rPr>
        <w:t xml:space="preserve">26. </w:t>
      </w:r>
      <w:r>
        <w:rPr>
          <w:color w:val="000000"/>
          <w:spacing w:val="0"/>
          <w:w w:val="100"/>
          <w:position w:val="0"/>
        </w:rPr>
        <w:t>00%</w:t>
      </w:r>
      <w:r>
        <w:rPr>
          <w:color w:val="000000"/>
          <w:spacing w:val="0"/>
          <w:w w:val="100"/>
          <w:position w:val="0"/>
        </w:rPr>
        <w:t>变为</w:t>
      </w:r>
      <w:r>
        <w:rPr>
          <w:color w:val="000000"/>
          <w:spacing w:val="0"/>
          <w:w w:val="100"/>
          <w:position w:val="0"/>
        </w:rPr>
        <w:t xml:space="preserve">21. </w:t>
      </w:r>
      <w:r>
        <w:rPr>
          <w:color w:val="000000"/>
          <w:spacing w:val="0"/>
          <w:w w:val="100"/>
          <w:position w:val="0"/>
        </w:rPr>
        <w:t>00%，</w:t>
      </w:r>
      <w:r>
        <w:rPr>
          <w:color w:val="000000"/>
          <w:spacing w:val="0"/>
          <w:w w:val="100"/>
          <w:position w:val="0"/>
        </w:rPr>
        <w:t>由原 委派</w:t>
      </w:r>
      <w:r>
        <w:rPr>
          <w:color w:val="000000"/>
          <w:spacing w:val="0"/>
          <w:w w:val="100"/>
          <w:position w:val="0"/>
        </w:rPr>
        <w:t>2</w:t>
      </w:r>
      <w:r>
        <w:rPr>
          <w:color w:val="000000"/>
          <w:spacing w:val="0"/>
          <w:w w:val="100"/>
          <w:position w:val="0"/>
        </w:rPr>
        <w:t>名董事变为</w:t>
      </w:r>
      <w:r>
        <w:rPr>
          <w:color w:val="000000"/>
          <w:spacing w:val="0"/>
          <w:w w:val="100"/>
          <w:position w:val="0"/>
        </w:rPr>
        <w:t>1</w:t>
      </w:r>
      <w:r>
        <w:rPr>
          <w:color w:val="000000"/>
          <w:spacing w:val="0"/>
          <w:w w:val="100"/>
          <w:position w:val="0"/>
        </w:rPr>
        <w:t>名董事，对其仍具有重大影响。</w:t>
      </w:r>
    </w:p>
    <w:p>
      <w:pPr>
        <w:pStyle w:val="Style13"/>
        <w:keepNext w:val="0"/>
        <w:keepLines w:val="0"/>
        <w:widowControl w:val="0"/>
        <w:shd w:val="clear" w:color="auto" w:fill="auto"/>
        <w:bidi w:val="0"/>
        <w:spacing w:before="0" w:after="200" w:line="317" w:lineRule="exact"/>
        <w:ind w:left="0" w:right="0" w:firstLine="0"/>
        <w:jc w:val="both"/>
        <w:sectPr>
          <w:footnotePr>
            <w:pos w:val="pageBottom"/>
            <w:numFmt w:val="decimal"/>
            <w:numRestart w:val="continuous"/>
          </w:footnotePr>
          <w:pgSz w:w="16840" w:h="11900" w:orient="landscape"/>
          <w:pgMar w:top="1145" w:right="1417" w:bottom="1154" w:left="1417" w:header="0" w:footer="3" w:gutter="0"/>
          <w:cols w:space="720"/>
          <w:noEndnote/>
          <w:rtlGutter w:val="0"/>
          <w:docGrid w:linePitch="360"/>
        </w:sectPr>
      </w:pPr>
      <w:r>
        <w:rPr>
          <w:color w:val="000000"/>
          <w:spacing w:val="0"/>
          <w:w w:val="100"/>
          <w:position w:val="0"/>
        </w:rPr>
        <w:t>注</w:t>
      </w:r>
      <w:r>
        <w:rPr>
          <w:color w:val="000000"/>
          <w:spacing w:val="0"/>
          <w:w w:val="100"/>
          <w:position w:val="0"/>
        </w:rPr>
        <w:t>2： 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3</w:t>
      </w:r>
      <w:r>
        <w:rPr>
          <w:color w:val="000000"/>
          <w:spacing w:val="0"/>
          <w:w w:val="100"/>
          <w:position w:val="0"/>
        </w:rPr>
        <w:t>日，本公司下属子公司中农信达与江西倬云数字产业集团有限公司、江西云链信息产业有限公司和南昌倬富企业管理中心（有限合伙）签订股东合作协议，成立 合资公司江西倬云数字科技有限公司。中农信达以货币方式认缴出资</w:t>
      </w:r>
      <w:r>
        <w:rPr>
          <w:color w:val="000000"/>
          <w:spacing w:val="0"/>
          <w:w w:val="100"/>
          <w:position w:val="0"/>
        </w:rPr>
        <w:t xml:space="preserve">390. </w:t>
      </w:r>
      <w:r>
        <w:rPr>
          <w:color w:val="000000"/>
          <w:spacing w:val="0"/>
          <w:w w:val="100"/>
          <w:position w:val="0"/>
        </w:rPr>
        <w:t>00</w:t>
      </w:r>
      <w:r>
        <w:rPr>
          <w:color w:val="000000"/>
          <w:spacing w:val="0"/>
          <w:w w:val="100"/>
          <w:position w:val="0"/>
        </w:rPr>
        <w:t>万元，持股比例为</w:t>
      </w:r>
      <w:r>
        <w:rPr>
          <w:color w:val="000000"/>
          <w:spacing w:val="0"/>
          <w:w w:val="100"/>
          <w:position w:val="0"/>
        </w:rPr>
        <w:t>10.00%，</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月有</w:t>
      </w:r>
      <w:r>
        <w:rPr>
          <w:color w:val="000000"/>
          <w:spacing w:val="0"/>
          <w:w w:val="100"/>
          <w:position w:val="0"/>
        </w:rPr>
        <w:t>31</w:t>
      </w:r>
      <w:r>
        <w:rPr>
          <w:color w:val="000000"/>
          <w:spacing w:val="0"/>
          <w:w w:val="100"/>
          <w:position w:val="0"/>
        </w:rPr>
        <w:t>日已实缴</w:t>
      </w:r>
      <w:r>
        <w:rPr>
          <w:color w:val="000000"/>
          <w:spacing w:val="0"/>
          <w:w w:val="100"/>
          <w:position w:val="0"/>
        </w:rPr>
        <w:t>39.0</w:t>
      </w:r>
      <w:r>
        <w:rPr>
          <w:color w:val="000000"/>
          <w:spacing w:val="0"/>
          <w:w w:val="100"/>
          <w:position w:val="0"/>
        </w:rPr>
        <w:t>0</w:t>
      </w:r>
      <w:r>
        <w:rPr>
          <w:color w:val="000000"/>
          <w:spacing w:val="0"/>
          <w:w w:val="100"/>
          <w:position w:val="0"/>
        </w:rPr>
        <w:t>万元。中农信达向江西倬云数字科技有 限公司委派</w:t>
      </w:r>
      <w:r>
        <w:rPr>
          <w:color w:val="000000"/>
          <w:spacing w:val="0"/>
          <w:w w:val="100"/>
          <w:position w:val="0"/>
        </w:rPr>
        <w:t>1</w:t>
      </w:r>
      <w:r>
        <w:rPr>
          <w:color w:val="000000"/>
          <w:spacing w:val="0"/>
          <w:w w:val="100"/>
          <w:position w:val="0"/>
        </w:rPr>
        <w:t>名董事及</w:t>
      </w:r>
      <w:r>
        <w:rPr>
          <w:color w:val="000000"/>
          <w:spacing w:val="0"/>
          <w:w w:val="100"/>
          <w:position w:val="0"/>
        </w:rPr>
        <w:t>1</w:t>
      </w:r>
      <w:r>
        <w:rPr>
          <w:color w:val="000000"/>
          <w:spacing w:val="0"/>
          <w:w w:val="100"/>
          <w:position w:val="0"/>
        </w:rPr>
        <w:t>名监事，对其具有重大影响。</w:t>
      </w:r>
    </w:p>
    <w:p>
      <w:pPr>
        <w:pStyle w:val="Style29"/>
        <w:keepNext/>
        <w:keepLines/>
        <w:widowControl w:val="0"/>
        <w:shd w:val="clear" w:color="auto" w:fill="auto"/>
        <w:bidi w:val="0"/>
        <w:spacing w:before="0" w:after="32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096"/>
      <w:bookmarkEnd w:id="1097"/>
      <w:bookmarkEnd w:id="1099"/>
    </w:p>
    <w:p>
      <w:pPr>
        <w:pStyle w:val="Style27"/>
        <w:keepNext w:val="0"/>
        <w:keepLines w:val="0"/>
        <w:widowControl w:val="0"/>
        <w:shd w:val="clear" w:color="auto" w:fill="auto"/>
        <w:bidi w:val="0"/>
        <w:spacing w:before="0" w:after="0" w:line="240" w:lineRule="auto"/>
        <w:ind w:left="8184"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天津君联林海企业管理咨询合伙企业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98,966,616.19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119,926,789.56</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北京柘量投资中心（有限合伙）（注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27,951,856.00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25,786,790.00</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北京柘益投资中心（有限合伙）（注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1,247,614.00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8,115,834.00</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天津神州数码信息科技服务有限公司</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北京聚源汇鑫科技发展中心（有限合伙）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326"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129,166,086.19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154,829,413.56</w:t>
            </w:r>
          </w:p>
        </w:tc>
      </w:tr>
    </w:tbl>
    <w:p>
      <w:pPr>
        <w:widowControl w:val="0"/>
        <w:spacing w:after="199" w:line="1" w:lineRule="exact"/>
      </w:pPr>
    </w:p>
    <w:p>
      <w:pPr>
        <w:pStyle w:val="Style13"/>
        <w:keepNext w:val="0"/>
        <w:keepLines w:val="0"/>
        <w:widowControl w:val="0"/>
        <w:shd w:val="clear" w:color="auto" w:fill="auto"/>
        <w:bidi w:val="0"/>
        <w:spacing w:before="0" w:after="0" w:line="234" w:lineRule="exact"/>
        <w:ind w:left="0" w:right="0" w:firstLine="0"/>
        <w:jc w:val="both"/>
      </w:pPr>
      <w:r>
        <w:rPr>
          <w:color w:val="000000"/>
          <w:spacing w:val="0"/>
          <w:w w:val="100"/>
          <w:position w:val="0"/>
        </w:rPr>
        <w:t>注</w:t>
      </w:r>
      <w:r>
        <w:rPr>
          <w:color w:val="000000"/>
          <w:spacing w:val="0"/>
          <w:w w:val="100"/>
          <w:position w:val="0"/>
        </w:rPr>
        <w:t>1：</w:t>
      </w:r>
      <w:r>
        <w:rPr>
          <w:color w:val="000000"/>
          <w:spacing w:val="0"/>
          <w:w w:val="100"/>
          <w:position w:val="0"/>
        </w:rPr>
        <w:t>天津君联林海企业管理咨询合伙企业（有限合伙）为本公司</w:t>
      </w:r>
      <w:r>
        <w:rPr>
          <w:color w:val="000000"/>
          <w:spacing w:val="0"/>
          <w:w w:val="100"/>
          <w:position w:val="0"/>
        </w:rPr>
        <w:t>2016</w:t>
      </w:r>
      <w:r>
        <w:rPr>
          <w:color w:val="000000"/>
          <w:spacing w:val="0"/>
          <w:w w:val="100"/>
          <w:position w:val="0"/>
        </w:rPr>
        <w:t>年新增的投资项目，根据有限合伙协议，本公司</w:t>
      </w:r>
      <w:r>
        <w:rPr>
          <w:color w:val="000000"/>
          <w:spacing w:val="0"/>
          <w:w w:val="100"/>
          <w:position w:val="0"/>
        </w:rPr>
        <w:t xml:space="preserve">2016 </w:t>
      </w:r>
      <w:r>
        <w:rPr>
          <w:color w:val="000000"/>
          <w:spacing w:val="0"/>
          <w:w w:val="100"/>
          <w:position w:val="0"/>
        </w:rPr>
        <w:t>年缴纳出资额</w:t>
      </w:r>
      <w:r>
        <w:rPr>
          <w:color w:val="000000"/>
          <w:spacing w:val="0"/>
          <w:w w:val="100"/>
          <w:position w:val="0"/>
        </w:rPr>
        <w:t xml:space="preserve">37, 522, </w:t>
      </w:r>
      <w:r>
        <w:rPr>
          <w:color w:val="000000"/>
          <w:spacing w:val="0"/>
          <w:w w:val="100"/>
          <w:position w:val="0"/>
        </w:rPr>
        <w:t xml:space="preserve">500. </w:t>
      </w:r>
      <w:r>
        <w:rPr>
          <w:color w:val="000000"/>
          <w:spacing w:val="0"/>
          <w:w w:val="100"/>
          <w:position w:val="0"/>
        </w:rPr>
        <w:t>00</w:t>
      </w:r>
      <w:r>
        <w:rPr>
          <w:color w:val="000000"/>
          <w:spacing w:val="0"/>
          <w:w w:val="100"/>
          <w:position w:val="0"/>
        </w:rPr>
        <w:t>元，持股比例为</w:t>
      </w:r>
      <w:r>
        <w:rPr>
          <w:color w:val="000000"/>
          <w:spacing w:val="0"/>
          <w:w w:val="100"/>
          <w:position w:val="0"/>
        </w:rPr>
        <w:t>25.00%</w:t>
      </w:r>
      <w:r>
        <w:rPr>
          <w:color w:val="000000"/>
          <w:spacing w:val="0"/>
          <w:w w:val="100"/>
          <w:position w:val="0"/>
        </w:rPr>
        <w:t>。本公司为该合伙企业非执行事务的有限合伙人，根据合伙协议，执行 事务合伙人对合伙事务享有全部管理权和支配权，其他合伙人不再执行合伙企业事务，故本公司持股比例虽然超过</w:t>
      </w:r>
      <w:r>
        <w:rPr>
          <w:color w:val="000000"/>
          <w:spacing w:val="0"/>
          <w:w w:val="100"/>
          <w:position w:val="0"/>
        </w:rPr>
        <w:t xml:space="preserve">20. </w:t>
      </w:r>
      <w:r>
        <w:rPr>
          <w:color w:val="000000"/>
          <w:spacing w:val="0"/>
          <w:w w:val="100"/>
          <w:position w:val="0"/>
        </w:rPr>
        <w:t xml:space="preserve">00%， </w:t>
      </w:r>
      <w:r>
        <w:rPr>
          <w:color w:val="000000"/>
          <w:spacing w:val="0"/>
          <w:w w:val="100"/>
          <w:position w:val="0"/>
        </w:rPr>
        <w:t>但无重大影响。本年公允价值变动金额为</w:t>
      </w:r>
      <w:r>
        <w:rPr>
          <w:color w:val="000000"/>
          <w:spacing w:val="0"/>
          <w:w w:val="100"/>
          <w:position w:val="0"/>
        </w:rPr>
        <w:t xml:space="preserve">-20, </w:t>
      </w:r>
      <w:r>
        <w:rPr>
          <w:color w:val="000000"/>
          <w:spacing w:val="0"/>
          <w:w w:val="100"/>
          <w:position w:val="0"/>
        </w:rPr>
        <w:t xml:space="preserve">960, </w:t>
      </w:r>
      <w:r>
        <w:rPr>
          <w:color w:val="000000"/>
          <w:spacing w:val="0"/>
          <w:w w:val="100"/>
          <w:position w:val="0"/>
        </w:rPr>
        <w:t xml:space="preserve">173. </w:t>
      </w:r>
      <w:r>
        <w:rPr>
          <w:color w:val="000000"/>
          <w:spacing w:val="0"/>
          <w:w w:val="100"/>
          <w:position w:val="0"/>
        </w:rPr>
        <w:t>37</w:t>
      </w:r>
      <w:r>
        <w:rPr>
          <w:color w:val="000000"/>
          <w:spacing w:val="0"/>
          <w:w w:val="100"/>
          <w:position w:val="0"/>
        </w:rPr>
        <w:t>元。</w:t>
      </w:r>
    </w:p>
    <w:p>
      <w:pPr>
        <w:pStyle w:val="Style13"/>
        <w:keepNext w:val="0"/>
        <w:keepLines w:val="0"/>
        <w:widowControl w:val="0"/>
        <w:shd w:val="clear" w:color="auto" w:fill="auto"/>
        <w:bidi w:val="0"/>
        <w:spacing w:before="0" w:after="0" w:line="234" w:lineRule="exact"/>
        <w:ind w:left="0" w:right="0" w:firstLine="0"/>
        <w:jc w:val="both"/>
      </w:pPr>
      <w:r>
        <w:rPr>
          <w:color w:val="000000"/>
          <w:spacing w:val="0"/>
          <w:w w:val="100"/>
          <w:position w:val="0"/>
        </w:rPr>
        <w:t>注</w:t>
      </w:r>
      <w:r>
        <w:rPr>
          <w:color w:val="000000"/>
          <w:spacing w:val="0"/>
          <w:w w:val="100"/>
          <w:position w:val="0"/>
        </w:rPr>
        <w:t>2：</w:t>
      </w:r>
      <w:r>
        <w:rPr>
          <w:color w:val="000000"/>
          <w:spacing w:val="0"/>
          <w:w w:val="100"/>
          <w:position w:val="0"/>
        </w:rPr>
        <w:t>北京柘量投资中心（有限合伙）系本公司于</w:t>
      </w:r>
      <w:r>
        <w:rPr>
          <w:color w:val="000000"/>
          <w:spacing w:val="0"/>
          <w:w w:val="100"/>
          <w:position w:val="0"/>
        </w:rPr>
        <w:t>2016</w:t>
      </w:r>
      <w:r>
        <w:rPr>
          <w:color w:val="000000"/>
          <w:spacing w:val="0"/>
          <w:w w:val="100"/>
          <w:position w:val="0"/>
        </w:rPr>
        <w:t>年参与出资设立的有限合伙企业，根据合伙协议，本公司</w:t>
      </w:r>
      <w:r>
        <w:rPr>
          <w:color w:val="000000"/>
          <w:spacing w:val="0"/>
          <w:w w:val="100"/>
          <w:position w:val="0"/>
        </w:rPr>
        <w:t>2016</w:t>
      </w:r>
      <w:r>
        <w:rPr>
          <w:color w:val="000000"/>
          <w:spacing w:val="0"/>
          <w:w w:val="100"/>
          <w:position w:val="0"/>
        </w:rPr>
        <w:t>年缴纳 出资</w:t>
      </w:r>
      <w:r>
        <w:rPr>
          <w:color w:val="000000"/>
          <w:spacing w:val="0"/>
          <w:w w:val="100"/>
          <w:position w:val="0"/>
        </w:rPr>
        <w:t>25,000,000.0</w:t>
      </w:r>
      <w:r>
        <w:rPr>
          <w:color w:val="000000"/>
          <w:spacing w:val="0"/>
          <w:w w:val="100"/>
          <w:position w:val="0"/>
        </w:rPr>
        <w:t>0</w:t>
      </w:r>
      <w:r>
        <w:rPr>
          <w:color w:val="000000"/>
          <w:spacing w:val="0"/>
          <w:w w:val="100"/>
          <w:position w:val="0"/>
        </w:rPr>
        <w:t>元，</w:t>
      </w:r>
      <w:r>
        <w:rPr>
          <w:color w:val="000000"/>
          <w:spacing w:val="0"/>
          <w:w w:val="100"/>
          <w:position w:val="0"/>
        </w:rPr>
        <w:t>2017</w:t>
      </w:r>
      <w:r>
        <w:rPr>
          <w:color w:val="000000"/>
          <w:spacing w:val="0"/>
          <w:w w:val="100"/>
          <w:position w:val="0"/>
        </w:rPr>
        <w:t>年支付第二期出资款</w:t>
      </w:r>
      <w:r>
        <w:rPr>
          <w:color w:val="000000"/>
          <w:spacing w:val="0"/>
          <w:w w:val="100"/>
          <w:position w:val="0"/>
        </w:rPr>
        <w:t>25,000,000.00</w:t>
      </w:r>
      <w:r>
        <w:rPr>
          <w:color w:val="000000"/>
          <w:spacing w:val="0"/>
          <w:w w:val="100"/>
          <w:position w:val="0"/>
        </w:rPr>
        <w:t>元，持股比例为</w:t>
      </w:r>
      <w:r>
        <w:rPr>
          <w:color w:val="000000"/>
          <w:spacing w:val="0"/>
          <w:w w:val="100"/>
          <w:position w:val="0"/>
        </w:rPr>
        <w:t>23.70%</w:t>
      </w:r>
      <w:r>
        <w:rPr>
          <w:color w:val="000000"/>
          <w:spacing w:val="0"/>
          <w:w w:val="100"/>
          <w:position w:val="0"/>
        </w:rPr>
        <w:t>。本公司为该合伙企业非执行事务的 有限合伙人，根据合伙协议，执行事务合伙人对合伙事务享有全部管理权和支配权，其他合伙人不再执行合伙企业事务，故 本公司持股比例虽然超过</w:t>
      </w:r>
      <w:r>
        <w:rPr>
          <w:color w:val="000000"/>
          <w:spacing w:val="0"/>
          <w:w w:val="100"/>
          <w:position w:val="0"/>
        </w:rPr>
        <w:t>20.00%，</w:t>
      </w:r>
      <w:r>
        <w:rPr>
          <w:color w:val="000000"/>
          <w:spacing w:val="0"/>
          <w:w w:val="100"/>
          <w:position w:val="0"/>
        </w:rPr>
        <w:t>但无重大影响。本年收回投资款</w:t>
      </w:r>
      <w:r>
        <w:rPr>
          <w:color w:val="000000"/>
          <w:spacing w:val="0"/>
          <w:w w:val="100"/>
          <w:position w:val="0"/>
        </w:rPr>
        <w:t>7,493,844.4</w:t>
      </w:r>
      <w:r>
        <w:rPr>
          <w:color w:val="000000"/>
          <w:spacing w:val="0"/>
          <w:w w:val="100"/>
          <w:position w:val="0"/>
        </w:rPr>
        <w:t>1</w:t>
      </w:r>
      <w:r>
        <w:rPr>
          <w:color w:val="000000"/>
          <w:spacing w:val="0"/>
          <w:w w:val="100"/>
          <w:position w:val="0"/>
        </w:rPr>
        <w:t>元，本年公允价值变动金额为</w:t>
      </w:r>
      <w:r>
        <w:rPr>
          <w:color w:val="000000"/>
          <w:spacing w:val="0"/>
          <w:w w:val="100"/>
          <w:position w:val="0"/>
        </w:rPr>
        <w:t xml:space="preserve">9, </w:t>
      </w:r>
      <w:r>
        <w:rPr>
          <w:color w:val="000000"/>
          <w:spacing w:val="0"/>
          <w:w w:val="100"/>
          <w:position w:val="0"/>
        </w:rPr>
        <w:t xml:space="preserve">658,910.41 </w:t>
      </w:r>
      <w:r>
        <w:rPr>
          <w:color w:val="000000"/>
          <w:spacing w:val="0"/>
          <w:w w:val="100"/>
          <w:position w:val="0"/>
        </w:rPr>
        <w:t>元。</w:t>
      </w:r>
    </w:p>
    <w:p>
      <w:pPr>
        <w:pStyle w:val="Style13"/>
        <w:keepNext w:val="0"/>
        <w:keepLines w:val="0"/>
        <w:widowControl w:val="0"/>
        <w:shd w:val="clear" w:color="auto" w:fill="auto"/>
        <w:bidi w:val="0"/>
        <w:spacing w:before="0" w:after="0" w:line="234" w:lineRule="exact"/>
        <w:ind w:left="0" w:right="0" w:firstLine="0"/>
        <w:jc w:val="both"/>
      </w:pPr>
      <w:r>
        <w:rPr>
          <w:color w:val="000000"/>
          <w:spacing w:val="0"/>
          <w:w w:val="100"/>
          <w:position w:val="0"/>
        </w:rPr>
        <w:t>注</w:t>
      </w:r>
      <w:r>
        <w:rPr>
          <w:color w:val="000000"/>
          <w:spacing w:val="0"/>
          <w:w w:val="100"/>
          <w:position w:val="0"/>
        </w:rPr>
        <w:t>3：</w:t>
      </w:r>
      <w:r>
        <w:rPr>
          <w:color w:val="000000"/>
          <w:spacing w:val="0"/>
          <w:w w:val="100"/>
          <w:position w:val="0"/>
        </w:rPr>
        <w:t>北京柘益投资中心（有限合伙）系本公司于</w:t>
      </w:r>
      <w:r>
        <w:rPr>
          <w:color w:val="000000"/>
          <w:spacing w:val="0"/>
          <w:w w:val="100"/>
          <w:position w:val="0"/>
        </w:rPr>
        <w:t>2014</w:t>
      </w:r>
      <w:r>
        <w:rPr>
          <w:color w:val="000000"/>
          <w:spacing w:val="0"/>
          <w:w w:val="100"/>
          <w:position w:val="0"/>
        </w:rPr>
        <w:t>年参与出资设立的有限合伙企业，根据合伙协议，本公司</w:t>
      </w:r>
      <w:r>
        <w:rPr>
          <w:color w:val="000000"/>
          <w:spacing w:val="0"/>
          <w:w w:val="100"/>
          <w:position w:val="0"/>
        </w:rPr>
        <w:t>2014</w:t>
      </w:r>
      <w:r>
        <w:rPr>
          <w:color w:val="000000"/>
          <w:spacing w:val="0"/>
          <w:w w:val="100"/>
          <w:position w:val="0"/>
        </w:rPr>
        <w:t>年缴纳 出资额</w:t>
      </w:r>
      <w:r>
        <w:rPr>
          <w:color w:val="000000"/>
          <w:spacing w:val="0"/>
          <w:w w:val="100"/>
          <w:position w:val="0"/>
        </w:rPr>
        <w:t>25,000,000.0</w:t>
      </w:r>
      <w:r>
        <w:rPr>
          <w:color w:val="000000"/>
          <w:spacing w:val="0"/>
          <w:w w:val="100"/>
          <w:position w:val="0"/>
        </w:rPr>
        <w:t>0</w:t>
      </w:r>
      <w:r>
        <w:rPr>
          <w:color w:val="000000"/>
          <w:spacing w:val="0"/>
          <w:w w:val="100"/>
          <w:position w:val="0"/>
        </w:rPr>
        <w:t>元，</w:t>
      </w:r>
      <w:r>
        <w:rPr>
          <w:color w:val="000000"/>
          <w:spacing w:val="0"/>
          <w:w w:val="100"/>
          <w:position w:val="0"/>
        </w:rPr>
        <w:t>2015</w:t>
      </w:r>
      <w:r>
        <w:rPr>
          <w:color w:val="000000"/>
          <w:spacing w:val="0"/>
          <w:w w:val="100"/>
          <w:position w:val="0"/>
        </w:rPr>
        <w:t>年支付剩余出资额</w:t>
      </w:r>
      <w:r>
        <w:rPr>
          <w:color w:val="000000"/>
          <w:spacing w:val="0"/>
          <w:w w:val="100"/>
          <w:position w:val="0"/>
        </w:rPr>
        <w:t>25,000,000.00</w:t>
      </w:r>
      <w:r>
        <w:rPr>
          <w:color w:val="000000"/>
          <w:spacing w:val="0"/>
          <w:w w:val="100"/>
          <w:position w:val="0"/>
        </w:rPr>
        <w:t>元，持股比例为</w:t>
      </w:r>
      <w:r>
        <w:rPr>
          <w:color w:val="000000"/>
          <w:spacing w:val="0"/>
          <w:w w:val="100"/>
          <w:position w:val="0"/>
        </w:rPr>
        <w:t>18.52%</w:t>
      </w:r>
      <w:r>
        <w:rPr>
          <w:color w:val="000000"/>
          <w:spacing w:val="0"/>
          <w:w w:val="100"/>
          <w:position w:val="0"/>
        </w:rPr>
        <w:t>。本公司为该合伙企业非执行事务的 有限合伙人，根据合伙协议，执行事务合伙人对合伙事务享有全部管理权和支配权，其他合伙人不再执行合伙企业事务，本 公司持股比例为</w:t>
      </w:r>
      <w:r>
        <w:rPr>
          <w:color w:val="000000"/>
          <w:spacing w:val="0"/>
          <w:w w:val="100"/>
          <w:position w:val="0"/>
        </w:rPr>
        <w:t>18.52%，</w:t>
      </w:r>
      <w:r>
        <w:rPr>
          <w:color w:val="000000"/>
          <w:spacing w:val="0"/>
          <w:w w:val="100"/>
          <w:position w:val="0"/>
        </w:rPr>
        <w:t>无重大影响。</w:t>
      </w:r>
      <w:r>
        <w:rPr>
          <w:color w:val="000000"/>
          <w:spacing w:val="0"/>
          <w:w w:val="100"/>
          <w:position w:val="0"/>
        </w:rPr>
        <w:t>2015</w:t>
      </w:r>
      <w:r>
        <w:rPr>
          <w:color w:val="000000"/>
          <w:spacing w:val="0"/>
          <w:w w:val="100"/>
          <w:position w:val="0"/>
        </w:rPr>
        <w:t>年收回投资本金</w:t>
      </w:r>
      <w:r>
        <w:rPr>
          <w:color w:val="000000"/>
          <w:spacing w:val="0"/>
          <w:w w:val="100"/>
          <w:position w:val="0"/>
        </w:rPr>
        <w:t xml:space="preserve">17,100, </w:t>
      </w:r>
      <w:r>
        <w:rPr>
          <w:color w:val="000000"/>
          <w:spacing w:val="0"/>
          <w:w w:val="100"/>
          <w:position w:val="0"/>
        </w:rPr>
        <w:t xml:space="preserve">555. </w:t>
      </w:r>
      <w:r>
        <w:rPr>
          <w:color w:val="000000"/>
          <w:spacing w:val="0"/>
          <w:w w:val="100"/>
          <w:position w:val="0"/>
        </w:rPr>
        <w:t>55</w:t>
      </w:r>
      <w:r>
        <w:rPr>
          <w:color w:val="000000"/>
          <w:spacing w:val="0"/>
          <w:w w:val="100"/>
          <w:position w:val="0"/>
        </w:rPr>
        <w:t>元，</w:t>
      </w:r>
      <w:r>
        <w:rPr>
          <w:color w:val="000000"/>
          <w:spacing w:val="0"/>
          <w:w w:val="100"/>
          <w:position w:val="0"/>
        </w:rPr>
        <w:t>2016</w:t>
      </w:r>
      <w:r>
        <w:rPr>
          <w:color w:val="000000"/>
          <w:spacing w:val="0"/>
          <w:w w:val="100"/>
          <w:position w:val="0"/>
        </w:rPr>
        <w:t>年收回投资本金</w:t>
      </w:r>
      <w:r>
        <w:rPr>
          <w:color w:val="000000"/>
          <w:spacing w:val="0"/>
          <w:w w:val="100"/>
          <w:position w:val="0"/>
        </w:rPr>
        <w:t xml:space="preserve">7, </w:t>
      </w:r>
      <w:r>
        <w:rPr>
          <w:color w:val="000000"/>
          <w:spacing w:val="0"/>
          <w:w w:val="100"/>
          <w:position w:val="0"/>
        </w:rPr>
        <w:t xml:space="preserve">378,314. </w:t>
      </w:r>
      <w:r>
        <w:rPr>
          <w:color w:val="000000"/>
          <w:spacing w:val="0"/>
          <w:w w:val="100"/>
          <w:position w:val="0"/>
        </w:rPr>
        <w:t>09</w:t>
      </w:r>
      <w:r>
        <w:rPr>
          <w:color w:val="000000"/>
          <w:spacing w:val="0"/>
          <w:w w:val="100"/>
          <w:position w:val="0"/>
        </w:rPr>
        <w:t>元，</w:t>
      </w:r>
      <w:r>
        <w:rPr>
          <w:color w:val="000000"/>
          <w:spacing w:val="0"/>
          <w:w w:val="100"/>
          <w:position w:val="0"/>
        </w:rPr>
        <w:t xml:space="preserve">2017 </w:t>
      </w:r>
      <w:r>
        <w:rPr>
          <w:color w:val="000000"/>
          <w:spacing w:val="0"/>
          <w:w w:val="100"/>
          <w:position w:val="0"/>
        </w:rPr>
        <w:t>年收回投资本金</w:t>
      </w:r>
      <w:r>
        <w:rPr>
          <w:color w:val="000000"/>
          <w:spacing w:val="0"/>
          <w:w w:val="100"/>
          <w:position w:val="0"/>
        </w:rPr>
        <w:t xml:space="preserve">3, 708, </w:t>
      </w:r>
      <w:r>
        <w:rPr>
          <w:color w:val="000000"/>
          <w:spacing w:val="0"/>
          <w:w w:val="100"/>
          <w:position w:val="0"/>
        </w:rPr>
        <w:t xml:space="preserve">933. </w:t>
      </w:r>
      <w:r>
        <w:rPr>
          <w:color w:val="000000"/>
          <w:spacing w:val="0"/>
          <w:w w:val="100"/>
          <w:position w:val="0"/>
        </w:rPr>
        <w:t>04</w:t>
      </w:r>
      <w:r>
        <w:rPr>
          <w:color w:val="000000"/>
          <w:spacing w:val="0"/>
          <w:w w:val="100"/>
          <w:position w:val="0"/>
        </w:rPr>
        <w:t>元，</w:t>
      </w:r>
      <w:r>
        <w:rPr>
          <w:color w:val="000000"/>
          <w:spacing w:val="0"/>
          <w:w w:val="100"/>
          <w:position w:val="0"/>
        </w:rPr>
        <w:t>2020</w:t>
      </w:r>
      <w:r>
        <w:rPr>
          <w:color w:val="000000"/>
          <w:spacing w:val="0"/>
          <w:w w:val="100"/>
          <w:position w:val="0"/>
        </w:rPr>
        <w:t>年收回投资本金</w:t>
      </w:r>
      <w:r>
        <w:rPr>
          <w:color w:val="000000"/>
          <w:spacing w:val="0"/>
          <w:w w:val="100"/>
          <w:position w:val="0"/>
        </w:rPr>
        <w:t xml:space="preserve">1, 851, </w:t>
      </w:r>
      <w:r>
        <w:rPr>
          <w:color w:val="000000"/>
          <w:spacing w:val="0"/>
          <w:w w:val="100"/>
          <w:position w:val="0"/>
        </w:rPr>
        <w:t xml:space="preserve">851. </w:t>
      </w:r>
      <w:r>
        <w:rPr>
          <w:color w:val="000000"/>
          <w:spacing w:val="0"/>
          <w:w w:val="100"/>
          <w:position w:val="0"/>
        </w:rPr>
        <w:t>85</w:t>
      </w:r>
      <w:r>
        <w:rPr>
          <w:color w:val="000000"/>
          <w:spacing w:val="0"/>
          <w:w w:val="100"/>
          <w:position w:val="0"/>
        </w:rPr>
        <w:t>元，本年收回投资本金</w:t>
      </w: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r>
        <w:rPr>
          <w:color w:val="000000"/>
          <w:spacing w:val="0"/>
          <w:w w:val="100"/>
          <w:position w:val="0"/>
        </w:rPr>
        <w:t>元，本年公允价 值变动金额为</w:t>
      </w:r>
      <w:r>
        <w:rPr>
          <w:color w:val="000000"/>
          <w:spacing w:val="0"/>
          <w:w w:val="100"/>
          <w:position w:val="0"/>
        </w:rPr>
        <w:t>3,131,780.00</w:t>
      </w:r>
      <w:r>
        <w:rPr>
          <w:color w:val="000000"/>
          <w:spacing w:val="0"/>
          <w:w w:val="100"/>
          <w:position w:val="0"/>
        </w:rPr>
        <w:t>元。</w:t>
      </w:r>
    </w:p>
    <w:p>
      <w:pPr>
        <w:pStyle w:val="Style13"/>
        <w:keepNext w:val="0"/>
        <w:keepLines w:val="0"/>
        <w:widowControl w:val="0"/>
        <w:shd w:val="clear" w:color="auto" w:fill="auto"/>
        <w:bidi w:val="0"/>
        <w:spacing w:before="0" w:after="0" w:line="234" w:lineRule="exact"/>
        <w:ind w:left="0" w:right="0" w:firstLine="0"/>
        <w:jc w:val="both"/>
      </w:pPr>
      <w:r>
        <w:rPr>
          <w:color w:val="000000"/>
          <w:spacing w:val="0"/>
          <w:w w:val="100"/>
          <w:position w:val="0"/>
        </w:rPr>
        <w:t>注</w:t>
      </w:r>
      <w:r>
        <w:rPr>
          <w:color w:val="000000"/>
          <w:spacing w:val="0"/>
          <w:w w:val="100"/>
          <w:position w:val="0"/>
        </w:rPr>
        <w:t>4：</w:t>
      </w:r>
      <w:r>
        <w:rPr>
          <w:color w:val="000000"/>
          <w:spacing w:val="0"/>
          <w:w w:val="100"/>
          <w:position w:val="0"/>
        </w:rPr>
        <w:t>天津神州数码信息科技服务有限公司系本公司之子公司神州数码系统集成服务有限公司在</w:t>
      </w: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月设立的全资子公 司，同年</w:t>
      </w:r>
      <w:r>
        <w:rPr>
          <w:color w:val="000000"/>
          <w:spacing w:val="0"/>
          <w:w w:val="100"/>
          <w:position w:val="0"/>
        </w:rPr>
        <w:t>12</w:t>
      </w:r>
      <w:r>
        <w:rPr>
          <w:color w:val="000000"/>
          <w:spacing w:val="0"/>
          <w:w w:val="100"/>
          <w:position w:val="0"/>
        </w:rPr>
        <w:t>月，将其持有的</w:t>
      </w:r>
      <w:r>
        <w:rPr>
          <w:color w:val="000000"/>
          <w:spacing w:val="0"/>
          <w:w w:val="100"/>
          <w:position w:val="0"/>
        </w:rPr>
        <w:t xml:space="preserve">90. </w:t>
      </w:r>
      <w:r>
        <w:rPr>
          <w:color w:val="000000"/>
          <w:spacing w:val="0"/>
          <w:w w:val="100"/>
          <w:position w:val="0"/>
        </w:rPr>
        <w:t>00%</w:t>
      </w:r>
      <w:r>
        <w:rPr>
          <w:color w:val="000000"/>
          <w:spacing w:val="0"/>
          <w:w w:val="100"/>
          <w:position w:val="0"/>
        </w:rPr>
        <w:t>股权进行了处置，截止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日持股比例</w:t>
      </w:r>
      <w:r>
        <w:rPr>
          <w:color w:val="000000"/>
          <w:spacing w:val="0"/>
          <w:w w:val="100"/>
          <w:position w:val="0"/>
        </w:rPr>
        <w:t>10.00%</w:t>
      </w:r>
      <w:r>
        <w:rPr>
          <w:color w:val="000000"/>
          <w:spacing w:val="0"/>
          <w:w w:val="100"/>
          <w:position w:val="0"/>
        </w:rPr>
        <w:t>。</w:t>
      </w:r>
    </w:p>
    <w:p>
      <w:pPr>
        <w:pStyle w:val="Style13"/>
        <w:keepNext w:val="0"/>
        <w:keepLines w:val="0"/>
        <w:widowControl w:val="0"/>
        <w:shd w:val="clear" w:color="auto" w:fill="auto"/>
        <w:bidi w:val="0"/>
        <w:spacing w:before="0" w:after="260" w:line="234" w:lineRule="exact"/>
        <w:ind w:left="0" w:right="0" w:firstLine="0"/>
        <w:jc w:val="both"/>
      </w:pPr>
      <w:r>
        <w:rPr>
          <w:color w:val="000000"/>
          <w:spacing w:val="0"/>
          <w:w w:val="100"/>
          <w:position w:val="0"/>
        </w:rPr>
        <w:t>注</w:t>
      </w:r>
      <w:r>
        <w:rPr>
          <w:color w:val="000000"/>
          <w:spacing w:val="0"/>
          <w:w w:val="100"/>
          <w:position w:val="0"/>
        </w:rPr>
        <w:t>5：</w:t>
      </w:r>
      <w:r>
        <w:rPr>
          <w:color w:val="000000"/>
          <w:spacing w:val="0"/>
          <w:w w:val="100"/>
          <w:position w:val="0"/>
        </w:rPr>
        <w:t>北京聚源汇鑫科技发展中心（有限合伙）系本公司之子公司神州数码系统集成服务有限公司于</w:t>
      </w:r>
      <w:r>
        <w:rPr>
          <w:color w:val="000000"/>
          <w:spacing w:val="0"/>
          <w:w w:val="100"/>
          <w:position w:val="0"/>
        </w:rPr>
        <w:t>2018</w:t>
      </w:r>
      <w:r>
        <w:rPr>
          <w:color w:val="000000"/>
          <w:spacing w:val="0"/>
          <w:w w:val="100"/>
          <w:position w:val="0"/>
        </w:rPr>
        <w:t>年度参与出资设立 的有限合伙企业，本公司</w:t>
      </w:r>
      <w:r>
        <w:rPr>
          <w:color w:val="000000"/>
          <w:spacing w:val="0"/>
          <w:w w:val="100"/>
          <w:position w:val="0"/>
        </w:rPr>
        <w:t>2018</w:t>
      </w:r>
      <w:r>
        <w:rPr>
          <w:color w:val="000000"/>
          <w:spacing w:val="0"/>
          <w:w w:val="100"/>
          <w:position w:val="0"/>
        </w:rPr>
        <w:t>年缴纳出资额</w:t>
      </w:r>
      <w:r>
        <w:rPr>
          <w:color w:val="000000"/>
          <w:spacing w:val="0"/>
          <w:w w:val="100"/>
          <w:position w:val="0"/>
        </w:rPr>
        <w:t xml:space="preserve">500, </w:t>
      </w:r>
      <w:r>
        <w:rPr>
          <w:color w:val="000000"/>
          <w:spacing w:val="0"/>
          <w:w w:val="100"/>
          <w:position w:val="0"/>
        </w:rPr>
        <w:t>000.00</w:t>
      </w:r>
      <w:r>
        <w:rPr>
          <w:color w:val="000000"/>
          <w:spacing w:val="0"/>
          <w:w w:val="100"/>
          <w:position w:val="0"/>
        </w:rPr>
        <w:t>元，持股比例为</w:t>
      </w:r>
      <w:r>
        <w:rPr>
          <w:color w:val="000000"/>
          <w:spacing w:val="0"/>
          <w:w w:val="100"/>
          <w:position w:val="0"/>
        </w:rPr>
        <w:t>6.25%，</w:t>
      </w:r>
      <w:r>
        <w:rPr>
          <w:color w:val="000000"/>
          <w:spacing w:val="0"/>
          <w:w w:val="100"/>
          <w:position w:val="0"/>
        </w:rPr>
        <w:t>根据合伙协议，全体合伙人委托合伙人北京 金誉世邦咨询顾问有限公司为执行事务合伙人，其他合伙人不再执行合伙企业事务，本公司对其无重大影响。</w:t>
      </w:r>
      <w:r>
        <w:br w:type="page"/>
      </w:r>
    </w:p>
    <w:p>
      <w:pPr>
        <w:pStyle w:val="Style29"/>
        <w:keepNext/>
        <w:keepLines/>
        <w:widowControl w:val="0"/>
        <w:shd w:val="clear" w:color="auto" w:fill="auto"/>
        <w:bidi w:val="0"/>
        <w:spacing w:before="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100"/>
      <w:bookmarkEnd w:id="1101"/>
      <w:bookmarkEnd w:id="1103"/>
    </w:p>
    <w:p>
      <w:pPr>
        <w:pStyle w:val="Style37"/>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04"/>
      <w:bookmarkEnd w:id="1105"/>
      <w:bookmarkEnd w:id="1107"/>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16,508,919.88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16,508,919.88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16,508,919.88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16,508,919.88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2,878,742.89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2,878,742.89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3,250,193.57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3,250,193.57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13,258,726.31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13,258,726.31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13,630,176.99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13,630,176.99</w:t>
            </w:r>
          </w:p>
        </w:tc>
      </w:tr>
    </w:tbl>
    <w:p>
      <w:pPr>
        <w:pStyle w:val="Style27"/>
        <w:keepNext w:val="0"/>
        <w:keepLines w:val="0"/>
        <w:widowControl w:val="0"/>
        <w:shd w:val="clear" w:color="auto" w:fill="auto"/>
        <w:bidi w:val="0"/>
        <w:spacing w:before="0" w:after="0" w:line="298" w:lineRule="exact"/>
        <w:ind w:left="0" w:right="0" w:firstLine="0"/>
        <w:jc w:val="distribute"/>
      </w:pPr>
      <w:r>
        <w:rPr>
          <w:color w:val="000000"/>
          <w:spacing w:val="0"/>
          <w:w w:val="100"/>
          <w:position w:val="0"/>
        </w:rPr>
        <w:t>注:年末投资性房地产为本公司之子公司神州数码系统集成服务有限公司向神州数码融信云技术服务有限公司出租的办公房 屋，房屋租赁合同起止日期为</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日，租赁期限为</w:t>
      </w:r>
      <w:r>
        <w:rPr>
          <w:color w:val="000000"/>
          <w:spacing w:val="0"/>
          <w:w w:val="100"/>
          <w:position w:val="0"/>
        </w:rPr>
        <w:t>8</w:t>
      </w:r>
      <w:r>
        <w:rPr>
          <w:color w:val="000000"/>
          <w:spacing w:val="0"/>
          <w:w w:val="100"/>
          <w:position w:val="0"/>
        </w:rPr>
        <w:t>年。投资性房地产采用成本计量模式。</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08"/>
      <w:bookmarkEnd w:id="1109"/>
      <w:bookmarkEnd w:id="1111"/>
    </w:p>
    <w:p>
      <w:pPr>
        <w:pStyle w:val="Style13"/>
        <w:keepNext w:val="0"/>
        <w:keepLines w:val="0"/>
        <w:widowControl w:val="0"/>
        <w:shd w:val="clear" w:color="auto" w:fill="auto"/>
        <w:bidi w:val="0"/>
        <w:spacing w:before="0" w:after="360" w:line="34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bookmarkEnd w:id="1114"/>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112"/>
      <w:bookmarkEnd w:id="1113"/>
      <w:bookmarkEnd w:id="1115"/>
    </w:p>
    <w:p>
      <w:pPr>
        <w:pStyle w:val="Style37"/>
        <w:keepNext/>
        <w:keepLines/>
        <w:widowControl w:val="0"/>
        <w:shd w:val="clear" w:color="auto" w:fill="auto"/>
        <w:bidi w:val="0"/>
        <w:spacing w:before="0" w:after="36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16"/>
      <w:bookmarkEnd w:id="1117"/>
      <w:bookmarkEnd w:id="1119"/>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429,081,394.11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138,033,668.28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3,247,611.98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99,519,263.07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669,881,937.44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7,987,725.29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2,220,604.50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10,208,329.79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7,987,725.29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2,222,401.77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10,210,127.06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4,436,574.40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242,034.76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6,931,806.55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11,610,415.71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4,436,574.40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242,034.76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6,931,806.55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11,610,415.71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429,081,394.11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141,584,819.17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3,005,577.22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94,808,061.02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668,479,851.52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43,692,792.08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108,131,143.49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3,077,230.28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57,852,213.58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212,753,379.43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9,702,398.46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27,354,329.99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84,224.65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11,064,996.57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48,205,949.67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9,702,398.46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27,354,329.99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84,224.65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11,066,969.64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48,207,922.74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175,314.83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302,731.34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360,166.82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6,294,107.47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7,132,320.46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175,314.83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302,731.34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360,166.82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6,294,107.47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7,132,320.46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53,219,875.71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135,182,742.14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2,801,288.11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62,623,102.68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253,827,008.64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3,315,800.29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754,844.05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4,070,644.34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3,256,427.42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754,844.05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4,011,271.47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3,256,427.42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754,844.05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4,011,271.47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59,372.87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59,372.87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375,861,518.40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6,342,704.16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204,289.11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32,184,958.34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414,593,470.01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385,388,602.03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26,586,724.50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170,381.70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40,912,205.44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453,057,913.67</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120"/>
      <w:bookmarkEnd w:id="1121"/>
      <w:bookmarkEnd w:id="11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27,315,839.14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27,315,839.14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89,501,709.01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89,501,709.01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）新增租赁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89,501,709.01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89,501,709.01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116,817,548.15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116,817,548.15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25,137,833.37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25,137,833.37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25,137,833.37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25,137,833.37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25,137,833.37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25,137,833.37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91,679,714.78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91,679,714.78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27,315,839.14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27,315,839.14</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124"/>
      <w:bookmarkEnd w:id="1125"/>
      <w:bookmarkEnd w:id="1127"/>
    </w:p>
    <w:p>
      <w:pPr>
        <w:pStyle w:val="Style37"/>
        <w:keepNext/>
        <w:keepLines/>
        <w:widowControl w:val="0"/>
        <w:shd w:val="clear" w:color="auto" w:fill="auto"/>
        <w:bidi w:val="0"/>
        <w:spacing w:before="0" w:after="360" w:line="240" w:lineRule="auto"/>
        <w:ind w:left="0" w:right="0" w:firstLine="0"/>
        <w:jc w:val="left"/>
      </w:pPr>
      <w:bookmarkStart w:id="1128" w:name="bookmark1128"/>
      <w:bookmarkStart w:id="1129" w:name="bookmark1129"/>
      <w:bookmarkStart w:id="1130" w:name="bookmark11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28"/>
      <w:bookmarkEnd w:id="1129"/>
      <w:bookmarkEnd w:id="1130"/>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891"/>
        <w:gridCol w:w="1536"/>
        <w:gridCol w:w="1536"/>
        <w:gridCol w:w="1536"/>
        <w:gridCol w:w="1536"/>
        <w:gridCol w:w="154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30,642,364.41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5,085,406.95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263,214,482.92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299,642,254.28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337,692.14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52,780,897.23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53,118,589.37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337,692.14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12,299,179.88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12,636,872.02</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40,481,717.35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40,481,717.35</w:t>
            </w:r>
          </w:p>
        </w:tc>
      </w:tr>
    </w:tbl>
    <w:p>
      <w:pPr>
        <w:spacing w:lineRule="exact" w:line="1"/>
        <w:rPr>
          <w:sz w:val="2"/>
          <w:szCs w:val="2"/>
        </w:rPr>
      </w:pPr>
      <w:r>
        <w:br w:type="page"/>
      </w:r>
    </w:p>
    <w:tbl>
      <w:tblPr>
        <w:tblOverlap w:val="never"/>
        <w:jc w:val="center"/>
        <w:tblLayout w:type="fixed"/>
      </w:tblPr>
      <w:tblGrid>
        <w:gridCol w:w="1891"/>
        <w:gridCol w:w="1536"/>
        <w:gridCol w:w="1536"/>
        <w:gridCol w:w="1536"/>
        <w:gridCol w:w="1536"/>
        <w:gridCol w:w="154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16,188,325.51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16,188,325.51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16,163,573.01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16,163,573.01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24,752.50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24,752.50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30,642,364.41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5,423,099.09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299,807,054.64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336,572,518.14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3,069,621.81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765,423.66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441,016.69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163,739,562.10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168,015,624.26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646,236.17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163,964.49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37,596,534.59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38,441,735.25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646,236.17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163,964.49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37,596,534.59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38,441,735.25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16,163,572.87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16,163,572.87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16,163,572.87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16,163,572.87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3,715,857.98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929,388.15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476,016.69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185,172,523.82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190,293,786.64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65,933.34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67,239.61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65,933.34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67,239.61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26,926,506.43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4,492,404.67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223,983.31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114,568,597.48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146,211,491.89</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27,572,742.60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4,318,677.02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258,983.31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99,408,987.48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131,559,390.41</w:t>
            </w:r>
          </w:p>
        </w:tc>
      </w:tr>
    </w:tbl>
    <w:p>
      <w:pPr>
        <w:widowControl w:val="0"/>
        <w:spacing w:after="79" w:line="1" w:lineRule="exact"/>
      </w:pPr>
    </w:p>
    <w:p>
      <w:pPr>
        <w:pStyle w:val="Style13"/>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43.26%</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131"/>
      <w:bookmarkEnd w:id="1132"/>
      <w:bookmarkEnd w:id="1134"/>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82"/>
        <w:gridCol w:w="1277"/>
        <w:gridCol w:w="1560"/>
        <w:gridCol w:w="1560"/>
        <w:gridCol w:w="1416"/>
        <w:gridCol w:w="1277"/>
        <w:gridCol w:w="120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金融科技领域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38,441,116.25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49,592,419.75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40,481,717.35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47,551,818.65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38,441,116.25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49,592,419.75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40,481,717.35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47,551,818.65</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135"/>
      <w:bookmarkEnd w:id="1136"/>
      <w:bookmarkEnd w:id="1138"/>
    </w:p>
    <w:p>
      <w:pPr>
        <w:pStyle w:val="Style37"/>
        <w:keepNext/>
        <w:keepLines/>
        <w:widowControl w:val="0"/>
        <w:shd w:val="clear" w:color="auto" w:fill="auto"/>
        <w:bidi w:val="0"/>
        <w:spacing w:before="0" w:after="380" w:line="240" w:lineRule="auto"/>
        <w:ind w:left="0" w:right="0" w:firstLine="0"/>
        <w:jc w:val="both"/>
      </w:pPr>
      <w:bookmarkStart w:id="1139" w:name="bookmark1139"/>
      <w:bookmarkStart w:id="1140" w:name="bookmark1140"/>
      <w:bookmarkStart w:id="1141" w:name="bookmark11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39"/>
      <w:bookmarkEnd w:id="1140"/>
      <w:bookmarkEnd w:id="1141"/>
    </w:p>
    <w:p>
      <w:pPr>
        <w:pStyle w:val="Style13"/>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131"/>
        <w:gridCol w:w="1560"/>
        <w:gridCol w:w="1843"/>
        <w:gridCol w:w="1843"/>
        <w:gridCol w:w="2414"/>
      </w:tblGrid>
      <w:tr>
        <w:trPr>
          <w:trHeight w:val="79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被投资单位名称或形成商 誉的事项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神州数码金信科技股份有 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193,671,128.85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193,671,128.85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646,012,991.72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646,012,991.72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北京旗硕基业科技股份有 限公司（注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19,823,884.02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19,823,884.02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华苏科技（注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872,376,988.38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872,376,988.38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西安远景信息技术有限公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5,918,679.91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5,918,679.91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神州土地（北京）信息技术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59,673,000.70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59,673,000.70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北京云核网络技术有限公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20,833,213.26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20,833,213.26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1,818,309,886.84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1,818,309,886.84</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42"/>
      <w:bookmarkEnd w:id="1143"/>
      <w:bookmarkEnd w:id="11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560"/>
        <w:gridCol w:w="1843"/>
        <w:gridCol w:w="1843"/>
        <w:gridCol w:w="2414"/>
      </w:tblGrid>
      <w:tr>
        <w:trPr>
          <w:trHeight w:val="79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 誉的事项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神州数码金信科技股份有 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193,671,128.85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193,671,128.85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119,441,363.36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119,441,363.36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313,112,492.21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313,112,492.21</w:t>
            </w:r>
          </w:p>
        </w:tc>
      </w:tr>
    </w:tbl>
    <w:p>
      <w:pPr>
        <w:pStyle w:val="Style13"/>
        <w:keepNext w:val="0"/>
        <w:keepLines w:val="0"/>
        <w:widowControl w:val="0"/>
        <w:shd w:val="clear" w:color="auto" w:fill="auto"/>
        <w:bidi w:val="0"/>
        <w:spacing w:before="0" w:after="0" w:line="311" w:lineRule="exact"/>
        <w:ind w:left="0" w:right="0"/>
        <w:jc w:val="both"/>
      </w:pPr>
      <w:r>
        <w:rPr>
          <w:color w:val="000000"/>
          <w:spacing w:val="0"/>
          <w:w w:val="100"/>
          <w:position w:val="0"/>
        </w:rPr>
        <w:t>注</w:t>
      </w:r>
      <w:r>
        <w:rPr>
          <w:color w:val="000000"/>
          <w:spacing w:val="0"/>
          <w:w w:val="100"/>
          <w:position w:val="0"/>
        </w:rPr>
        <w:t>1：</w:t>
      </w:r>
      <w:r>
        <w:rPr>
          <w:color w:val="000000"/>
          <w:spacing w:val="0"/>
          <w:w w:val="100"/>
          <w:position w:val="0"/>
        </w:rPr>
        <w:t>该商誉为神州数码融信软件有限公司于</w:t>
      </w:r>
      <w:r>
        <w:rPr>
          <w:color w:val="000000"/>
          <w:spacing w:val="0"/>
          <w:w w:val="100"/>
          <w:position w:val="0"/>
        </w:rPr>
        <w:t>2010</w:t>
      </w:r>
      <w:r>
        <w:rPr>
          <w:color w:val="000000"/>
          <w:spacing w:val="0"/>
          <w:w w:val="100"/>
          <w:position w:val="0"/>
        </w:rPr>
        <w:t>年非同一控制收购神州数码金信科技股份有限公司股权产生，合并对 价</w:t>
      </w:r>
      <w:r>
        <w:rPr>
          <w:color w:val="000000"/>
          <w:spacing w:val="0"/>
          <w:w w:val="100"/>
          <w:position w:val="0"/>
        </w:rPr>
        <w:t xml:space="preserve">308, 980, </w:t>
      </w:r>
      <w:r>
        <w:rPr>
          <w:color w:val="000000"/>
          <w:spacing w:val="0"/>
          <w:w w:val="100"/>
          <w:position w:val="0"/>
        </w:rPr>
        <w:t>000.00</w:t>
      </w:r>
      <w:r>
        <w:rPr>
          <w:color w:val="000000"/>
          <w:spacing w:val="0"/>
          <w:w w:val="100"/>
          <w:position w:val="0"/>
        </w:rPr>
        <w:t>元，合并日神州数码融信软件有限公司应享有的被购买方可辨认净资产公允价值为</w:t>
      </w:r>
      <w:r>
        <w:rPr>
          <w:color w:val="000000"/>
          <w:spacing w:val="0"/>
          <w:w w:val="100"/>
          <w:position w:val="0"/>
        </w:rPr>
        <w:t xml:space="preserve">115,308,871. </w:t>
      </w:r>
      <w:r>
        <w:rPr>
          <w:color w:val="000000"/>
          <w:spacing w:val="0"/>
          <w:w w:val="100"/>
          <w:position w:val="0"/>
        </w:rPr>
        <w:t>15</w:t>
      </w:r>
      <w:r>
        <w:rPr>
          <w:color w:val="000000"/>
          <w:spacing w:val="0"/>
          <w:w w:val="100"/>
          <w:position w:val="0"/>
        </w:rPr>
        <w:t>元，差 额</w:t>
      </w:r>
      <w:r>
        <w:rPr>
          <w:color w:val="000000"/>
          <w:spacing w:val="0"/>
          <w:w w:val="100"/>
          <w:position w:val="0"/>
        </w:rPr>
        <w:t xml:space="preserve">193, </w:t>
      </w:r>
      <w:r>
        <w:rPr>
          <w:color w:val="000000"/>
          <w:spacing w:val="0"/>
          <w:w w:val="100"/>
          <w:position w:val="0"/>
        </w:rPr>
        <w:t>671,128.85</w:t>
      </w:r>
      <w:r>
        <w:rPr>
          <w:color w:val="000000"/>
          <w:spacing w:val="0"/>
          <w:w w:val="100"/>
          <w:position w:val="0"/>
        </w:rPr>
        <w:t>元计入商誉。</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w:t>
      </w:r>
      <w:r>
        <w:rPr>
          <w:color w:val="000000"/>
          <w:spacing w:val="0"/>
          <w:w w:val="100"/>
          <w:position w:val="0"/>
        </w:rPr>
        <w:t>神州信息之子公司神州数码系统集成服务有限公司与神州数码融信软件有限公 司签订股权转让协议，以</w:t>
      </w:r>
      <w:r>
        <w:rPr>
          <w:color w:val="000000"/>
          <w:spacing w:val="0"/>
          <w:w w:val="100"/>
          <w:position w:val="0"/>
        </w:rPr>
        <w:t xml:space="preserve">308, 980, </w:t>
      </w:r>
      <w:r>
        <w:rPr>
          <w:color w:val="000000"/>
          <w:spacing w:val="0"/>
          <w:w w:val="100"/>
          <w:position w:val="0"/>
        </w:rPr>
        <w:t xml:space="preserve">000. </w:t>
      </w:r>
      <w:r>
        <w:rPr>
          <w:color w:val="000000"/>
          <w:spacing w:val="0"/>
          <w:w w:val="100"/>
          <w:position w:val="0"/>
        </w:rPr>
        <w:t>00</w:t>
      </w:r>
      <w:r>
        <w:rPr>
          <w:color w:val="000000"/>
          <w:spacing w:val="0"/>
          <w:w w:val="100"/>
          <w:position w:val="0"/>
        </w:rPr>
        <w:t>元的对价购买神州数码金信科技股份有限公司的全部股权。</w:t>
      </w:r>
    </w:p>
    <w:p>
      <w:pPr>
        <w:pStyle w:val="Style13"/>
        <w:keepNext w:val="0"/>
        <w:keepLines w:val="0"/>
        <w:widowControl w:val="0"/>
        <w:shd w:val="clear" w:color="auto" w:fill="auto"/>
        <w:bidi w:val="0"/>
        <w:spacing w:before="0" w:after="0" w:line="311" w:lineRule="exact"/>
        <w:ind w:left="0" w:right="0"/>
        <w:jc w:val="both"/>
      </w:pPr>
      <w:r>
        <w:rPr>
          <w:color w:val="000000"/>
          <w:spacing w:val="0"/>
          <w:w w:val="100"/>
          <w:position w:val="0"/>
        </w:rPr>
        <w:t>神州数码金信科技股份有限公司以</w:t>
      </w:r>
      <w:r>
        <w:rPr>
          <w:color w:val="000000"/>
          <w:spacing w:val="0"/>
          <w:w w:val="100"/>
          <w:position w:val="0"/>
        </w:rPr>
        <w:t>ATM</w:t>
      </w:r>
      <w:r>
        <w:rPr>
          <w:color w:val="000000"/>
          <w:spacing w:val="0"/>
          <w:w w:val="100"/>
          <w:position w:val="0"/>
        </w:rPr>
        <w:t>机销售及相关服务为主营业务，受宏观经济、行业环境、技术环境等因素影响， 在移动支付普及并广泛使用下受到较大冲击，</w:t>
      </w:r>
      <w:r>
        <w:rPr>
          <w:color w:val="000000"/>
          <w:spacing w:val="0"/>
          <w:w w:val="100"/>
          <w:position w:val="0"/>
        </w:rPr>
        <w:t>2018</w:t>
      </w:r>
      <w:r>
        <w:rPr>
          <w:color w:val="000000"/>
          <w:spacing w:val="0"/>
          <w:w w:val="100"/>
          <w:position w:val="0"/>
        </w:rPr>
        <w:t>年经营业绩亏损</w:t>
      </w:r>
      <w:r>
        <w:rPr>
          <w:color w:val="000000"/>
          <w:spacing w:val="0"/>
          <w:w w:val="100"/>
          <w:position w:val="0"/>
        </w:rPr>
        <w:t>240,027,256.89</w:t>
      </w:r>
      <w:r>
        <w:rPr>
          <w:color w:val="000000"/>
          <w:spacing w:val="0"/>
          <w:w w:val="100"/>
          <w:position w:val="0"/>
        </w:rPr>
        <w:t>元。本公司拟关闭</w:t>
      </w:r>
      <w:r>
        <w:rPr>
          <w:color w:val="000000"/>
          <w:spacing w:val="0"/>
          <w:w w:val="100"/>
          <w:position w:val="0"/>
        </w:rPr>
        <w:t>ATM</w:t>
      </w:r>
      <w:r>
        <w:rPr>
          <w:color w:val="000000"/>
          <w:spacing w:val="0"/>
          <w:w w:val="100"/>
          <w:position w:val="0"/>
        </w:rPr>
        <w:t>机相关业务，相关 资产组未来现金流现值仅为账面资产的可收回金额。故本公司于</w:t>
      </w:r>
      <w:r>
        <w:rPr>
          <w:color w:val="000000"/>
          <w:spacing w:val="0"/>
          <w:w w:val="100"/>
          <w:position w:val="0"/>
        </w:rPr>
        <w:t>2018</w:t>
      </w:r>
      <w:r>
        <w:rPr>
          <w:color w:val="000000"/>
          <w:spacing w:val="0"/>
          <w:w w:val="100"/>
          <w:position w:val="0"/>
        </w:rPr>
        <w:t>年对因收购神州数码金信科技股份有限公司产生的商誉 全额计提减值准备</w:t>
      </w:r>
      <w:r>
        <w:rPr>
          <w:color w:val="000000"/>
          <w:spacing w:val="0"/>
          <w:w w:val="100"/>
          <w:position w:val="0"/>
        </w:rPr>
        <w:t xml:space="preserve">193, 671, </w:t>
      </w:r>
      <w:r>
        <w:rPr>
          <w:color w:val="000000"/>
          <w:spacing w:val="0"/>
          <w:w w:val="100"/>
          <w:position w:val="0"/>
        </w:rPr>
        <w:t xml:space="preserve">128. </w:t>
      </w:r>
      <w:r>
        <w:rPr>
          <w:color w:val="000000"/>
          <w:spacing w:val="0"/>
          <w:w w:val="100"/>
          <w:position w:val="0"/>
        </w:rPr>
        <w:t>85</w:t>
      </w:r>
      <w:r>
        <w:rPr>
          <w:color w:val="000000"/>
          <w:spacing w:val="0"/>
          <w:w w:val="100"/>
          <w:position w:val="0"/>
        </w:rPr>
        <w:t>元。</w:t>
      </w:r>
    </w:p>
    <w:p>
      <w:pPr>
        <w:pStyle w:val="Style13"/>
        <w:keepNext w:val="0"/>
        <w:keepLines w:val="0"/>
        <w:widowControl w:val="0"/>
        <w:shd w:val="clear" w:color="auto" w:fill="auto"/>
        <w:bidi w:val="0"/>
        <w:spacing w:before="0" w:after="60" w:line="311" w:lineRule="exact"/>
        <w:ind w:left="0" w:right="0"/>
        <w:jc w:val="both"/>
      </w:pPr>
      <w:r>
        <w:rPr>
          <w:color w:val="000000"/>
          <w:spacing w:val="0"/>
          <w:w w:val="100"/>
          <w:position w:val="0"/>
        </w:rPr>
        <w:t>注</w:t>
      </w:r>
      <w:r>
        <w:rPr>
          <w:color w:val="000000"/>
          <w:spacing w:val="0"/>
          <w:w w:val="100"/>
          <w:position w:val="0"/>
        </w:rPr>
        <w:t>2：</w:t>
      </w:r>
      <w:r>
        <w:rPr>
          <w:color w:val="000000"/>
          <w:spacing w:val="0"/>
          <w:w w:val="100"/>
          <w:position w:val="0"/>
        </w:rPr>
        <w:t>该商誉为本公司于</w:t>
      </w:r>
      <w:r>
        <w:rPr>
          <w:color w:val="000000"/>
          <w:spacing w:val="0"/>
          <w:w w:val="100"/>
          <w:position w:val="0"/>
        </w:rPr>
        <w:t>2014</w:t>
      </w:r>
      <w:r>
        <w:rPr>
          <w:color w:val="000000"/>
          <w:spacing w:val="0"/>
          <w:w w:val="100"/>
          <w:position w:val="0"/>
        </w:rPr>
        <w:t>年（购买日</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日）非同一控制下收购中农信达</w:t>
      </w:r>
      <w:r>
        <w:rPr>
          <w:color w:val="000000"/>
          <w:spacing w:val="0"/>
          <w:w w:val="100"/>
          <w:position w:val="0"/>
        </w:rPr>
        <w:t>100.00%</w:t>
      </w:r>
      <w:r>
        <w:rPr>
          <w:color w:val="000000"/>
          <w:spacing w:val="0"/>
          <w:w w:val="100"/>
          <w:position w:val="0"/>
        </w:rPr>
        <w:t xml:space="preserve">股权产生，合并对价 </w:t>
      </w:r>
      <w:r>
        <w:rPr>
          <w:color w:val="000000"/>
          <w:spacing w:val="0"/>
          <w:w w:val="100"/>
          <w:position w:val="0"/>
        </w:rPr>
        <w:t xml:space="preserve">710, 000, </w:t>
      </w:r>
      <w:r>
        <w:rPr>
          <w:color w:val="000000"/>
          <w:spacing w:val="0"/>
          <w:w w:val="100"/>
          <w:position w:val="0"/>
        </w:rPr>
        <w:t xml:space="preserve">000. </w:t>
      </w:r>
      <w:r>
        <w:rPr>
          <w:color w:val="000000"/>
          <w:spacing w:val="0"/>
          <w:w w:val="100"/>
          <w:position w:val="0"/>
        </w:rPr>
        <w:t>00</w:t>
      </w:r>
      <w:r>
        <w:rPr>
          <w:color w:val="000000"/>
          <w:spacing w:val="0"/>
          <w:w w:val="100"/>
          <w:position w:val="0"/>
        </w:rPr>
        <w:t>元，合并日中农信达可辨认净资产公允价值为</w:t>
      </w:r>
      <w:r>
        <w:rPr>
          <w:color w:val="000000"/>
          <w:spacing w:val="0"/>
          <w:w w:val="100"/>
          <w:position w:val="0"/>
        </w:rPr>
        <w:t xml:space="preserve">63, 987, </w:t>
      </w:r>
      <w:r>
        <w:rPr>
          <w:color w:val="000000"/>
          <w:spacing w:val="0"/>
          <w:w w:val="100"/>
          <w:position w:val="0"/>
        </w:rPr>
        <w:t xml:space="preserve">008. </w:t>
      </w:r>
      <w:r>
        <w:rPr>
          <w:color w:val="000000"/>
          <w:spacing w:val="0"/>
          <w:w w:val="100"/>
          <w:position w:val="0"/>
        </w:rPr>
        <w:t>28</w:t>
      </w:r>
      <w:r>
        <w:rPr>
          <w:color w:val="000000"/>
          <w:spacing w:val="0"/>
          <w:w w:val="100"/>
          <w:position w:val="0"/>
        </w:rPr>
        <w:t>元，差额</w:t>
      </w:r>
      <w:r>
        <w:rPr>
          <w:color w:val="000000"/>
          <w:spacing w:val="0"/>
          <w:w w:val="100"/>
          <w:position w:val="0"/>
        </w:rPr>
        <w:t xml:space="preserve">646,012, </w:t>
      </w:r>
      <w:r>
        <w:rPr>
          <w:color w:val="000000"/>
          <w:spacing w:val="0"/>
          <w:w w:val="100"/>
          <w:position w:val="0"/>
        </w:rPr>
        <w:t>991.72</w:t>
      </w:r>
      <w:r>
        <w:rPr>
          <w:color w:val="000000"/>
          <w:spacing w:val="0"/>
          <w:w w:val="100"/>
          <w:position w:val="0"/>
        </w:rPr>
        <w:t>元计入商誉。本公 司聘请的北京中同华资产评估有限公司于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月出具了中同华评报字</w:t>
      </w:r>
      <w:r>
        <w:rPr>
          <w:color w:val="000000"/>
          <w:spacing w:val="0"/>
          <w:w w:val="100"/>
          <w:position w:val="0"/>
        </w:rPr>
        <w:t>2021</w:t>
      </w:r>
      <w:r>
        <w:rPr>
          <w:color w:val="000000"/>
          <w:spacing w:val="0"/>
          <w:w w:val="100"/>
          <w:position w:val="0"/>
        </w:rPr>
        <w:t>第</w:t>
      </w:r>
      <w:r>
        <w:rPr>
          <w:color w:val="000000"/>
          <w:spacing w:val="0"/>
          <w:w w:val="100"/>
          <w:position w:val="0"/>
        </w:rPr>
        <w:t>010240</w:t>
      </w:r>
      <w:r>
        <w:rPr>
          <w:color w:val="000000"/>
          <w:spacing w:val="0"/>
          <w:w w:val="100"/>
          <w:position w:val="0"/>
        </w:rPr>
        <w:t>号《神州数码信息服务股份有限公司 拟进行商誉减值测试涉及的因并购北京中农信达信息技术有限公司形成的与商誉相关资产组评估项目资产评估报告》。根据 上述评估报告，本公司于</w:t>
      </w:r>
      <w:r>
        <w:rPr>
          <w:color w:val="000000"/>
          <w:spacing w:val="0"/>
          <w:w w:val="100"/>
          <w:position w:val="0"/>
        </w:rPr>
        <w:t>2020</w:t>
      </w:r>
      <w:r>
        <w:rPr>
          <w:color w:val="000000"/>
          <w:spacing w:val="0"/>
          <w:w w:val="100"/>
          <w:position w:val="0"/>
        </w:rPr>
        <w:t>年计提商誉减值准备</w:t>
      </w:r>
      <w:r>
        <w:rPr>
          <w:color w:val="000000"/>
          <w:spacing w:val="0"/>
          <w:w w:val="100"/>
          <w:position w:val="0"/>
        </w:rPr>
        <w:t xml:space="preserve">119, 441, </w:t>
      </w:r>
      <w:r>
        <w:rPr>
          <w:color w:val="000000"/>
          <w:spacing w:val="0"/>
          <w:w w:val="100"/>
          <w:position w:val="0"/>
        </w:rPr>
        <w:t xml:space="preserve">363. </w:t>
      </w:r>
      <w:r>
        <w:rPr>
          <w:color w:val="000000"/>
          <w:spacing w:val="0"/>
          <w:w w:val="100"/>
          <w:position w:val="0"/>
        </w:rPr>
        <w:t>36</w:t>
      </w:r>
      <w:r>
        <w:rPr>
          <w:color w:val="000000"/>
          <w:spacing w:val="0"/>
          <w:w w:val="100"/>
          <w:position w:val="0"/>
        </w:rPr>
        <w:t>元。</w:t>
      </w:r>
    </w:p>
    <w:p>
      <w:pPr>
        <w:pStyle w:val="Style1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本年末本公司管理层对因收购中农信达产生的商誉进行减值测试，考虑中农信达主营业务明确并且单一，同时其主营业务或 产品直接与市场衔接，由市场定价，符合资产组的相关要件，同时企业内不再存在其他与中农信达相同条件的经营业务，因 </w:t>
      </w:r>
      <w:r>
        <w:rPr>
          <w:color w:val="000000"/>
          <w:spacing w:val="0"/>
          <w:w w:val="100"/>
          <w:position w:val="0"/>
        </w:rPr>
        <w:t>此将中农信达认定为一个资产组，并以该资产组为基础进行商誉的减值测试。本公司采用收益法对</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 组未来预计产生的现金流量现值进行估算，依据中农信达管理层制定的未来</w:t>
      </w:r>
      <w:r>
        <w:rPr>
          <w:color w:val="000000"/>
          <w:spacing w:val="0"/>
          <w:w w:val="100"/>
          <w:position w:val="0"/>
        </w:rPr>
        <w:t>5</w:t>
      </w:r>
      <w:r>
        <w:rPr>
          <w:color w:val="000000"/>
          <w:spacing w:val="0"/>
          <w:w w:val="100"/>
          <w:position w:val="0"/>
        </w:rPr>
        <w:t>年财务预算及</w:t>
      </w:r>
      <w:r>
        <w:rPr>
          <w:color w:val="000000"/>
          <w:spacing w:val="0"/>
          <w:w w:val="100"/>
          <w:position w:val="0"/>
        </w:rPr>
        <w:t xml:space="preserve">12. </w:t>
      </w:r>
      <w:r>
        <w:rPr>
          <w:color w:val="000000"/>
          <w:spacing w:val="0"/>
          <w:w w:val="100"/>
          <w:position w:val="0"/>
        </w:rPr>
        <w:t>12%</w:t>
      </w:r>
      <w:r>
        <w:rPr>
          <w:color w:val="000000"/>
          <w:spacing w:val="0"/>
          <w:w w:val="100"/>
          <w:position w:val="0"/>
        </w:rPr>
        <w:t>税前折现率预计未来现 金流量现值，超过</w:t>
      </w:r>
      <w:r>
        <w:rPr>
          <w:color w:val="000000"/>
          <w:spacing w:val="0"/>
          <w:w w:val="100"/>
          <w:position w:val="0"/>
        </w:rPr>
        <w:t>5</w:t>
      </w:r>
      <w:r>
        <w:rPr>
          <w:color w:val="000000"/>
          <w:spacing w:val="0"/>
          <w:w w:val="100"/>
          <w:position w:val="0"/>
        </w:rPr>
        <w:t>年财务预算之后年份的现金流量均保持稳定。对中农信达预计未来现金流量现值的计算采用了管理层根 据历史经验及对未来市场发展的预测确定的预算毛利率及</w:t>
      </w:r>
      <w:r>
        <w:rPr>
          <w:color w:val="000000"/>
          <w:spacing w:val="0"/>
          <w:w w:val="100"/>
          <w:position w:val="0"/>
        </w:rPr>
        <w:t>2.00%-18. 67%</w:t>
      </w:r>
      <w:r>
        <w:rPr>
          <w:color w:val="000000"/>
          <w:spacing w:val="0"/>
          <w:w w:val="100"/>
          <w:position w:val="0"/>
        </w:rPr>
        <w:t>的营业收入增长率作为关键假设，确定依据是预算 期间之前的历史情况及对市场发展的预测。同时，本公司聘请北京中同华资产评估有限公司对包含商誉的资产组可收回金额 进行评估，并出具了中同华评报字</w:t>
      </w:r>
      <w:r>
        <w:rPr>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010332</w:t>
      </w:r>
      <w:r>
        <w:rPr>
          <w:color w:val="000000"/>
          <w:spacing w:val="0"/>
          <w:w w:val="100"/>
          <w:position w:val="0"/>
        </w:rPr>
        <w:t>号评估报告。经减值测试，未发现商誉需要计提减值的情况。</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注</w:t>
      </w:r>
      <w:r>
        <w:rPr>
          <w:color w:val="000000"/>
          <w:spacing w:val="0"/>
          <w:w w:val="100"/>
          <w:position w:val="0"/>
        </w:rPr>
        <w:t>3：</w:t>
      </w:r>
      <w:r>
        <w:rPr>
          <w:color w:val="000000"/>
          <w:spacing w:val="0"/>
          <w:w w:val="100"/>
          <w:position w:val="0"/>
        </w:rPr>
        <w:t>该商誉为</w:t>
      </w:r>
      <w:r>
        <w:rPr>
          <w:color w:val="000000"/>
          <w:spacing w:val="0"/>
          <w:w w:val="100"/>
          <w:position w:val="0"/>
        </w:rPr>
        <w:t>2016</w:t>
      </w:r>
      <w:r>
        <w:rPr>
          <w:color w:val="000000"/>
          <w:spacing w:val="0"/>
          <w:w w:val="100"/>
          <w:position w:val="0"/>
        </w:rPr>
        <w:t>年（购买日</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24</w:t>
      </w:r>
      <w:r>
        <w:rPr>
          <w:color w:val="000000"/>
          <w:spacing w:val="0"/>
          <w:w w:val="100"/>
          <w:position w:val="0"/>
        </w:rPr>
        <w:t>日）中农信达非同一控制下收购北京旗硕基业科技股份有限公司</w:t>
      </w:r>
      <w:r>
        <w:rPr>
          <w:color w:val="000000"/>
          <w:spacing w:val="0"/>
          <w:w w:val="100"/>
          <w:position w:val="0"/>
        </w:rPr>
        <w:t>40.81%</w:t>
      </w:r>
      <w:r>
        <w:rPr>
          <w:color w:val="000000"/>
          <w:spacing w:val="0"/>
          <w:w w:val="100"/>
          <w:position w:val="0"/>
        </w:rPr>
        <w:t>股 权产生，合并对价</w:t>
      </w:r>
      <w:r>
        <w:rPr>
          <w:color w:val="000000"/>
          <w:spacing w:val="0"/>
          <w:w w:val="100"/>
          <w:position w:val="0"/>
        </w:rPr>
        <w:t xml:space="preserve">28, 635, </w:t>
      </w:r>
      <w:r>
        <w:rPr>
          <w:color w:val="000000"/>
          <w:spacing w:val="0"/>
          <w:w w:val="100"/>
          <w:position w:val="0"/>
        </w:rPr>
        <w:t xml:space="preserve">631. </w:t>
      </w:r>
      <w:r>
        <w:rPr>
          <w:color w:val="000000"/>
          <w:spacing w:val="0"/>
          <w:w w:val="100"/>
          <w:position w:val="0"/>
        </w:rPr>
        <w:t>00</w:t>
      </w:r>
      <w:r>
        <w:rPr>
          <w:color w:val="000000"/>
          <w:spacing w:val="0"/>
          <w:w w:val="100"/>
          <w:position w:val="0"/>
        </w:rPr>
        <w:t>元，合并日北京旗硕基业科技股份有限公司的可辨认净资产公允价值为</w:t>
      </w:r>
      <w:r>
        <w:rPr>
          <w:color w:val="000000"/>
          <w:spacing w:val="0"/>
          <w:w w:val="100"/>
          <w:position w:val="0"/>
        </w:rPr>
        <w:t xml:space="preserve">21, 592, </w:t>
      </w:r>
      <w:r>
        <w:rPr>
          <w:color w:val="000000"/>
          <w:spacing w:val="0"/>
          <w:w w:val="100"/>
          <w:position w:val="0"/>
        </w:rPr>
        <w:t xml:space="preserve">603. </w:t>
      </w:r>
      <w:r>
        <w:rPr>
          <w:color w:val="000000"/>
          <w:spacing w:val="0"/>
          <w:w w:val="100"/>
          <w:position w:val="0"/>
        </w:rPr>
        <w:t>07</w:t>
      </w:r>
      <w:r>
        <w:rPr>
          <w:color w:val="000000"/>
          <w:spacing w:val="0"/>
          <w:w w:val="100"/>
          <w:position w:val="0"/>
        </w:rPr>
        <w:t>元， 合并对价与应享有的北京旗硕基业科技股份有限公司的可辨认净资产公允价值</w:t>
      </w:r>
      <w:r>
        <w:rPr>
          <w:color w:val="000000"/>
          <w:spacing w:val="0"/>
          <w:w w:val="100"/>
          <w:position w:val="0"/>
        </w:rPr>
        <w:t xml:space="preserve">8, </w:t>
      </w:r>
      <w:r>
        <w:rPr>
          <w:color w:val="000000"/>
          <w:spacing w:val="0"/>
          <w:w w:val="100"/>
          <w:position w:val="0"/>
        </w:rPr>
        <w:t xml:space="preserve">811,746. </w:t>
      </w:r>
      <w:r>
        <w:rPr>
          <w:color w:val="000000"/>
          <w:spacing w:val="0"/>
          <w:w w:val="100"/>
          <w:position w:val="0"/>
        </w:rPr>
        <w:t>98</w:t>
      </w:r>
      <w:r>
        <w:rPr>
          <w:color w:val="000000"/>
          <w:spacing w:val="0"/>
          <w:w w:val="100"/>
          <w:position w:val="0"/>
        </w:rPr>
        <w:t>元的差额</w:t>
      </w:r>
      <w:r>
        <w:rPr>
          <w:color w:val="000000"/>
          <w:spacing w:val="0"/>
          <w:w w:val="100"/>
          <w:position w:val="0"/>
        </w:rPr>
        <w:t xml:space="preserve">19, 823, </w:t>
      </w:r>
      <w:r>
        <w:rPr>
          <w:color w:val="000000"/>
          <w:spacing w:val="0"/>
          <w:w w:val="100"/>
          <w:position w:val="0"/>
        </w:rPr>
        <w:t xml:space="preserve">884. </w:t>
      </w:r>
      <w:r>
        <w:rPr>
          <w:color w:val="000000"/>
          <w:spacing w:val="0"/>
          <w:w w:val="100"/>
          <w:position w:val="0"/>
        </w:rPr>
        <w:t>02</w:t>
      </w:r>
      <w:r>
        <w:rPr>
          <w:color w:val="000000"/>
          <w:spacing w:val="0"/>
          <w:w w:val="100"/>
          <w:position w:val="0"/>
        </w:rPr>
        <w:t>元计入 商誉。</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本年末本公司管理层对因收购北京旗硕基业科技股份有限公司产生的商誉进行减值测试，考虑北京旗硕基业科技股份 有限公司主营业务明确并且单一，同时其主营业务或产品直接与市场衔接，由市场定价，符合资产组的相关要件，同时企业 内不再存在其他与北京旗硕基业科技股份有限公司相同条件的经营业务，因此将北京旗硕基业科技股份有限公司认定为一个 资产组，并以该资产组为基础进行商誉的减值测试。本公司采用收益法对</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日资产组未来预计产生的现金流量现 值进行估算，依据北京旗硕基业科技股份有限公司管理层制定的未来</w:t>
      </w:r>
      <w:r>
        <w:rPr>
          <w:color w:val="000000"/>
          <w:spacing w:val="0"/>
          <w:w w:val="100"/>
          <w:position w:val="0"/>
        </w:rPr>
        <w:t>5</w:t>
      </w:r>
      <w:r>
        <w:rPr>
          <w:color w:val="000000"/>
          <w:spacing w:val="0"/>
          <w:w w:val="100"/>
          <w:position w:val="0"/>
        </w:rPr>
        <w:t>年财务预算及</w:t>
      </w:r>
      <w:r>
        <w:rPr>
          <w:color w:val="000000"/>
          <w:spacing w:val="0"/>
          <w:w w:val="100"/>
          <w:position w:val="0"/>
        </w:rPr>
        <w:t>11.43%</w:t>
      </w:r>
      <w:r>
        <w:rPr>
          <w:color w:val="000000"/>
          <w:spacing w:val="0"/>
          <w:w w:val="100"/>
          <w:position w:val="0"/>
        </w:rPr>
        <w:t>税前折现率预计未来现金流量现 值，超过</w:t>
      </w:r>
      <w:r>
        <w:rPr>
          <w:color w:val="000000"/>
          <w:spacing w:val="0"/>
          <w:w w:val="100"/>
          <w:position w:val="0"/>
        </w:rPr>
        <w:t>5</w:t>
      </w:r>
      <w:r>
        <w:rPr>
          <w:color w:val="000000"/>
          <w:spacing w:val="0"/>
          <w:w w:val="100"/>
          <w:position w:val="0"/>
        </w:rPr>
        <w:t>年财务预算之后年份的现金流量均保持稳定。对北京旗硕基业科技股份有限公司预计未来现金流量现值的计算采 用了管理层根据历史经验及对未来市场发展的预测确定的预算毛利率及</w:t>
      </w:r>
      <w:r>
        <w:rPr>
          <w:color w:val="000000"/>
          <w:spacing w:val="0"/>
          <w:w w:val="100"/>
          <w:position w:val="0"/>
        </w:rPr>
        <w:t xml:space="preserve">2. </w:t>
      </w:r>
      <w:r>
        <w:rPr>
          <w:color w:val="000000"/>
          <w:spacing w:val="0"/>
          <w:w w:val="100"/>
          <w:position w:val="0"/>
        </w:rPr>
        <w:t>50%-27. 33%</w:t>
      </w:r>
      <w:r>
        <w:rPr>
          <w:color w:val="000000"/>
          <w:spacing w:val="0"/>
          <w:w w:val="100"/>
          <w:position w:val="0"/>
        </w:rPr>
        <w:t>的营业收入增长率作为关键假设，确定 依据是预算期间之前的历史情况及对市场发展的预测。经减值测试，未发现商誉需要计提减值的情况。</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注</w:t>
      </w:r>
      <w:r>
        <w:rPr>
          <w:color w:val="000000"/>
          <w:spacing w:val="0"/>
          <w:w w:val="100"/>
          <w:position w:val="0"/>
        </w:rPr>
        <w:t>4：</w:t>
      </w:r>
      <w:r>
        <w:rPr>
          <w:color w:val="000000"/>
          <w:spacing w:val="0"/>
          <w:w w:val="100"/>
          <w:position w:val="0"/>
        </w:rPr>
        <w:t>该商誉为本公司</w:t>
      </w:r>
      <w:r>
        <w:rPr>
          <w:color w:val="000000"/>
          <w:spacing w:val="0"/>
          <w:w w:val="100"/>
          <w:position w:val="0"/>
        </w:rPr>
        <w:t>2016</w:t>
      </w:r>
      <w:r>
        <w:rPr>
          <w:color w:val="000000"/>
          <w:spacing w:val="0"/>
          <w:w w:val="100"/>
          <w:position w:val="0"/>
        </w:rPr>
        <w:t>年（购买日</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日）非同一控制下收购华苏科技</w:t>
      </w:r>
      <w:r>
        <w:rPr>
          <w:color w:val="000000"/>
          <w:spacing w:val="0"/>
          <w:w w:val="100"/>
          <w:position w:val="0"/>
        </w:rPr>
        <w:t xml:space="preserve">98. </w:t>
      </w:r>
      <w:r>
        <w:rPr>
          <w:color w:val="000000"/>
          <w:spacing w:val="0"/>
          <w:w w:val="100"/>
          <w:position w:val="0"/>
        </w:rPr>
        <w:t>60%</w:t>
      </w:r>
      <w:r>
        <w:rPr>
          <w:color w:val="000000"/>
          <w:spacing w:val="0"/>
          <w:w w:val="100"/>
          <w:position w:val="0"/>
        </w:rPr>
        <w:t xml:space="preserve">股权产生，合并对价 </w:t>
      </w:r>
      <w:r>
        <w:rPr>
          <w:color w:val="000000"/>
          <w:spacing w:val="0"/>
          <w:w w:val="100"/>
          <w:position w:val="0"/>
        </w:rPr>
        <w:t xml:space="preserve">1,183,184, </w:t>
      </w:r>
      <w:r>
        <w:rPr>
          <w:color w:val="000000"/>
          <w:spacing w:val="0"/>
          <w:w w:val="100"/>
          <w:position w:val="0"/>
        </w:rPr>
        <w:t xml:space="preserve">287. </w:t>
      </w:r>
      <w:r>
        <w:rPr>
          <w:color w:val="000000"/>
          <w:spacing w:val="0"/>
          <w:w w:val="100"/>
          <w:position w:val="0"/>
        </w:rPr>
        <w:t>50</w:t>
      </w:r>
      <w:r>
        <w:rPr>
          <w:color w:val="000000"/>
          <w:spacing w:val="0"/>
          <w:w w:val="100"/>
          <w:position w:val="0"/>
        </w:rPr>
        <w:t>元，合并日华苏科技的可辨认净资产公允价值为</w:t>
      </w:r>
      <w:r>
        <w:rPr>
          <w:color w:val="000000"/>
          <w:spacing w:val="0"/>
          <w:w w:val="100"/>
          <w:position w:val="0"/>
        </w:rPr>
        <w:t xml:space="preserve">315, 224, </w:t>
      </w:r>
      <w:r>
        <w:rPr>
          <w:color w:val="000000"/>
          <w:spacing w:val="0"/>
          <w:w w:val="100"/>
          <w:position w:val="0"/>
        </w:rPr>
        <w:t xml:space="preserve">570. </w:t>
      </w:r>
      <w:r>
        <w:rPr>
          <w:color w:val="000000"/>
          <w:spacing w:val="0"/>
          <w:w w:val="100"/>
          <w:position w:val="0"/>
        </w:rPr>
        <w:t>54</w:t>
      </w:r>
      <w:r>
        <w:rPr>
          <w:color w:val="000000"/>
          <w:spacing w:val="0"/>
          <w:w w:val="100"/>
          <w:position w:val="0"/>
        </w:rPr>
        <w:t>元，合并对价与应享受的华苏科技的可辨 认净资产公允价值</w:t>
      </w:r>
      <w:r>
        <w:rPr>
          <w:color w:val="000000"/>
          <w:spacing w:val="0"/>
          <w:w w:val="100"/>
          <w:position w:val="0"/>
        </w:rPr>
        <w:t xml:space="preserve">310, 807, </w:t>
      </w:r>
      <w:r>
        <w:rPr>
          <w:color w:val="000000"/>
          <w:spacing w:val="0"/>
          <w:w w:val="100"/>
          <w:position w:val="0"/>
        </w:rPr>
        <w:t xml:space="preserve">299. </w:t>
      </w:r>
      <w:r>
        <w:rPr>
          <w:color w:val="000000"/>
          <w:spacing w:val="0"/>
          <w:w w:val="100"/>
          <w:position w:val="0"/>
        </w:rPr>
        <w:t>12</w:t>
      </w:r>
      <w:r>
        <w:rPr>
          <w:color w:val="000000"/>
          <w:spacing w:val="0"/>
          <w:w w:val="100"/>
          <w:position w:val="0"/>
        </w:rPr>
        <w:t>元的差额</w:t>
      </w:r>
      <w:r>
        <w:rPr>
          <w:color w:val="000000"/>
          <w:spacing w:val="0"/>
          <w:w w:val="100"/>
          <w:position w:val="0"/>
        </w:rPr>
        <w:t xml:space="preserve">872, 376, </w:t>
      </w:r>
      <w:r>
        <w:rPr>
          <w:color w:val="000000"/>
          <w:spacing w:val="0"/>
          <w:w w:val="100"/>
          <w:position w:val="0"/>
        </w:rPr>
        <w:t xml:space="preserve">988. </w:t>
      </w:r>
      <w:r>
        <w:rPr>
          <w:color w:val="000000"/>
          <w:spacing w:val="0"/>
          <w:w w:val="100"/>
          <w:position w:val="0"/>
        </w:rPr>
        <w:t>38</w:t>
      </w:r>
      <w:r>
        <w:rPr>
          <w:color w:val="000000"/>
          <w:spacing w:val="0"/>
          <w:w w:val="100"/>
          <w:position w:val="0"/>
        </w:rPr>
        <w:t>元计入商誉。</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本年末本公司管理层对因收购华苏科技产生的商誉进行减值测试，考虑华苏科技主营业务明确并且单一，同时其主营 业务或产品直接与市场衔接，由市场定价，符合资产组的相关要件，同时企业内不再存在其他与华苏科技相同条件的经营业 务，因此将华苏科技认定为一个资产组，并以该资产组为基础进行商誉的减值测试。本公司采用收益法对</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 产组未来预计产生的现金流量现值进行估算，依据华苏科技管理层制定的未来</w:t>
      </w:r>
      <w:r>
        <w:rPr>
          <w:color w:val="000000"/>
          <w:spacing w:val="0"/>
          <w:w w:val="100"/>
          <w:position w:val="0"/>
        </w:rPr>
        <w:t>5</w:t>
      </w:r>
      <w:r>
        <w:rPr>
          <w:color w:val="000000"/>
          <w:spacing w:val="0"/>
          <w:w w:val="100"/>
          <w:position w:val="0"/>
        </w:rPr>
        <w:t>年财务预算及</w:t>
      </w:r>
      <w:r>
        <w:rPr>
          <w:color w:val="000000"/>
          <w:spacing w:val="0"/>
          <w:w w:val="100"/>
          <w:position w:val="0"/>
        </w:rPr>
        <w:t>11.85%</w:t>
      </w:r>
      <w:r>
        <w:rPr>
          <w:color w:val="000000"/>
          <w:spacing w:val="0"/>
          <w:w w:val="100"/>
          <w:position w:val="0"/>
        </w:rPr>
        <w:t>税前折现率预计未来现 金流量现值，超过</w:t>
      </w:r>
      <w:r>
        <w:rPr>
          <w:color w:val="000000"/>
          <w:spacing w:val="0"/>
          <w:w w:val="100"/>
          <w:position w:val="0"/>
        </w:rPr>
        <w:t>5</w:t>
      </w:r>
      <w:r>
        <w:rPr>
          <w:color w:val="000000"/>
          <w:spacing w:val="0"/>
          <w:w w:val="100"/>
          <w:position w:val="0"/>
        </w:rPr>
        <w:t>年财务预算之后年份的现金流量均保持稳定。对华苏科技预计未来现金流量现值的计算采用了管理层根 据历史经验及对未来市场发展的预测确定的预算毛利率及</w:t>
      </w:r>
      <w:r>
        <w:rPr>
          <w:color w:val="000000"/>
          <w:spacing w:val="0"/>
          <w:w w:val="100"/>
          <w:position w:val="0"/>
        </w:rPr>
        <w:t xml:space="preserve">-1. </w:t>
      </w:r>
      <w:r>
        <w:rPr>
          <w:color w:val="000000"/>
          <w:spacing w:val="0"/>
          <w:w w:val="100"/>
          <w:position w:val="0"/>
        </w:rPr>
        <w:t>47%-15. 31%</w:t>
      </w:r>
      <w:r>
        <w:rPr>
          <w:color w:val="000000"/>
          <w:spacing w:val="0"/>
          <w:w w:val="100"/>
          <w:position w:val="0"/>
        </w:rPr>
        <w:t>的营业收入增长率作为关键假设，确定依据是预算 期间之前的历史情况及对市场发展的预测。同时，本公司聘请中瑞世联资产评估集团有限公司对包含商誉的资产组可收回金 额进行评估，并出具了中瑞评报字</w:t>
      </w:r>
      <w:r>
        <w:rPr>
          <w:color w:val="000000"/>
          <w:spacing w:val="0"/>
          <w:w w:val="100"/>
          <w:position w:val="0"/>
        </w:rPr>
        <w:t>［2022］</w:t>
      </w:r>
      <w:r>
        <w:rPr>
          <w:color w:val="000000"/>
          <w:spacing w:val="0"/>
          <w:w w:val="100"/>
          <w:position w:val="0"/>
        </w:rPr>
        <w:t>第</w:t>
      </w:r>
      <w:r>
        <w:rPr>
          <w:color w:val="000000"/>
          <w:spacing w:val="0"/>
          <w:w w:val="100"/>
          <w:position w:val="0"/>
        </w:rPr>
        <w:t>000152</w:t>
      </w:r>
      <w:r>
        <w:rPr>
          <w:color w:val="000000"/>
          <w:spacing w:val="0"/>
          <w:w w:val="100"/>
          <w:position w:val="0"/>
        </w:rPr>
        <w:t>号评估报告。经减值测试，未发现商誉需要计提减值的情况。</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注</w:t>
      </w:r>
      <w:r>
        <w:rPr>
          <w:color w:val="000000"/>
          <w:spacing w:val="0"/>
          <w:w w:val="100"/>
          <w:position w:val="0"/>
        </w:rPr>
        <w:t>5：</w:t>
      </w:r>
      <w:r>
        <w:rPr>
          <w:color w:val="000000"/>
          <w:spacing w:val="0"/>
          <w:w w:val="100"/>
          <w:position w:val="0"/>
        </w:rPr>
        <w:t>该商誉为本公司</w:t>
      </w:r>
      <w:r>
        <w:rPr>
          <w:color w:val="000000"/>
          <w:spacing w:val="0"/>
          <w:w w:val="100"/>
          <w:position w:val="0"/>
        </w:rPr>
        <w:t>2018</w:t>
      </w:r>
      <w:r>
        <w:rPr>
          <w:color w:val="000000"/>
          <w:spacing w:val="0"/>
          <w:w w:val="100"/>
          <w:position w:val="0"/>
        </w:rPr>
        <w:t>年非同一控制下收购西安远景信息技术有限公司</w:t>
      </w:r>
      <w:r>
        <w:rPr>
          <w:color w:val="000000"/>
          <w:spacing w:val="0"/>
          <w:w w:val="100"/>
          <w:position w:val="0"/>
        </w:rPr>
        <w:t xml:space="preserve">100. </w:t>
      </w:r>
      <w:r>
        <w:rPr>
          <w:color w:val="000000"/>
          <w:spacing w:val="0"/>
          <w:w w:val="100"/>
          <w:position w:val="0"/>
        </w:rPr>
        <w:t>00%</w:t>
      </w:r>
      <w:r>
        <w:rPr>
          <w:color w:val="000000"/>
          <w:spacing w:val="0"/>
          <w:w w:val="100"/>
          <w:position w:val="0"/>
        </w:rPr>
        <w:t>股权产生，合并对价</w:t>
      </w: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元，合并日西安远景的可辨认净资产公允价值为</w:t>
      </w:r>
      <w:r>
        <w:rPr>
          <w:color w:val="000000"/>
          <w:spacing w:val="0"/>
          <w:w w:val="100"/>
          <w:position w:val="0"/>
        </w:rPr>
        <w:t xml:space="preserve">4, </w:t>
      </w:r>
      <w:r>
        <w:rPr>
          <w:color w:val="000000"/>
          <w:spacing w:val="0"/>
          <w:w w:val="100"/>
          <w:position w:val="0"/>
        </w:rPr>
        <w:t>081,320.09</w:t>
      </w:r>
      <w:r>
        <w:rPr>
          <w:color w:val="000000"/>
          <w:spacing w:val="0"/>
          <w:w w:val="100"/>
          <w:position w:val="0"/>
        </w:rPr>
        <w:t>元，差额</w:t>
      </w:r>
      <w:r>
        <w:rPr>
          <w:color w:val="000000"/>
          <w:spacing w:val="0"/>
          <w:w w:val="100"/>
          <w:position w:val="0"/>
        </w:rPr>
        <w:t xml:space="preserve">5,918, </w:t>
      </w:r>
      <w:r>
        <w:rPr>
          <w:color w:val="000000"/>
          <w:spacing w:val="0"/>
          <w:w w:val="100"/>
          <w:position w:val="0"/>
        </w:rPr>
        <w:t>679.91</w:t>
      </w:r>
      <w:r>
        <w:rPr>
          <w:color w:val="000000"/>
          <w:spacing w:val="0"/>
          <w:w w:val="100"/>
          <w:position w:val="0"/>
        </w:rPr>
        <w:t>元计入商誉。</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本年末本公司管理层对因收购西安远景信息技术有限公司产生的商誉进行减值测试，考虑西安远景信息技术有限公司 主营业务明确并且单一，同时其主营业务或产品直接与市场衔接，由市场定价，符合资产组的相关要件，同时企业内不再存 在其他与西安远景信息技术有限公司相同条件的经营业务，因此将西安远景信息技术有限公司认定为一个资产组，并以该资 产组为基础进行商誉的减值测试。本公司采用收益法对</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日资产组未来预计产生的现金流量现值进行估算，依据 西安远景信息技术有限公司管理层制定的未来</w:t>
      </w:r>
      <w:r>
        <w:rPr>
          <w:color w:val="000000"/>
          <w:spacing w:val="0"/>
          <w:w w:val="100"/>
          <w:position w:val="0"/>
        </w:rPr>
        <w:t>5</w:t>
      </w:r>
      <w:r>
        <w:rPr>
          <w:color w:val="000000"/>
          <w:spacing w:val="0"/>
          <w:w w:val="100"/>
          <w:position w:val="0"/>
        </w:rPr>
        <w:t>年财务预算及</w:t>
      </w:r>
      <w:r>
        <w:rPr>
          <w:color w:val="000000"/>
          <w:spacing w:val="0"/>
          <w:w w:val="100"/>
          <w:position w:val="0"/>
        </w:rPr>
        <w:t>11.53%</w:t>
      </w:r>
      <w:r>
        <w:rPr>
          <w:color w:val="000000"/>
          <w:spacing w:val="0"/>
          <w:w w:val="100"/>
          <w:position w:val="0"/>
        </w:rPr>
        <w:t>税前折现率预计未来现金流量现值，超过</w:t>
      </w:r>
      <w:r>
        <w:rPr>
          <w:color w:val="000000"/>
          <w:spacing w:val="0"/>
          <w:w w:val="100"/>
          <w:position w:val="0"/>
        </w:rPr>
        <w:t>5</w:t>
      </w:r>
      <w:r>
        <w:rPr>
          <w:color w:val="000000"/>
          <w:spacing w:val="0"/>
          <w:w w:val="100"/>
          <w:position w:val="0"/>
        </w:rPr>
        <w:t>年财务预算之 后年份的现金流量均保持稳定。对西安远景信息技术有限公司预计未来现金流量现值的计算采用了管理层根据历史经验及对 未来市场发展的预测确定的预算毛利率及</w:t>
      </w:r>
      <w:r>
        <w:rPr>
          <w:color w:val="000000"/>
          <w:spacing w:val="0"/>
          <w:w w:val="100"/>
          <w:position w:val="0"/>
        </w:rPr>
        <w:t xml:space="preserve">-0. </w:t>
      </w:r>
      <w:r>
        <w:rPr>
          <w:color w:val="000000"/>
          <w:spacing w:val="0"/>
          <w:w w:val="100"/>
          <w:position w:val="0"/>
        </w:rPr>
        <w:t>23%-10.00%</w:t>
      </w:r>
      <w:r>
        <w:rPr>
          <w:color w:val="000000"/>
          <w:spacing w:val="0"/>
          <w:w w:val="100"/>
          <w:position w:val="0"/>
        </w:rPr>
        <w:t>的营业收入增长率作为关键假设，确定依据是预算期间之前的历史 情况及对市场发展的预测。经减值测试，未发现商誉需要计提减值的情况。</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注</w:t>
      </w:r>
      <w:r>
        <w:rPr>
          <w:color w:val="000000"/>
          <w:spacing w:val="0"/>
          <w:w w:val="100"/>
          <w:position w:val="0"/>
        </w:rPr>
        <w:t>6：</w:t>
      </w:r>
      <w:r>
        <w:rPr>
          <w:color w:val="000000"/>
          <w:spacing w:val="0"/>
          <w:w w:val="100"/>
          <w:position w:val="0"/>
        </w:rPr>
        <w:t>该商誉为中农信达</w:t>
      </w:r>
      <w:r>
        <w:rPr>
          <w:color w:val="000000"/>
          <w:spacing w:val="0"/>
          <w:w w:val="100"/>
          <w:position w:val="0"/>
        </w:rPr>
        <w:t>2019</w:t>
      </w:r>
      <w:r>
        <w:rPr>
          <w:color w:val="000000"/>
          <w:spacing w:val="0"/>
          <w:w w:val="100"/>
          <w:position w:val="0"/>
        </w:rPr>
        <w:t>年非同一控制下收购神州土地（北京）信息技术有限公司</w:t>
      </w:r>
      <w:r>
        <w:rPr>
          <w:color w:val="000000"/>
          <w:spacing w:val="0"/>
          <w:w w:val="100"/>
          <w:position w:val="0"/>
        </w:rPr>
        <w:t>100.00%</w:t>
      </w:r>
      <w:r>
        <w:rPr>
          <w:color w:val="000000"/>
          <w:spacing w:val="0"/>
          <w:w w:val="100"/>
          <w:position w:val="0"/>
        </w:rPr>
        <w:t xml:space="preserve">股权产生，合并对价 </w:t>
      </w:r>
      <w:r>
        <w:rPr>
          <w:color w:val="000000"/>
          <w:spacing w:val="0"/>
          <w:w w:val="100"/>
          <w:position w:val="0"/>
        </w:rPr>
        <w:t xml:space="preserve">47, 459, </w:t>
      </w:r>
      <w:r>
        <w:rPr>
          <w:color w:val="000000"/>
          <w:spacing w:val="0"/>
          <w:w w:val="100"/>
          <w:position w:val="0"/>
        </w:rPr>
        <w:t xml:space="preserve">244. </w:t>
      </w:r>
      <w:r>
        <w:rPr>
          <w:color w:val="000000"/>
          <w:spacing w:val="0"/>
          <w:w w:val="100"/>
          <w:position w:val="0"/>
        </w:rPr>
        <w:t>43</w:t>
      </w:r>
      <w:r>
        <w:rPr>
          <w:color w:val="000000"/>
          <w:spacing w:val="0"/>
          <w:w w:val="100"/>
          <w:position w:val="0"/>
        </w:rPr>
        <w:t>元，合并日神州土地（北京）信息技术有限公司的可辨认净资产公允价值为</w:t>
      </w:r>
      <w:r>
        <w:rPr>
          <w:color w:val="000000"/>
          <w:spacing w:val="0"/>
          <w:w w:val="100"/>
          <w:position w:val="0"/>
        </w:rPr>
        <w:t>-12,213, 756.27</w:t>
      </w:r>
      <w:r>
        <w:rPr>
          <w:color w:val="000000"/>
          <w:spacing w:val="0"/>
          <w:w w:val="100"/>
          <w:position w:val="0"/>
        </w:rPr>
        <w:t xml:space="preserve">元，差额 </w:t>
      </w:r>
      <w:r>
        <w:rPr>
          <w:color w:val="000000"/>
          <w:spacing w:val="0"/>
          <w:w w:val="100"/>
          <w:position w:val="0"/>
        </w:rPr>
        <w:t xml:space="preserve">59, 673, </w:t>
      </w:r>
      <w:r>
        <w:rPr>
          <w:color w:val="000000"/>
          <w:spacing w:val="0"/>
          <w:w w:val="100"/>
          <w:position w:val="0"/>
        </w:rPr>
        <w:t xml:space="preserve">000. </w:t>
      </w:r>
      <w:r>
        <w:rPr>
          <w:color w:val="000000"/>
          <w:spacing w:val="0"/>
          <w:w w:val="100"/>
          <w:position w:val="0"/>
        </w:rPr>
        <w:t>70</w:t>
      </w:r>
      <w:r>
        <w:rPr>
          <w:color w:val="000000"/>
          <w:spacing w:val="0"/>
          <w:w w:val="100"/>
          <w:position w:val="0"/>
        </w:rPr>
        <w:t>元计入商誉。</w:t>
      </w:r>
    </w:p>
    <w:p>
      <w:pPr>
        <w:pStyle w:val="Style1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 xml:space="preserve">本年末本公司管理层对因收购神州土地（北京）信息技术有限公司产生的商誉进行减值测试，考虑神州土地（北京） 信息技术有限公司主营业务明确并且单一，同时其主营业务或产品直接与市场衔接，由市场定价，符合资产组的相关要件， </w:t>
      </w:r>
      <w:r>
        <w:rPr>
          <w:color w:val="000000"/>
          <w:spacing w:val="0"/>
          <w:w w:val="100"/>
          <w:position w:val="0"/>
        </w:rPr>
        <w:t>同时企业内不再存在其他与神州土地（北京）信息技术有限公司相同条件的经营业务，因此将神州土地（北京）信息技术有 限公司认定为一个资产组，并以该资产组为基础进行商誉的减值测试。本公司采用收益法对</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日资产组未来预计 产生的现金流量现值进行估算，依据神州土地（北京）信息技术有限公司管理层制定的未来</w:t>
      </w:r>
      <w:r>
        <w:rPr>
          <w:color w:val="000000"/>
          <w:spacing w:val="0"/>
          <w:w w:val="100"/>
          <w:position w:val="0"/>
        </w:rPr>
        <w:t>5</w:t>
      </w:r>
      <w:r>
        <w:rPr>
          <w:color w:val="000000"/>
          <w:spacing w:val="0"/>
          <w:w w:val="100"/>
          <w:position w:val="0"/>
        </w:rPr>
        <w:t>年财务预算及</w:t>
      </w:r>
      <w:r>
        <w:rPr>
          <w:color w:val="000000"/>
          <w:spacing w:val="0"/>
          <w:w w:val="100"/>
          <w:position w:val="0"/>
        </w:rPr>
        <w:t>13.84%</w:t>
      </w:r>
      <w:r>
        <w:rPr>
          <w:color w:val="000000"/>
          <w:spacing w:val="0"/>
          <w:w w:val="100"/>
          <w:position w:val="0"/>
        </w:rPr>
        <w:t>税前折现 率预计未来现金流量现值，超过</w:t>
      </w:r>
      <w:r>
        <w:rPr>
          <w:color w:val="000000"/>
          <w:spacing w:val="0"/>
          <w:w w:val="100"/>
          <w:position w:val="0"/>
        </w:rPr>
        <w:t>5</w:t>
      </w:r>
      <w:r>
        <w:rPr>
          <w:color w:val="000000"/>
          <w:spacing w:val="0"/>
          <w:w w:val="100"/>
          <w:position w:val="0"/>
        </w:rPr>
        <w:t>年财务预算之后年份的现金流量均保持稳定。对神州土地（北京）信息技术有限公司预计 未来现金流量现值的计算采用了管理层根据历史经验及对未来市场发展的预测确定的预算毛利率及</w:t>
      </w:r>
      <w:r>
        <w:rPr>
          <w:color w:val="000000"/>
          <w:spacing w:val="0"/>
          <w:w w:val="100"/>
          <w:position w:val="0"/>
        </w:rPr>
        <w:t>2.50%-19. 96%</w:t>
      </w:r>
      <w:r>
        <w:rPr>
          <w:color w:val="000000"/>
          <w:spacing w:val="0"/>
          <w:w w:val="100"/>
          <w:position w:val="0"/>
        </w:rPr>
        <w:t>的营业收 入增长率作为关键假设，确定依据是预算期间之前的历史情况及对市场发展的预测。经减值测试，未发现商誉需要计提减值 的情况。</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注</w:t>
      </w:r>
      <w:r>
        <w:rPr>
          <w:color w:val="000000"/>
          <w:spacing w:val="0"/>
          <w:w w:val="100"/>
          <w:position w:val="0"/>
        </w:rPr>
        <w:t>7：</w:t>
      </w:r>
      <w:r>
        <w:rPr>
          <w:color w:val="000000"/>
          <w:spacing w:val="0"/>
          <w:w w:val="100"/>
          <w:position w:val="0"/>
        </w:rPr>
        <w:t>该商誉为北京神州数字科技有限公司</w:t>
      </w:r>
      <w:r>
        <w:rPr>
          <w:color w:val="000000"/>
          <w:spacing w:val="0"/>
          <w:w w:val="100"/>
          <w:position w:val="0"/>
        </w:rPr>
        <w:t>2020</w:t>
      </w:r>
      <w:r>
        <w:rPr>
          <w:color w:val="000000"/>
          <w:spacing w:val="0"/>
          <w:w w:val="100"/>
          <w:position w:val="0"/>
        </w:rPr>
        <w:t>年非同一控制下收购北京云核网络技术有限公司</w:t>
      </w:r>
      <w:r>
        <w:rPr>
          <w:color w:val="000000"/>
          <w:spacing w:val="0"/>
          <w:w w:val="100"/>
          <w:position w:val="0"/>
        </w:rPr>
        <w:t>100.00%</w:t>
      </w:r>
      <w:r>
        <w:rPr>
          <w:color w:val="000000"/>
          <w:spacing w:val="0"/>
          <w:w w:val="100"/>
          <w:position w:val="0"/>
        </w:rPr>
        <w:t>股权产生，合 并对价</w:t>
      </w:r>
      <w:r>
        <w:rPr>
          <w:color w:val="000000"/>
          <w:spacing w:val="0"/>
          <w:w w:val="100"/>
          <w:position w:val="0"/>
        </w:rPr>
        <w:t xml:space="preserve">43, 500, </w:t>
      </w:r>
      <w:r>
        <w:rPr>
          <w:color w:val="000000"/>
          <w:spacing w:val="0"/>
          <w:w w:val="100"/>
          <w:position w:val="0"/>
        </w:rPr>
        <w:t xml:space="preserve">000. </w:t>
      </w:r>
      <w:r>
        <w:rPr>
          <w:color w:val="000000"/>
          <w:spacing w:val="0"/>
          <w:w w:val="100"/>
          <w:position w:val="0"/>
        </w:rPr>
        <w:t>00</w:t>
      </w:r>
      <w:r>
        <w:rPr>
          <w:color w:val="000000"/>
          <w:spacing w:val="0"/>
          <w:w w:val="100"/>
          <w:position w:val="0"/>
        </w:rPr>
        <w:t>元，合并日北京云核网络技术有限公司的可辨认净资产公允价值为</w:t>
      </w:r>
      <w:r>
        <w:rPr>
          <w:color w:val="000000"/>
          <w:spacing w:val="0"/>
          <w:w w:val="100"/>
          <w:position w:val="0"/>
        </w:rPr>
        <w:t>22,666,786.74</w:t>
      </w:r>
      <w:r>
        <w:rPr>
          <w:color w:val="000000"/>
          <w:spacing w:val="0"/>
          <w:w w:val="100"/>
          <w:position w:val="0"/>
        </w:rPr>
        <w:t xml:space="preserve">元，差额 </w:t>
      </w:r>
      <w:r>
        <w:rPr>
          <w:color w:val="000000"/>
          <w:spacing w:val="0"/>
          <w:w w:val="100"/>
          <w:position w:val="0"/>
        </w:rPr>
        <w:t xml:space="preserve">20, 833, </w:t>
      </w:r>
      <w:r>
        <w:rPr>
          <w:color w:val="000000"/>
          <w:spacing w:val="0"/>
          <w:w w:val="100"/>
          <w:position w:val="0"/>
        </w:rPr>
        <w:t xml:space="preserve">213. </w:t>
      </w:r>
      <w:r>
        <w:rPr>
          <w:color w:val="000000"/>
          <w:spacing w:val="0"/>
          <w:w w:val="100"/>
          <w:position w:val="0"/>
        </w:rPr>
        <w:t>26</w:t>
      </w:r>
      <w:r>
        <w:rPr>
          <w:color w:val="000000"/>
          <w:spacing w:val="0"/>
          <w:w w:val="100"/>
          <w:position w:val="0"/>
        </w:rPr>
        <w:t>元计入商誉。</w:t>
      </w:r>
    </w:p>
    <w:p>
      <w:pPr>
        <w:pStyle w:val="Style13"/>
        <w:keepNext w:val="0"/>
        <w:keepLines w:val="0"/>
        <w:widowControl w:val="0"/>
        <w:shd w:val="clear" w:color="auto" w:fill="auto"/>
        <w:bidi w:val="0"/>
        <w:spacing w:before="0" w:after="360" w:line="313" w:lineRule="exact"/>
        <w:ind w:left="0" w:right="0" w:firstLine="460"/>
        <w:jc w:val="both"/>
      </w:pPr>
      <w:r>
        <w:rPr>
          <w:color w:val="000000"/>
          <w:spacing w:val="0"/>
          <w:w w:val="100"/>
          <w:position w:val="0"/>
        </w:rPr>
        <w:t>本年末本公司管理层对因收购北京云核网络技术有限公司产生的商誉进行减值测试，考虑北京云核网络技术有限公司 主营业务明确并且单一，同时其主营业务或产品直接与市场衔接，由市场定价，符合资产组的相关要件，同时企业内不再存 在其他与北京云核网络技术有限公司相同条件的经营业务，因此将北京云核网络技术有限公司认定为一个资产组，并以该资 产组为基础进行商誉的减值测试。本公司采用收益法对</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日资产组未来预计产生的现金流量现值进行估算，依据 北京云核网络技术有限公司管理层制定的未来</w:t>
      </w:r>
      <w:r>
        <w:rPr>
          <w:color w:val="000000"/>
          <w:spacing w:val="0"/>
          <w:w w:val="100"/>
          <w:position w:val="0"/>
        </w:rPr>
        <w:t>5</w:t>
      </w:r>
      <w:r>
        <w:rPr>
          <w:color w:val="000000"/>
          <w:spacing w:val="0"/>
          <w:w w:val="100"/>
          <w:position w:val="0"/>
        </w:rPr>
        <w:t>年财务预算及</w:t>
      </w:r>
      <w:r>
        <w:rPr>
          <w:color w:val="000000"/>
          <w:spacing w:val="0"/>
          <w:w w:val="100"/>
          <w:position w:val="0"/>
        </w:rPr>
        <w:t>11.34%</w:t>
      </w:r>
      <w:r>
        <w:rPr>
          <w:color w:val="000000"/>
          <w:spacing w:val="0"/>
          <w:w w:val="100"/>
          <w:position w:val="0"/>
        </w:rPr>
        <w:t>税前折现率预计未来现金流量现值，超过</w:t>
      </w:r>
      <w:r>
        <w:rPr>
          <w:color w:val="000000"/>
          <w:spacing w:val="0"/>
          <w:w w:val="100"/>
          <w:position w:val="0"/>
        </w:rPr>
        <w:t>5</w:t>
      </w:r>
      <w:r>
        <w:rPr>
          <w:color w:val="000000"/>
          <w:spacing w:val="0"/>
          <w:w w:val="100"/>
          <w:position w:val="0"/>
        </w:rPr>
        <w:t>年财务预算之 后年份的现金流量均保持稳定。对北京云核网络技术有限公司预计未来现金流量现值的计算采用了管理层根据历史经验及对 未来市场发展的预测确定的预算毛利率及</w:t>
      </w:r>
      <w:r>
        <w:rPr>
          <w:color w:val="000000"/>
          <w:spacing w:val="0"/>
          <w:w w:val="100"/>
          <w:position w:val="0"/>
        </w:rPr>
        <w:t xml:space="preserve">2. </w:t>
      </w:r>
      <w:r>
        <w:rPr>
          <w:color w:val="000000"/>
          <w:spacing w:val="0"/>
          <w:w w:val="100"/>
          <w:position w:val="0"/>
        </w:rPr>
        <w:t>50%-17. 44%</w:t>
      </w:r>
      <w:r>
        <w:rPr>
          <w:color w:val="000000"/>
          <w:spacing w:val="0"/>
          <w:w w:val="100"/>
          <w:position w:val="0"/>
        </w:rPr>
        <w:t>的营业收入增长率作为关键假设，确定依据是预算期间之前的历史情 况及对市场发展的预测。经减值测试，未发现商誉需要计提减值的情况。</w:t>
      </w:r>
    </w:p>
    <w:p>
      <w:pPr>
        <w:pStyle w:val="Style29"/>
        <w:keepNext/>
        <w:keepLines/>
        <w:widowControl w:val="0"/>
        <w:shd w:val="clear" w:color="auto" w:fill="auto"/>
        <w:bidi w:val="0"/>
        <w:spacing w:before="0" w:line="240" w:lineRule="auto"/>
        <w:ind w:left="0" w:right="0" w:firstLine="0"/>
        <w:jc w:val="both"/>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bookmarkEnd w:id="114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146"/>
      <w:bookmarkEnd w:id="1147"/>
      <w:bookmarkEnd w:id="1149"/>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7,684,945.58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8,826,418.19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6,549,710.91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9,961,652.86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办公家具及装配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1,437,970.54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2,066,690.61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1,721,877.48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1,775,983.67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9,122,916.12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10,893,108.80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8,271,588.39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11,737,636.53</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50"/>
      <w:bookmarkEnd w:id="1151"/>
      <w:bookmarkEnd w:id="1153"/>
    </w:p>
    <w:p>
      <w:pPr>
        <w:pStyle w:val="Style37"/>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54"/>
      <w:bookmarkEnd w:id="1155"/>
      <w:bookmarkEnd w:id="11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918,952,592.14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130,993,406.44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757,429,529.40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110,034,887.17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与子公司投资相关的可 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175,255,527.20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26,288,329.08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175,255,527.20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26,288,329.08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交易性金融资产公允价 值变动及其他权益工具 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31,268,909.99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7,817,227.50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38,961,591.46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9,740,397.87</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长期资产折旧或摊销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57,298,676.61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7,340,425.49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57,836,397.64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7,623,415.89</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4,780,625.00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1,195,156.25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666,857.16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116,609.55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1,183,442,563.10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172,555,998.06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1,034,263,670.70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154,882,186.26</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157" w:name="bookmark1157"/>
      <w:bookmarkStart w:id="1158" w:name="bookmark1158"/>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57"/>
      <w:bookmarkEnd w:id="1158"/>
      <w:bookmarkEnd w:id="11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30,156,243.05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3,083,283.30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35,702,222.21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3,671,710.72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62,336,562.07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15,488,044.35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82,994,374.75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20,675,300.54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长期股权投资公允价值 与账面价值的差额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68,144,495.19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10,221,674.28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84,369,375.00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12,655,406.25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采购回佣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19,464,976.00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2,919,746.40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12,844,101.30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1,926,615.20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180,102,276.31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31,712,748.33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215,910,073.26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38,929,032.71</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60"/>
      <w:bookmarkEnd w:id="1161"/>
      <w:bookmarkEnd w:id="11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3,265,974.49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169,290,023.57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2,204,419.19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152,677,767.07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3,265,974.49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28,446,773.84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2,204,419.19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36,724,613.52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164"/>
      <w:bookmarkEnd w:id="1165"/>
      <w:bookmarkEnd w:id="1167"/>
    </w:p>
    <w:p>
      <w:pPr>
        <w:pStyle w:val="Style37"/>
        <w:keepNext/>
        <w:keepLines/>
        <w:widowControl w:val="0"/>
        <w:shd w:val="clear" w:color="auto" w:fill="auto"/>
        <w:bidi w:val="0"/>
        <w:spacing w:before="0" w:after="360" w:line="240" w:lineRule="auto"/>
        <w:ind w:left="0" w:right="0" w:firstLine="0"/>
        <w:jc w:val="left"/>
      </w:pPr>
      <w:bookmarkStart w:id="1168" w:name="bookmark1168"/>
      <w:bookmarkStart w:id="1169" w:name="bookmark1169"/>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68"/>
      <w:bookmarkEnd w:id="1169"/>
      <w:bookmarkEnd w:id="11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101,111,763.88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451,584,614.73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63,244,166.30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270,695,266.52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bookmarkStart w:id="1171" w:name="bookmark1171"/>
            <w:r>
              <w:rPr>
                <w:color w:val="000000"/>
                <w:spacing w:val="0"/>
                <w:w w:val="100"/>
                <w:position w:val="0"/>
              </w:rPr>
              <w:t>合计</w:t>
            </w:r>
            <w:bookmarkEnd w:id="1171"/>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164,355,930.18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722,279,881.25</w:t>
            </w:r>
          </w:p>
        </w:tc>
      </w:tr>
    </w:tbl>
    <w:p>
      <w:pPr>
        <w:spacing w:lineRule="exact" w:line="1"/>
        <w:rPr>
          <w:sz w:val="2"/>
          <w:szCs w:val="2"/>
        </w:rPr>
      </w:pPr>
      <w:r>
        <w:br w:type="page"/>
      </w:r>
    </w:p>
    <w:p>
      <w:pPr>
        <w:pStyle w:val="Style22"/>
        <w:keepNext w:val="0"/>
        <w:keepLines w:val="0"/>
        <w:widowControl w:val="0"/>
        <w:shd w:val="clear" w:color="auto" w:fill="auto"/>
        <w:bidi w:val="0"/>
        <w:spacing w:before="0" w:after="380" w:line="240" w:lineRule="auto"/>
        <w:ind w:left="0" w:right="0" w:firstLine="0"/>
        <w:jc w:val="left"/>
        <w:rPr>
          <w:sz w:val="20"/>
          <w:szCs w:val="20"/>
        </w:rPr>
      </w:pPr>
      <w:bookmarkStart w:id="1172" w:name="bookmark1172"/>
      <w:r>
        <w:rPr>
          <w:rFonts w:ascii="Times New Roman" w:eastAsia="Times New Roman" w:hAnsi="Times New Roman" w:cs="Times New Roman"/>
          <w:b/>
          <w:bCs/>
          <w:color w:val="000000"/>
          <w:spacing w:val="0"/>
          <w:w w:val="100"/>
          <w:position w:val="0"/>
          <w:sz w:val="20"/>
          <w:szCs w:val="20"/>
        </w:rPr>
        <w:t>2</w:t>
      </w:r>
      <w:bookmarkEnd w:id="117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、应付票据</w:t>
      </w:r>
    </w:p>
    <w:p>
      <w:pPr>
        <w:pStyle w:val="Style13"/>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94,474,570.31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57,876,653.25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834,117,250.11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494,136,838.59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928,591,820.42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552,013,491.84</w:t>
            </w:r>
          </w:p>
        </w:tc>
      </w:tr>
    </w:tbl>
    <w:p>
      <w:pPr>
        <w:widowControl w:val="0"/>
        <w:spacing w:after="59" w:line="1" w:lineRule="exact"/>
      </w:pP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6,123,485.28</w:t>
      </w:r>
      <w:r>
        <w:rPr>
          <w:color w:val="000000"/>
          <w:spacing w:val="0"/>
          <w:w w:val="100"/>
          <w:position w:val="0"/>
        </w:rPr>
        <w:t>元。</w:t>
      </w:r>
    </w:p>
    <w:p>
      <w:pPr>
        <w:pStyle w:val="Style29"/>
        <w:keepNext/>
        <w:keepLines/>
        <w:widowControl w:val="0"/>
        <w:shd w:val="clear" w:color="auto" w:fill="auto"/>
        <w:bidi w:val="0"/>
        <w:spacing w:before="0" w:after="34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173"/>
      <w:bookmarkEnd w:id="1174"/>
      <w:bookmarkEnd w:id="1176"/>
    </w:p>
    <w:p>
      <w:pPr>
        <w:pStyle w:val="Style37"/>
        <w:keepNext/>
        <w:keepLines/>
        <w:widowControl w:val="0"/>
        <w:shd w:val="clear" w:color="auto" w:fill="auto"/>
        <w:bidi w:val="0"/>
        <w:spacing w:before="0" w:after="340" w:line="240" w:lineRule="auto"/>
        <w:ind w:left="0" w:right="0" w:firstLine="0"/>
        <w:jc w:val="left"/>
      </w:pPr>
      <w:bookmarkStart w:id="1177" w:name="bookmark1177"/>
      <w:bookmarkStart w:id="1178" w:name="bookmark1178"/>
      <w:bookmarkStart w:id="1179" w:name="bookmark11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77"/>
      <w:bookmarkEnd w:id="1178"/>
      <w:bookmarkEnd w:id="11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货款及服务款等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2,587,049,767.34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2,373,036,760.20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2,587,049,767.34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2,373,036,760.20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180" w:name="bookmark1180"/>
      <w:bookmarkStart w:id="1181" w:name="bookmark1181"/>
      <w:bookmarkStart w:id="1182" w:name="bookmark11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80"/>
      <w:bookmarkEnd w:id="1181"/>
      <w:bookmarkEnd w:id="11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95,152,682.63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70,279,100.22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38,632,357.26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28,959,641.51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17,394,994.61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250,418,776.23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183"/>
      <w:bookmarkEnd w:id="1184"/>
      <w:bookmarkEnd w:id="11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预收货款及服务款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1,707,148,709.82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1,756,268,042.19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1,707,148,709.82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1,756,268,042.19</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bookmarkEnd w:id="1189"/>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187"/>
      <w:bookmarkEnd w:id="1188"/>
      <w:bookmarkEnd w:id="1190"/>
    </w:p>
    <w:p>
      <w:pPr>
        <w:pStyle w:val="Style37"/>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91"/>
      <w:bookmarkEnd w:id="1192"/>
      <w:bookmarkEnd w:id="1193"/>
    </w:p>
    <w:p>
      <w:pPr>
        <w:pStyle w:val="Style13"/>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488,417,525.40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2,274,086,200.82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2,213,614,515.14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548,889,211.08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4,913,322.06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192,351,899.84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191,898,168.74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5,367,053.16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2,038,003.00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1,970,017.45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3,844,820.55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163,199.90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495,368,850.46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2,468,408,118.11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2,409,357,504.43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554,419,464.14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94"/>
      <w:bookmarkEnd w:id="1195"/>
      <w:bookmarkEnd w:id="11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1800"/>
        <w:gridCol w:w="1800"/>
        <w:gridCol w:w="1800"/>
        <w:gridCol w:w="181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467,349,919.37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1,984,239,928.56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1,924,346,299.33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527,243,548.60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51,519,166.83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51,519,166.83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3,212,292.46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110,737,595.63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110,388,460.93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3,561,427.16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2,914,868.74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102,009,444.70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101,700,584.64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3,223,728.80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65,424.71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3,262,313.80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3,256,347.46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71,391.05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231,999.01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5,465,837.13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5,431,528.83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266,307.31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115,602,580.10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115,604,153.10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17,879,565.57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11,986,929.70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11,756,434.95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18,110,060.32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488,417,525.40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2,274,086,200.82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2,213,614,515.14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548,889,211.08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97"/>
      <w:bookmarkEnd w:id="1198"/>
      <w:bookmarkEnd w:id="12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4,671,957.36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185,766,810.16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185,236,710.14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5,202,057.38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241,364.70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6,585,089.68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6,661,458.60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164,995.78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4,913,322.06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192,351,899.84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191,898,168.74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5,367,053.16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bookmarkEnd w:id="1203"/>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201"/>
      <w:bookmarkEnd w:id="1202"/>
      <w:bookmarkEnd w:id="1204"/>
    </w:p>
    <w:p>
      <w:pPr>
        <w:pStyle w:val="Style1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99,613,835.41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135,018,234.47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31,629,550.83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27,682,838.75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9,006,641.00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6,894,200.38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6,445,363.69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9,422,967.04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2,759,583.27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4,035,527.61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1,844,781.14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2,694,599.96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1,868,417.50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1,979,053.70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401,369.56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399,994.40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153,569,542.40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188,127,416.31</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205"/>
      <w:bookmarkEnd w:id="1206"/>
      <w:bookmarkEnd w:id="1208"/>
    </w:p>
    <w:p>
      <w:pPr>
        <w:pStyle w:val="Style37"/>
        <w:keepNext/>
        <w:keepLines/>
        <w:widowControl w:val="0"/>
        <w:shd w:val="clear" w:color="auto" w:fill="auto"/>
        <w:bidi w:val="0"/>
        <w:spacing w:before="0" w:after="36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color w:val="000000"/>
          <w:spacing w:val="0"/>
          <w:w w:val="100"/>
          <w:position w:val="0"/>
        </w:rPr>
        <w:t>）按款项性质列示其他应付款</w:t>
      </w:r>
      <w:bookmarkEnd w:id="1209"/>
      <w:bookmarkEnd w:id="1210"/>
      <w:bookmarkEnd w:id="12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134,569,399.86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185,535,317.65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20,967,450.00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7,444,356.41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5,431,844.95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20,906,406.04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10,180,512.38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162,920,162.31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222,115,124.98</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213"/>
      <w:bookmarkEnd w:id="1214"/>
      <w:bookmarkEnd w:id="12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29,131,925.99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9,554,230.27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29,131,925.99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9,554,230.27</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217"/>
      <w:bookmarkEnd w:id="1218"/>
      <w:bookmarkEnd w:id="12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62,674,277.37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17,573,999.66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62,674,277.37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17,573,999.66</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221"/>
      <w:bookmarkEnd w:id="1222"/>
      <w:bookmarkEnd w:id="1224"/>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20,061,059.53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11,747,852.99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14,559,437.03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17,249,475.49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20,061,059.53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11,747,852.99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14,559,437.03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17,249,475.49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142"/>
        <w:gridCol w:w="878"/>
        <w:gridCol w:w="1109"/>
        <w:gridCol w:w="989"/>
        <w:gridCol w:w="931"/>
        <w:gridCol w:w="1248"/>
        <w:gridCol w:w="101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FY19</w:t>
            </w:r>
            <w:r>
              <w:rPr>
                <w:color w:val="000000"/>
                <w:spacing w:val="0"/>
                <w:w w:val="100"/>
                <w:position w:val="0"/>
              </w:rPr>
              <w:t>工业</w:t>
            </w:r>
          </w:p>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APP</w:t>
            </w:r>
            <w:r>
              <w:rPr>
                <w:color w:val="000000"/>
                <w:spacing w:val="0"/>
                <w:w w:val="100"/>
                <w:position w:val="0"/>
              </w:rPr>
              <w:t>标识管 理服务系统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882,275.37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3,917,724.63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工业互联网 标识数据交 互中间件与 资源池服务 平台（资产）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2,730,678.44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Deeplan </w:t>
            </w:r>
            <w:r>
              <w:rPr>
                <w:color w:val="000000"/>
                <w:spacing w:val="0"/>
                <w:w w:val="100"/>
                <w:position w:val="0"/>
              </w:rPr>
              <w:t>通</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信大数据平 台研发与产 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3,175,684.20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1,297,625.12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1,878,059.08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金义都市新 区龙芯适配 运维中心扶 持项目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2,314,613.08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594,195.12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1,720,417.96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医疗机构大 数据网络技 术，存储、 传输安全性 和共享机制 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工业互联网 平台边缘设 备接入管理 项目（资产）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8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FY19</w:t>
            </w:r>
            <w:r>
              <w:rPr>
                <w:color w:val="000000"/>
                <w:spacing w:val="0"/>
                <w:w w:val="100"/>
                <w:position w:val="0"/>
              </w:rPr>
              <w:t>工业</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APP</w:t>
            </w:r>
            <w:r>
              <w:rPr>
                <w:color w:val="000000"/>
                <w:spacing w:val="0"/>
                <w:w w:val="100"/>
                <w:position w:val="0"/>
              </w:rPr>
              <w:t>标识管</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理服务系统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1,481,400.00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1,018,189.85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983,210.15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18"/>
        <w:gridCol w:w="1248"/>
        <w:gridCol w:w="1142"/>
        <w:gridCol w:w="878"/>
        <w:gridCol w:w="1109"/>
        <w:gridCol w:w="989"/>
        <w:gridCol w:w="931"/>
        <w:gridCol w:w="1248"/>
        <w:gridCol w:w="101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年北京 市文化产业 </w:t>
            </w:r>
            <w:r>
              <w:rPr>
                <w:rFonts w:ascii="Times New Roman" w:eastAsia="Times New Roman" w:hAnsi="Times New Roman" w:cs="Times New Roman"/>
                <w:color w:val="000000"/>
                <w:spacing w:val="0"/>
                <w:w w:val="100"/>
                <w:position w:val="0"/>
              </w:rPr>
              <w:t>"</w:t>
            </w:r>
            <w:r>
              <w:rPr>
                <w:color w:val="000000"/>
                <w:spacing w:val="0"/>
                <w:w w:val="100"/>
                <w:position w:val="0"/>
              </w:rPr>
              <w:t>投贷奖''支 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1,574,746.00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791,746.00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国家级苹果</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产业大数据</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中心一期</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935,350.00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677,950.00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高效节能温</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室和智能化</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精细调控技</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术与装备研</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恶性肿瘤大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数据处理分</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析与应用研</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409,839.65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409,839.65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工业互联网 标识数据交 互中间件与 资源池服务 平台（收益）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2,141,600.00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陆海接力鱼 类精准养殖 关键技术集 成与示范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基于电子病 历和信息集 成平台的医 疗大数据标 准化采集和 分析处理研</w:t>
            </w:r>
          </w:p>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基于分布式 缓存数据一 致性技术的 开放银行平 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233,190.53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61,340.95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171,849.58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77"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地级市市民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公共服务平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317,765.21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825,652.99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993,418.20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18"/>
        <w:gridCol w:w="1248"/>
        <w:gridCol w:w="1142"/>
        <w:gridCol w:w="878"/>
        <w:gridCol w:w="1109"/>
        <w:gridCol w:w="989"/>
        <w:gridCol w:w="931"/>
        <w:gridCol w:w="1248"/>
        <w:gridCol w:w="101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台示范应用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复杂社区环 境场景感知 和智能态势 认知技术研</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1,087,863.21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1,087,863.21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面向新型智 慧城市的软 件互操作与 集成平台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398,393.48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398,393.48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综合性科技 服务协同平 台及构件库</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32,714.17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工业互联网 平台边缘设 备接入管理 项目（收益）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1,102,100.00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智能制造资 源云平台研 制与创新应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Deeplan </w:t>
            </w:r>
            <w:r>
              <w:rPr>
                <w:color w:val="000000"/>
                <w:spacing w:val="0"/>
                <w:w w:val="100"/>
                <w:position w:val="0"/>
              </w:rPr>
              <w:t>通</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信大数据平 台研发与产 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20,061,059.53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11,747,852.99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14,559,437.03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17,249,475.49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3</w:t>
      </w:r>
      <w:bookmarkEnd w:id="1227"/>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1225"/>
      <w:bookmarkEnd w:id="1226"/>
      <w:bookmarkEnd w:id="12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975,768,827.00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3,975,601.00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3,975,601.00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979,744,428.00</w:t>
            </w:r>
          </w:p>
        </w:tc>
      </w:tr>
    </w:tbl>
    <w:p>
      <w:pPr>
        <w:widowControl w:val="0"/>
        <w:spacing w:after="319" w:line="1" w:lineRule="exact"/>
      </w:pPr>
    </w:p>
    <w:p>
      <w:pPr>
        <w:pStyle w:val="Style1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注：</w:t>
      </w:r>
      <w:r>
        <w:rPr>
          <w:color w:val="000000"/>
          <w:spacing w:val="0"/>
          <w:w w:val="100"/>
          <w:position w:val="0"/>
        </w:rPr>
        <w:t>2021</w:t>
      </w:r>
      <w:r>
        <w:rPr>
          <w:color w:val="000000"/>
          <w:spacing w:val="0"/>
          <w:w w:val="100"/>
          <w:position w:val="0"/>
        </w:rPr>
        <w:t>年公司股票期权第一个行权期激励对象中</w:t>
      </w:r>
      <w:r>
        <w:rPr>
          <w:color w:val="000000"/>
          <w:spacing w:val="0"/>
          <w:w w:val="100"/>
          <w:position w:val="0"/>
        </w:rPr>
        <w:t>24</w:t>
      </w:r>
      <w:r>
        <w:rPr>
          <w:color w:val="000000"/>
          <w:spacing w:val="0"/>
          <w:w w:val="100"/>
          <w:position w:val="0"/>
        </w:rPr>
        <w:t>名员工离职，公司注销其未行权股票</w:t>
      </w:r>
      <w:r>
        <w:rPr>
          <w:color w:val="000000"/>
          <w:spacing w:val="0"/>
          <w:w w:val="100"/>
          <w:position w:val="0"/>
        </w:rPr>
        <w:t>1,096,845.00</w:t>
      </w:r>
      <w:r>
        <w:rPr>
          <w:color w:val="000000"/>
          <w:spacing w:val="0"/>
          <w:w w:val="100"/>
          <w:position w:val="0"/>
        </w:rPr>
        <w:t>份，剩余</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3, 975, </w:t>
      </w:r>
      <w:r>
        <w:rPr>
          <w:color w:val="000000"/>
          <w:spacing w:val="0"/>
          <w:w w:val="100"/>
          <w:position w:val="0"/>
        </w:rPr>
        <w:t>601.00</w:t>
      </w:r>
      <w:r>
        <w:rPr>
          <w:color w:val="000000"/>
          <w:spacing w:val="0"/>
          <w:w w:val="100"/>
          <w:position w:val="0"/>
        </w:rPr>
        <w:t>份股票期权本年全部行权，股票期权行权导致股本增加</w:t>
      </w:r>
      <w:r>
        <w:rPr>
          <w:color w:val="000000"/>
          <w:spacing w:val="0"/>
          <w:w w:val="100"/>
          <w:position w:val="0"/>
        </w:rPr>
        <w:t xml:space="preserve">3, 975, </w:t>
      </w:r>
      <w:r>
        <w:rPr>
          <w:color w:val="000000"/>
          <w:spacing w:val="0"/>
          <w:w w:val="100"/>
          <w:position w:val="0"/>
        </w:rPr>
        <w:t>601.00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229"/>
      <w:bookmarkEnd w:id="1230"/>
      <w:bookmarkEnd w:id="1232"/>
    </w:p>
    <w:p>
      <w:pPr>
        <w:pStyle w:val="Style1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资本溢价（股本溢价）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2,333,535,180.88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63,434,389.71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2,185,005.24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2,394,784,565.35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72,616,273.33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8,261,800.55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25,510,348.59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55,367,725.29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2,406,151,454.21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71,696,190.26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27,695,353.83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2,450,152,290.64</w:t>
            </w:r>
          </w:p>
        </w:tc>
      </w:tr>
    </w:tbl>
    <w:p>
      <w:pPr>
        <w:pStyle w:val="Style13"/>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color w:val="000000"/>
          <w:spacing w:val="0"/>
          <w:w w:val="100"/>
          <w:position w:val="0"/>
        </w:rPr>
        <w:t>1：</w:t>
      </w:r>
      <w:r>
        <w:rPr>
          <w:color w:val="000000"/>
          <w:spacing w:val="0"/>
          <w:w w:val="100"/>
          <w:position w:val="0"/>
        </w:rPr>
        <w:t>资本公积-股本溢价本年增加</w:t>
      </w:r>
      <w:r>
        <w:rPr>
          <w:color w:val="000000"/>
          <w:spacing w:val="0"/>
          <w:w w:val="100"/>
          <w:position w:val="0"/>
        </w:rPr>
        <w:t xml:space="preserve">63, 434, </w:t>
      </w:r>
      <w:r>
        <w:rPr>
          <w:color w:val="000000"/>
          <w:spacing w:val="0"/>
          <w:w w:val="100"/>
          <w:position w:val="0"/>
        </w:rPr>
        <w:t xml:space="preserve">389. </w:t>
      </w:r>
      <w:r>
        <w:rPr>
          <w:color w:val="000000"/>
          <w:spacing w:val="0"/>
          <w:w w:val="100"/>
          <w:position w:val="0"/>
        </w:rPr>
        <w:t>71</w:t>
      </w:r>
      <w:r>
        <w:rPr>
          <w:color w:val="000000"/>
          <w:spacing w:val="0"/>
          <w:w w:val="100"/>
          <w:position w:val="0"/>
        </w:rPr>
        <w:t>元，主要系员工行权购买本公司股份</w:t>
      </w:r>
      <w:r>
        <w:rPr>
          <w:color w:val="000000"/>
          <w:spacing w:val="0"/>
          <w:w w:val="100"/>
          <w:position w:val="0"/>
        </w:rPr>
        <w:t>3,975,601.00</w:t>
      </w:r>
      <w:r>
        <w:rPr>
          <w:color w:val="000000"/>
          <w:spacing w:val="0"/>
          <w:w w:val="100"/>
          <w:position w:val="0"/>
        </w:rPr>
        <w:t>股，增加资本公积</w:t>
      </w:r>
      <w:r>
        <w:rPr>
          <w:color w:val="000000"/>
          <w:spacing w:val="0"/>
          <w:w w:val="100"/>
          <w:position w:val="0"/>
        </w:rPr>
        <w:t xml:space="preserve">- </w:t>
      </w:r>
      <w:r>
        <w:rPr>
          <w:color w:val="000000"/>
          <w:spacing w:val="0"/>
          <w:w w:val="100"/>
          <w:position w:val="0"/>
        </w:rPr>
        <w:t>股本溢价</w:t>
      </w:r>
      <w:r>
        <w:rPr>
          <w:color w:val="000000"/>
          <w:spacing w:val="0"/>
          <w:w w:val="100"/>
          <w:position w:val="0"/>
        </w:rPr>
        <w:t xml:space="preserve">46, </w:t>
      </w:r>
      <w:r>
        <w:rPr>
          <w:color w:val="000000"/>
          <w:spacing w:val="0"/>
          <w:w w:val="100"/>
          <w:position w:val="0"/>
        </w:rPr>
        <w:t xml:space="preserve">746,915. </w:t>
      </w:r>
      <w:r>
        <w:rPr>
          <w:color w:val="000000"/>
          <w:spacing w:val="0"/>
          <w:w w:val="100"/>
          <w:position w:val="0"/>
        </w:rPr>
        <w:t>46</w:t>
      </w:r>
      <w:r>
        <w:rPr>
          <w:color w:val="000000"/>
          <w:spacing w:val="0"/>
          <w:w w:val="100"/>
          <w:position w:val="0"/>
        </w:rPr>
        <w:t xml:space="preserve">元。另外，因股票期权行权及限制性股票解锁，由资本公积-其他资本公积转至资本公积-股本溢价 </w:t>
      </w:r>
      <w:r>
        <w:rPr>
          <w:color w:val="000000"/>
          <w:spacing w:val="0"/>
          <w:w w:val="100"/>
          <w:position w:val="0"/>
        </w:rPr>
        <w:t xml:space="preserve">16, 687, </w:t>
      </w:r>
      <w:r>
        <w:rPr>
          <w:color w:val="000000"/>
          <w:spacing w:val="0"/>
          <w:w w:val="100"/>
          <w:position w:val="0"/>
        </w:rPr>
        <w:t xml:space="preserve">474. </w:t>
      </w:r>
      <w:r>
        <w:rPr>
          <w:color w:val="000000"/>
          <w:spacing w:val="0"/>
          <w:w w:val="100"/>
          <w:position w:val="0"/>
        </w:rPr>
        <w:t>25</w:t>
      </w:r>
      <w:r>
        <w:rPr>
          <w:color w:val="000000"/>
          <w:spacing w:val="0"/>
          <w:w w:val="100"/>
          <w:position w:val="0"/>
        </w:rPr>
        <w:t>元；资本公积-股本溢价本年减少主要系本公司之子公司中农信达回购其子公司湖南中农信达信息科技有限公 司少数股东权益，减少资本公积</w:t>
      </w:r>
      <w:r>
        <w:rPr>
          <w:color w:val="000000"/>
          <w:spacing w:val="0"/>
          <w:w w:val="100"/>
          <w:position w:val="0"/>
        </w:rPr>
        <w:t>2,185,005.24</w:t>
      </w:r>
      <w:r>
        <w:rPr>
          <w:color w:val="000000"/>
          <w:spacing w:val="0"/>
          <w:w w:val="100"/>
          <w:position w:val="0"/>
        </w:rPr>
        <w:t>元。</w:t>
      </w:r>
    </w:p>
    <w:p>
      <w:pPr>
        <w:pStyle w:val="Style13"/>
        <w:keepNext w:val="0"/>
        <w:keepLines w:val="0"/>
        <w:widowControl w:val="0"/>
        <w:shd w:val="clear" w:color="auto" w:fill="auto"/>
        <w:bidi w:val="0"/>
        <w:spacing w:before="0" w:after="360" w:line="314" w:lineRule="exact"/>
        <w:ind w:left="0" w:right="0"/>
        <w:jc w:val="both"/>
      </w:pPr>
      <w:r>
        <w:rPr>
          <w:color w:val="000000"/>
          <w:spacing w:val="0"/>
          <w:w w:val="100"/>
          <w:position w:val="0"/>
        </w:rPr>
        <w:t>注</w:t>
      </w:r>
      <w:r>
        <w:rPr>
          <w:color w:val="000000"/>
          <w:spacing w:val="0"/>
          <w:w w:val="100"/>
          <w:position w:val="0"/>
        </w:rPr>
        <w:t>2：</w:t>
      </w:r>
      <w:r>
        <w:rPr>
          <w:color w:val="000000"/>
          <w:spacing w:val="0"/>
          <w:w w:val="100"/>
          <w:position w:val="0"/>
        </w:rPr>
        <w:t>其他资本公积本年增加系本集团向激励对象授予股票期权与限制性股票确认的股份支付费用</w:t>
      </w:r>
      <w:r>
        <w:rPr>
          <w:color w:val="000000"/>
          <w:spacing w:val="0"/>
          <w:w w:val="100"/>
          <w:position w:val="0"/>
        </w:rPr>
        <w:t xml:space="preserve">8, 972, </w:t>
      </w:r>
      <w:r>
        <w:rPr>
          <w:color w:val="000000"/>
          <w:spacing w:val="0"/>
          <w:w w:val="100"/>
          <w:position w:val="0"/>
        </w:rPr>
        <w:t xml:space="preserve">688. </w:t>
      </w:r>
      <w:r>
        <w:rPr>
          <w:color w:val="000000"/>
          <w:spacing w:val="0"/>
          <w:w w:val="100"/>
          <w:position w:val="0"/>
        </w:rPr>
        <w:t>94</w:t>
      </w:r>
      <w:r>
        <w:rPr>
          <w:color w:val="000000"/>
          <w:spacing w:val="0"/>
          <w:w w:val="100"/>
          <w:position w:val="0"/>
        </w:rPr>
        <w:t>元，其 中增加其他资本公积</w:t>
      </w:r>
      <w:r>
        <w:rPr>
          <w:color w:val="000000"/>
          <w:spacing w:val="0"/>
          <w:w w:val="100"/>
          <w:position w:val="0"/>
        </w:rPr>
        <w:t xml:space="preserve">8, 261, </w:t>
      </w:r>
      <w:r>
        <w:rPr>
          <w:color w:val="000000"/>
          <w:spacing w:val="0"/>
          <w:w w:val="100"/>
          <w:position w:val="0"/>
        </w:rPr>
        <w:t xml:space="preserve">800. </w:t>
      </w:r>
      <w:r>
        <w:rPr>
          <w:color w:val="000000"/>
          <w:spacing w:val="0"/>
          <w:w w:val="100"/>
          <w:position w:val="0"/>
        </w:rPr>
        <w:t>55</w:t>
      </w:r>
      <w:r>
        <w:rPr>
          <w:color w:val="000000"/>
          <w:spacing w:val="0"/>
          <w:w w:val="100"/>
          <w:position w:val="0"/>
        </w:rPr>
        <w:t>元，增加少数股东权益</w:t>
      </w:r>
      <w:r>
        <w:rPr>
          <w:color w:val="000000"/>
          <w:spacing w:val="0"/>
          <w:w w:val="100"/>
          <w:position w:val="0"/>
        </w:rPr>
        <w:t xml:space="preserve">710, </w:t>
      </w:r>
      <w:r>
        <w:rPr>
          <w:color w:val="000000"/>
          <w:spacing w:val="0"/>
          <w:w w:val="100"/>
          <w:position w:val="0"/>
        </w:rPr>
        <w:t xml:space="preserve">888. </w:t>
      </w:r>
      <w:r>
        <w:rPr>
          <w:color w:val="000000"/>
          <w:spacing w:val="0"/>
          <w:w w:val="100"/>
          <w:position w:val="0"/>
        </w:rPr>
        <w:t>39</w:t>
      </w:r>
      <w:r>
        <w:rPr>
          <w:color w:val="000000"/>
          <w:spacing w:val="0"/>
          <w:w w:val="100"/>
          <w:position w:val="0"/>
        </w:rPr>
        <w:t>元；其他资本公积本年减少包括因股票期权行权及限制 性股票解锁，相应结转资本公积-其他资本公积至资本公积-股本溢价</w:t>
      </w:r>
      <w:r>
        <w:rPr>
          <w:color w:val="000000"/>
          <w:spacing w:val="0"/>
          <w:w w:val="100"/>
          <w:position w:val="0"/>
        </w:rPr>
        <w:t xml:space="preserve">16, 687, </w:t>
      </w:r>
      <w:r>
        <w:rPr>
          <w:color w:val="000000"/>
          <w:spacing w:val="0"/>
          <w:w w:val="100"/>
          <w:position w:val="0"/>
        </w:rPr>
        <w:t xml:space="preserve">474. </w:t>
      </w:r>
      <w:r>
        <w:rPr>
          <w:color w:val="000000"/>
          <w:spacing w:val="0"/>
          <w:w w:val="100"/>
          <w:position w:val="0"/>
        </w:rPr>
        <w:t>25</w:t>
      </w:r>
      <w:r>
        <w:rPr>
          <w:color w:val="000000"/>
          <w:spacing w:val="0"/>
          <w:w w:val="100"/>
          <w:position w:val="0"/>
        </w:rPr>
        <w:t>元；因股份支付费用确认递延所得税资 产，减少其他资本公积</w:t>
      </w:r>
      <w:r>
        <w:rPr>
          <w:color w:val="000000"/>
          <w:spacing w:val="0"/>
          <w:w w:val="100"/>
          <w:position w:val="0"/>
        </w:rPr>
        <w:t xml:space="preserve">918, </w:t>
      </w:r>
      <w:r>
        <w:rPr>
          <w:color w:val="000000"/>
          <w:spacing w:val="0"/>
          <w:w w:val="100"/>
          <w:position w:val="0"/>
        </w:rPr>
        <w:t xml:space="preserve">428. </w:t>
      </w:r>
      <w:r>
        <w:rPr>
          <w:color w:val="000000"/>
          <w:spacing w:val="0"/>
          <w:w w:val="100"/>
          <w:position w:val="0"/>
        </w:rPr>
        <w:t>30</w:t>
      </w:r>
      <w:r>
        <w:rPr>
          <w:color w:val="000000"/>
          <w:spacing w:val="0"/>
          <w:w w:val="100"/>
          <w:position w:val="0"/>
        </w:rPr>
        <w:t>元；以及处置神州数码融信云技术服务有限公司股权导致其他资本公积减少</w:t>
      </w:r>
      <w:r>
        <w:rPr>
          <w:color w:val="000000"/>
          <w:spacing w:val="0"/>
          <w:w w:val="100"/>
          <w:position w:val="0"/>
        </w:rPr>
        <w:t xml:space="preserve">7, 904, </w:t>
      </w:r>
      <w:r>
        <w:rPr>
          <w:color w:val="000000"/>
          <w:spacing w:val="0"/>
          <w:w w:val="100"/>
          <w:position w:val="0"/>
        </w:rPr>
        <w:t xml:space="preserve">446. </w:t>
      </w:r>
      <w:r>
        <w:rPr>
          <w:color w:val="000000"/>
          <w:spacing w:val="0"/>
          <w:w w:val="100"/>
          <w:position w:val="0"/>
        </w:rPr>
        <w:t xml:space="preserve">04 </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3</w:t>
      </w:r>
      <w:bookmarkEnd w:id="1235"/>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233"/>
      <w:bookmarkEnd w:id="1234"/>
      <w:bookmarkEnd w:id="12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回购流通股股票（注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139,237,351.44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60,823,795.09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200,061,146.53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限制性股票回购义务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20,967,450.00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20,967,450.00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160,204,801.44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60,823,795.09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20,967,450.00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200,061,146.53</w:t>
            </w:r>
          </w:p>
        </w:tc>
      </w:tr>
    </w:tbl>
    <w:p>
      <w:pPr>
        <w:pStyle w:val="Style1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color w:val="000000"/>
          <w:spacing w:val="0"/>
          <w:w w:val="100"/>
          <w:position w:val="0"/>
        </w:rPr>
        <w:t>1： 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日，本公司召开的第八届董事会第七次会议审议通过了《关于以集中竞价交易方式回购公司股份方 案的议案》，同意公司使用自有资金或自筹资金以集中竞价交易方式回购公司</w:t>
      </w:r>
      <w:r>
        <w:rPr>
          <w:color w:val="000000"/>
          <w:spacing w:val="0"/>
          <w:w w:val="100"/>
          <w:position w:val="0"/>
        </w:rPr>
        <w:t>A</w:t>
      </w:r>
      <w:r>
        <w:rPr>
          <w:color w:val="000000"/>
          <w:spacing w:val="0"/>
          <w:w w:val="100"/>
          <w:position w:val="0"/>
        </w:rPr>
        <w:t>股股份，用于实施公司员工持股计划或股权 激励。截至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日，公司累计回购股份</w:t>
      </w:r>
      <w:r>
        <w:rPr>
          <w:color w:val="000000"/>
          <w:spacing w:val="0"/>
          <w:w w:val="100"/>
          <w:position w:val="0"/>
        </w:rPr>
        <w:t xml:space="preserve">8, 775, </w:t>
      </w:r>
      <w:r>
        <w:rPr>
          <w:color w:val="000000"/>
          <w:spacing w:val="0"/>
          <w:w w:val="100"/>
          <w:position w:val="0"/>
        </w:rPr>
        <w:t>208.00</w:t>
      </w:r>
      <w:r>
        <w:rPr>
          <w:color w:val="000000"/>
          <w:spacing w:val="0"/>
          <w:w w:val="100"/>
          <w:position w:val="0"/>
        </w:rPr>
        <w:t>股，平均成本</w:t>
      </w:r>
      <w:r>
        <w:rPr>
          <w:color w:val="000000"/>
          <w:spacing w:val="0"/>
          <w:w w:val="100"/>
          <w:position w:val="0"/>
        </w:rPr>
        <w:t xml:space="preserve">15. </w:t>
      </w:r>
      <w:r>
        <w:rPr>
          <w:color w:val="000000"/>
          <w:spacing w:val="0"/>
          <w:w w:val="100"/>
          <w:position w:val="0"/>
        </w:rPr>
        <w:t>87</w:t>
      </w:r>
      <w:r>
        <w:rPr>
          <w:color w:val="000000"/>
          <w:spacing w:val="0"/>
          <w:w w:val="100"/>
          <w:position w:val="0"/>
        </w:rPr>
        <w:t>元/股，支付总金额</w:t>
      </w:r>
      <w:r>
        <w:rPr>
          <w:color w:val="000000"/>
          <w:spacing w:val="0"/>
          <w:w w:val="100"/>
          <w:position w:val="0"/>
        </w:rPr>
        <w:t>139,237,351.44</w:t>
      </w:r>
      <w:r>
        <w:rPr>
          <w:color w:val="000000"/>
          <w:spacing w:val="0"/>
          <w:w w:val="100"/>
          <w:position w:val="0"/>
        </w:rPr>
        <w:t>元。</w:t>
      </w:r>
      <w:r>
        <w:rPr>
          <w:color w:val="000000"/>
          <w:spacing w:val="0"/>
          <w:w w:val="100"/>
          <w:position w:val="0"/>
        </w:rPr>
        <w:t xml:space="preserve">2021 </w:t>
      </w:r>
      <w:r>
        <w:rPr>
          <w:color w:val="000000"/>
          <w:spacing w:val="0"/>
          <w:w w:val="100"/>
          <w:position w:val="0"/>
        </w:rPr>
        <w:t>年公司回购股份</w:t>
      </w:r>
      <w:r>
        <w:rPr>
          <w:color w:val="000000"/>
          <w:spacing w:val="0"/>
          <w:w w:val="100"/>
          <w:position w:val="0"/>
        </w:rPr>
        <w:t xml:space="preserve">4, 089, </w:t>
      </w:r>
      <w:r>
        <w:rPr>
          <w:color w:val="000000"/>
          <w:spacing w:val="0"/>
          <w:w w:val="100"/>
          <w:position w:val="0"/>
        </w:rPr>
        <w:t xml:space="preserve">268. </w:t>
      </w:r>
      <w:r>
        <w:rPr>
          <w:color w:val="000000"/>
          <w:spacing w:val="0"/>
          <w:w w:val="100"/>
          <w:position w:val="0"/>
        </w:rPr>
        <w:t>00</w:t>
      </w:r>
      <w:r>
        <w:rPr>
          <w:color w:val="000000"/>
          <w:spacing w:val="0"/>
          <w:w w:val="100"/>
          <w:position w:val="0"/>
        </w:rPr>
        <w:t>股，支付金额</w:t>
      </w:r>
      <w:r>
        <w:rPr>
          <w:color w:val="000000"/>
          <w:spacing w:val="0"/>
          <w:w w:val="100"/>
          <w:position w:val="0"/>
        </w:rPr>
        <w:t xml:space="preserve">60, 823, </w:t>
      </w:r>
      <w:r>
        <w:rPr>
          <w:color w:val="000000"/>
          <w:spacing w:val="0"/>
          <w:w w:val="100"/>
          <w:position w:val="0"/>
        </w:rPr>
        <w:t xml:space="preserve">795. </w:t>
      </w:r>
      <w:r>
        <w:rPr>
          <w:color w:val="000000"/>
          <w:spacing w:val="0"/>
          <w:w w:val="100"/>
          <w:position w:val="0"/>
        </w:rPr>
        <w:t>09</w:t>
      </w:r>
      <w:r>
        <w:rPr>
          <w:color w:val="000000"/>
          <w:spacing w:val="0"/>
          <w:w w:val="100"/>
          <w:position w:val="0"/>
        </w:rPr>
        <w:t>元，截至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日，公司累计回购股份</w:t>
      </w:r>
      <w:r>
        <w:rPr>
          <w:color w:val="000000"/>
          <w:spacing w:val="0"/>
          <w:w w:val="100"/>
          <w:position w:val="0"/>
        </w:rPr>
        <w:t>12,864,476.0</w:t>
      </w:r>
      <w:r>
        <w:rPr>
          <w:color w:val="000000"/>
          <w:spacing w:val="0"/>
          <w:w w:val="100"/>
          <w:position w:val="0"/>
        </w:rPr>
        <w:t>0</w:t>
      </w:r>
      <w:r>
        <w:rPr>
          <w:color w:val="000000"/>
          <w:spacing w:val="0"/>
          <w:w w:val="100"/>
          <w:position w:val="0"/>
        </w:rPr>
        <w:t>股， 平均成本</w:t>
      </w:r>
      <w:r>
        <w:rPr>
          <w:color w:val="000000"/>
          <w:spacing w:val="0"/>
          <w:w w:val="100"/>
          <w:position w:val="0"/>
        </w:rPr>
        <w:t xml:space="preserve">15. </w:t>
      </w:r>
      <w:r>
        <w:rPr>
          <w:color w:val="000000"/>
          <w:spacing w:val="0"/>
          <w:w w:val="100"/>
          <w:position w:val="0"/>
        </w:rPr>
        <w:t>55</w:t>
      </w:r>
      <w:r>
        <w:rPr>
          <w:color w:val="000000"/>
          <w:spacing w:val="0"/>
          <w:w w:val="100"/>
          <w:position w:val="0"/>
        </w:rPr>
        <w:t>元/股，支付总金额</w:t>
      </w:r>
      <w:r>
        <w:rPr>
          <w:color w:val="000000"/>
          <w:spacing w:val="0"/>
          <w:w w:val="100"/>
          <w:position w:val="0"/>
        </w:rPr>
        <w:t xml:space="preserve">200, </w:t>
      </w:r>
      <w:r>
        <w:rPr>
          <w:color w:val="000000"/>
          <w:spacing w:val="0"/>
          <w:w w:val="100"/>
          <w:position w:val="0"/>
        </w:rPr>
        <w:t xml:space="preserve">061,146. </w:t>
      </w:r>
      <w:r>
        <w:rPr>
          <w:color w:val="000000"/>
          <w:spacing w:val="0"/>
          <w:w w:val="100"/>
          <w:position w:val="0"/>
        </w:rPr>
        <w:t>53</w:t>
      </w:r>
      <w:r>
        <w:rPr>
          <w:color w:val="000000"/>
          <w:spacing w:val="0"/>
          <w:w w:val="100"/>
          <w:position w:val="0"/>
        </w:rPr>
        <w:t>元。</w:t>
      </w:r>
    </w:p>
    <w:p>
      <w:pPr>
        <w:pStyle w:val="Style13"/>
        <w:keepNext w:val="0"/>
        <w:keepLines w:val="0"/>
        <w:widowControl w:val="0"/>
        <w:shd w:val="clear" w:color="auto" w:fill="auto"/>
        <w:bidi w:val="0"/>
        <w:spacing w:before="0" w:after="360" w:line="311" w:lineRule="exact"/>
        <w:ind w:left="0" w:right="0"/>
        <w:jc w:val="both"/>
      </w:pPr>
      <w:r>
        <w:rPr>
          <w:color w:val="000000"/>
          <w:spacing w:val="0"/>
          <w:w w:val="100"/>
          <w:position w:val="0"/>
        </w:rPr>
        <w:t>注</w:t>
      </w:r>
      <w:r>
        <w:rPr>
          <w:color w:val="000000"/>
          <w:spacing w:val="0"/>
          <w:w w:val="100"/>
          <w:position w:val="0"/>
        </w:rPr>
        <w:t>2：</w:t>
      </w:r>
      <w:r>
        <w:rPr>
          <w:color w:val="000000"/>
          <w:spacing w:val="0"/>
          <w:w w:val="100"/>
          <w:position w:val="0"/>
        </w:rPr>
        <w:t>本年减少主要系</w:t>
      </w:r>
      <w:r>
        <w:rPr>
          <w:color w:val="000000"/>
          <w:spacing w:val="0"/>
          <w:w w:val="100"/>
          <w:position w:val="0"/>
        </w:rPr>
        <w:t>2019</w:t>
      </w:r>
      <w:r>
        <w:rPr>
          <w:color w:val="000000"/>
          <w:spacing w:val="0"/>
          <w:w w:val="100"/>
          <w:position w:val="0"/>
        </w:rPr>
        <w:t xml:space="preserve">年股份激励计划中第二期限制性股票解锁减少限制性股票回购义务，致使库存股减少 </w:t>
      </w:r>
      <w:r>
        <w:rPr>
          <w:color w:val="000000"/>
          <w:spacing w:val="0"/>
          <w:w w:val="100"/>
          <w:position w:val="0"/>
        </w:rPr>
        <w:t xml:space="preserve">20, 967, </w:t>
      </w:r>
      <w:r>
        <w:rPr>
          <w:color w:val="000000"/>
          <w:spacing w:val="0"/>
          <w:w w:val="100"/>
          <w:position w:val="0"/>
        </w:rPr>
        <w:t xml:space="preserve">450. </w:t>
      </w:r>
      <w:r>
        <w:rPr>
          <w:color w:val="000000"/>
          <w:spacing w:val="0"/>
          <w:w w:val="100"/>
          <w:position w:val="0"/>
        </w:rPr>
        <w:t>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3</w:t>
      </w:r>
      <w:bookmarkEnd w:id="1239"/>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237"/>
      <w:bookmarkEnd w:id="1238"/>
      <w:bookmarkEnd w:id="12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38"/>
        <w:gridCol w:w="1272"/>
        <w:gridCol w:w="850"/>
        <w:gridCol w:w="854"/>
        <w:gridCol w:w="1133"/>
        <w:gridCol w:w="1133"/>
        <w:gridCol w:w="427"/>
        <w:gridCol w:w="12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本期所得税前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减：所得税费 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税后 归属 于少 数股 东</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40,695,139.73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-8,169,482.96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-2,042,370.74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-6,127,112.22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34,568,027.51</w:t>
            </w:r>
          </w:p>
        </w:tc>
      </w:tr>
    </w:tbl>
    <w:p>
      <w:pPr>
        <w:spacing w:lineRule="exact" w:line="1"/>
        <w:rPr>
          <w:sz w:val="2"/>
          <w:szCs w:val="2"/>
        </w:rPr>
      </w:pPr>
      <w:r>
        <w:br w:type="page"/>
      </w:r>
    </w:p>
    <w:tbl>
      <w:tblPr>
        <w:tblOverlap w:val="never"/>
        <w:jc w:val="center"/>
        <w:tblLayout w:type="fixed"/>
      </w:tblPr>
      <w:tblGrid>
        <w:gridCol w:w="1565"/>
        <w:gridCol w:w="1138"/>
        <w:gridCol w:w="1272"/>
        <w:gridCol w:w="850"/>
        <w:gridCol w:w="854"/>
        <w:gridCol w:w="1133"/>
        <w:gridCol w:w="1133"/>
        <w:gridCol w:w="427"/>
        <w:gridCol w:w="1210"/>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其他权益工 具投资公允价值变 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40,695,139.73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-8,169,482.96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-2,042,370.74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-6,127,112.22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34,568,027.51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 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58,297,912.51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-1,456,428.82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-1,456,428.82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56,841,483.69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外币财务报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58,297,912.51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-1,456,428.82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-1,456,428.82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56,841,483.69</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98,993,052.24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-9,625,911.78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-2,042,370.74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-7,583,541.04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91,409,511.20</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3</w:t>
      </w:r>
      <w:bookmarkEnd w:id="1243"/>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241"/>
      <w:bookmarkEnd w:id="1242"/>
      <w:bookmarkEnd w:id="12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34,958,025.22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7,116,492.51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42,074,517.73</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34,958,025.22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7,116,492.51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42,074,517.73</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245"/>
      <w:bookmarkEnd w:id="1246"/>
      <w:bookmarkEnd w:id="1248"/>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2,229,478,383.79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1,885,845,382.35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-83,463,583.36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2,229,478,383.79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1,802,381,798.99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376,182,779.04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475,673,930.78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7,116,492.51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7,138,280.17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48,175,357.02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37,844,869.64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前期计入其他综合收益当期转入留存收益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-3,594,196.17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bookmarkStart w:id="1249" w:name="bookmark1249"/>
            <w:r>
              <w:rPr>
                <w:color w:val="000000"/>
                <w:spacing w:val="0"/>
                <w:w w:val="100"/>
                <w:position w:val="0"/>
              </w:rPr>
              <w:t>期末未分配利润</w:t>
            </w:r>
            <w:bookmarkEnd w:id="1249"/>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2,550,369,313.30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2,229,478,383.79</w:t>
            </w:r>
          </w:p>
        </w:tc>
      </w:tr>
    </w:tbl>
    <w:p>
      <w:pPr>
        <w:sectPr>
          <w:footnotePr>
            <w:pos w:val="pageBottom"/>
            <w:numFmt w:val="decimal"/>
            <w:numRestart w:val="continuous"/>
          </w:footnotePr>
          <w:pgSz w:w="11900" w:h="16840"/>
          <w:pgMar w:top="1374" w:right="1039" w:bottom="1470" w:left="1049" w:header="0" w:footer="3" w:gutter="0"/>
          <w:cols w:space="720"/>
          <w:noEndnote/>
          <w:rtlGutter w:val="0"/>
          <w:docGrid w:linePitch="360"/>
        </w:sectPr>
      </w:pPr>
    </w:p>
    <w:p>
      <w:pPr>
        <w:pStyle w:val="Style22"/>
        <w:keepNext w:val="0"/>
        <w:keepLines w:val="0"/>
        <w:widowControl w:val="0"/>
        <w:shd w:val="clear" w:color="auto" w:fill="auto"/>
        <w:bidi w:val="0"/>
        <w:spacing w:before="360" w:after="360" w:line="240" w:lineRule="auto"/>
        <w:ind w:left="0" w:right="0" w:firstLine="0"/>
        <w:jc w:val="left"/>
        <w:rPr>
          <w:sz w:val="20"/>
          <w:szCs w:val="20"/>
        </w:rPr>
      </w:pPr>
      <w:bookmarkStart w:id="1250" w:name="bookmark1250"/>
      <w:r>
        <w:rPr>
          <w:rFonts w:ascii="Times New Roman" w:eastAsia="Times New Roman" w:hAnsi="Times New Roman" w:cs="Times New Roman"/>
          <w:b/>
          <w:bCs/>
          <w:color w:val="000000"/>
          <w:spacing w:val="0"/>
          <w:w w:val="100"/>
          <w:position w:val="0"/>
          <w:sz w:val="20"/>
          <w:szCs w:val="20"/>
        </w:rPr>
        <w:t>3</w:t>
      </w:r>
      <w:bookmarkEnd w:id="1250"/>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、营业收入和营业成本</w:t>
      </w:r>
    </w:p>
    <w:p>
      <w:pPr>
        <w:pStyle w:val="Style37"/>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3" w:name="bookmark12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251"/>
      <w:bookmarkEnd w:id="1252"/>
      <w:bookmarkEnd w:id="12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11,350,082,501.46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9,414,375,838.15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10,679,984,813.94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8,859,232,129.93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5,602,227.09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5,992,018.06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11,355,684,728.55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9,414,747,288.83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10,685,976,832.00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8,859,603,580.61</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jc w:val="left"/>
      </w:pPr>
      <w:r>
        <w:rPr>
          <w:color w:val="000000"/>
          <w:spacing w:val="0"/>
          <w:w w:val="100"/>
          <w:position w:val="0"/>
        </w:rPr>
        <w:t>注：其他业务收入主要系餐厅和办公楼的房租收入，餐厅相关折旧成本部分在“管理费用”中核算。</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394"/>
        <w:gridCol w:w="307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6,032,670,338.10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6,032,670,338.10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软件开发及技术服务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5,317,412,163.36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5,317,412,163.36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5,602,227.09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5,602,227.09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其中：国内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11,304,046,314.89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11,304,046,314.89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国外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51,638,413.66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51,638,413.66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其中：金融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5,022,385,238.40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5,022,385,238.40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政企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3,732,039,807.62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3,732,039,807.62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运营商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2,307,168,316.34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2,307,168,316.34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294,091,366.19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294,091,366.19</w:t>
            </w:r>
          </w:p>
        </w:tc>
      </w:tr>
    </w:tbl>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color w:val="000000"/>
          <w:spacing w:val="0"/>
          <w:w w:val="100"/>
          <w:position w:val="0"/>
        </w:rPr>
        <w:t>5,888,844,048.01</w:t>
      </w:r>
      <w:r>
        <w:rPr>
          <w:color w:val="000000"/>
          <w:spacing w:val="0"/>
          <w:w w:val="100"/>
          <w:position w:val="0"/>
        </w:rPr>
        <w:t>元，其中，</w:t>
      </w:r>
    </w:p>
    <w:p>
      <w:pPr>
        <w:pStyle w:val="Style1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4, 531, 453, </w:t>
      </w:r>
      <w:r>
        <w:rPr>
          <w:color w:val="000000"/>
          <w:spacing w:val="0"/>
          <w:w w:val="100"/>
          <w:position w:val="0"/>
        </w:rPr>
        <w:t xml:space="preserve">310. </w:t>
      </w:r>
      <w:r>
        <w:rPr>
          <w:color w:val="000000"/>
          <w:spacing w:val="0"/>
          <w:w w:val="100"/>
          <w:position w:val="0"/>
        </w:rPr>
        <w:t>26</w:t>
      </w:r>
      <w:r>
        <w:rPr>
          <w:color w:val="000000"/>
          <w:spacing w:val="0"/>
          <w:w w:val="100"/>
          <w:position w:val="0"/>
        </w:rPr>
        <w:t>元预计将于</w:t>
      </w:r>
      <w:r>
        <w:rPr>
          <w:color w:val="000000"/>
          <w:spacing w:val="0"/>
          <w:w w:val="100"/>
          <w:position w:val="0"/>
        </w:rPr>
        <w:t>2022</w:t>
      </w:r>
      <w:r>
        <w:rPr>
          <w:color w:val="000000"/>
          <w:spacing w:val="0"/>
          <w:w w:val="100"/>
          <w:position w:val="0"/>
        </w:rPr>
        <w:t>年度确认收入，</w:t>
      </w:r>
      <w:r>
        <w:rPr>
          <w:color w:val="000000"/>
          <w:spacing w:val="0"/>
          <w:w w:val="100"/>
          <w:position w:val="0"/>
        </w:rPr>
        <w:t xml:space="preserve">619, 922, </w:t>
      </w:r>
      <w:r>
        <w:rPr>
          <w:color w:val="000000"/>
          <w:spacing w:val="0"/>
          <w:w w:val="100"/>
          <w:position w:val="0"/>
        </w:rPr>
        <w:t xml:space="preserve">273. </w:t>
      </w:r>
      <w:r>
        <w:rPr>
          <w:color w:val="000000"/>
          <w:spacing w:val="0"/>
          <w:w w:val="100"/>
          <w:position w:val="0"/>
        </w:rPr>
        <w:t>20</w:t>
      </w:r>
      <w:r>
        <w:rPr>
          <w:color w:val="000000"/>
          <w:spacing w:val="0"/>
          <w:w w:val="100"/>
          <w:position w:val="0"/>
        </w:rPr>
        <w:t>元预计将于</w:t>
      </w:r>
      <w:r>
        <w:rPr>
          <w:color w:val="000000"/>
          <w:spacing w:val="0"/>
          <w:w w:val="100"/>
          <w:position w:val="0"/>
        </w:rPr>
        <w:t>2023</w:t>
      </w:r>
      <w:r>
        <w:rPr>
          <w:color w:val="000000"/>
          <w:spacing w:val="0"/>
          <w:w w:val="100"/>
          <w:position w:val="0"/>
        </w:rPr>
        <w:t>年度确认收入，</w:t>
      </w:r>
      <w:r>
        <w:rPr>
          <w:color w:val="000000"/>
          <w:spacing w:val="0"/>
          <w:w w:val="100"/>
          <w:position w:val="0"/>
        </w:rPr>
        <w:t xml:space="preserve">59, 310, </w:t>
      </w:r>
      <w:r>
        <w:rPr>
          <w:color w:val="000000"/>
          <w:spacing w:val="0"/>
          <w:w w:val="100"/>
          <w:position w:val="0"/>
        </w:rPr>
        <w:t xml:space="preserve">359. </w:t>
      </w:r>
      <w:r>
        <w:rPr>
          <w:color w:val="000000"/>
          <w:spacing w:val="0"/>
          <w:w w:val="100"/>
          <w:position w:val="0"/>
        </w:rPr>
        <w:t>11</w:t>
      </w:r>
      <w:r>
        <w:rPr>
          <w:color w:val="000000"/>
          <w:spacing w:val="0"/>
          <w:w w:val="100"/>
          <w:position w:val="0"/>
        </w:rPr>
        <w:t>元预 计将于</w:t>
      </w:r>
      <w:r>
        <w:rPr>
          <w:color w:val="000000"/>
          <w:spacing w:val="0"/>
          <w:w w:val="100"/>
          <w:position w:val="0"/>
        </w:rPr>
        <w:t>2024</w:t>
      </w:r>
      <w:r>
        <w:rPr>
          <w:color w:val="000000"/>
          <w:spacing w:val="0"/>
          <w:w w:val="100"/>
          <w:position w:val="0"/>
        </w:rPr>
        <w:t>年度确认收入。</w:t>
      </w:r>
      <w:r>
        <w:br w:type="page"/>
      </w:r>
    </w:p>
    <w:p>
      <w:pPr>
        <w:pStyle w:val="Style37"/>
        <w:keepNext/>
        <w:keepLines/>
        <w:widowControl w:val="0"/>
        <w:shd w:val="clear" w:color="auto" w:fill="auto"/>
        <w:bidi w:val="0"/>
        <w:spacing w:before="0" w:after="360" w:line="240" w:lineRule="auto"/>
        <w:ind w:left="0" w:right="0" w:firstLine="0"/>
        <w:jc w:val="left"/>
      </w:pPr>
      <w:bookmarkStart w:id="1254" w:name="bookmark1254"/>
      <w:bookmarkStart w:id="1255" w:name="bookmark1255"/>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)营业成本构成明细</w:t>
      </w:r>
      <w:bookmarkEnd w:id="1254"/>
      <w:bookmarkEnd w:id="1255"/>
      <w:bookmarkEnd w:id="1256"/>
    </w:p>
    <w:p>
      <w:pPr>
        <w:pStyle w:val="Style27"/>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单位：元</w:t>
      </w:r>
    </w:p>
    <w:tbl>
      <w:tblPr>
        <w:tblOverlap w:val="never"/>
        <w:jc w:val="center"/>
        <w:tblLayout w:type="fixed"/>
      </w:tblPr>
      <w:tblGrid>
        <w:gridCol w:w="2107"/>
        <w:gridCol w:w="2290"/>
        <w:gridCol w:w="1459"/>
        <w:gridCol w:w="2194"/>
        <w:gridCol w:w="1613"/>
      </w:tblGrid>
      <w:tr>
        <w:trPr>
          <w:trHeight w:val="42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color w:val="000000"/>
                <w:spacing w:val="0"/>
                <w:w w:val="100"/>
                <w:position w:val="0"/>
              </w:rPr>
              <w:t>％</w:t>
            </w:r>
            <w:r>
              <w:rPr>
                <w:color w:val="000000"/>
                <w:spacing w:val="0"/>
                <w:w w:val="100"/>
                <w:position w:val="0"/>
              </w:rPr>
              <w:t>)</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设备类采购款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5,009,732,881.84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5,213,004,316.53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58.84%</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人工及技术协作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3,951,467,109.54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3,491,635,786.71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453,547,297.45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154,963,477.37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9,414,747,288.83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8,859,603,580.61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3</w:t>
      </w:r>
      <w:bookmarkEnd w:id="1259"/>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257"/>
      <w:bookmarkEnd w:id="1258"/>
      <w:bookmarkEnd w:id="12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17,898,689.46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20,096,924.45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7,674,751.64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8,617,368.71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6,483,790.31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7,386,068.96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5,128,127.69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5,744,101.76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2,539,622.13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2,480,149.42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109,814.21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25,445.21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39,854,538.24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44,459,872.72</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261"/>
      <w:bookmarkEnd w:id="1262"/>
      <w:bookmarkEnd w:id="12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299,939,266.08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263,719,347.48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66,091,269.48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47,869,948.04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会议及招待费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35,202,472.89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37,433,562.34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27,154,033.87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28,668,093.11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投标保函费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20,247,666.58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22,602,107.45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10,062,547.05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15,535,677.61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8,899,221.47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5,831,047.34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运输及仓储费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8,411,325.30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13,594,468.03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6,745,913.98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3,153,074.11</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5,406,939.94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6,378,279.19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910,499.34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3,559,111.68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2,317,591.68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1,722,436.59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491,388,747.66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450,067,152.97</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4</w:t>
      </w:r>
      <w:bookmarkEnd w:id="1267"/>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265"/>
      <w:bookmarkEnd w:id="1266"/>
      <w:bookmarkEnd w:id="12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156,280,287.52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190,894,007.33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42,184,688.39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25,923,375.12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40,969,657.47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11,783,000.56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12,956,905.73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9,692,714.13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12,664,313.63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13,606,055.49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10,063,540.39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11,815,826.83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7,398,934.21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16,207,273.40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2,726,029.79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3,819,654.82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128,265.94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1,526,119.10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6,888,522.02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1,754,768.04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292,261,145.09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287,022,794.82</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4</w:t>
      </w:r>
      <w:bookmarkEnd w:id="1271"/>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269"/>
      <w:bookmarkEnd w:id="1270"/>
      <w:bookmarkEnd w:id="12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401,930,693.46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304,046,269.01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76,199,038.73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96,542,240.96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28,952,823.51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34,496,061.56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21,210,477.47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8,856,485.51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16,586,518.38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26,559,060.31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10,547,205.09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17,258,298.00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10,287,808.73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9,861,329.20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3,372,577.29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9,779,838.88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3,036,466.20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3,164,561.01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3,344,385.65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254,006.82</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575,467,994.51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510,818,151.26</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4</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273"/>
      <w:bookmarkEnd w:id="1274"/>
      <w:bookmarkEnd w:id="12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36,422,332.17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43,683,205.49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4,200,830.78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5,028,679.76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加：汇兑损失（收益以</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-2,110,236.57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-7,621,924.57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加：手续费支出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7,753,225.14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6,494,961.89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7,432,486.86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1,068,441.82</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45,296,976.82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38,596,004.87</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4</w:t>
      </w:r>
      <w:bookmarkEnd w:id="1279"/>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277"/>
      <w:bookmarkEnd w:id="1278"/>
      <w:bookmarkEnd w:id="1280"/>
    </w:p>
    <w:p>
      <w:pPr>
        <w:pStyle w:val="Style37"/>
        <w:keepNext/>
        <w:keepLines/>
        <w:widowControl w:val="0"/>
        <w:shd w:val="clear" w:color="auto" w:fill="auto"/>
        <w:bidi w:val="0"/>
        <w:spacing w:before="0" w:after="360" w:line="240" w:lineRule="auto"/>
        <w:ind w:left="0" w:right="0" w:firstLine="0"/>
        <w:jc w:val="left"/>
      </w:pPr>
      <w:bookmarkStart w:id="1281" w:name="bookmark1281"/>
      <w:bookmarkStart w:id="1282" w:name="bookmark1282"/>
      <w:bookmarkStart w:id="1283" w:name="bookmark12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）其他收益明细</w:t>
      </w:r>
      <w:bookmarkEnd w:id="1281"/>
      <w:bookmarkEnd w:id="1282"/>
      <w:bookmarkEnd w:id="12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59,202,843.15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53,247,604.14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税收减免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8,351,914.33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3,885,455.45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67,554,757.48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57,133,059.59</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284" w:name="bookmark1284"/>
      <w:bookmarkStart w:id="1285" w:name="bookmark1285"/>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）政府补助明细</w:t>
      </w:r>
      <w:bookmarkEnd w:id="1284"/>
      <w:bookmarkEnd w:id="1285"/>
      <w:bookmarkEnd w:id="1286"/>
    </w:p>
    <w:tbl>
      <w:tblPr>
        <w:tblOverlap w:val="never"/>
        <w:jc w:val="center"/>
        <w:tblLayout w:type="fixed"/>
      </w:tblPr>
      <w:tblGrid>
        <w:gridCol w:w="5107"/>
        <w:gridCol w:w="2554"/>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21,770,913.20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发展资金补助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14, 566, </w:t>
            </w:r>
            <w:r>
              <w:rPr>
                <w:color w:val="000000"/>
                <w:spacing w:val="0"/>
                <w:w w:val="100"/>
                <w:position w:val="0"/>
              </w:rPr>
              <w:t>627.00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软件和信息技术服务业企业稳增长奖励项目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2, 840,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医疗机构大数据网络技术，存储、传输安全性和共享机制研究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工业互联网标识数据交互中间件与资源池服务平台（收益）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1,741,600.00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智能制造资源云平台研制与创新应用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1,330,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Deeplan</w:t>
            </w:r>
            <w:r>
              <w:rPr>
                <w:color w:val="000000"/>
                <w:spacing w:val="0"/>
                <w:w w:val="100"/>
                <w:position w:val="0"/>
              </w:rPr>
              <w:t>通信大数据平台研发与产业化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1,297, </w:t>
            </w:r>
            <w:r>
              <w:rPr>
                <w:color w:val="000000"/>
                <w:spacing w:val="0"/>
                <w:w w:val="100"/>
                <w:position w:val="0"/>
              </w:rPr>
              <w:t xml:space="preserve">625.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1,149, </w:t>
            </w:r>
            <w:r>
              <w:rPr>
                <w:color w:val="000000"/>
                <w:spacing w:val="0"/>
                <w:w w:val="100"/>
                <w:position w:val="0"/>
              </w:rPr>
              <w:t xml:space="preserve">805.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工业互联网平台边缘设备接入管理项目（收益）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1,102,100.00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复杂社区环境场景感知和智能态势认知技术研发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1,087, </w:t>
            </w:r>
            <w:r>
              <w:rPr>
                <w:color w:val="000000"/>
                <w:spacing w:val="0"/>
                <w:w w:val="100"/>
                <w:position w:val="0"/>
              </w:rPr>
              <w:t>863.21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FY19</w:t>
            </w:r>
            <w:r>
              <w:rPr>
                <w:color w:val="000000"/>
                <w:spacing w:val="0"/>
                <w:w w:val="100"/>
                <w:position w:val="0"/>
              </w:rPr>
              <w:t>工业</w:t>
            </w:r>
            <w:r>
              <w:rPr>
                <w:color w:val="000000"/>
                <w:spacing w:val="0"/>
                <w:w w:val="100"/>
                <w:position w:val="0"/>
              </w:rPr>
              <w:t>APP</w:t>
            </w:r>
            <w:r>
              <w:rPr>
                <w:color w:val="000000"/>
                <w:spacing w:val="0"/>
                <w:w w:val="100"/>
                <w:position w:val="0"/>
              </w:rPr>
              <w:t>标识管理服务系统项目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1,018,189.85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Deeplan</w:t>
            </w:r>
            <w:r>
              <w:rPr>
                <w:color w:val="000000"/>
                <w:spacing w:val="0"/>
                <w:w w:val="100"/>
                <w:position w:val="0"/>
              </w:rPr>
              <w:t>通信大数据平台研发与产业化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地级市市民公共服务平台示范应用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993,418.20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5107"/>
        <w:gridCol w:w="2554"/>
        <w:gridCol w:w="192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FY19</w:t>
            </w:r>
            <w:r>
              <w:rPr>
                <w:color w:val="000000"/>
                <w:spacing w:val="0"/>
                <w:w w:val="100"/>
                <w:position w:val="0"/>
              </w:rPr>
              <w:t>工业</w:t>
            </w:r>
            <w:r>
              <w:rPr>
                <w:color w:val="000000"/>
                <w:spacing w:val="0"/>
                <w:w w:val="100"/>
                <w:position w:val="0"/>
              </w:rPr>
              <w:t>APP</w:t>
            </w:r>
            <w:r>
              <w:rPr>
                <w:color w:val="000000"/>
                <w:spacing w:val="0"/>
                <w:w w:val="100"/>
                <w:position w:val="0"/>
              </w:rPr>
              <w:t>标识管理服务系统项目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882, </w:t>
            </w:r>
            <w:r>
              <w:rPr>
                <w:color w:val="000000"/>
                <w:spacing w:val="0"/>
                <w:w w:val="100"/>
                <w:position w:val="0"/>
              </w:rPr>
              <w:t xml:space="preserve">275.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年北京市文化产业“投贷奖”支持资金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783,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稳定岗位补贴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666, </w:t>
            </w:r>
            <w:r>
              <w:rPr>
                <w:color w:val="000000"/>
                <w:spacing w:val="0"/>
                <w:w w:val="100"/>
                <w:position w:val="0"/>
              </w:rPr>
              <w:t xml:space="preserve">329.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金义新区</w:t>
            </w:r>
            <w:r>
              <w:rPr>
                <w:color w:val="000000"/>
                <w:spacing w:val="0"/>
                <w:w w:val="100"/>
                <w:position w:val="0"/>
              </w:rPr>
              <w:t>2020</w:t>
            </w:r>
            <w:r>
              <w:rPr>
                <w:color w:val="000000"/>
                <w:spacing w:val="0"/>
                <w:w w:val="100"/>
                <w:position w:val="0"/>
              </w:rPr>
              <w:t>企业政策兑现税收返还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604,100.00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金义都市新区龙芯适配运维中心扶持项目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594,</w:t>
            </w:r>
            <w:r>
              <w:rPr>
                <w:color w:val="000000"/>
                <w:spacing w:val="0"/>
                <w:w w:val="100"/>
                <w:position w:val="0"/>
              </w:rPr>
              <w:t xml:space="preserve">195.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服务贸易专项资金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573, </w:t>
            </w:r>
            <w:r>
              <w:rPr>
                <w:color w:val="000000"/>
                <w:spacing w:val="0"/>
                <w:w w:val="100"/>
                <w:position w:val="0"/>
              </w:rPr>
              <w:t xml:space="preserve">500.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560,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年度促进服务外包发展项目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512, </w:t>
            </w:r>
            <w:r>
              <w:rPr>
                <w:color w:val="000000"/>
                <w:spacing w:val="0"/>
                <w:w w:val="100"/>
                <w:position w:val="0"/>
              </w:rPr>
              <w:t xml:space="preserve">356.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上海市临空经济园区企业扶持资金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405,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面向新型智慧城市的软件互操作与集成平台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398, </w:t>
            </w:r>
            <w:r>
              <w:rPr>
                <w:color w:val="000000"/>
                <w:spacing w:val="0"/>
                <w:w w:val="100"/>
                <w:position w:val="0"/>
              </w:rPr>
              <w:t xml:space="preserve">393.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年普惠政策第四批雏鹰企业研发费用补贴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300,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年普惠政策第四批支持技术交易奖励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277, </w:t>
            </w:r>
            <w:r>
              <w:rPr>
                <w:color w:val="000000"/>
                <w:spacing w:val="0"/>
                <w:w w:val="100"/>
                <w:position w:val="0"/>
              </w:rPr>
              <w:t xml:space="preserve">600.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国家级苹果产业大数据中心一期</w:t>
            </w:r>
            <w:r>
              <w:rPr>
                <w:color w:val="000000"/>
                <w:spacing w:val="0"/>
                <w:w w:val="100"/>
                <w:position w:val="0"/>
              </w:rPr>
              <w:t>（2018</w:t>
            </w:r>
            <w:r>
              <w:rPr>
                <w:color w:val="000000"/>
                <w:spacing w:val="0"/>
                <w:w w:val="100"/>
                <w:position w:val="0"/>
              </w:rPr>
              <w:t>年）项目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257,400.00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年产业扶持发展奖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171,000.00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工业互联网标识数据交互中间件与资源池服务平台（资产）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169, </w:t>
            </w:r>
            <w:r>
              <w:rPr>
                <w:color w:val="000000"/>
                <w:spacing w:val="0"/>
                <w:w w:val="100"/>
                <w:position w:val="0"/>
              </w:rPr>
              <w:t>321.56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基于分布式缓存数据一致性技术的开放银行平台项目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61,340.95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综合性科技服务协同平台及构件库研发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 xml:space="preserve">714.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246,175.20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59,202,843.15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4</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287"/>
      <w:bookmarkEnd w:id="1288"/>
      <w:bookmarkEnd w:id="12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88"/>
        <w:gridCol w:w="2544"/>
        <w:gridCol w:w="25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4,248,067.28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22,261,900.04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16,173,500.89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256,070,413.25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34,057,150.89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20,381,740.08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1,109,130.92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5,245,677.58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5,423,986.98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-50,155.91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bookmarkStart w:id="1291" w:name="bookmark1291"/>
            <w:r>
              <w:rPr>
                <w:color w:val="000000"/>
                <w:spacing w:val="0"/>
                <w:w w:val="100"/>
                <w:position w:val="0"/>
              </w:rPr>
              <w:t>合计</w:t>
            </w:r>
            <w:bookmarkEnd w:id="1291"/>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55,587,849.98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309,333,562.02</w:t>
            </w:r>
          </w:p>
        </w:tc>
      </w:tr>
    </w:tbl>
    <w:p>
      <w:pPr>
        <w:spacing w:lineRule="exact" w:line="1"/>
        <w:rPr>
          <w:sz w:val="2"/>
          <w:szCs w:val="2"/>
        </w:rPr>
      </w:pPr>
      <w:r>
        <w:br w:type="page"/>
      </w:r>
    </w:p>
    <w:p>
      <w:pPr>
        <w:pStyle w:val="Style22"/>
        <w:keepNext w:val="0"/>
        <w:keepLines w:val="0"/>
        <w:widowControl w:val="0"/>
        <w:shd w:val="clear" w:color="auto" w:fill="auto"/>
        <w:bidi w:val="0"/>
        <w:spacing w:before="0" w:after="360" w:line="240" w:lineRule="auto"/>
        <w:ind w:left="0" w:right="0" w:firstLine="0"/>
        <w:jc w:val="left"/>
        <w:rPr>
          <w:sz w:val="20"/>
          <w:szCs w:val="20"/>
        </w:rPr>
      </w:pPr>
      <w:bookmarkStart w:id="1292" w:name="bookmark1292"/>
      <w:r>
        <w:rPr>
          <w:rFonts w:ascii="Times New Roman" w:eastAsia="Times New Roman" w:hAnsi="Times New Roman" w:cs="Times New Roman"/>
          <w:b/>
          <w:bCs/>
          <w:color w:val="000000"/>
          <w:spacing w:val="0"/>
          <w:w w:val="100"/>
          <w:position w:val="0"/>
          <w:sz w:val="20"/>
          <w:szCs w:val="20"/>
        </w:rPr>
        <w:t>4</w:t>
      </w:r>
      <w:bookmarkEnd w:id="1292"/>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、公允价值变动收益</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-4,736,628.04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-5,971,463.87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-4,736,628.04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-5,971,463.87</w:t>
            </w:r>
          </w:p>
        </w:tc>
      </w:tr>
    </w:tbl>
    <w:p>
      <w:pPr>
        <w:widowControl w:val="0"/>
        <w:spacing w:after="659" w:line="1" w:lineRule="exact"/>
      </w:pPr>
    </w:p>
    <w:p>
      <w:pPr>
        <w:pStyle w:val="Style29"/>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4</w:t>
      </w:r>
      <w:bookmarkEnd w:id="1295"/>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293"/>
      <w:bookmarkEnd w:id="1294"/>
      <w:bookmarkEnd w:id="12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-7,648,547.54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-7,070,817.18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-2,251,106.00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-102,320,645.52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-48,982,802.87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-120,821.90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111,661.59</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-110,170,942.22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-58,193,064.46</w:t>
            </w:r>
          </w:p>
        </w:tc>
      </w:tr>
    </w:tbl>
    <w:p>
      <w:pPr>
        <w:widowControl w:val="0"/>
        <w:spacing w:after="659" w:line="1" w:lineRule="exact"/>
      </w:pPr>
    </w:p>
    <w:p>
      <w:pPr>
        <w:pStyle w:val="Style29"/>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4</w:t>
      </w:r>
      <w:bookmarkEnd w:id="1299"/>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297"/>
      <w:bookmarkEnd w:id="1298"/>
      <w:bookmarkEnd w:id="13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-17,972,191.66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-95,699,379.37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-119,441,363.36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-69,484,189.95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-76,890,945.74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-87,456,381.61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-292,031,688.47</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4</w:t>
      </w:r>
      <w:bookmarkEnd w:id="1303"/>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301"/>
      <w:bookmarkEnd w:id="1302"/>
      <w:bookmarkEnd w:id="13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164,725.14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164,725.14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中农信达原股东补偿款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19,517,744.74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5,990,517.57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2,977,329.79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5,990,517.57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6,155,242.71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22,553,515.35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6,155,242.71</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4</w:t>
      </w:r>
      <w:bookmarkEnd w:id="1307"/>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305"/>
      <w:bookmarkEnd w:id="1306"/>
      <w:bookmarkEnd w:id="13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1,321,484.19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420,367.83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816,339.84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420,367.83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6,820,098.82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6,895,723.88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6,820,098.82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12,420,466.65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10,773,547.91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12,420,466.65</w:t>
            </w:r>
          </w:p>
        </w:tc>
      </w:tr>
    </w:tbl>
    <w:p>
      <w:pPr>
        <w:widowControl w:val="0"/>
        <w:spacing w:after="659" w:line="1" w:lineRule="exact"/>
      </w:pPr>
    </w:p>
    <w:p>
      <w:pPr>
        <w:pStyle w:val="Style29"/>
        <w:keepNext/>
        <w:keepLines/>
        <w:widowControl w:val="0"/>
        <w:shd w:val="clear" w:color="auto" w:fill="auto"/>
        <w:bidi w:val="0"/>
        <w:spacing w:before="0" w:after="34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5</w:t>
      </w:r>
      <w:bookmarkEnd w:id="1311"/>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309"/>
      <w:bookmarkEnd w:id="1310"/>
      <w:bookmarkEnd w:id="1312"/>
    </w:p>
    <w:p>
      <w:pPr>
        <w:pStyle w:val="Style37"/>
        <w:keepNext/>
        <w:keepLines/>
        <w:widowControl w:val="0"/>
        <w:shd w:val="clear" w:color="auto" w:fill="auto"/>
        <w:bidi w:val="0"/>
        <w:spacing w:before="0" w:after="34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13"/>
      <w:bookmarkEnd w:id="1314"/>
      <w:bookmarkEnd w:id="13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47,104,152.07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86,765,315.75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-23,766,153.73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-35,688,619.04</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23,337,998.34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51,076,696.71</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16"/>
      <w:bookmarkEnd w:id="1317"/>
      <w:bookmarkEnd w:id="13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411,181,469.05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102,795,367.26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-60,840,985.39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4,340,057.91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-29,205,799.65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40,544,287.74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-4,419,649.91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26,145,197.28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-56,020,476.90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23,337,998.34</w:t>
            </w:r>
          </w:p>
        </w:tc>
      </w:tr>
    </w:tbl>
    <w:p>
      <w:pPr>
        <w:spacing w:lineRule="exact" w:line="1"/>
        <w:rPr>
          <w:sz w:val="2"/>
          <w:szCs w:val="2"/>
        </w:rPr>
      </w:pPr>
      <w:r>
        <w:br w:type="page"/>
      </w:r>
    </w:p>
    <w:p>
      <w:pPr>
        <w:pStyle w:val="Style29"/>
        <w:keepNext/>
        <w:keepLines/>
        <w:widowControl w:val="0"/>
        <w:shd w:val="clear" w:color="auto" w:fill="auto"/>
        <w:tabs>
          <w:tab w:pos="483" w:val="left"/>
        </w:tabs>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5</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w:t>
        <w:tab/>
        <w:t>其他综合收益</w:t>
      </w:r>
      <w:bookmarkEnd w:id="1319"/>
      <w:bookmarkEnd w:id="1320"/>
      <w:bookmarkEnd w:id="1322"/>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34.</w:t>
      </w:r>
      <w:r>
        <w:rPr>
          <w:color w:val="000000"/>
          <w:spacing w:val="0"/>
          <w:w w:val="100"/>
          <w:position w:val="0"/>
        </w:rPr>
        <w:t>其他综合收益。</w:t>
      </w:r>
    </w:p>
    <w:p>
      <w:pPr>
        <w:pStyle w:val="Style29"/>
        <w:keepNext/>
        <w:keepLines/>
        <w:widowControl w:val="0"/>
        <w:shd w:val="clear" w:color="auto" w:fill="auto"/>
        <w:tabs>
          <w:tab w:pos="483" w:val="left"/>
        </w:tabs>
        <w:bidi w:val="0"/>
        <w:spacing w:before="0" w:after="32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5</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w:t>
        <w:tab/>
        <w:t>现金流量表项目</w:t>
      </w:r>
      <w:bookmarkEnd w:id="1323"/>
      <w:bookmarkEnd w:id="1324"/>
      <w:bookmarkEnd w:id="1326"/>
    </w:p>
    <w:p>
      <w:pPr>
        <w:pStyle w:val="Style37"/>
        <w:keepNext/>
        <w:keepLines/>
        <w:widowControl w:val="0"/>
        <w:shd w:val="clear" w:color="auto" w:fill="auto"/>
        <w:bidi w:val="0"/>
        <w:spacing w:before="0" w:after="360" w:line="240" w:lineRule="auto"/>
        <w:ind w:left="0" w:right="0" w:firstLine="0"/>
        <w:jc w:val="left"/>
      </w:pPr>
      <w:bookmarkStart w:id="1327" w:name="bookmark1327"/>
      <w:bookmarkStart w:id="1328" w:name="bookmark1328"/>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27"/>
      <w:bookmarkEnd w:id="1328"/>
      <w:bookmarkEnd w:id="13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收到受限资金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203,013,040.53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68,138,515.65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33,470,540.55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30,644,270.36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4,200,830.78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5,028,679.76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30,307,895.51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22,877,376.88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270,992,307.37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126,688,842.65</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330" w:name="bookmark1330"/>
      <w:bookmarkStart w:id="1331" w:name="bookmark1331"/>
      <w:bookmarkStart w:id="1332" w:name="bookmark13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30"/>
      <w:bookmarkEnd w:id="1331"/>
      <w:bookmarkEnd w:id="13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115,422,795.75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174,117,082.96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83,595,341.02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158,093,776.59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71,488,931.13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80,382,206.88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63,533,339.01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50,010,550.66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47,981,384.00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40,995,477.83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租金及租赁维修费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36,796,161.79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38,614,032.70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保证金、房租押金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33,509,557.38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35,628,885.98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交通费及运输仓储费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24,866,004.58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31,114,126.17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投标保函费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17,817,307.52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19,742,784.61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16,450,896.46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13,269,582.18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9,533,525.60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6,533,301.95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6,437,685.61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5,900,106.83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45,648,304.40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34,161,525.25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573,081,234.25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688,563,440.59</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33"/>
      <w:bookmarkEnd w:id="1334"/>
      <w:bookmarkEnd w:id="13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收到的理财产品款项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11,806,500,000.00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11,700,600,000.00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收回对神州灵云的借款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17,010,871.24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收到投资保证金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11,806,500,000.00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11,718,610,871.24</w:t>
            </w:r>
          </w:p>
        </w:tc>
      </w:tr>
    </w:tbl>
    <w:p>
      <w:pPr>
        <w:widowControl w:val="0"/>
        <w:spacing w:after="79" w:line="1" w:lineRule="exact"/>
      </w:pP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7"/>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37"/>
      <w:bookmarkEnd w:id="1338"/>
      <w:bookmarkEnd w:id="1340"/>
    </w:p>
    <w:p>
      <w:pPr>
        <w:pStyle w:val="Style13"/>
        <w:keepNext w:val="0"/>
        <w:keepLines w:val="0"/>
        <w:widowControl w:val="0"/>
        <w:shd w:val="clear" w:color="auto" w:fill="auto"/>
        <w:bidi w:val="0"/>
        <w:spacing w:before="0" w:after="4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支付的理财产品款项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11,795,100,000.00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11,664,500,000.00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支付股权转让缴纳的所得税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39,843,264.50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11,795,100,000.00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11,704,343,264.50</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41"/>
      <w:bookmarkEnd w:id="1342"/>
      <w:bookmarkEnd w:id="13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银行承兑收回受限资金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诉讼案和解收回受限资金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27,202,401.40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神州灵云收到的其他股东借款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32,002,401.40</w:t>
            </w:r>
          </w:p>
        </w:tc>
      </w:tr>
    </w:tbl>
    <w:p>
      <w:pPr>
        <w:widowControl w:val="0"/>
        <w:spacing w:after="659" w:line="1" w:lineRule="exact"/>
      </w:pPr>
    </w:p>
    <w:p>
      <w:pPr>
        <w:pStyle w:val="Style37"/>
        <w:keepNext/>
        <w:keepLines/>
        <w:widowControl w:val="0"/>
        <w:shd w:val="clear" w:color="auto" w:fill="auto"/>
        <w:bidi w:val="0"/>
        <w:spacing w:before="0" w:after="36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45"/>
      <w:bookmarkEnd w:id="1346"/>
      <w:bookmarkEnd w:id="13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回购流通股股票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60,823,795.09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139,237,351.44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28,648,396.55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购买子公司少数股权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手续费及担保费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1,263,135.29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588,091.61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支付银行承兑受限资金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支付案件和解款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神州灵云偿还其他股东借款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2,077,568.55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因员工离职回购限制性股票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1,891,800.00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94,067,326.93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164,794,811.60</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5</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349"/>
      <w:bookmarkEnd w:id="1350"/>
      <w:bookmarkEnd w:id="1352"/>
    </w:p>
    <w:p>
      <w:pPr>
        <w:pStyle w:val="Style37"/>
        <w:keepNext/>
        <w:keepLines/>
        <w:widowControl w:val="0"/>
        <w:shd w:val="clear" w:color="auto" w:fill="auto"/>
        <w:bidi w:val="0"/>
        <w:spacing w:before="0" w:after="360" w:line="240" w:lineRule="auto"/>
        <w:ind w:left="0" w:right="0" w:firstLine="0"/>
        <w:jc w:val="left"/>
      </w:pPr>
      <w:bookmarkStart w:id="1353" w:name="bookmark1353"/>
      <w:bookmarkStart w:id="1354" w:name="bookmark1354"/>
      <w:bookmarkStart w:id="1355" w:name="bookmark13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53"/>
      <w:bookmarkEnd w:id="1354"/>
      <w:bookmarkEnd w:id="13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387,843,470.71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466,382,950.29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197,627,323.83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350,224,752.93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48,579,373.42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49,546,268.51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25,137,833.37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38,441,735.25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41,693,958.99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8,271,588.39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8,016,705.90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255,642.69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757,899.02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4,736,628.04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5,971,463.87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42,156,503.62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43,683,205.49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-55,587,849.98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-309,333,562.02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递延所得税资产减少（增加以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-21,789,912.69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-36,964,622.16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-1,976,241.04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1,276,003.12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-215,376,722.32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-17,425,672.65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经营性应收项目的减少（增加以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-542,804,848.35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-647,435,532.24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经营性应付项目的增加（减少以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456,079,518.19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365,462,923.52</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371,594,043.13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321,856,742.57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1,484,449,940.78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1,779,836,593.55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1,779,836,593.55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1,350,168,474.15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-295,386,652.77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429,668,119.40</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356" w:name="bookmark1356"/>
      <w:bookmarkStart w:id="1357" w:name="bookmark1357"/>
      <w:bookmarkStart w:id="1358" w:name="bookmark13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56"/>
      <w:bookmarkEnd w:id="1357"/>
      <w:bookmarkEnd w:id="13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1,484,449,940.78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1,779,836,593.55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1,484,449,940.78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1,779,836,593.55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1,484,449,940.78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1,779,836,593.55</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5</w:t>
      </w:r>
      <w:bookmarkEnd w:id="1361"/>
      <w:r>
        <w:rPr>
          <w:rFonts w:ascii="Times New Roman" w:eastAsia="Times New Roman" w:hAnsi="Times New Roman" w:cs="Times New Roman"/>
          <w:color w:val="000000"/>
          <w:spacing w:val="0"/>
          <w:w w:val="100"/>
          <w:position w:val="0"/>
        </w:rPr>
        <w:t>4</w:t>
      </w:r>
      <w:r>
        <w:rPr>
          <w:color w:val="000000"/>
          <w:spacing w:val="0"/>
          <w:w w:val="100"/>
          <w:position w:val="0"/>
        </w:rPr>
        <w:t>、所有权或使用权受到限制的资产</w:t>
      </w:r>
      <w:bookmarkEnd w:id="1359"/>
      <w:bookmarkEnd w:id="1360"/>
      <w:bookmarkEnd w:id="13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42,058,874.96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定期存款、国内信用证付款保证金、保 函保证金、共管户资金、诉讼冻结款及 诉讼担保抵押资金</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5</w:t>
      </w:r>
      <w:bookmarkEnd w:id="1365"/>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363"/>
      <w:bookmarkEnd w:id="1364"/>
      <w:bookmarkEnd w:id="1366"/>
    </w:p>
    <w:p>
      <w:pPr>
        <w:pStyle w:val="Style37"/>
        <w:keepNext/>
        <w:keepLines/>
        <w:widowControl w:val="0"/>
        <w:shd w:val="clear" w:color="auto" w:fill="auto"/>
        <w:bidi w:val="0"/>
        <w:spacing w:before="0" w:after="360" w:line="240" w:lineRule="auto"/>
        <w:ind w:left="0" w:right="0" w:firstLine="0"/>
        <w:jc w:val="left"/>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67"/>
      <w:bookmarkEnd w:id="1368"/>
      <w:bookmarkEnd w:id="13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149,274.24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955,355.11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1,705.67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7.46000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12,724.30</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495,697.78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0.82581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409,352.18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1,189,250,643.00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0.00045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537,324.99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1,201,373.00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7,688,787.20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753,551.76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0.82581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622,290.58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116,321.40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0.79997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93,053.63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5,596,435,047.43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0.00045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2,528,570.74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47,719.88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305,407.22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3,573,067.21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0.79997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2,858,346.58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0.82581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8,310.95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865,683,779.31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0.00045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391,131.61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442,020.27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2,828,929.70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3,748,509.50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0.82581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3,095,556.63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295,889.91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0.82581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244,348.85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印尼盾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592,310,292.00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0.00045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267,616.52</w:t>
            </w:r>
          </w:p>
        </w:tc>
      </w:tr>
    </w:tbl>
    <w:p>
      <w:pPr>
        <w:widowControl w:val="0"/>
        <w:spacing w:after="239" w:line="1" w:lineRule="exact"/>
      </w:pPr>
    </w:p>
    <w:p>
      <w:pPr>
        <w:pStyle w:val="Style22"/>
        <w:keepNext w:val="0"/>
        <w:keepLines w:val="0"/>
        <w:widowControl w:val="0"/>
        <w:shd w:val="clear" w:color="auto" w:fill="auto"/>
        <w:bidi w:val="0"/>
        <w:spacing w:before="0" w:after="360" w:line="326" w:lineRule="exact"/>
        <w:ind w:left="0" w:right="0" w:firstLine="0"/>
        <w:jc w:val="left"/>
        <w:rPr>
          <w:sz w:val="20"/>
          <w:szCs w:val="20"/>
        </w:rPr>
      </w:pPr>
      <w:bookmarkStart w:id="1370" w:name="bookmark137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)境外经营实体说明，包括对于重要的境外经营实体，应披露其境外主要经营地、记账本位币及选择 依据，记账本位币发生变化的还应披露原因。</w:t>
      </w:r>
      <w:bookmarkEnd w:id="1370"/>
    </w:p>
    <w:p>
      <w:pPr>
        <w:pStyle w:val="Style1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00" w:line="326" w:lineRule="exact"/>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5</w:t>
      </w:r>
      <w:bookmarkEnd w:id="1373"/>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371"/>
      <w:bookmarkEnd w:id="1372"/>
      <w:bookmarkEnd w:id="1374"/>
    </w:p>
    <w:p>
      <w:pPr>
        <w:pStyle w:val="Style37"/>
        <w:keepNext/>
        <w:keepLines/>
        <w:widowControl w:val="0"/>
        <w:shd w:val="clear" w:color="auto" w:fill="auto"/>
        <w:bidi w:val="0"/>
        <w:spacing w:before="0" w:after="360" w:line="326" w:lineRule="exact"/>
        <w:ind w:left="0" w:right="0" w:firstLine="0"/>
        <w:jc w:val="left"/>
      </w:pPr>
      <w:bookmarkStart w:id="1375" w:name="bookmark1375"/>
      <w:bookmarkStart w:id="1376" w:name="bookmark1376"/>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75"/>
      <w:bookmarkEnd w:id="1376"/>
      <w:bookmarkEnd w:id="13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11,924,830.11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3,200,817.17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5,324,645.38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11,358,619.86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与收益相关政府补助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44,643,406.12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44,643,406.12</w:t>
            </w:r>
          </w:p>
        </w:tc>
      </w:tr>
    </w:tbl>
    <w:p>
      <w:pPr>
        <w:pStyle w:val="Style25"/>
        <w:keepNext/>
        <w:keepLines/>
        <w:widowControl w:val="0"/>
        <w:shd w:val="clear" w:color="auto" w:fill="auto"/>
        <w:tabs>
          <w:tab w:pos="512" w:val="left"/>
        </w:tabs>
        <w:bidi w:val="0"/>
        <w:spacing w:before="0" w:after="34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sz w:val="24"/>
          <w:szCs w:val="24"/>
        </w:rPr>
        <w:t>八</w:t>
      </w:r>
      <w:bookmarkEnd w:id="1380"/>
      <w:r>
        <w:rPr>
          <w:color w:val="000000"/>
          <w:spacing w:val="0"/>
          <w:w w:val="100"/>
          <w:position w:val="0"/>
          <w:sz w:val="24"/>
          <w:szCs w:val="24"/>
        </w:rPr>
        <w:t>、</w:t>
        <w:tab/>
        <w:t>合并范围的变更</w:t>
      </w:r>
      <w:bookmarkEnd w:id="1378"/>
      <w:bookmarkEnd w:id="1379"/>
      <w:bookmarkEnd w:id="1381"/>
    </w:p>
    <w:p>
      <w:pPr>
        <w:pStyle w:val="Style29"/>
        <w:keepNext/>
        <w:keepLines/>
        <w:widowControl w:val="0"/>
        <w:shd w:val="clear" w:color="auto" w:fill="auto"/>
        <w:bidi w:val="0"/>
        <w:spacing w:before="0" w:after="340" w:line="240" w:lineRule="auto"/>
        <w:ind w:left="0" w:right="0" w:firstLine="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382"/>
      <w:bookmarkEnd w:id="1383"/>
      <w:bookmarkEnd w:id="1384"/>
    </w:p>
    <w:p>
      <w:pPr>
        <w:pStyle w:val="Style13"/>
        <w:keepNext w:val="0"/>
        <w:keepLines w:val="0"/>
        <w:widowControl w:val="0"/>
        <w:shd w:val="clear" w:color="auto" w:fill="auto"/>
        <w:tabs>
          <w:tab w:pos="349" w:val="left"/>
        </w:tabs>
        <w:bidi w:val="0"/>
        <w:spacing w:before="0" w:after="340" w:line="240" w:lineRule="auto"/>
        <w:ind w:left="0" w:right="0" w:firstLine="0"/>
        <w:jc w:val="left"/>
      </w:pPr>
      <w:bookmarkStart w:id="1385" w:name="bookmark1385"/>
      <w:r>
        <w:rPr>
          <w:color w:val="000000"/>
          <w:spacing w:val="0"/>
          <w:w w:val="100"/>
          <w:position w:val="0"/>
        </w:rPr>
        <w:t>1</w:t>
      </w:r>
      <w:bookmarkEnd w:id="1385"/>
      <w:r>
        <w:rPr>
          <w:color w:val="000000"/>
          <w:spacing w:val="0"/>
          <w:w w:val="100"/>
          <w:position w:val="0"/>
        </w:rPr>
        <w:t>）</w:t>
        <w:tab/>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日，神州数码金信科技股份有限公司注销子公司广州神州金信电子科技有限公司。</w:t>
      </w:r>
    </w:p>
    <w:p>
      <w:pPr>
        <w:pStyle w:val="Style13"/>
        <w:keepNext w:val="0"/>
        <w:keepLines w:val="0"/>
        <w:widowControl w:val="0"/>
        <w:shd w:val="clear" w:color="auto" w:fill="auto"/>
        <w:tabs>
          <w:tab w:pos="358" w:val="left"/>
        </w:tabs>
        <w:bidi w:val="0"/>
        <w:spacing w:before="0" w:after="380" w:line="240" w:lineRule="auto"/>
        <w:ind w:left="0" w:right="0" w:firstLine="0"/>
        <w:jc w:val="left"/>
      </w:pPr>
      <w:bookmarkStart w:id="1386" w:name="bookmark1386"/>
      <w:r>
        <w:rPr>
          <w:color w:val="000000"/>
          <w:spacing w:val="0"/>
          <w:w w:val="100"/>
          <w:position w:val="0"/>
        </w:rPr>
        <w:t>2</w:t>
      </w:r>
      <w:bookmarkEnd w:id="1386"/>
      <w:r>
        <w:rPr>
          <w:color w:val="000000"/>
          <w:spacing w:val="0"/>
          <w:w w:val="100"/>
          <w:position w:val="0"/>
        </w:rPr>
        <w:t>）</w:t>
        <w:tab/>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日，神州数码金信科技股份有限公司注销子公司南京神州金信电子科技有限公司。</w:t>
      </w:r>
    </w:p>
    <w:p>
      <w:pPr>
        <w:pStyle w:val="Style25"/>
        <w:keepNext/>
        <w:keepLines/>
        <w:widowControl w:val="0"/>
        <w:shd w:val="clear" w:color="auto" w:fill="auto"/>
        <w:tabs>
          <w:tab w:pos="512" w:val="left"/>
        </w:tabs>
        <w:bidi w:val="0"/>
        <w:spacing w:before="0" w:after="34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sz w:val="24"/>
          <w:szCs w:val="24"/>
        </w:rPr>
        <w:t>九</w:t>
      </w:r>
      <w:bookmarkEnd w:id="1389"/>
      <w:r>
        <w:rPr>
          <w:color w:val="000000"/>
          <w:spacing w:val="0"/>
          <w:w w:val="100"/>
          <w:position w:val="0"/>
          <w:sz w:val="24"/>
          <w:szCs w:val="24"/>
        </w:rPr>
        <w:t>、</w:t>
        <w:tab/>
        <w:t>在其他主体中的权益</w:t>
      </w:r>
      <w:bookmarkEnd w:id="1387"/>
      <w:bookmarkEnd w:id="1388"/>
      <w:bookmarkEnd w:id="1390"/>
    </w:p>
    <w:p>
      <w:pPr>
        <w:pStyle w:val="Style29"/>
        <w:keepNext/>
        <w:keepLines/>
        <w:widowControl w:val="0"/>
        <w:shd w:val="clear" w:color="auto" w:fill="auto"/>
        <w:bidi w:val="0"/>
        <w:spacing w:before="0" w:after="340" w:line="240" w:lineRule="auto"/>
        <w:ind w:left="0" w:right="0" w:firstLine="0"/>
        <w:jc w:val="left"/>
      </w:pPr>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91"/>
      <w:bookmarkEnd w:id="1392"/>
      <w:bookmarkEnd w:id="1393"/>
    </w:p>
    <w:p>
      <w:pPr>
        <w:pStyle w:val="Style37"/>
        <w:keepNext/>
        <w:keepLines/>
        <w:widowControl w:val="0"/>
        <w:shd w:val="clear" w:color="auto" w:fill="auto"/>
        <w:bidi w:val="0"/>
        <w:spacing w:before="0" w:after="340" w:line="240" w:lineRule="auto"/>
        <w:ind w:left="0" w:right="0" w:firstLine="0"/>
        <w:jc w:val="left"/>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94"/>
      <w:bookmarkEnd w:id="1395"/>
      <w:bookmarkEnd w:id="1396"/>
    </w:p>
    <w:tbl>
      <w:tblPr>
        <w:tblOverlap w:val="never"/>
        <w:jc w:val="center"/>
        <w:tblLayout w:type="fixed"/>
      </w:tblPr>
      <w:tblGrid>
        <w:gridCol w:w="1848"/>
        <w:gridCol w:w="994"/>
        <w:gridCol w:w="994"/>
        <w:gridCol w:w="1843"/>
        <w:gridCol w:w="970"/>
        <w:gridCol w:w="830"/>
        <w:gridCol w:w="21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神州数码系统集成服 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中农信达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测绘服务软件销售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上海神州数码信息技 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江苏神州数码国信信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神州数码金信科技股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金融专用设备销售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神州数码信息系统有</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神州数码信息系统（扬 州）有限公司（注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扬州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扬州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Digital China Software (BVI)Limited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BVI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BVI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深圳神州数码信息技 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Digital ChinaAdvanced</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Systems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Digital China Financial</w:t>
            </w:r>
          </w:p>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Service Holding</w:t>
            </w:r>
          </w:p>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投资控股、技术服务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神州数码融信软件有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bl>
    <w:p>
      <w:pPr>
        <w:spacing w:lineRule="exact" w:line="1"/>
        <w:rPr>
          <w:sz w:val="2"/>
          <w:szCs w:val="2"/>
        </w:rPr>
      </w:pPr>
      <w:r>
        <w:br w:type="page"/>
      </w:r>
    </w:p>
    <w:tbl>
      <w:tblPr>
        <w:tblOverlap w:val="never"/>
        <w:jc w:val="center"/>
        <w:tblLayout w:type="fixed"/>
      </w:tblPr>
      <w:tblGrid>
        <w:gridCol w:w="1848"/>
        <w:gridCol w:w="994"/>
        <w:gridCol w:w="994"/>
        <w:gridCol w:w="1843"/>
        <w:gridCol w:w="970"/>
        <w:gridCol w:w="830"/>
        <w:gridCol w:w="2102"/>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北京旗硕基业科技股 份有限公司（注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华苏科技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网络优化服务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南京华苏软件有限公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西安远景信息技术有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中能国电（北京）新能 源投资有限公司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神州土地（北京）信息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北京云核网络技术有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北京神州数码锐行快</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捷信息技术服务有限</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湖南中农信达信息科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湖南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湖南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测绘服务、软件销售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贵州中农信达信息技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贵州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贵州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测绘服务、软件销售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杨凌农业云服务有限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软硬件开发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北京神州数码信息技 术服务有限公司（注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神州国信（北京）量子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神州远景</w:t>
            </w:r>
            <w:r>
              <w:rPr>
                <w:rFonts w:ascii="Times New Roman" w:eastAsia="Times New Roman" w:hAnsi="Times New Roman" w:cs="Times New Roman"/>
                <w:color w:val="000000"/>
                <w:spacing w:val="0"/>
                <w:w w:val="100"/>
                <w:position w:val="0"/>
              </w:rPr>
              <w:t>（</w:t>
            </w:r>
            <w:r>
              <w:rPr>
                <w:color w:val="000000"/>
                <w:spacing w:val="0"/>
                <w:w w:val="100"/>
                <w:position w:val="0"/>
              </w:rPr>
              <w:t>西安</w:t>
            </w:r>
            <w:r>
              <w:rPr>
                <w:rFonts w:ascii="Times New Roman" w:eastAsia="Times New Roman" w:hAnsi="Times New Roman" w:cs="Times New Roman"/>
                <w:color w:val="000000"/>
                <w:spacing w:val="0"/>
                <w:w w:val="100"/>
                <w:position w:val="0"/>
              </w:rPr>
              <w:t>）</w:t>
            </w:r>
            <w:r>
              <w:rPr>
                <w:color w:val="000000"/>
                <w:spacing w:val="0"/>
                <w:w w:val="100"/>
                <w:position w:val="0"/>
              </w:rPr>
              <w:t>科技发</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香河旗硕智能科技有</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河北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河北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南京瑞擎科技有限公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317" w:lineRule="exact"/>
              <w:ind w:left="0" w:right="0" w:firstLine="0"/>
              <w:jc w:val="left"/>
            </w:pPr>
            <w:r>
              <w:rPr>
                <w:color w:val="000000"/>
                <w:spacing w:val="0"/>
                <w:w w:val="100"/>
                <w:position w:val="0"/>
              </w:rPr>
              <w:t>神州龙安（金华）信息 技术服务有限公司（注</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智慧神州天融（北京） 监测技术有限公司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技术咨询、技术服务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北京神州通慧科技有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技术咨询、技术服务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848"/>
        <w:gridCol w:w="994"/>
        <w:gridCol w:w="994"/>
        <w:gridCol w:w="1843"/>
        <w:gridCol w:w="970"/>
        <w:gridCol w:w="830"/>
        <w:gridCol w:w="2102"/>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新疆神州三宝信息技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312" w:lineRule="exact"/>
              <w:ind w:left="0" w:right="0" w:firstLine="0"/>
              <w:jc w:val="left"/>
            </w:pPr>
            <w:r>
              <w:rPr>
                <w:color w:val="000000"/>
                <w:spacing w:val="0"/>
                <w:w w:val="100"/>
                <w:position w:val="0"/>
              </w:rPr>
              <w:t>神州龙安（成都）信息 技术服务有限公司（注</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312" w:lineRule="exact"/>
              <w:ind w:left="0" w:right="0" w:firstLine="0"/>
              <w:jc w:val="left"/>
            </w:pPr>
            <w:r>
              <w:rPr>
                <w:color w:val="000000"/>
                <w:spacing w:val="0"/>
                <w:w w:val="100"/>
                <w:position w:val="0"/>
              </w:rPr>
              <w:t>神州龙安（青海）信息 技术服务有限公司（注</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神州国信（北京）信息 科技有限公司（注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神州龙安（内蒙古）信 息技术服务有限公司 （注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317" w:lineRule="exact"/>
              <w:ind w:left="0" w:right="0" w:firstLine="0"/>
              <w:jc w:val="left"/>
            </w:pPr>
            <w:r>
              <w:rPr>
                <w:color w:val="000000"/>
                <w:spacing w:val="0"/>
                <w:w w:val="100"/>
                <w:position w:val="0"/>
              </w:rPr>
              <w:t>神州龙安（江苏）信息 技术服务有限公司（注</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神州龙安（北京）信息 服务有限公司（注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317" w:lineRule="exact"/>
              <w:ind w:left="0" w:right="0" w:firstLine="0"/>
              <w:jc w:val="left"/>
            </w:pPr>
            <w:r>
              <w:rPr>
                <w:color w:val="000000"/>
                <w:spacing w:val="0"/>
                <w:w w:val="100"/>
                <w:position w:val="0"/>
              </w:rPr>
              <w:t>神州龙安（山西）信息 技术服务有限公司（注</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太原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太原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北京神州数字科技有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Digital China Information Technology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印度尼西亚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rPr>
              <w:t>Digital China</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Information Technology Co.Limited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北京神州数码方圆科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北京华旗电子科技有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技术开发、计算机软件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北京中智创展管理咨 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杨凌安全农产品溯源 标识管理有限公司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陕西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陕西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widowControl w:val="0"/>
        <w:spacing w:after="239" w:line="1" w:lineRule="exact"/>
      </w:pPr>
    </w:p>
    <w:p>
      <w:pPr>
        <w:pStyle w:val="Style13"/>
        <w:keepNext w:val="0"/>
        <w:keepLines w:val="0"/>
        <w:widowControl w:val="0"/>
        <w:shd w:val="clear" w:color="auto" w:fill="auto"/>
        <w:bidi w:val="0"/>
        <w:spacing w:before="0" w:after="280" w:line="307" w:lineRule="exact"/>
        <w:ind w:left="0" w:right="0" w:firstLine="460"/>
        <w:jc w:val="both"/>
      </w:pPr>
      <w:r>
        <w:rPr>
          <w:color w:val="000000"/>
          <w:spacing w:val="0"/>
          <w:w w:val="100"/>
          <w:position w:val="0"/>
        </w:rPr>
        <w:t>注</w:t>
      </w:r>
      <w:r>
        <w:rPr>
          <w:color w:val="000000"/>
          <w:spacing w:val="0"/>
          <w:w w:val="100"/>
          <w:position w:val="0"/>
        </w:rPr>
        <w:t>1：</w:t>
      </w:r>
      <w:r>
        <w:rPr>
          <w:color w:val="000000"/>
          <w:spacing w:val="0"/>
          <w:w w:val="100"/>
          <w:position w:val="0"/>
        </w:rPr>
        <w:t>本公司之全资子公司中农信达对北京旗硕基业科技股份有限公司（以下简称“旗硕科技”）持股比例</w:t>
      </w:r>
      <w:r>
        <w:rPr>
          <w:color w:val="000000"/>
          <w:spacing w:val="0"/>
          <w:w w:val="100"/>
          <w:position w:val="0"/>
        </w:rPr>
        <w:t>40.81%,</w:t>
      </w:r>
      <w:r>
        <w:rPr>
          <w:color w:val="000000"/>
          <w:spacing w:val="0"/>
          <w:w w:val="100"/>
          <w:position w:val="0"/>
        </w:rPr>
        <w:t>张 丹丹、冯健刚、王宇飞分别持有旗硕科技</w:t>
      </w:r>
      <w:r>
        <w:rPr>
          <w:color w:val="000000"/>
          <w:spacing w:val="0"/>
          <w:w w:val="100"/>
          <w:position w:val="0"/>
        </w:rPr>
        <w:t>3.4008%, 3.4008%, 3.4008%</w:t>
      </w:r>
      <w:r>
        <w:rPr>
          <w:color w:val="000000"/>
          <w:spacing w:val="0"/>
          <w:w w:val="100"/>
          <w:position w:val="0"/>
        </w:rPr>
        <w:t>的股权，合计持有旗硕科技股权</w:t>
      </w:r>
      <w:r>
        <w:rPr>
          <w:color w:val="000000"/>
          <w:spacing w:val="0"/>
          <w:w w:val="100"/>
          <w:position w:val="0"/>
        </w:rPr>
        <w:t>51.0124%</w:t>
      </w:r>
      <w:r>
        <w:rPr>
          <w:color w:val="000000"/>
          <w:spacing w:val="0"/>
          <w:w w:val="100"/>
          <w:position w:val="0"/>
        </w:rPr>
        <w:t xml:space="preserve">。根据张丹 </w:t>
      </w:r>
      <w:r>
        <w:rPr>
          <w:color w:val="000000"/>
          <w:spacing w:val="0"/>
          <w:w w:val="100"/>
          <w:position w:val="0"/>
        </w:rPr>
        <w:t>丹、冯健刚、王宇飞与中农信达签署的《一致行动人协议》，中农信达能够控制旗硕科技，故本公司将其纳入合并范围。香 河旗硕智能科技有限公司为旗硕科技的子公司。</w:t>
      </w:r>
    </w:p>
    <w:p>
      <w:pPr>
        <w:pStyle w:val="Style13"/>
        <w:keepNext w:val="0"/>
        <w:keepLines w:val="0"/>
        <w:widowControl w:val="0"/>
        <w:shd w:val="clear" w:color="auto" w:fill="auto"/>
        <w:bidi w:val="0"/>
        <w:spacing w:before="0" w:after="360" w:line="314" w:lineRule="exact"/>
        <w:ind w:left="0" w:right="0"/>
        <w:jc w:val="both"/>
      </w:pPr>
      <w:r>
        <w:rPr>
          <w:color w:val="000000"/>
          <w:spacing w:val="0"/>
          <w:w w:val="100"/>
          <w:position w:val="0"/>
        </w:rPr>
        <w:t>注</w:t>
      </w:r>
      <w:r>
        <w:rPr>
          <w:color w:val="000000"/>
          <w:spacing w:val="0"/>
          <w:w w:val="100"/>
          <w:position w:val="0"/>
        </w:rPr>
        <w:t>2：</w:t>
      </w:r>
      <w:r>
        <w:rPr>
          <w:color w:val="000000"/>
          <w:spacing w:val="0"/>
          <w:w w:val="100"/>
          <w:position w:val="0"/>
        </w:rPr>
        <w:t>本公司之全资子公司神州数码系统集成服务有限公司对北京神州数码信息技术服务有限公司持股比例</w:t>
      </w:r>
      <w:r>
        <w:rPr>
          <w:color w:val="000000"/>
          <w:spacing w:val="0"/>
          <w:w w:val="100"/>
          <w:position w:val="0"/>
        </w:rPr>
        <w:t xml:space="preserve">46. </w:t>
      </w:r>
      <w:r>
        <w:rPr>
          <w:color w:val="000000"/>
          <w:spacing w:val="0"/>
          <w:w w:val="100"/>
          <w:position w:val="0"/>
        </w:rPr>
        <w:t>00%，</w:t>
      </w:r>
      <w:r>
        <w:rPr>
          <w:color w:val="000000"/>
          <w:spacing w:val="0"/>
          <w:w w:val="100"/>
          <w:position w:val="0"/>
        </w:rPr>
        <w:t>但 由于神州数码系统集成服务有限公司为北京神州数码信息技术服务有限公司的第一大股东，且北京神州数码信息技术服务有 限公司董事会成员中半数以上系本公司委派，董事会决议由半数以上董事表决通过即可，神州数码系统集成服务有限公司能 够控制北京神州数码信息技术服务有限公司，故本公司将其纳入合并范围。神州数码信息系统有限公司、神州数码信息系统 （扬州）有限公司、神州龙安（金华）信息技术服务有限公司、神州龙安（成都）信息技术服务有限公司、神州龙安（青海） 信息技术服务有限公司、神州国信（北京）信息科技有限公司、神州龙安（内蒙古）信息技术服务有限公司、神州龙安（江 苏）信息技术服务有限公司、神州龙安（北京）信息服务有限公司、神州龙安（山西）信息技术服务有限公司为北京神州数 码信息技术服务有限公司的子公司。</w:t>
      </w:r>
    </w:p>
    <w:p>
      <w:pPr>
        <w:pStyle w:val="Style37"/>
        <w:keepNext/>
        <w:keepLines/>
        <w:widowControl w:val="0"/>
        <w:shd w:val="clear" w:color="auto" w:fill="auto"/>
        <w:bidi w:val="0"/>
        <w:spacing w:before="0" w:after="360" w:line="240" w:lineRule="auto"/>
        <w:ind w:left="0" w:right="0" w:firstLine="0"/>
        <w:jc w:val="both"/>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97"/>
      <w:bookmarkEnd w:id="1398"/>
      <w:bookmarkEnd w:id="13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北京神州数码信息技术 服务有限公司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8,297,434.24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48,597,942.42</w:t>
            </w:r>
          </w:p>
        </w:tc>
      </w:tr>
    </w:tbl>
    <w:p>
      <w:pPr>
        <w:widowControl w:val="0"/>
        <w:spacing w:after="179" w:line="1" w:lineRule="exact"/>
      </w:pPr>
    </w:p>
    <w:p>
      <w:pPr>
        <w:pStyle w:val="Style13"/>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注：本公司之子公司神州数码系统集成服务有限公司、珠海市时代新科实业有限公司及珠海市捷通无限科技有限公司 分别持有北京神州数码信息技术服务有限公司</w:t>
      </w:r>
      <w:r>
        <w:rPr>
          <w:color w:val="000000"/>
          <w:spacing w:val="0"/>
          <w:w w:val="100"/>
          <w:position w:val="0"/>
        </w:rPr>
        <w:t xml:space="preserve">46. </w:t>
      </w:r>
      <w:r>
        <w:rPr>
          <w:color w:val="000000"/>
          <w:spacing w:val="0"/>
          <w:w w:val="100"/>
          <w:position w:val="0"/>
        </w:rPr>
        <w:t>00%</w:t>
      </w:r>
      <w:r>
        <w:rPr>
          <w:color w:val="000000"/>
          <w:spacing w:val="0"/>
          <w:w w:val="100"/>
          <w:position w:val="0"/>
        </w:rPr>
        <w:t>、</w:t>
      </w:r>
      <w:r>
        <w:rPr>
          <w:color w:val="000000"/>
          <w:spacing w:val="0"/>
          <w:w w:val="100"/>
          <w:position w:val="0"/>
        </w:rPr>
        <w:t xml:space="preserve">10. </w:t>
      </w:r>
      <w:r>
        <w:rPr>
          <w:color w:val="000000"/>
          <w:spacing w:val="0"/>
          <w:w w:val="100"/>
          <w:position w:val="0"/>
        </w:rPr>
        <w:t>00%</w:t>
      </w:r>
      <w:r>
        <w:rPr>
          <w:color w:val="000000"/>
          <w:spacing w:val="0"/>
          <w:w w:val="100"/>
          <w:position w:val="0"/>
        </w:rPr>
        <w:t>及</w:t>
      </w:r>
      <w:r>
        <w:rPr>
          <w:color w:val="000000"/>
          <w:spacing w:val="0"/>
          <w:w w:val="100"/>
          <w:position w:val="0"/>
        </w:rPr>
        <w:t xml:space="preserve">44. </w:t>
      </w:r>
      <w:r>
        <w:rPr>
          <w:color w:val="000000"/>
          <w:spacing w:val="0"/>
          <w:w w:val="100"/>
          <w:position w:val="0"/>
        </w:rPr>
        <w:t>00%</w:t>
      </w:r>
      <w:r>
        <w:rPr>
          <w:color w:val="000000"/>
          <w:spacing w:val="0"/>
          <w:w w:val="100"/>
          <w:position w:val="0"/>
        </w:rPr>
        <w:t>股权，根据北京神州数码信息技术服务有限公司</w:t>
      </w:r>
      <w:r>
        <w:rPr>
          <w:color w:val="000000"/>
          <w:spacing w:val="0"/>
          <w:w w:val="100"/>
          <w:position w:val="0"/>
        </w:rPr>
        <w:t xml:space="preserve">2020 </w:t>
      </w:r>
      <w:r>
        <w:rPr>
          <w:color w:val="000000"/>
          <w:spacing w:val="0"/>
          <w:w w:val="100"/>
          <w:position w:val="0"/>
        </w:rPr>
        <w:t>年股东会决议，确定股东红利按协议约定比例执行，其他权利仍按出资比例执行。</w:t>
      </w:r>
    </w:p>
    <w:p>
      <w:pPr>
        <w:pStyle w:val="Style37"/>
        <w:keepNext/>
        <w:keepLines/>
        <w:widowControl w:val="0"/>
        <w:shd w:val="clear" w:color="auto" w:fill="auto"/>
        <w:bidi w:val="0"/>
        <w:spacing w:before="0" w:after="360" w:line="240" w:lineRule="auto"/>
        <w:ind w:left="0" w:right="0" w:firstLine="0"/>
        <w:jc w:val="both"/>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00"/>
      <w:bookmarkEnd w:id="1401"/>
      <w:bookmarkEnd w:id="1403"/>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325"/>
        <w:gridCol w:w="1325"/>
        <w:gridCol w:w="1320"/>
        <w:gridCol w:w="1325"/>
        <w:gridCol w:w="1320"/>
        <w:gridCol w:w="13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流动负债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北京神州数码信息 技术服务有限公司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1,965,239,318.43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60,309,407.51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2,025,548,725.94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1,873,857,042.70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9,535,895.51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1,883,392,938.21</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（续上表）</w:t>
      </w:r>
    </w:p>
    <w:tbl>
      <w:tblPr>
        <w:tblOverlap w:val="never"/>
        <w:jc w:val="center"/>
        <w:tblLayout w:type="fixed"/>
      </w:tblPr>
      <w:tblGrid>
        <w:gridCol w:w="1565"/>
        <w:gridCol w:w="1325"/>
        <w:gridCol w:w="1325"/>
        <w:gridCol w:w="1320"/>
        <w:gridCol w:w="1325"/>
        <w:gridCol w:w="1320"/>
        <w:gridCol w:w="133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流动负债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北京神州数码信息 技术服务有限公司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1,021,771,962.08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50,451,495.30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1,072,223,457.38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985,034,287.36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3,833,583.94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988,867,871.30</w:t>
            </w:r>
          </w:p>
        </w:tc>
      </w:tr>
    </w:tbl>
    <w:p>
      <w:pPr>
        <w:widowControl w:val="0"/>
        <w:spacing w:after="4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2390"/>
        <w:gridCol w:w="2107"/>
        <w:gridCol w:w="1685"/>
        <w:gridCol w:w="19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经营活动现金流量</w:t>
            </w:r>
          </w:p>
        </w:tc>
      </w:tr>
    </w:tbl>
    <w:tbl>
      <w:tblPr>
        <w:tblOverlap w:val="never"/>
        <w:jc w:val="center"/>
        <w:tblLayout w:type="fixed"/>
      </w:tblPr>
      <w:tblGrid>
        <w:gridCol w:w="1550"/>
        <w:gridCol w:w="2390"/>
        <w:gridCol w:w="2107"/>
        <w:gridCol w:w="1685"/>
        <w:gridCol w:w="1973"/>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北京神州数码信息 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2,561,226,027.42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57,621,070.95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57,621,070.95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-83,738,457.06</w:t>
            </w:r>
          </w:p>
        </w:tc>
      </w:tr>
      <w:tr>
        <w:trPr>
          <w:trHeight w:val="403"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(续上表)</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经营活动现金流量</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北京神州数码信息 技术服务有限公司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962,101,353.66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8,131,566.05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8,131,566.05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-45,681,586.72</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04"/>
      <w:bookmarkEnd w:id="1405"/>
      <w:bookmarkEnd w:id="1406"/>
    </w:p>
    <w:p>
      <w:pPr>
        <w:pStyle w:val="Style37"/>
        <w:keepNext/>
        <w:keepLines/>
        <w:widowControl w:val="0"/>
        <w:numPr>
          <w:ilvl w:val="0"/>
          <w:numId w:val="17"/>
        </w:numPr>
        <w:shd w:val="clear" w:color="auto" w:fill="auto"/>
        <w:tabs>
          <w:tab w:pos="493" w:val="left"/>
        </w:tabs>
        <w:bidi w:val="0"/>
        <w:spacing w:before="0" w:after="38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重要的合营企业或联营企业</w:t>
      </w:r>
      <w:bookmarkEnd w:id="1407"/>
      <w:bookmarkEnd w:id="1408"/>
      <w:bookmarkEnd w:id="1410"/>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numPr>
          <w:ilvl w:val="0"/>
          <w:numId w:val="17"/>
        </w:numPr>
        <w:shd w:val="clear" w:color="auto" w:fill="auto"/>
        <w:tabs>
          <w:tab w:pos="493" w:val="left"/>
        </w:tabs>
        <w:bidi w:val="0"/>
        <w:spacing w:before="0" w:after="38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不重要的合营企业和联营企业的汇总财务信息</w:t>
      </w:r>
      <w:bookmarkEnd w:id="1411"/>
      <w:bookmarkEnd w:id="1412"/>
      <w:bookmarkEnd w:id="14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141,909,969.17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163,000,470.68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4,248,067.28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2,743,122.27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4,248,067.28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2,743,122.27</w:t>
            </w:r>
          </w:p>
        </w:tc>
      </w:tr>
    </w:tbl>
    <w:p>
      <w:pPr>
        <w:widowControl w:val="0"/>
        <w:spacing w:after="319" w:line="1" w:lineRule="exact"/>
      </w:pPr>
    </w:p>
    <w:p>
      <w:pPr>
        <w:pStyle w:val="Style25"/>
        <w:keepNext/>
        <w:keepLines/>
        <w:widowControl w:val="0"/>
        <w:shd w:val="clear" w:color="auto" w:fill="auto"/>
        <w:bidi w:val="0"/>
        <w:spacing w:before="0" w:after="240" w:line="240" w:lineRule="auto"/>
        <w:ind w:left="0" w:right="0" w:firstLine="0"/>
        <w:jc w:val="left"/>
      </w:pPr>
      <w:bookmarkStart w:id="1415" w:name="bookmark1415"/>
      <w:bookmarkStart w:id="1416" w:name="bookmark1416"/>
      <w:bookmarkStart w:id="1417" w:name="bookmark1417"/>
      <w:r>
        <w:rPr>
          <w:color w:val="000000"/>
          <w:spacing w:val="0"/>
          <w:w w:val="100"/>
          <w:position w:val="0"/>
          <w:sz w:val="24"/>
          <w:szCs w:val="24"/>
        </w:rPr>
        <w:t>十、与金融工具相关的风险</w:t>
      </w:r>
      <w:bookmarkEnd w:id="1415"/>
      <w:bookmarkEnd w:id="1416"/>
      <w:bookmarkEnd w:id="1417"/>
    </w:p>
    <w:p>
      <w:pPr>
        <w:pStyle w:val="Style13"/>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本集团的主要金融工具包括货币资金、交易性金融资产、应收票据、应收账款、其他应收款、其他权益工具投资、短 期借款、应付票据、应付账款、其他应付款、一年内到期的非流动负债、长期借款、长期应付款等，各项金融工具的详细情 况说明见“第十节、七合并财务报表项目注释”。本集团金融工具所产生的主要风险为汇率风险和利率风险。本集团为降低 这些风险所采取的风险管理政策如下所述。</w:t>
      </w:r>
    </w:p>
    <w:p>
      <w:pPr>
        <w:pStyle w:val="Style13"/>
        <w:keepNext w:val="0"/>
        <w:keepLines w:val="0"/>
        <w:widowControl w:val="0"/>
        <w:numPr>
          <w:ilvl w:val="0"/>
          <w:numId w:val="19"/>
        </w:numPr>
        <w:shd w:val="clear" w:color="auto" w:fill="auto"/>
        <w:tabs>
          <w:tab w:pos="852" w:val="left"/>
        </w:tabs>
        <w:bidi w:val="0"/>
        <w:spacing w:before="0" w:after="240" w:line="312" w:lineRule="exact"/>
        <w:ind w:left="0" w:right="0" w:firstLine="460"/>
        <w:jc w:val="both"/>
      </w:pPr>
      <w:bookmarkStart w:id="1418" w:name="bookmark1418"/>
      <w:bookmarkEnd w:id="1418"/>
      <w:r>
        <w:rPr>
          <w:color w:val="000000"/>
          <w:spacing w:val="0"/>
          <w:w w:val="100"/>
          <w:position w:val="0"/>
        </w:rPr>
        <w:t>、风险管理目标和政策</w:t>
      </w:r>
    </w:p>
    <w:p>
      <w:pPr>
        <w:pStyle w:val="Style13"/>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本集团从事风险管理的目标是在风险和收益之间取得适当的平衡，将风险对本集团经营业绩的负面影响降低到最低水 平，使股东及其它权益投资者的利益最大化。基于该风险管理目标，本集团风险管理的基本策略是确定和分析本集团所面临 的各种风险，建立适当的风险承受底线并进行风险管理，并及时可靠地对各种风险进行监督，将风险控制在限定的范围之内。</w:t>
      </w:r>
    </w:p>
    <w:p>
      <w:pPr>
        <w:pStyle w:val="Style13"/>
        <w:keepNext w:val="0"/>
        <w:keepLines w:val="0"/>
        <w:widowControl w:val="0"/>
        <w:numPr>
          <w:ilvl w:val="0"/>
          <w:numId w:val="19"/>
        </w:numPr>
        <w:shd w:val="clear" w:color="auto" w:fill="auto"/>
        <w:tabs>
          <w:tab w:pos="852" w:val="left"/>
        </w:tabs>
        <w:bidi w:val="0"/>
        <w:spacing w:before="0" w:after="240" w:line="312" w:lineRule="exact"/>
        <w:ind w:left="0" w:right="0" w:firstLine="460"/>
        <w:jc w:val="both"/>
      </w:pPr>
      <w:bookmarkStart w:id="1419" w:name="bookmark1419"/>
      <w:bookmarkEnd w:id="1419"/>
      <w:r>
        <w:rPr>
          <w:color w:val="000000"/>
          <w:spacing w:val="0"/>
          <w:w w:val="100"/>
          <w:position w:val="0"/>
        </w:rPr>
        <w:t>、市场风险</w:t>
      </w:r>
    </w:p>
    <w:p>
      <w:pPr>
        <w:pStyle w:val="Style13"/>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1)</w:t>
      </w:r>
      <w:r>
        <w:rPr>
          <w:color w:val="000000"/>
          <w:spacing w:val="0"/>
          <w:w w:val="100"/>
          <w:position w:val="0"/>
        </w:rPr>
        <w:t>汇率风险</w:t>
      </w:r>
    </w:p>
    <w:p>
      <w:pPr>
        <w:pStyle w:val="Style13"/>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外汇风险指因汇率变动产生损失的风险。本集团承受外汇风险主要与美元、港币有关。于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日，资产及负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债的美元、港币如下表所述:</w:t>
      </w:r>
    </w:p>
    <w:tbl>
      <w:tblPr>
        <w:tblOverlap w:val="never"/>
        <w:jc w:val="center"/>
        <w:tblLayout w:type="fixed"/>
      </w:tblPr>
      <w:tblGrid>
        <w:gridCol w:w="1147"/>
        <w:gridCol w:w="1997"/>
        <w:gridCol w:w="2160"/>
        <w:gridCol w:w="2198"/>
        <w:gridCol w:w="2165"/>
      </w:tblGrid>
      <w:tr>
        <w:trPr>
          <w:trHeight w:val="34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币种</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8, 949, </w:t>
            </w:r>
            <w:r>
              <w:rPr>
                <w:color w:val="000000"/>
                <w:spacing w:val="0"/>
                <w:w w:val="100"/>
                <w:position w:val="0"/>
              </w:rPr>
              <w:t xml:space="preserve">549. </w:t>
            </w: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2,828,929.70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18, 537, </w:t>
            </w:r>
            <w:r>
              <w:rPr>
                <w:color w:val="000000"/>
                <w:spacing w:val="0"/>
                <w:w w:val="100"/>
                <w:position w:val="0"/>
              </w:rPr>
              <w:t xml:space="preserve">200.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7,598,135.34</w:t>
            </w:r>
          </w:p>
        </w:tc>
      </w:tr>
      <w:tr>
        <w:trPr>
          <w:trHeight w:val="34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1,039, </w:t>
            </w:r>
            <w:r>
              <w:rPr>
                <w:color w:val="000000"/>
                <w:spacing w:val="0"/>
                <w:w w:val="100"/>
                <w:position w:val="0"/>
              </w:rPr>
              <w:t xml:space="preserve">953. </w:t>
            </w:r>
            <w:r>
              <w:rPr>
                <w:color w:val="000000"/>
                <w:spacing w:val="0"/>
                <w:w w:val="100"/>
                <w:position w:val="0"/>
              </w:rPr>
              <w:t>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3,339,905.48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1,730,221.30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46,960,102.90</w:t>
            </w:r>
          </w:p>
        </w:tc>
      </w:tr>
    </w:tbl>
    <w:p>
      <w:pPr>
        <w:widowControl w:val="0"/>
        <w:spacing w:after="219" w:line="1" w:lineRule="exact"/>
      </w:pPr>
    </w:p>
    <w:p>
      <w:pPr>
        <w:pStyle w:val="Style13"/>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本集团目前并无外币对冲政策，但管理层监控外币汇兑风险并将考虑在需要时对冲重大外币风险。</w:t>
      </w:r>
    </w:p>
    <w:p>
      <w:pPr>
        <w:pStyle w:val="Style13"/>
        <w:keepNext w:val="0"/>
        <w:keepLines w:val="0"/>
        <w:widowControl w:val="0"/>
        <w:shd w:val="clear" w:color="auto" w:fill="auto"/>
        <w:tabs>
          <w:tab w:pos="847" w:val="left"/>
        </w:tabs>
        <w:bidi w:val="0"/>
        <w:spacing w:before="0" w:after="220" w:line="310" w:lineRule="exact"/>
        <w:ind w:left="0" w:right="0" w:firstLine="460"/>
        <w:jc w:val="both"/>
      </w:pPr>
      <w:bookmarkStart w:id="1420" w:name="bookmark1420"/>
      <w:r>
        <w:rPr>
          <w:color w:val="000000"/>
          <w:spacing w:val="0"/>
          <w:w w:val="100"/>
          <w:position w:val="0"/>
        </w:rPr>
        <w:t>（</w:t>
      </w:r>
      <w:bookmarkEnd w:id="1420"/>
      <w:r>
        <w:rPr>
          <w:color w:val="000000"/>
          <w:spacing w:val="0"/>
          <w:w w:val="100"/>
          <w:position w:val="0"/>
        </w:rPr>
        <w:t>2）</w:t>
        <w:tab/>
      </w:r>
      <w:r>
        <w:rPr>
          <w:color w:val="000000"/>
          <w:spacing w:val="0"/>
          <w:w w:val="100"/>
          <w:position w:val="0"/>
        </w:rPr>
        <w:t>利率风险</w:t>
      </w:r>
    </w:p>
    <w:p>
      <w:pPr>
        <w:pStyle w:val="Style13"/>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本集团的利率风险主要与本集团以浮动利率计息的负债有关。于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日，本集团的带息债务主要为人民币计 价的浮动利率借款合同，金额合计为</w:t>
      </w:r>
      <w:r>
        <w:rPr>
          <w:color w:val="000000"/>
          <w:spacing w:val="0"/>
          <w:w w:val="100"/>
          <w:position w:val="0"/>
        </w:rPr>
        <w:t>6,217.49</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日金额为</w:t>
      </w:r>
      <w:r>
        <w:rPr>
          <w:color w:val="000000"/>
          <w:spacing w:val="0"/>
          <w:w w:val="100"/>
          <w:position w:val="0"/>
        </w:rPr>
        <w:t>31,970.4</w:t>
      </w:r>
      <w:r>
        <w:rPr>
          <w:color w:val="000000"/>
          <w:spacing w:val="0"/>
          <w:w w:val="100"/>
          <w:position w:val="0"/>
        </w:rPr>
        <w:t>1</w:t>
      </w:r>
      <w:r>
        <w:rPr>
          <w:color w:val="000000"/>
          <w:spacing w:val="0"/>
          <w:w w:val="100"/>
          <w:position w:val="0"/>
        </w:rPr>
        <w:t>万元）。本集团目前没有利率对冲政 策，然而，管理层对利率风险实施监察，若预期出现重大利率风险，将会考虑采取其他必要的行动。</w:t>
      </w:r>
    </w:p>
    <w:p>
      <w:pPr>
        <w:pStyle w:val="Style13"/>
        <w:keepNext w:val="0"/>
        <w:keepLines w:val="0"/>
        <w:widowControl w:val="0"/>
        <w:shd w:val="clear" w:color="auto" w:fill="auto"/>
        <w:tabs>
          <w:tab w:pos="847" w:val="left"/>
        </w:tabs>
        <w:bidi w:val="0"/>
        <w:spacing w:before="0" w:after="220" w:line="310" w:lineRule="exact"/>
        <w:ind w:left="0" w:right="0" w:firstLine="460"/>
        <w:jc w:val="both"/>
      </w:pPr>
      <w:bookmarkStart w:id="1421" w:name="bookmark1421"/>
      <w:r>
        <w:rPr>
          <w:color w:val="000000"/>
          <w:spacing w:val="0"/>
          <w:w w:val="100"/>
          <w:position w:val="0"/>
        </w:rPr>
        <w:t>（</w:t>
      </w:r>
      <w:bookmarkEnd w:id="1421"/>
      <w:r>
        <w:rPr>
          <w:color w:val="000000"/>
          <w:spacing w:val="0"/>
          <w:w w:val="100"/>
          <w:position w:val="0"/>
        </w:rPr>
        <w:t>3）</w:t>
        <w:tab/>
      </w:r>
      <w:r>
        <w:rPr>
          <w:color w:val="000000"/>
          <w:spacing w:val="0"/>
          <w:w w:val="100"/>
          <w:position w:val="0"/>
        </w:rPr>
        <w:t>信用风险</w:t>
      </w:r>
    </w:p>
    <w:p>
      <w:pPr>
        <w:pStyle w:val="Style13"/>
        <w:keepNext w:val="0"/>
        <w:keepLines w:val="0"/>
        <w:widowControl w:val="0"/>
        <w:shd w:val="clear" w:color="auto" w:fill="auto"/>
        <w:bidi w:val="0"/>
        <w:spacing w:before="0" w:after="220" w:line="326" w:lineRule="exact"/>
        <w:ind w:left="0" w:right="0" w:firstLine="46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日，可能引起本集团财务损失的最大信用风险敞口主要来自于合同另一方未能履行义务而导致本集团 金融资产产生的损失。</w:t>
      </w:r>
    </w:p>
    <w:p>
      <w:pPr>
        <w:pStyle w:val="Style13"/>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本集团仅与经认可的、信誉良好的第三方进行交易。按照本集团政策，需对所有要求采用信用方式进行交易的客户进 行信用审核。另外，本集团对应收账款余额进行持续监控，以确保本集团不致面临重大坏账风险。对于未采用相关经营单位 的记账本位币结算的交易，除非本集团信用控制部门特别批准，否则本集团不提供信用交易条件。</w:t>
      </w:r>
    </w:p>
    <w:p>
      <w:pPr>
        <w:pStyle w:val="Style13"/>
        <w:keepNext w:val="0"/>
        <w:keepLines w:val="0"/>
        <w:widowControl w:val="0"/>
        <w:shd w:val="clear" w:color="auto" w:fill="auto"/>
        <w:bidi w:val="0"/>
        <w:spacing w:before="0" w:after="220" w:line="305" w:lineRule="exact"/>
        <w:ind w:left="0" w:right="0" w:firstLine="460"/>
        <w:jc w:val="both"/>
      </w:pPr>
      <w:r>
        <w:rPr>
          <w:color w:val="000000"/>
          <w:spacing w:val="0"/>
          <w:w w:val="100"/>
          <w:position w:val="0"/>
        </w:rPr>
        <w:t>本集团其他金融资产包括货币资金、交易性金融资产、应收票据、其他应收款及其他权益工具投资，这些金融资产的 信用风险源自交易对手违约，最大风险敞口等于这些工具的账面金额。本公司还因给予关联方财务担保而面临信用风险，详 见本附注十二、</w:t>
      </w:r>
      <w:r>
        <w:rPr>
          <w:color w:val="000000"/>
          <w:spacing w:val="0"/>
          <w:w w:val="100"/>
          <w:position w:val="0"/>
        </w:rPr>
        <w:t>5.（3）</w:t>
      </w:r>
      <w:r>
        <w:rPr>
          <w:color w:val="000000"/>
          <w:spacing w:val="0"/>
          <w:w w:val="100"/>
          <w:position w:val="0"/>
        </w:rPr>
        <w:t>关联担保情况中披露。</w:t>
      </w:r>
    </w:p>
    <w:p>
      <w:pPr>
        <w:pStyle w:val="Style13"/>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由于本集团仅与经认可的且信誉良好的第三方进行交易，所以无需担保物。信用风险集中按照客户/交易对手、地理区 域和行业进行管理。由于本集团的应收账款客户群广泛地分散于不同的部门和行业中，因此在本集团内部不存在重大信用风 险集中。本集团对应收账款余额未持有其他信用增级。</w:t>
      </w:r>
    </w:p>
    <w:p>
      <w:pPr>
        <w:pStyle w:val="Style13"/>
        <w:keepNext w:val="0"/>
        <w:keepLines w:val="0"/>
        <w:widowControl w:val="0"/>
        <w:shd w:val="clear" w:color="auto" w:fill="auto"/>
        <w:tabs>
          <w:tab w:pos="847" w:val="left"/>
        </w:tabs>
        <w:bidi w:val="0"/>
        <w:spacing w:before="0" w:after="220" w:line="310" w:lineRule="exact"/>
        <w:ind w:left="0" w:right="0" w:firstLine="460"/>
        <w:jc w:val="both"/>
      </w:pPr>
      <w:bookmarkStart w:id="1422" w:name="bookmark1422"/>
      <w:r>
        <w:rPr>
          <w:color w:val="000000"/>
          <w:spacing w:val="0"/>
          <w:w w:val="100"/>
          <w:position w:val="0"/>
        </w:rPr>
        <w:t>（</w:t>
      </w:r>
      <w:bookmarkEnd w:id="1422"/>
      <w:r>
        <w:rPr>
          <w:color w:val="000000"/>
          <w:spacing w:val="0"/>
          <w:w w:val="100"/>
          <w:position w:val="0"/>
        </w:rPr>
        <w:t>4）</w:t>
        <w:tab/>
      </w:r>
      <w:r>
        <w:rPr>
          <w:color w:val="000000"/>
          <w:spacing w:val="0"/>
          <w:w w:val="100"/>
          <w:position w:val="0"/>
        </w:rPr>
        <w:t>流动风险</w:t>
      </w:r>
    </w:p>
    <w:p>
      <w:pPr>
        <w:pStyle w:val="Style13"/>
        <w:keepNext w:val="0"/>
        <w:keepLines w:val="0"/>
        <w:widowControl w:val="0"/>
        <w:shd w:val="clear" w:color="auto" w:fill="auto"/>
        <w:bidi w:val="0"/>
        <w:spacing w:before="0" w:after="320" w:line="310" w:lineRule="exact"/>
        <w:ind w:left="0" w:right="0" w:firstLine="460"/>
        <w:jc w:val="both"/>
      </w:pPr>
      <w:r>
        <w:rPr>
          <w:color w:val="000000"/>
          <w:spacing w:val="0"/>
          <w:w w:val="100"/>
          <w:position w:val="0"/>
        </w:rPr>
        <w:t>流动风险为本集团在到期日无法履行其财务义务的风险。本集团管理流动性风险的方法是采用循环流动性资金计划工 具监控资金短缺的风险。该工具考虑其涉及金融工具与金融资产（如应收账款及应收票据）的到期日以及来自营运业务的预 期营运现金流量。本集团的目标是透过使用附息银行贷款以及其他可取得的资金来源，维持资金延续性与灵活性的平衡。此 外，本集团还取得银行额度以供应急之用。</w:t>
      </w:r>
    </w:p>
    <w:p>
      <w:pPr>
        <w:pStyle w:val="Style27"/>
        <w:keepNext w:val="0"/>
        <w:keepLines w:val="0"/>
        <w:widowControl w:val="0"/>
        <w:shd w:val="clear" w:color="auto" w:fill="auto"/>
        <w:bidi w:val="0"/>
        <w:spacing w:before="0" w:after="0" w:line="240" w:lineRule="auto"/>
        <w:ind w:left="437"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日本集团持有的金融负债按未折现剩余合同义务的到期期限分析如下:</w:t>
      </w:r>
    </w:p>
    <w:tbl>
      <w:tblPr>
        <w:tblOverlap w:val="never"/>
        <w:jc w:val="center"/>
        <w:tblLayout w:type="fixed"/>
      </w:tblPr>
      <w:tblGrid>
        <w:gridCol w:w="1512"/>
        <w:gridCol w:w="2237"/>
        <w:gridCol w:w="1867"/>
        <w:gridCol w:w="1867"/>
        <w:gridCol w:w="2179"/>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一年以内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一至三年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三年以上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164, 355, </w:t>
            </w:r>
            <w:r>
              <w:rPr>
                <w:color w:val="000000"/>
                <w:spacing w:val="0"/>
                <w:w w:val="100"/>
                <w:position w:val="0"/>
              </w:rPr>
              <w:t xml:space="preserve">930.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164,355,930.18</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928,591,820.42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928,591,820.42</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1,802,345,868.73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595, </w:t>
            </w:r>
            <w:r>
              <w:rPr>
                <w:color w:val="000000"/>
                <w:spacing w:val="0"/>
                <w:w w:val="100"/>
                <w:position w:val="0"/>
              </w:rPr>
              <w:t xml:space="preserve">871,514. </w:t>
            </w:r>
            <w:r>
              <w:rPr>
                <w:color w:val="000000"/>
                <w:spacing w:val="0"/>
                <w:w w:val="100"/>
                <w:position w:val="0"/>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188, 832, </w:t>
            </w:r>
            <w:r>
              <w:rPr>
                <w:color w:val="000000"/>
                <w:spacing w:val="0"/>
                <w:w w:val="100"/>
                <w:position w:val="0"/>
              </w:rPr>
              <w:t xml:space="preserve">383.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2,587,049,767.34</w:t>
            </w:r>
          </w:p>
        </w:tc>
      </w:tr>
      <w:tr>
        <w:trPr>
          <w:trHeight w:val="34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140,577,581.00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13,364,090.42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8,978,490.89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162,920,162.31</w:t>
            </w:r>
          </w:p>
        </w:tc>
      </w:tr>
    </w:tbl>
    <w:p>
      <w:pPr>
        <w:pStyle w:val="Style27"/>
        <w:keepNext w:val="0"/>
        <w:keepLines w:val="0"/>
        <w:widowControl w:val="0"/>
        <w:shd w:val="clear" w:color="auto" w:fill="auto"/>
        <w:bidi w:val="0"/>
        <w:spacing w:before="0" w:after="0" w:line="240" w:lineRule="auto"/>
        <w:ind w:left="456" w:right="0" w:firstLine="0"/>
        <w:jc w:val="left"/>
      </w:pPr>
      <w:r>
        <w:rPr>
          <w:color w:val="000000"/>
          <w:spacing w:val="0"/>
          <w:w w:val="100"/>
          <w:position w:val="0"/>
        </w:rPr>
        <w:t>（5）</w:t>
      </w:r>
      <w:r>
        <w:rPr>
          <w:color w:val="000000"/>
          <w:spacing w:val="0"/>
          <w:w w:val="100"/>
          <w:position w:val="0"/>
        </w:rPr>
        <w:t>敏感性分析</w:t>
      </w:r>
    </w:p>
    <w:p>
      <w:pPr>
        <w:pStyle w:val="Style13"/>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本集团采用敏感性分析技术分析风险变量的合理、可能变化对当期损益或所有者权益可能产生的影响。由于任何风险 变量很少孤立的发生变化，而变量之间存在的相关性对某一风险变量变化的最终影响金额将产生重大作用，因此下述内容是 在假设每一变量的变化是独立的情况下进行的。</w:t>
      </w:r>
    </w:p>
    <w:p>
      <w:pPr>
        <w:pStyle w:val="Style13"/>
        <w:keepNext w:val="0"/>
        <w:keepLines w:val="0"/>
        <w:widowControl w:val="0"/>
        <w:shd w:val="clear" w:color="auto" w:fill="auto"/>
        <w:bidi w:val="0"/>
        <w:spacing w:before="0" w:after="240" w:line="314" w:lineRule="exact"/>
        <w:ind w:left="0" w:right="0" w:firstLine="460"/>
        <w:jc w:val="left"/>
      </w:pPr>
      <w:r>
        <w:rPr>
          <w:color w:val="000000"/>
          <w:spacing w:val="0"/>
          <w:w w:val="100"/>
          <w:position w:val="0"/>
        </w:rPr>
        <w:t>1）</w:t>
      </w:r>
      <w:r>
        <w:rPr>
          <w:color w:val="000000"/>
          <w:spacing w:val="0"/>
          <w:w w:val="100"/>
          <w:position w:val="0"/>
        </w:rPr>
        <w:t>外汇风险敏感性分析</w:t>
      </w:r>
    </w:p>
    <w:p>
      <w:pPr>
        <w:pStyle w:val="Style13"/>
        <w:keepNext w:val="0"/>
        <w:keepLines w:val="0"/>
        <w:widowControl w:val="0"/>
        <w:shd w:val="clear" w:color="auto" w:fill="auto"/>
        <w:bidi w:val="0"/>
        <w:spacing w:before="0" w:after="340" w:line="317" w:lineRule="exact"/>
        <w:ind w:left="0" w:right="0" w:firstLine="460"/>
        <w:jc w:val="both"/>
      </w:pPr>
      <w:r>
        <w:rPr>
          <w:color w:val="000000"/>
          <w:spacing w:val="0"/>
          <w:w w:val="100"/>
          <w:position w:val="0"/>
        </w:rPr>
        <w:t>下表为汇率风险的敏感性分析，反映了在其它变量不变的假设下，美元、港币汇率发生合理、可能的变动时，将对利 润总额的影响如下：</w:t>
      </w:r>
    </w:p>
    <w:p>
      <w:pPr>
        <w:pStyle w:val="Style27"/>
        <w:keepNext w:val="0"/>
        <w:keepLines w:val="0"/>
        <w:widowControl w:val="0"/>
        <w:shd w:val="clear" w:color="auto" w:fill="auto"/>
        <w:bidi w:val="0"/>
        <w:spacing w:before="0" w:after="0" w:line="240" w:lineRule="auto"/>
        <w:ind w:left="7670" w:right="0" w:firstLine="0"/>
        <w:jc w:val="left"/>
      </w:pPr>
      <w:r>
        <w:rPr>
          <w:color w:val="000000"/>
          <w:spacing w:val="0"/>
          <w:w w:val="100"/>
          <w:position w:val="0"/>
        </w:rPr>
        <w:t>（单位：万元）</w:t>
      </w:r>
    </w:p>
    <w:tbl>
      <w:tblPr>
        <w:tblOverlap w:val="never"/>
        <w:jc w:val="center"/>
        <w:tblLayout w:type="fixed"/>
      </w:tblPr>
      <w:tblGrid>
        <w:gridCol w:w="979"/>
        <w:gridCol w:w="1411"/>
        <w:gridCol w:w="1930"/>
        <w:gridCol w:w="1757"/>
        <w:gridCol w:w="1550"/>
        <w:gridCol w:w="2035"/>
      </w:tblGrid>
      <w:tr>
        <w:trPr>
          <w:trHeight w:val="42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币种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汇率变动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34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对净利润的影响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对所有者权益的影响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对净利润的影响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对所有者权益的影响</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美元</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右人民币升值</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581.30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581.</w:t>
            </w: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597.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597.95</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港币</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1. </w:t>
            </w: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-2, 828. </w:t>
            </w: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-3.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-2, 854. </w:t>
            </w:r>
            <w:r>
              <w:rPr>
                <w:color w:val="000000"/>
                <w:spacing w:val="0"/>
                <w:w w:val="100"/>
                <w:position w:val="0"/>
              </w:rPr>
              <w:t>22</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 xml:space="preserve">582. </w:t>
            </w:r>
            <w:r>
              <w:rPr>
                <w:b/>
                <w:bCs/>
                <w:color w:val="000000"/>
                <w:spacing w:val="0"/>
                <w:w w:val="100"/>
                <w:position w:val="0"/>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 xml:space="preserve">-2, 247. </w:t>
            </w:r>
            <w:r>
              <w:rPr>
                <w:b/>
                <w:bCs/>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 xml:space="preserve">593. </w:t>
            </w:r>
            <w:r>
              <w:rPr>
                <w:b/>
                <w:bCs/>
                <w:color w:val="000000"/>
                <w:spacing w:val="0"/>
                <w:w w:val="100"/>
                <w:position w:val="0"/>
              </w:rPr>
              <w:t>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 xml:space="preserve">-2, 256. </w:t>
            </w:r>
            <w:r>
              <w:rPr>
                <w:b/>
                <w:bCs/>
                <w:color w:val="000000"/>
                <w:spacing w:val="0"/>
                <w:w w:val="100"/>
                <w:position w:val="0"/>
              </w:rPr>
              <w:t>27</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美元</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若人民币贬值</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-581. </w:t>
            </w: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-581. </w:t>
            </w: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-597.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-597.95</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港币</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-1. </w:t>
            </w: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 </w:t>
            </w:r>
            <w:r>
              <w:rPr>
                <w:color w:val="000000"/>
                <w:spacing w:val="0"/>
                <w:w w:val="100"/>
                <w:position w:val="0"/>
              </w:rPr>
              <w:t xml:space="preserve">828. </w:t>
            </w: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2, </w:t>
            </w:r>
            <w:r>
              <w:rPr>
                <w:color w:val="000000"/>
                <w:spacing w:val="0"/>
                <w:w w:val="100"/>
                <w:position w:val="0"/>
              </w:rPr>
              <w:t xml:space="preserve">854. </w:t>
            </w:r>
            <w:r>
              <w:rPr>
                <w:color w:val="000000"/>
                <w:spacing w:val="0"/>
                <w:w w:val="100"/>
                <w:position w:val="0"/>
              </w:rPr>
              <w:t>22</w:t>
            </w:r>
          </w:p>
        </w:tc>
      </w:tr>
      <w:tr>
        <w:trPr>
          <w:trHeight w:val="35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 xml:space="preserve">-582. </w:t>
            </w:r>
            <w:r>
              <w:rPr>
                <w:b/>
                <w:bCs/>
                <w:color w:val="000000"/>
                <w:spacing w:val="0"/>
                <w:w w:val="100"/>
                <w:position w:val="0"/>
              </w:rPr>
              <w:t>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 xml:space="preserve">2, </w:t>
            </w:r>
            <w:r>
              <w:rPr>
                <w:b/>
                <w:bCs/>
                <w:color w:val="000000"/>
                <w:spacing w:val="0"/>
                <w:w w:val="100"/>
                <w:position w:val="0"/>
              </w:rPr>
              <w:t xml:space="preserve">247. </w:t>
            </w:r>
            <w:r>
              <w:rPr>
                <w:b/>
                <w:bCs/>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 xml:space="preserve">-593. </w:t>
            </w:r>
            <w:r>
              <w:rPr>
                <w:b/>
                <w:bCs/>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 xml:space="preserve">2, </w:t>
            </w:r>
            <w:r>
              <w:rPr>
                <w:b/>
                <w:bCs/>
                <w:color w:val="000000"/>
                <w:spacing w:val="0"/>
                <w:w w:val="100"/>
                <w:position w:val="0"/>
              </w:rPr>
              <w:t xml:space="preserve">256. </w:t>
            </w:r>
            <w:r>
              <w:rPr>
                <w:b/>
                <w:bCs/>
                <w:color w:val="000000"/>
                <w:spacing w:val="0"/>
                <w:w w:val="100"/>
                <w:position w:val="0"/>
              </w:rPr>
              <w:t>27</w:t>
            </w:r>
          </w:p>
        </w:tc>
      </w:tr>
    </w:tbl>
    <w:p>
      <w:pPr>
        <w:widowControl w:val="0"/>
        <w:spacing w:after="479" w:line="1" w:lineRule="exact"/>
      </w:pPr>
    </w:p>
    <w:p>
      <w:pPr>
        <w:pStyle w:val="Style13"/>
        <w:keepNext w:val="0"/>
        <w:keepLines w:val="0"/>
        <w:widowControl w:val="0"/>
        <w:shd w:val="clear" w:color="auto" w:fill="auto"/>
        <w:bidi w:val="0"/>
        <w:spacing w:before="0" w:after="240" w:line="302" w:lineRule="exact"/>
        <w:ind w:left="0" w:right="0" w:firstLine="460"/>
        <w:jc w:val="left"/>
      </w:pPr>
      <w:r>
        <w:rPr>
          <w:color w:val="000000"/>
          <w:spacing w:val="0"/>
          <w:w w:val="100"/>
          <w:position w:val="0"/>
        </w:rPr>
        <w:t>2）</w:t>
      </w:r>
      <w:r>
        <w:rPr>
          <w:color w:val="000000"/>
          <w:spacing w:val="0"/>
          <w:w w:val="100"/>
          <w:position w:val="0"/>
        </w:rPr>
        <w:t>利率风险敏感性分析</w:t>
      </w:r>
    </w:p>
    <w:p>
      <w:pPr>
        <w:pStyle w:val="Style13"/>
        <w:keepNext w:val="0"/>
        <w:keepLines w:val="0"/>
        <w:widowControl w:val="0"/>
        <w:shd w:val="clear" w:color="auto" w:fill="auto"/>
        <w:bidi w:val="0"/>
        <w:spacing w:before="0" w:after="340" w:line="302" w:lineRule="exact"/>
        <w:ind w:left="0" w:right="0" w:firstLine="460"/>
        <w:jc w:val="both"/>
      </w:pPr>
      <w:r>
        <w:rPr>
          <w:color w:val="000000"/>
          <w:spacing w:val="0"/>
          <w:w w:val="100"/>
          <w:position w:val="0"/>
        </w:rPr>
        <w:t>下表为利率风险的敏感性分析，反映了在其它变量不变的假设下，利率发生合理、可能的变动时，将对净利润的影响 如下：</w:t>
      </w:r>
    </w:p>
    <w:p>
      <w:pPr>
        <w:pStyle w:val="Style27"/>
        <w:keepNext w:val="0"/>
        <w:keepLines w:val="0"/>
        <w:widowControl w:val="0"/>
        <w:shd w:val="clear" w:color="auto" w:fill="auto"/>
        <w:bidi w:val="0"/>
        <w:spacing w:before="0" w:after="0" w:line="240" w:lineRule="auto"/>
        <w:ind w:left="8030" w:right="0" w:firstLine="0"/>
        <w:jc w:val="left"/>
      </w:pPr>
      <w:r>
        <w:rPr>
          <w:color w:val="000000"/>
          <w:spacing w:val="0"/>
          <w:w w:val="100"/>
          <w:position w:val="0"/>
        </w:rPr>
        <w:t>（单位：万元）</w:t>
      </w:r>
    </w:p>
    <w:tbl>
      <w:tblPr>
        <w:tblOverlap w:val="never"/>
        <w:jc w:val="center"/>
        <w:tblLayout w:type="fixed"/>
      </w:tblPr>
      <w:tblGrid>
        <w:gridCol w:w="1723"/>
        <w:gridCol w:w="1853"/>
        <w:gridCol w:w="2078"/>
        <w:gridCol w:w="1930"/>
        <w:gridCol w:w="2088"/>
      </w:tblGrid>
      <w:tr>
        <w:trPr>
          <w:trHeight w:val="43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利率变动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对净利润的影响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对所有者权益的影响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对净利润的影响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对所有者权益的影响</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若利率增加</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-62. </w:t>
            </w: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-376.83</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若利率减少</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62. </w:t>
            </w: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376.83</w:t>
            </w:r>
          </w:p>
        </w:tc>
      </w:tr>
    </w:tbl>
    <w:p>
      <w:pPr>
        <w:widowControl w:val="0"/>
        <w:spacing w:after="619" w:line="1" w:lineRule="exact"/>
      </w:pPr>
    </w:p>
    <w:p>
      <w:pPr>
        <w:pStyle w:val="Style25"/>
        <w:keepNext/>
        <w:keepLines/>
        <w:widowControl w:val="0"/>
        <w:shd w:val="clear" w:color="auto" w:fill="auto"/>
        <w:bidi w:val="0"/>
        <w:spacing w:before="0" w:after="340" w:line="240" w:lineRule="auto"/>
        <w:ind w:left="0" w:right="0" w:firstLine="0"/>
        <w:jc w:val="left"/>
      </w:pPr>
      <w:bookmarkStart w:id="1423" w:name="bookmark1423"/>
      <w:bookmarkStart w:id="1424" w:name="bookmark1424"/>
      <w:bookmarkStart w:id="1425" w:name="bookmark1425"/>
      <w:r>
        <w:rPr>
          <w:color w:val="000000"/>
          <w:spacing w:val="0"/>
          <w:w w:val="100"/>
          <w:position w:val="0"/>
          <w:sz w:val="24"/>
          <w:szCs w:val="24"/>
        </w:rPr>
        <w:t>十^一、公允价值的披露</w:t>
      </w:r>
      <w:bookmarkEnd w:id="1423"/>
      <w:bookmarkEnd w:id="1424"/>
      <w:bookmarkEnd w:id="1425"/>
    </w:p>
    <w:p>
      <w:pPr>
        <w:pStyle w:val="Style29"/>
        <w:keepNext/>
        <w:keepLines/>
        <w:widowControl w:val="0"/>
        <w:shd w:val="clear" w:color="auto" w:fill="auto"/>
        <w:bidi w:val="0"/>
        <w:spacing w:before="0" w:after="340" w:line="240" w:lineRule="auto"/>
        <w:ind w:left="0" w:right="0" w:firstLine="0"/>
        <w:jc w:val="left"/>
      </w:pPr>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26"/>
      <w:bookmarkEnd w:id="1427"/>
      <w:bookmarkEnd w:id="1428"/>
    </w:p>
    <w:p>
      <w:pPr>
        <w:pStyle w:val="Style27"/>
        <w:keepNext w:val="0"/>
        <w:keepLines w:val="0"/>
        <w:widowControl w:val="0"/>
        <w:shd w:val="clear" w:color="auto" w:fill="auto"/>
        <w:bidi w:val="0"/>
        <w:spacing w:before="0" w:after="0" w:line="240" w:lineRule="auto"/>
        <w:ind w:left="8362" w:right="0" w:firstLine="0"/>
        <w:jc w:val="left"/>
      </w:pPr>
      <w:r>
        <w:rPr>
          <w:color w:val="000000"/>
          <w:spacing w:val="0"/>
          <w:w w:val="100"/>
          <w:position w:val="0"/>
        </w:rPr>
        <w:t>单位：元</w:t>
      </w:r>
    </w:p>
    <w:tbl>
      <w:tblPr>
        <w:tblOverlap w:val="never"/>
        <w:jc w:val="center"/>
        <w:tblLayout w:type="fixed"/>
      </w:tblPr>
      <w:tblGrid>
        <w:gridCol w:w="2702"/>
        <w:gridCol w:w="1248"/>
        <w:gridCol w:w="2030"/>
        <w:gridCol w:w="1877"/>
        <w:gridCol w:w="1728"/>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第一层次公允</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499,786,531.58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234,084,502.86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733,871,034.44</w:t>
            </w:r>
          </w:p>
        </w:tc>
      </w:tr>
    </w:tbl>
    <w:tbl>
      <w:tblPr>
        <w:tblOverlap w:val="never"/>
        <w:jc w:val="center"/>
        <w:tblLayout w:type="fixed"/>
      </w:tblPr>
      <w:tblGrid>
        <w:gridCol w:w="2702"/>
        <w:gridCol w:w="1248"/>
        <w:gridCol w:w="2030"/>
        <w:gridCol w:w="1877"/>
        <w:gridCol w:w="17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129,166,086.19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129,166,086.19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499,786,531.58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363,250,589.05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863,037,120.63</w:t>
            </w:r>
          </w:p>
        </w:tc>
      </w:tr>
    </w:tbl>
    <w:p>
      <w:pPr>
        <w:widowControl w:val="0"/>
        <w:spacing w:after="279" w:line="1" w:lineRule="exact"/>
      </w:pPr>
    </w:p>
    <w:p>
      <w:pPr>
        <w:pStyle w:val="Style29"/>
        <w:keepNext/>
        <w:keepLines/>
        <w:widowControl w:val="0"/>
        <w:shd w:val="clear" w:color="auto" w:fill="auto"/>
        <w:tabs>
          <w:tab w:pos="378" w:val="left"/>
        </w:tabs>
        <w:bidi w:val="0"/>
        <w:spacing w:before="0" w:after="2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color w:val="000000"/>
          <w:spacing w:val="0"/>
          <w:w w:val="100"/>
          <w:position w:val="0"/>
        </w:rPr>
        <w:t>、</w:t>
        <w:tab/>
        <w:t>持续和非持续第二层次公允价值计量项目，采用的估值技术和重要参数的定性及定量信息</w:t>
      </w:r>
      <w:bookmarkEnd w:id="1429"/>
      <w:bookmarkEnd w:id="1430"/>
      <w:bookmarkEnd w:id="1432"/>
    </w:p>
    <w:p>
      <w:pPr>
        <w:pStyle w:val="Style13"/>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每个资产负债表日，财务部门从金融机构或第三方机构取得金融工具的公允价值，按照金融机构或第三方机构出具的 公允价值确认。</w:t>
      </w:r>
    </w:p>
    <w:p>
      <w:pPr>
        <w:pStyle w:val="Style13"/>
        <w:keepNext w:val="0"/>
        <w:keepLines w:val="0"/>
        <w:widowControl w:val="0"/>
        <w:shd w:val="clear" w:color="auto" w:fill="auto"/>
        <w:bidi w:val="0"/>
        <w:spacing w:before="0" w:after="360" w:line="312" w:lineRule="exact"/>
        <w:ind w:left="0" w:right="0" w:firstLine="460"/>
        <w:jc w:val="left"/>
      </w:pPr>
      <w:r>
        <w:rPr>
          <w:color w:val="000000"/>
          <w:spacing w:val="0"/>
          <w:w w:val="100"/>
          <w:position w:val="0"/>
        </w:rPr>
        <w:t>金融资产和金融负债的公允价值，以在公平交易中，熟悉情况的交易双方自愿进行资产交换或者债务清偿的金额确定， 而不是被迫出售或清算情况下的金额。</w:t>
      </w:r>
    </w:p>
    <w:p>
      <w:pPr>
        <w:pStyle w:val="Style29"/>
        <w:keepNext/>
        <w:keepLines/>
        <w:widowControl w:val="0"/>
        <w:shd w:val="clear" w:color="auto" w:fill="auto"/>
        <w:tabs>
          <w:tab w:pos="378" w:val="left"/>
        </w:tabs>
        <w:bidi w:val="0"/>
        <w:spacing w:before="0" w:after="2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color w:val="000000"/>
          <w:spacing w:val="0"/>
          <w:w w:val="100"/>
          <w:position w:val="0"/>
        </w:rPr>
        <w:t>、</w:t>
        <w:tab/>
        <w:t>持续和非持续第三层次公允价值计量项目，采用的估值技术和重要参数的定性及定量信息</w:t>
      </w:r>
      <w:bookmarkEnd w:id="1433"/>
      <w:bookmarkEnd w:id="1434"/>
      <w:bookmarkEnd w:id="1436"/>
    </w:p>
    <w:p>
      <w:pPr>
        <w:pStyle w:val="Style13"/>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对于非上市股权投资、基金投资等，本集团从交易对手处询价或者采用估值技术来确定其公允价值，估值技术包括收 益法和市场法等。</w:t>
      </w:r>
    </w:p>
    <w:p>
      <w:pPr>
        <w:pStyle w:val="Style13"/>
        <w:keepNext w:val="0"/>
        <w:keepLines w:val="0"/>
        <w:widowControl w:val="0"/>
        <w:shd w:val="clear" w:color="auto" w:fill="auto"/>
        <w:bidi w:val="0"/>
        <w:spacing w:before="0" w:after="360" w:line="312" w:lineRule="exact"/>
        <w:ind w:left="0" w:right="0" w:firstLine="460"/>
        <w:jc w:val="left"/>
      </w:pPr>
      <w:r>
        <w:rPr>
          <w:color w:val="000000"/>
          <w:spacing w:val="0"/>
          <w:w w:val="100"/>
          <w:position w:val="0"/>
        </w:rPr>
        <w:t>本集团以第三层次公允价值计量的项目系认购的“弘坤稳健</w:t>
      </w:r>
      <w:r>
        <w:rPr>
          <w:color w:val="000000"/>
          <w:spacing w:val="0"/>
          <w:w w:val="100"/>
          <w:position w:val="0"/>
        </w:rPr>
        <w:t>7</w:t>
      </w:r>
      <w:r>
        <w:rPr>
          <w:color w:val="000000"/>
          <w:spacing w:val="0"/>
          <w:w w:val="100"/>
          <w:position w:val="0"/>
        </w:rPr>
        <w:t>号私募投资基金”及其他权益工具投资。</w:t>
      </w:r>
    </w:p>
    <w:p>
      <w:pPr>
        <w:pStyle w:val="Style25"/>
        <w:keepNext/>
        <w:keepLines/>
        <w:widowControl w:val="0"/>
        <w:shd w:val="clear" w:color="auto" w:fill="auto"/>
        <w:bidi w:val="0"/>
        <w:spacing w:before="0" w:after="360" w:line="240" w:lineRule="auto"/>
        <w:ind w:left="0" w:right="0" w:firstLine="0"/>
        <w:jc w:val="left"/>
      </w:pPr>
      <w:bookmarkStart w:id="1437" w:name="bookmark1437"/>
      <w:bookmarkStart w:id="1438" w:name="bookmark1438"/>
      <w:bookmarkStart w:id="1439" w:name="bookmark1439"/>
      <w:r>
        <w:rPr>
          <w:color w:val="000000"/>
          <w:spacing w:val="0"/>
          <w:w w:val="100"/>
          <w:position w:val="0"/>
          <w:sz w:val="24"/>
          <w:szCs w:val="24"/>
        </w:rPr>
        <w:t>十二、关联方及关联交易</w:t>
      </w:r>
      <w:bookmarkEnd w:id="1437"/>
      <w:bookmarkEnd w:id="1438"/>
      <w:bookmarkEnd w:id="1439"/>
    </w:p>
    <w:p>
      <w:pPr>
        <w:pStyle w:val="Style29"/>
        <w:keepNext/>
        <w:keepLines/>
        <w:widowControl w:val="0"/>
        <w:shd w:val="clear" w:color="auto" w:fill="auto"/>
        <w:bidi w:val="0"/>
        <w:spacing w:before="0" w:after="280" w:line="240" w:lineRule="auto"/>
        <w:ind w:left="0" w:right="0" w:firstLine="0"/>
        <w:jc w:val="left"/>
      </w:pPr>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40"/>
      <w:bookmarkEnd w:id="1441"/>
      <w:bookmarkEnd w:id="1442"/>
    </w:p>
    <w:tbl>
      <w:tblPr>
        <w:tblOverlap w:val="never"/>
        <w:jc w:val="center"/>
        <w:tblLayout w:type="fixed"/>
      </w:tblPr>
      <w:tblGrid>
        <w:gridCol w:w="1872"/>
        <w:gridCol w:w="1325"/>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40.29%</w:t>
            </w:r>
          </w:p>
        </w:tc>
      </w:tr>
    </w:tbl>
    <w:p>
      <w:pPr>
        <w:widowControl w:val="0"/>
        <w:spacing w:after="41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本企业最终控制方是 </w:t>
      </w:r>
      <w:r>
        <w:rPr>
          <w:rFonts w:ascii="Times New Roman" w:eastAsia="Times New Roman" w:hAnsi="Times New Roman" w:cs="Times New Roman"/>
          <w:color w:val="000000"/>
          <w:spacing w:val="0"/>
          <w:w w:val="100"/>
          <w:position w:val="0"/>
        </w:rPr>
        <w:t>Digital China Holdings Limited</w:t>
      </w:r>
      <w:r>
        <w:rPr>
          <w:color w:val="000000"/>
          <w:spacing w:val="0"/>
          <w:w w:val="100"/>
          <w:position w:val="0"/>
        </w:rPr>
        <w:t>o</w:t>
      </w:r>
    </w:p>
    <w:p>
      <w:pPr>
        <w:pStyle w:val="Style29"/>
        <w:keepNext/>
        <w:keepLines/>
        <w:widowControl w:val="0"/>
        <w:shd w:val="clear" w:color="auto" w:fill="auto"/>
        <w:tabs>
          <w:tab w:pos="378" w:val="left"/>
        </w:tabs>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bookmarkEnd w:id="1445"/>
      <w:r>
        <w:rPr>
          <w:color w:val="000000"/>
          <w:spacing w:val="0"/>
          <w:w w:val="100"/>
          <w:position w:val="0"/>
        </w:rPr>
        <w:t>、</w:t>
        <w:tab/>
        <w:t>本企业的子公司情况</w:t>
      </w:r>
      <w:bookmarkEnd w:id="1443"/>
      <w:bookmarkEnd w:id="1444"/>
      <w:bookmarkEnd w:id="1446"/>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9"/>
        <w:keepNext/>
        <w:keepLines/>
        <w:widowControl w:val="0"/>
        <w:shd w:val="clear" w:color="auto" w:fill="auto"/>
        <w:tabs>
          <w:tab w:pos="378" w:val="left"/>
        </w:tabs>
        <w:bidi w:val="0"/>
        <w:spacing w:before="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color w:val="000000"/>
          <w:spacing w:val="0"/>
          <w:w w:val="100"/>
          <w:position w:val="0"/>
        </w:rPr>
        <w:t>、</w:t>
        <w:tab/>
        <w:t>本企业合营和联营企业情况</w:t>
      </w:r>
      <w:bookmarkEnd w:id="1447"/>
      <w:bookmarkEnd w:id="1448"/>
      <w:bookmarkEnd w:id="1450"/>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本企业重要的合营或联营企业详见附注“九、</w:t>
      </w:r>
      <w:r>
        <w:rPr>
          <w:color w:val="000000"/>
          <w:spacing w:val="0"/>
          <w:w w:val="100"/>
          <w:position w:val="0"/>
        </w:rPr>
        <w:t xml:space="preserve">2. </w:t>
      </w:r>
      <w:r>
        <w:rPr>
          <w:color w:val="000000"/>
          <w:spacing w:val="0"/>
          <w:w w:val="100"/>
          <w:position w:val="0"/>
        </w:rPr>
        <w:t>(1)</w:t>
      </w:r>
      <w:r>
        <w:rPr>
          <w:color w:val="000000"/>
          <w:spacing w:val="0"/>
          <w:w w:val="100"/>
          <w:position w:val="0"/>
        </w:rPr>
        <w:t>重要的联营企业”相关内容。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天津国科量子科技有限公司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color w:val="000000"/>
          <w:spacing w:val="0"/>
          <w:w w:val="100"/>
          <w:position w:val="0"/>
        </w:rPr>
        <w:t>、其他关联方情况</w:t>
      </w:r>
      <w:bookmarkEnd w:id="1451"/>
      <w:bookmarkEnd w:id="1452"/>
      <w:bookmarkEnd w:id="145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Instant Technology Supply Chain HongKong Limited </w:t>
            </w:r>
            <w:r>
              <w:rPr>
                <w:color w:val="000000"/>
                <w:spacing w:val="0"/>
                <w:w w:val="100"/>
                <w:position w:val="0"/>
              </w:rPr>
              <w:t>香港科捷 供应链有限公司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昆山神州数码实业有限公司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Charter Base Development Limited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神州数码（重庆）信息科技有限公司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辽宁智慧山水城科技发展有限公司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智慧神州（秦皇岛）信息技术有限公司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北京因特睿软件有限公司（注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广州智慧神州科技有限公司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福建智慧海西信息技术有限公司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威海智慧北洋信息技术有限公司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北京神州数码置业发展有限公司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广州城投智慧城市科技发展有限公司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龙岩市神州融信科技有限公司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量子数聚（北京）科技有限公司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神州鲲泰（厦门）信息技术有限公司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广州神州数码信息科技有限公司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神州数码（中国）有限公司西安分公司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北京神州数码云角信息技术有限公司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合肥神州数码有限公司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上海神州数码有限公司长沙分公司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北京神州数码云计算有限公司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武汉神州数码云科网络技术有限公司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北京易华录信息技术股份有限公司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神州数码医疗科技股份有限公司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上海华瑞银行股份有限公司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中国南方航空股份有限公司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江苏中江信息技术培训学校（注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南京红松信息技术有限公司（注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深圳海联讯科技股份有限公司（注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内蒙古呼和浩特金谷农村商业银行股份有限公司（注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北京鼎捷软件有限公司（注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平湖神州数码博海科技有限公司（注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widowControl w:val="0"/>
        <w:spacing w:after="39" w:line="1" w:lineRule="exact"/>
      </w:pPr>
    </w:p>
    <w:p>
      <w:pPr>
        <w:pStyle w:val="Style13"/>
        <w:keepNext w:val="0"/>
        <w:keepLines w:val="0"/>
        <w:widowControl w:val="0"/>
        <w:shd w:val="clear" w:color="auto" w:fill="auto"/>
        <w:bidi w:val="0"/>
        <w:spacing w:before="0" w:after="120" w:line="318" w:lineRule="exact"/>
        <w:ind w:left="0" w:right="0" w:firstLine="0"/>
        <w:jc w:val="both"/>
      </w:pPr>
      <w:r>
        <w:rPr>
          <w:color w:val="000000"/>
          <w:spacing w:val="0"/>
          <w:w w:val="100"/>
          <w:position w:val="0"/>
        </w:rPr>
        <w:t>注</w:t>
      </w:r>
      <w:r>
        <w:rPr>
          <w:color w:val="000000"/>
          <w:spacing w:val="0"/>
          <w:w w:val="100"/>
          <w:position w:val="0"/>
        </w:rPr>
        <w:t>1：</w:t>
      </w:r>
      <w:r>
        <w:rPr>
          <w:color w:val="000000"/>
          <w:spacing w:val="0"/>
          <w:w w:val="100"/>
          <w:position w:val="0"/>
        </w:rPr>
        <w:t>北京因特睿软件有限公司</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月更名为因特睿科技有限公司</w:t>
      </w:r>
      <w:r>
        <w:rPr>
          <w:color w:val="000000"/>
          <w:spacing w:val="0"/>
          <w:w w:val="100"/>
          <w:position w:val="0"/>
        </w:rPr>
        <w:t>；</w:t>
      </w:r>
    </w:p>
    <w:p>
      <w:pPr>
        <w:pStyle w:val="Style13"/>
        <w:keepNext w:val="0"/>
        <w:keepLines w:val="0"/>
        <w:widowControl w:val="0"/>
        <w:shd w:val="clear" w:color="auto" w:fill="auto"/>
        <w:bidi w:val="0"/>
        <w:spacing w:before="0" w:after="340" w:line="318" w:lineRule="exact"/>
        <w:ind w:left="0" w:right="0" w:firstLine="0"/>
        <w:jc w:val="both"/>
        <w:rPr>
          <w:sz w:val="22"/>
          <w:szCs w:val="22"/>
        </w:rPr>
      </w:pPr>
      <w:r>
        <w:rPr>
          <w:color w:val="000000"/>
          <w:spacing w:val="0"/>
          <w:w w:val="100"/>
          <w:position w:val="0"/>
          <w:sz w:val="18"/>
          <w:szCs w:val="18"/>
        </w:rPr>
        <w:t>注</w:t>
      </w:r>
      <w:r>
        <w:rPr>
          <w:color w:val="000000"/>
          <w:spacing w:val="0"/>
          <w:w w:val="100"/>
          <w:position w:val="0"/>
          <w:sz w:val="18"/>
          <w:szCs w:val="18"/>
        </w:rPr>
        <w:t>2：</w:t>
      </w:r>
      <w:r>
        <w:rPr>
          <w:color w:val="000000"/>
          <w:spacing w:val="0"/>
          <w:w w:val="100"/>
          <w:position w:val="0"/>
          <w:sz w:val="18"/>
          <w:szCs w:val="18"/>
        </w:rPr>
        <w:t>吴冬华、南京红松信息技术有限公司、江苏中江信息技术培训学校</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月不再为公司关联方；深圳海联讯科技股份 有限公司</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5</w:t>
      </w:r>
      <w:r>
        <w:rPr>
          <w:color w:val="000000"/>
          <w:spacing w:val="0"/>
          <w:w w:val="100"/>
          <w:position w:val="0"/>
          <w:sz w:val="18"/>
          <w:szCs w:val="18"/>
        </w:rPr>
        <w:t>月不再为公司关联方；内蒙古呼和浩特金谷农村商业银行股份有限公司</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11</w:t>
      </w:r>
      <w:r>
        <w:rPr>
          <w:color w:val="000000"/>
          <w:spacing w:val="0"/>
          <w:w w:val="100"/>
          <w:position w:val="0"/>
          <w:sz w:val="18"/>
          <w:szCs w:val="18"/>
        </w:rPr>
        <w:t>月不再为公司关联方；神 州灵云（北京）科技有限公司</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月不再为公司关联方；北京鼎捷软件有限公司</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4</w:t>
      </w:r>
      <w:r>
        <w:rPr>
          <w:color w:val="000000"/>
          <w:spacing w:val="0"/>
          <w:w w:val="100"/>
          <w:position w:val="0"/>
          <w:sz w:val="18"/>
          <w:szCs w:val="18"/>
        </w:rPr>
        <w:t>月不再为公司关联方；平湖神州 数码博海科技有限公司</w:t>
      </w: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10</w:t>
      </w:r>
      <w:r>
        <w:rPr>
          <w:color w:val="000000"/>
          <w:spacing w:val="0"/>
          <w:w w:val="100"/>
          <w:position w:val="0"/>
          <w:sz w:val="18"/>
          <w:szCs w:val="18"/>
        </w:rPr>
        <w:t>月不再是关联方</w:t>
      </w:r>
      <w:r>
        <w:rPr>
          <w:color w:val="000000"/>
          <w:spacing w:val="0"/>
          <w:w w:val="100"/>
          <w:position w:val="0"/>
          <w:sz w:val="22"/>
          <w:szCs w:val="22"/>
        </w:rPr>
        <w:t>。</w:t>
      </w:r>
    </w:p>
    <w:p>
      <w:pPr>
        <w:pStyle w:val="Style29"/>
        <w:keepNext/>
        <w:keepLines/>
        <w:widowControl w:val="0"/>
        <w:shd w:val="clear" w:color="auto" w:fill="auto"/>
        <w:bidi w:val="0"/>
        <w:spacing w:before="0" w:after="34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5</w:t>
      </w:r>
      <w:bookmarkEnd w:id="1457"/>
      <w:r>
        <w:rPr>
          <w:color w:val="000000"/>
          <w:spacing w:val="0"/>
          <w:w w:val="100"/>
          <w:position w:val="0"/>
        </w:rPr>
        <w:t>、关联交易情况</w:t>
      </w:r>
      <w:bookmarkEnd w:id="1455"/>
      <w:bookmarkEnd w:id="1456"/>
      <w:bookmarkEnd w:id="1458"/>
    </w:p>
    <w:p>
      <w:pPr>
        <w:pStyle w:val="Style37"/>
        <w:keepNext/>
        <w:keepLines/>
        <w:widowControl w:val="0"/>
        <w:shd w:val="clear" w:color="auto" w:fill="auto"/>
        <w:bidi w:val="0"/>
        <w:spacing w:before="0" w:after="260" w:line="240" w:lineRule="auto"/>
        <w:ind w:left="0" w:right="0" w:firstLine="0"/>
        <w:jc w:val="both"/>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59"/>
      <w:bookmarkEnd w:id="1460"/>
      <w:bookmarkEnd w:id="1461"/>
    </w:p>
    <w:p>
      <w:pPr>
        <w:pStyle w:val="Style13"/>
        <w:keepNext w:val="0"/>
        <w:keepLines w:val="0"/>
        <w:widowControl w:val="0"/>
        <w:shd w:val="clear" w:color="auto" w:fill="auto"/>
        <w:bidi w:val="0"/>
        <w:spacing w:before="0" w:after="120" w:line="318" w:lineRule="exact"/>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合肥神州数码有限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100,544,033.45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北京神州数码有限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58,886,553.63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12,806,416.62</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北京神州数码云科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30,550,008.31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6"/>
        <w:gridCol w:w="1454"/>
        <w:gridCol w:w="1454"/>
        <w:gridCol w:w="1709"/>
        <w:gridCol w:w="1704"/>
        <w:gridCol w:w="1714"/>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神州数码（中国）</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29,279,959.02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42,082,697.49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神州鲲泰（厦门） 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19,405,018.05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18,648,459.52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武汉神州数码云科 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895,238.77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400" w:right="0" w:hanging="400"/>
              <w:jc w:val="left"/>
            </w:pPr>
            <w:r>
              <w:rPr>
                <w:color w:val="000000"/>
                <w:spacing w:val="0"/>
                <w:w w:val="100"/>
                <w:position w:val="0"/>
              </w:rPr>
              <w:t>上海云角信息技术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842,293.03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2,626,765.25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320" w:right="0" w:hanging="320"/>
              <w:jc w:val="left"/>
            </w:pPr>
            <w:r>
              <w:rPr>
                <w:color w:val="000000"/>
                <w:spacing w:val="0"/>
                <w:w w:val="100"/>
                <w:position w:val="0"/>
              </w:rPr>
              <w:t>北京神州数码云计 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787,114.33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上海神州数码有限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701,790.27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68,252.21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220" w:right="0" w:hanging="220"/>
              <w:jc w:val="left"/>
            </w:pPr>
            <w:r>
              <w:rPr>
                <w:color w:val="000000"/>
                <w:spacing w:val="0"/>
                <w:w w:val="100"/>
                <w:position w:val="0"/>
              </w:rPr>
              <w:t>北京神州数码云角</w:t>
            </w:r>
          </w:p>
          <w:p>
            <w:pPr>
              <w:pStyle w:val="Style22"/>
              <w:keepNext w:val="0"/>
              <w:keepLines w:val="0"/>
              <w:widowControl w:val="0"/>
              <w:shd w:val="clear" w:color="auto" w:fill="auto"/>
              <w:bidi w:val="0"/>
              <w:spacing w:before="0" w:after="0" w:line="240" w:lineRule="auto"/>
              <w:ind w:left="220" w:right="0" w:hanging="220"/>
              <w:jc w:val="left"/>
            </w:pPr>
            <w:r>
              <w:rPr>
                <w:color w:val="000000"/>
                <w:spacing w:val="0"/>
                <w:w w:val="100"/>
                <w:position w:val="0"/>
              </w:rPr>
              <w:t>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205,849.06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智慧神州（北京）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34,688,309.74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410,000,000.00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99,362,307.78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北京科捷物流有限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5,218,322.53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广州智慧神州科技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4,613,115.04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5,250,000.00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500" w:right="0" w:hanging="500"/>
              <w:jc w:val="left"/>
            </w:pPr>
            <w:r>
              <w:rPr>
                <w:color w:val="000000"/>
                <w:spacing w:val="0"/>
                <w:w w:val="100"/>
                <w:position w:val="0"/>
              </w:rPr>
              <w:t>北京因特睿软件有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2,038,779.43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11,169,560.86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北京神州数码科捷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693,903.54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1,763,604.41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北京神州数码一诺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563,320.37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上海科捷物流有限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307,180.18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220" w:right="0" w:hanging="220"/>
              <w:jc w:val="left"/>
            </w:pPr>
            <w:r>
              <w:rPr>
                <w:color w:val="000000"/>
                <w:spacing w:val="0"/>
                <w:w w:val="100"/>
                <w:position w:val="0"/>
              </w:rPr>
              <w:t>北京科捷智云技术 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169,811.32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深圳科捷物流有限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128,678.83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福建智慧海西信息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3,095,525.00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220" w:right="0" w:hanging="220"/>
              <w:jc w:val="left"/>
            </w:pPr>
            <w:r>
              <w:rPr>
                <w:color w:val="000000"/>
                <w:spacing w:val="0"/>
                <w:w w:val="100"/>
                <w:position w:val="0"/>
              </w:rPr>
              <w:t>北京神州邦邦技术 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204,190,495.11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64,700,555.50</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龙岩市神州融信科 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90,742,775.37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26,405,537.16</w:t>
            </w:r>
          </w:p>
        </w:tc>
      </w:tr>
    </w:tbl>
    <w:p>
      <w:pPr>
        <w:spacing w:lineRule="exact" w:line="1"/>
        <w:rPr>
          <w:sz w:val="2"/>
          <w:szCs w:val="2"/>
        </w:rPr>
      </w:pPr>
      <w:r>
        <w:br w:type="page"/>
      </w:r>
    </w:p>
    <w:tbl>
      <w:tblPr>
        <w:tblOverlap w:val="never"/>
        <w:jc w:val="center"/>
        <w:tblLayout w:type="fixed"/>
      </w:tblPr>
      <w:tblGrid>
        <w:gridCol w:w="1546"/>
        <w:gridCol w:w="1454"/>
        <w:gridCol w:w="1454"/>
        <w:gridCol w:w="1709"/>
        <w:gridCol w:w="1704"/>
        <w:gridCol w:w="1714"/>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神州数码医疗科技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16,410,836.60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105,880.00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220" w:right="0" w:hanging="220"/>
              <w:jc w:val="left"/>
            </w:pPr>
            <w:r>
              <w:rPr>
                <w:color w:val="000000"/>
                <w:spacing w:val="0"/>
                <w:w w:val="100"/>
                <w:position w:val="0"/>
              </w:rPr>
              <w:t>神州灵云（北京）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5,543,064.79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372,509.43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hanging="140"/>
              <w:jc w:val="left"/>
            </w:pPr>
            <w:r>
              <w:rPr>
                <w:color w:val="000000"/>
                <w:spacing w:val="0"/>
                <w:w w:val="100"/>
                <w:position w:val="0"/>
              </w:rPr>
              <w:t>神州数码融信云技 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1,217,862.28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505,000.00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400" w:right="0" w:hanging="400"/>
              <w:jc w:val="left"/>
            </w:pPr>
            <w:r>
              <w:rPr>
                <w:color w:val="000000"/>
                <w:spacing w:val="0"/>
                <w:w w:val="100"/>
                <w:position w:val="0"/>
              </w:rPr>
              <w:t>江苏中江信息技术 培训学校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采购培训服务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284,905.66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933,855.47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南京红松信息技术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采购培训服务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17,474.01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1,062,086.19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平湖神州数码博海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1,235,741.08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量子数聚（北京）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198,113.21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北京鼎捷软件有限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28,562.26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608,720,843.66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292,627,278.50</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注：向关联方采购商品的价格和接受关联方技术服务支出以市场价格确认。</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982"/>
        <w:gridCol w:w="2266"/>
        <w:gridCol w:w="20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神州数码融信云技术服务有限公司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r>
              <w:rPr>
                <w:rFonts w:ascii="Times New Roman" w:eastAsia="Times New Roman" w:hAnsi="Times New Roman" w:cs="Times New Roman"/>
                <w:color w:val="000000"/>
                <w:spacing w:val="0"/>
                <w:w w:val="100"/>
                <w:position w:val="0"/>
              </w:rPr>
              <w:t>/</w:t>
            </w:r>
            <w:r>
              <w:rPr>
                <w:color w:val="000000"/>
                <w:spacing w:val="0"/>
                <w:w w:val="100"/>
                <w:position w:val="0"/>
              </w:rPr>
              <w:t>应用软件开发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11,872,043.57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11,713,160.47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上海华瑞银行股份有限公司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r>
              <w:rPr>
                <w:rFonts w:ascii="Times New Roman" w:eastAsia="Times New Roman" w:hAnsi="Times New Roman" w:cs="Times New Roman"/>
                <w:color w:val="000000"/>
                <w:spacing w:val="0"/>
                <w:w w:val="100"/>
                <w:position w:val="0"/>
              </w:rPr>
              <w:t>/</w:t>
            </w:r>
            <w:r>
              <w:rPr>
                <w:color w:val="000000"/>
                <w:spacing w:val="0"/>
                <w:w w:val="100"/>
                <w:position w:val="0"/>
              </w:rPr>
              <w:t>应用软件开发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8,903,849.35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14,444,857.21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中国南方航空股份有限公司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r>
              <w:rPr>
                <w:rFonts w:ascii="Times New Roman" w:eastAsia="Times New Roman" w:hAnsi="Times New Roman" w:cs="Times New Roman"/>
                <w:color w:val="000000"/>
                <w:spacing w:val="0"/>
                <w:w w:val="100"/>
                <w:position w:val="0"/>
              </w:rPr>
              <w:t>/</w:t>
            </w: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6,092,289.27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神州医疗科技股份有限公司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5,801,910.99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北京神州邦邦技术服务有限公司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1,699,088.91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1,100,225.31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1,076,970.54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1,153,353.80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608,290.78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1,664,880.67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内蒙古呼和浩特金谷农村商业银行股份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537,735.85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188,226.42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因特睿科技有限公司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528,301.88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北京神州数码云计算有限公司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23,584.91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43,648.05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r>
              <w:rPr>
                <w:rFonts w:ascii="Times New Roman" w:eastAsia="Times New Roman" w:hAnsi="Times New Roman" w:cs="Times New Roman"/>
                <w:color w:val="000000"/>
                <w:spacing w:val="0"/>
                <w:w w:val="100"/>
                <w:position w:val="0"/>
              </w:rPr>
              <w:t>/</w:t>
            </w: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10,701,559.72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江苏中江信息技术培训学校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1,535,450.36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辽宁智慧山水城科技发展有限公司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685,570.53</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南京红松信息技术有限公司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591,952.83</w:t>
            </w:r>
          </w:p>
        </w:tc>
      </w:tr>
    </w:tbl>
    <w:p>
      <w:pPr>
        <w:spacing w:lineRule="exact" w:line="1"/>
        <w:rPr>
          <w:sz w:val="2"/>
          <w:szCs w:val="2"/>
        </w:rPr>
      </w:pPr>
      <w:r>
        <w:br w:type="page"/>
      </w:r>
    </w:p>
    <w:tbl>
      <w:tblPr>
        <w:tblOverlap w:val="never"/>
        <w:jc w:val="center"/>
        <w:tblLayout w:type="fixed"/>
      </w:tblPr>
      <w:tblGrid>
        <w:gridCol w:w="3269"/>
        <w:gridCol w:w="1982"/>
        <w:gridCol w:w="2266"/>
        <w:gridCol w:w="2064"/>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神州数码集团股份有限公司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511,149.06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深圳海联讯科技股份有限公司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282,820.75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广州城投智慧城市科技发展有限公司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169,811.31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26,886.79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智慧神州（秦皇岛）信息技术有限公司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15,433.02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北京神州数码云科信息技术有限公司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9,734.51</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37,144,066.05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44,838,720.81</w:t>
            </w:r>
          </w:p>
        </w:tc>
      </w:tr>
    </w:tbl>
    <w:p>
      <w:pPr>
        <w:widowControl w:val="0"/>
        <w:spacing w:after="279" w:line="1" w:lineRule="exact"/>
      </w:pP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注：向关联方销售商品价格和向关联方提供关联方技术服务收入以市场价格确认。</w:t>
      </w:r>
    </w:p>
    <w:p>
      <w:pPr>
        <w:pStyle w:val="Style37"/>
        <w:keepNext/>
        <w:keepLines/>
        <w:widowControl w:val="0"/>
        <w:shd w:val="clear" w:color="auto" w:fill="auto"/>
        <w:bidi w:val="0"/>
        <w:spacing w:before="0" w:after="40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62"/>
      <w:bookmarkEnd w:id="1463"/>
      <w:bookmarkEnd w:id="1464"/>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9"/>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办公用房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4,587,021.74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4,693,472.18</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办公用房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251,215.75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498,903.19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9"/>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bl>
    <w:p>
      <w:pPr>
        <w:widowControl w:val="0"/>
        <w:spacing w:after="27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3</w:t>
      </w:r>
      <w:r>
        <w:rPr>
          <w:color w:val="000000"/>
          <w:spacing w:val="0"/>
          <w:w w:val="100"/>
          <w:position w:val="0"/>
        </w:rPr>
        <w:t>）</w:t>
        <w:tab/>
        <w:t>关联担保情况</w:t>
      </w:r>
      <w:bookmarkEnd w:id="1465"/>
      <w:bookmarkEnd w:id="1466"/>
      <w:bookmarkEnd w:id="1468"/>
    </w:p>
    <w:p>
      <w:pPr>
        <w:pStyle w:val="Style13"/>
        <w:keepNext w:val="0"/>
        <w:keepLines w:val="0"/>
        <w:widowControl w:val="0"/>
        <w:shd w:val="clear" w:color="auto" w:fill="auto"/>
        <w:bidi w:val="0"/>
        <w:spacing w:before="0" w:after="360" w:line="298" w:lineRule="exact"/>
        <w:ind w:left="0" w:right="0"/>
        <w:jc w:val="both"/>
      </w:pPr>
      <w:r>
        <w:rPr>
          <w:color w:val="000000"/>
          <w:spacing w:val="0"/>
          <w:w w:val="100"/>
          <w:position w:val="0"/>
        </w:rPr>
        <w:t>本公司及其子公司不存在对外担保情况。本公司与子公司之间的担保情况、子公司与子公司之间的担保情况详见本报告 第六节“十五、</w:t>
      </w:r>
      <w:r>
        <w:rPr>
          <w:color w:val="000000"/>
          <w:spacing w:val="0"/>
          <w:w w:val="100"/>
          <w:position w:val="0"/>
        </w:rPr>
        <w:t>2</w:t>
      </w:r>
      <w:r>
        <w:rPr>
          <w:color w:val="000000"/>
          <w:spacing w:val="0"/>
          <w:w w:val="100"/>
          <w:position w:val="0"/>
        </w:rPr>
        <w:t>、重大担保”。</w:t>
      </w:r>
    </w:p>
    <w:p>
      <w:pPr>
        <w:pStyle w:val="Style37"/>
        <w:keepNext/>
        <w:keepLines/>
        <w:widowControl w:val="0"/>
        <w:shd w:val="clear" w:color="auto" w:fill="auto"/>
        <w:tabs>
          <w:tab w:pos="493" w:val="left"/>
        </w:tabs>
        <w:bidi w:val="0"/>
        <w:spacing w:before="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rFonts w:ascii="Times New Roman" w:eastAsia="Times New Roman" w:hAnsi="Times New Roman" w:cs="Times New Roman"/>
          <w:color w:val="000000"/>
          <w:spacing w:val="0"/>
          <w:w w:val="100"/>
          <w:position w:val="0"/>
        </w:rPr>
        <w:t>4</w:t>
      </w:r>
      <w:r>
        <w:rPr>
          <w:color w:val="000000"/>
          <w:spacing w:val="0"/>
          <w:w w:val="100"/>
          <w:position w:val="0"/>
        </w:rPr>
        <w:t>）</w:t>
        <w:tab/>
        <w:t>关联商标使用情况</w:t>
      </w:r>
      <w:bookmarkEnd w:id="1469"/>
      <w:bookmarkEnd w:id="1470"/>
      <w:bookmarkEnd w:id="1472"/>
    </w:p>
    <w:p>
      <w:pPr>
        <w:pStyle w:val="Style1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日，神州信息与神州数码（中国）签署了《注册商标许可使用合同》</w:t>
      </w:r>
      <w:r>
        <w:rPr>
          <w:color w:val="000000"/>
          <w:spacing w:val="0"/>
          <w:w w:val="100"/>
          <w:position w:val="0"/>
        </w:rPr>
        <w:t>，</w:t>
      </w:r>
      <w:r>
        <w:rPr>
          <w:color w:val="000000"/>
          <w:spacing w:val="0"/>
          <w:w w:val="100"/>
          <w:position w:val="0"/>
        </w:rPr>
        <w:t>以普通使用许可的方式授权神 州信息在商标有效期内无限期无偿使用“风火轮”图案相关的</w:t>
      </w:r>
      <w:r>
        <w:rPr>
          <w:color w:val="000000"/>
          <w:spacing w:val="0"/>
          <w:w w:val="100"/>
          <w:position w:val="0"/>
        </w:rPr>
        <w:t>6</w:t>
      </w:r>
      <w:r>
        <w:rPr>
          <w:color w:val="000000"/>
          <w:spacing w:val="0"/>
          <w:w w:val="100"/>
          <w:position w:val="0"/>
        </w:rPr>
        <w:t>项商标（注册号分别为</w:t>
      </w:r>
      <w:r>
        <w:rPr>
          <w:color w:val="000000"/>
          <w:spacing w:val="0"/>
          <w:w w:val="100"/>
          <w:position w:val="0"/>
        </w:rPr>
        <w:t>：1981387</w:t>
      </w:r>
      <w:r>
        <w:rPr>
          <w:color w:val="000000"/>
          <w:spacing w:val="0"/>
          <w:w w:val="100"/>
          <w:position w:val="0"/>
        </w:rPr>
        <w:t>、</w:t>
      </w:r>
      <w:r>
        <w:rPr>
          <w:color w:val="000000"/>
          <w:spacing w:val="0"/>
          <w:w w:val="100"/>
          <w:position w:val="0"/>
        </w:rPr>
        <w:t>1958296</w:t>
      </w:r>
      <w:r>
        <w:rPr>
          <w:color w:val="000000"/>
          <w:spacing w:val="0"/>
          <w:w w:val="100"/>
          <w:position w:val="0"/>
        </w:rPr>
        <w:t>、</w:t>
      </w:r>
      <w:r>
        <w:rPr>
          <w:color w:val="000000"/>
          <w:spacing w:val="0"/>
          <w:w w:val="100"/>
          <w:position w:val="0"/>
        </w:rPr>
        <w:t>1958736</w:t>
      </w:r>
      <w:r>
        <w:rPr>
          <w:color w:val="000000"/>
          <w:spacing w:val="0"/>
          <w:w w:val="100"/>
          <w:position w:val="0"/>
        </w:rPr>
        <w:t>、</w:t>
      </w:r>
      <w:r>
        <w:rPr>
          <w:color w:val="000000"/>
          <w:spacing w:val="0"/>
          <w:w w:val="100"/>
          <w:position w:val="0"/>
        </w:rPr>
        <w:t>1958790</w:t>
      </w:r>
      <w:r>
        <w:rPr>
          <w:color w:val="000000"/>
          <w:spacing w:val="0"/>
          <w:w w:val="100"/>
          <w:position w:val="0"/>
        </w:rPr>
        <w:t xml:space="preserve">、 </w:t>
      </w:r>
      <w:r>
        <w:rPr>
          <w:color w:val="000000"/>
          <w:spacing w:val="0"/>
          <w:w w:val="100"/>
          <w:position w:val="0"/>
        </w:rPr>
        <w:t>1956439</w:t>
      </w:r>
      <w:r>
        <w:rPr>
          <w:color w:val="000000"/>
          <w:spacing w:val="0"/>
          <w:w w:val="100"/>
          <w:position w:val="0"/>
        </w:rPr>
        <w:t>、</w:t>
      </w:r>
      <w:r>
        <w:rPr>
          <w:color w:val="000000"/>
          <w:spacing w:val="0"/>
          <w:w w:val="100"/>
          <w:position w:val="0"/>
        </w:rPr>
        <w:t>1964768），</w:t>
      </w:r>
      <w:r>
        <w:rPr>
          <w:color w:val="000000"/>
          <w:spacing w:val="0"/>
          <w:w w:val="100"/>
          <w:position w:val="0"/>
        </w:rPr>
        <w:t xml:space="preserve">目前此系列商标均在有效期内；在前述合同中，神州数码（中国）以普通使用许可的方式授权神州信 息在商标有效期内无限期无偿使用“风火轮” </w:t>
      </w:r>
      <w:r>
        <w:rPr>
          <w:color w:val="000000"/>
          <w:spacing w:val="0"/>
          <w:w w:val="100"/>
          <w:position w:val="0"/>
        </w:rPr>
        <w:t xml:space="preserve">+ </w:t>
      </w:r>
      <w:r>
        <w:rPr>
          <w:color w:val="000000"/>
          <w:spacing w:val="0"/>
          <w:w w:val="100"/>
          <w:position w:val="0"/>
        </w:rPr>
        <w:t>“神州数码”商标（注册号：</w:t>
      </w:r>
      <w:r>
        <w:rPr>
          <w:color w:val="000000"/>
          <w:spacing w:val="0"/>
          <w:w w:val="100"/>
          <w:position w:val="0"/>
        </w:rPr>
        <w:t>3030645），</w:t>
      </w:r>
      <w:r>
        <w:rPr>
          <w:color w:val="000000"/>
          <w:spacing w:val="0"/>
          <w:w w:val="100"/>
          <w:position w:val="0"/>
        </w:rPr>
        <w:t>该商标在</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日已经到期， 神州数码（中国）已对该商标进行续展，续展注册有效期自</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w:t>
      </w:r>
    </w:p>
    <w:p>
      <w:pPr>
        <w:pStyle w:val="Style37"/>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473"/>
      <w:bookmarkEnd w:id="1474"/>
      <w:bookmarkEnd w:id="1476"/>
    </w:p>
    <w:tbl>
      <w:tblPr>
        <w:tblOverlap w:val="never"/>
        <w:jc w:val="center"/>
        <w:tblLayout w:type="fixed"/>
      </w:tblPr>
      <w:tblGrid>
        <w:gridCol w:w="3029"/>
        <w:gridCol w:w="1771"/>
        <w:gridCol w:w="1238"/>
        <w:gridCol w:w="1262"/>
        <w:gridCol w:w="907"/>
        <w:gridCol w:w="1301"/>
      </w:tblGrid>
      <w:tr>
        <w:trPr>
          <w:trHeight w:val="77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获批的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70"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 发生额</w:t>
            </w:r>
          </w:p>
        </w:tc>
      </w:tr>
      <w:tr>
        <w:trPr>
          <w:trHeight w:val="4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北京神州数码云计算有限公司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行政办公费及其他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19,263,389.11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16,556,720.28</w:t>
            </w:r>
          </w:p>
        </w:tc>
      </w:tr>
    </w:tbl>
    <w:p>
      <w:pPr>
        <w:spacing w:lineRule="exact" w:line="1"/>
        <w:rPr>
          <w:sz w:val="2"/>
          <w:szCs w:val="2"/>
        </w:rPr>
      </w:pPr>
      <w:r>
        <w:br w:type="page"/>
      </w:r>
    </w:p>
    <w:tbl>
      <w:tblPr>
        <w:tblOverlap w:val="never"/>
        <w:jc w:val="center"/>
        <w:tblLayout w:type="fixed"/>
      </w:tblPr>
      <w:tblGrid>
        <w:gridCol w:w="3029"/>
        <w:gridCol w:w="1771"/>
        <w:gridCol w:w="1238"/>
        <w:gridCol w:w="1262"/>
        <w:gridCol w:w="907"/>
        <w:gridCol w:w="1301"/>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7,069,038.97</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广州神州数码信息科技有限公司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815,929.73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807,789.53</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神州数码（中国）有限公司西安分公司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238,754.22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268,576.94</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北京神州数码云角信息技术有限公司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235,958.49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124,228.00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合肥神州数码有限公司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25,469.09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47,675.90</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上海神州数码有限公司长沙分公司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10,817.85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神州数码</w:t>
            </w:r>
            <w:r>
              <w:rPr>
                <w:rFonts w:ascii="Times New Roman" w:eastAsia="Times New Roman" w:hAnsi="Times New Roman" w:cs="Times New Roman"/>
                <w:color w:val="000000"/>
                <w:spacing w:val="0"/>
                <w:w w:val="100"/>
                <w:position w:val="0"/>
              </w:rPr>
              <w:t>（</w:t>
            </w:r>
            <w:r>
              <w:rPr>
                <w:color w:val="000000"/>
                <w:spacing w:val="0"/>
                <w:w w:val="100"/>
                <w:position w:val="0"/>
              </w:rPr>
              <w:t>中国）有限公司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1,007,169.81</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上海云角信息技术有限公司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696,886.79</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4,568,983.61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西安神州数码实业有限公司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2,841,739.77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2,838,212.47</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货运仓储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2,609,031.42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7,696,650.84</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福建智慧海西信息技术有限公司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1,778,200.00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北京科捷智云技术服务有限公司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1,035,177.58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526,725.66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昆山神州数码实业有限公司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471,698.12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471,950.94</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Charter Base Development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233,937.48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127,633.11</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158,523.90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685,238.28</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上海科捷物流有限公司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货运仓储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57,052.36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403,105.62</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神州数码（重庆）信息科技有限公司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33,579.05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8,411.01</w:t>
            </w:r>
          </w:p>
        </w:tc>
      </w:tr>
      <w:tr>
        <w:trPr>
          <w:trHeight w:val="7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Instant Technology Supply Chain HongKong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29,134.57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224,074.94</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货运仓储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23,138.49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128,000.25</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Digital China Holdings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行政办公费及其他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984.21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188.91</w:t>
            </w:r>
          </w:p>
        </w:tc>
      </w:tr>
      <w:tr>
        <w:trPr>
          <w:trHeight w:val="4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42,077,263.68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32,100,013.62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注：接受关联方服务支出以市场价格确认。</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6</w:t>
      </w:r>
      <w:bookmarkEnd w:id="1479"/>
      <w:r>
        <w:rPr>
          <w:color w:val="000000"/>
          <w:spacing w:val="0"/>
          <w:w w:val="100"/>
          <w:position w:val="0"/>
        </w:rPr>
        <w:t>、关联方应收应付款项</w:t>
      </w:r>
      <w:bookmarkEnd w:id="1477"/>
      <w:bookmarkEnd w:id="1478"/>
      <w:bookmarkEnd w:id="1480"/>
    </w:p>
    <w:p>
      <w:pPr>
        <w:pStyle w:val="Style37"/>
        <w:keepNext/>
        <w:keepLines/>
        <w:widowControl w:val="0"/>
        <w:shd w:val="clear" w:color="auto" w:fill="auto"/>
        <w:bidi w:val="0"/>
        <w:spacing w:before="0" w:after="360" w:line="240" w:lineRule="auto"/>
        <w:ind w:left="0" w:right="0" w:firstLine="0"/>
        <w:jc w:val="left"/>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81"/>
      <w:bookmarkEnd w:id="1482"/>
      <w:bookmarkEnd w:id="14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辽宁智慧山水城科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5,837,547.17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5,670,000.00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5,837,547.17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5,520,000.00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深圳科捷电商供应</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5,316,726.87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5,316,726.87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5,316,726.87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5,316,726.87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神州数码融信云技 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3,470,699.44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621,620.82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1,510,634.19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568,451.37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北京神州数码置业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2,590,688.21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1,295,344.11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2,663,192.67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186,423.49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北京神州邦邦技术 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1,625,024.90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1,625,024.90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1,625,024.90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812,512.45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上海华瑞银行股份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1,607,784.40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492,809.63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1,933,524.57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244,378.13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神州数码（中国）有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1,532,564.76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318,751.85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823,429.58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43,968.59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中国南方航空股份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1,243,203.40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因特睿科技有限公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智慧神州（北京）科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466,642.20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天津国科量子科技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285,480.09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285,480.09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2,254,331.84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2,254,331.84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威海智慧北洋信息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71,745.28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广州城投智慧城市 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47,182.08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北京易华录信息技 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神州灵云（北京）科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465,858.39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内蒙古呼和浩特金 谷农村商业银行股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30,450.00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江苏中江信息技术 培训学校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南京红松信息技术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946.40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神州鲲泰（厦门）信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合肥神州数码有限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886,404.06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神州数码（中国）有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351,001.09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582,401.42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西安神州数码实业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745,030.76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79,311.82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523,510.76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10,470.22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上海华瑞银行股份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6,702,238.50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767,446.61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7,082,061.86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181,106.01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中国南方航空股份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5,836,807.82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116,736.15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北京神州数码置业 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542,287.56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1,446,282.41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75,060.85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深圳海联讯科技股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209,789.99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12,102.19</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内蒙古呼和浩特金 谷农村商业银行股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143,695.01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2,873.90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江苏中江信息技术 培训学校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109,350.00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智慧神州（北京）科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41,877,301.33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16,679,715.97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32,813,581.96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15,267,229.31</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84"/>
      <w:bookmarkEnd w:id="1485"/>
      <w:bookmarkEnd w:id="14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2957"/>
        <w:gridCol w:w="2213"/>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144,228,706.24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112,089,850.77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合肥神州数码有限公司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68,840,643.98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28,489,810.35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35,559,301.29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因特睿科技有限公司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15,171,919.43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13,862,700.86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广州智慧神州科技有限公司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10,462,820.00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11,550,000.00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3,937,588.61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596,563.28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1,963,594.26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2,252,972.17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北京神州数码云计算有限公司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1,605,437.22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2,316,681.23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福建智慧海西信息技术有限公司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1,304,625.00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5,701,425.00</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918,104.89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1,817,855.09</w:t>
            </w:r>
          </w:p>
        </w:tc>
      </w:tr>
    </w:tbl>
    <w:p>
      <w:pPr>
        <w:spacing w:lineRule="exact" w:line="1"/>
        <w:rPr>
          <w:sz w:val="2"/>
          <w:szCs w:val="2"/>
        </w:rPr>
      </w:pPr>
      <w:r>
        <w:br w:type="page"/>
      </w:r>
    </w:p>
    <w:tbl>
      <w:tblPr>
        <w:tblOverlap w:val="never"/>
        <w:jc w:val="center"/>
        <w:tblLayout w:type="fixed"/>
      </w:tblPr>
      <w:tblGrid>
        <w:gridCol w:w="2011"/>
        <w:gridCol w:w="2957"/>
        <w:gridCol w:w="2213"/>
        <w:gridCol w:w="240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354,545.00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天津国科量子科技有限公司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106,194.69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60,548.49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65,181.34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47,279.35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神州数码（重庆）信息科技有限公司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35,258.00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Charter Base Development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15,293.18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10,091.21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Instant Technology Supply Chain Hong Kong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4,315.52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神州鲲泰（厦门）信息技术有限公司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9,618,781.02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13,309.73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神州数码医疗科技股份有限公司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3,244,062.83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2,904,569.80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1,057,930.00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6,696,612.00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1,383,226.00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辽宁智慧山水城科技发展有限公司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2,960,000.00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中国南方航空股份有限公司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2,452,830.00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1,841,568.48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1,841,568.48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威海智慧北洋信息技术有限公司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1,267,500.00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1,267,500.00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广州城投智慧城市科技发展有限公司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944,520.00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上海华瑞银行股份有限公司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107,283.80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61,598.66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51,786.00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1,527,162.00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94,947.80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神州数码医疗科技股份有限公司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1,199,040.00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2,398,080.00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22,847,500.00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289,645,266.94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243,625,600.77</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color w:val="000000"/>
          <w:spacing w:val="0"/>
          <w:w w:val="100"/>
          <w:position w:val="0"/>
          <w:sz w:val="24"/>
          <w:szCs w:val="24"/>
        </w:rPr>
        <w:t>十三、股份支付</w:t>
      </w:r>
      <w:bookmarkEnd w:id="1487"/>
      <w:bookmarkEnd w:id="1488"/>
      <w:bookmarkEnd w:id="1489"/>
    </w:p>
    <w:p>
      <w:pPr>
        <w:pStyle w:val="Style29"/>
        <w:keepNext/>
        <w:keepLines/>
        <w:widowControl w:val="0"/>
        <w:shd w:val="clear" w:color="auto" w:fill="auto"/>
        <w:bidi w:val="0"/>
        <w:spacing w:before="0" w:after="320" w:line="240" w:lineRule="auto"/>
        <w:ind w:left="0" w:right="0" w:firstLine="0"/>
        <w:jc w:val="left"/>
      </w:pPr>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90"/>
      <w:bookmarkEnd w:id="1491"/>
      <w:bookmarkEnd w:id="1492"/>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5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股票期权</w:t>
            </w:r>
            <w:r>
              <w:rPr>
                <w:rFonts w:ascii="Times New Roman" w:eastAsia="Times New Roman" w:hAnsi="Times New Roman" w:cs="Times New Roman"/>
                <w:color w:val="000000"/>
                <w:spacing w:val="0"/>
                <w:w w:val="100"/>
                <w:position w:val="0"/>
              </w:rPr>
              <w:t>3,975,601.00</w:t>
            </w:r>
            <w:r>
              <w:rPr>
                <w:color w:val="000000"/>
                <w:spacing w:val="0"/>
                <w:w w:val="100"/>
                <w:position w:val="0"/>
              </w:rPr>
              <w:t>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限制性股票</w:t>
            </w:r>
            <w:r>
              <w:rPr>
                <w:rFonts w:ascii="Times New Roman" w:eastAsia="Times New Roman" w:hAnsi="Times New Roman" w:cs="Times New Roman"/>
                <w:color w:val="000000"/>
                <w:spacing w:val="0"/>
                <w:w w:val="100"/>
                <w:position w:val="0"/>
              </w:rPr>
              <w:t>3,325,000.00</w:t>
            </w:r>
            <w:r>
              <w:rPr>
                <w:color w:val="000000"/>
                <w:spacing w:val="0"/>
                <w:w w:val="100"/>
                <w:position w:val="0"/>
              </w:rPr>
              <w:t>股</w:t>
            </w:r>
          </w:p>
        </w:tc>
      </w:tr>
    </w:tbl>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股票期权</w:t>
            </w:r>
            <w:r>
              <w:rPr>
                <w:rFonts w:ascii="Times New Roman" w:eastAsia="Times New Roman" w:hAnsi="Times New Roman" w:cs="Times New Roman"/>
                <w:color w:val="000000"/>
                <w:spacing w:val="0"/>
                <w:w w:val="100"/>
                <w:position w:val="0"/>
              </w:rPr>
              <w:t>1,746,845.00</w:t>
            </w:r>
            <w:r>
              <w:rPr>
                <w:color w:val="000000"/>
                <w:spacing w:val="0"/>
                <w:w w:val="100"/>
                <w:position w:val="0"/>
              </w:rPr>
              <w:t>股</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行权价格</w:t>
            </w:r>
            <w:r>
              <w:rPr>
                <w:rFonts w:ascii="Times New Roman" w:eastAsia="Times New Roman" w:hAnsi="Times New Roman" w:cs="Times New Roman"/>
                <w:color w:val="000000"/>
                <w:spacing w:val="0"/>
                <w:w w:val="100"/>
                <w:position w:val="0"/>
              </w:rPr>
              <w:t>12.76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授予登记完成之日起至所有股票期权行权或注销之 日止最长不超过</w:t>
            </w:r>
            <w:r>
              <w:rPr>
                <w:rFonts w:ascii="Times New Roman" w:eastAsia="Times New Roman" w:hAnsi="Times New Roman" w:cs="Times New Roman"/>
                <w:color w:val="000000"/>
                <w:spacing w:val="0"/>
                <w:w w:val="100"/>
                <w:position w:val="0"/>
              </w:rPr>
              <w:t>60</w:t>
            </w:r>
            <w:r>
              <w:rPr>
                <w:color w:val="000000"/>
                <w:spacing w:val="0"/>
                <w:w w:val="100"/>
                <w:position w:val="0"/>
              </w:rPr>
              <w:t>个月</w:t>
            </w:r>
          </w:p>
        </w:tc>
      </w:tr>
    </w:tbl>
    <w:p>
      <w:pPr>
        <w:widowControl w:val="0"/>
        <w:spacing w:after="279" w:line="1" w:lineRule="exact"/>
      </w:pPr>
    </w:p>
    <w:p>
      <w:pPr>
        <w:pStyle w:val="Style29"/>
        <w:keepNext/>
        <w:keepLines/>
        <w:widowControl w:val="0"/>
        <w:shd w:val="clear" w:color="auto" w:fill="auto"/>
        <w:bidi w:val="0"/>
        <w:spacing w:before="0" w:line="240" w:lineRule="auto"/>
        <w:ind w:left="0" w:right="0" w:firstLine="0"/>
        <w:jc w:val="both"/>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93"/>
      <w:bookmarkEnd w:id="1494"/>
      <w:bookmarkEnd w:id="1495"/>
    </w:p>
    <w:p>
      <w:pPr>
        <w:pStyle w:val="Style1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详见本附注十三、</w:t>
            </w:r>
            <w:r>
              <w:rPr>
                <w:rFonts w:ascii="Times New Roman" w:eastAsia="Times New Roman" w:hAnsi="Times New Roman" w:cs="Times New Roman"/>
                <w:color w:val="000000"/>
                <w:spacing w:val="0"/>
                <w:w w:val="100"/>
                <w:position w:val="0"/>
              </w:rPr>
              <w:t>3.</w:t>
            </w:r>
            <w:r>
              <w:rPr>
                <w:color w:val="000000"/>
                <w:spacing w:val="0"/>
                <w:w w:val="100"/>
                <w:position w:val="0"/>
              </w:rPr>
              <w:t>股权激励计划</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详见本附注十三、</w:t>
            </w:r>
            <w:r>
              <w:rPr>
                <w:rFonts w:ascii="Times New Roman" w:eastAsia="Times New Roman" w:hAnsi="Times New Roman" w:cs="Times New Roman"/>
                <w:color w:val="000000"/>
                <w:spacing w:val="0"/>
                <w:w w:val="100"/>
                <w:position w:val="0"/>
              </w:rPr>
              <w:t>3</w:t>
            </w:r>
            <w:r>
              <w:rPr>
                <w:color w:val="000000"/>
                <w:spacing w:val="0"/>
                <w:w w:val="100"/>
                <w:position w:val="0"/>
              </w:rPr>
              <w:t>股权激励计划</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69,609,205.85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8,972,688.94</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color w:val="000000"/>
          <w:spacing w:val="0"/>
          <w:w w:val="100"/>
          <w:position w:val="0"/>
        </w:rPr>
        <w:t>、股权激励计划</w:t>
      </w:r>
      <w:bookmarkEnd w:id="1496"/>
      <w:bookmarkEnd w:id="1497"/>
      <w:bookmarkEnd w:id="1499"/>
    </w:p>
    <w:p>
      <w:pPr>
        <w:pStyle w:val="Style13"/>
        <w:keepNext w:val="0"/>
        <w:keepLines w:val="0"/>
        <w:widowControl w:val="0"/>
        <w:shd w:val="clear" w:color="auto" w:fill="auto"/>
        <w:bidi w:val="0"/>
        <w:spacing w:before="0" w:after="100" w:line="319"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年第三次临时会议审议通过了《关于公司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 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年股票期权与限制性股票激励计划实施考核管理办法</w:t>
      </w:r>
      <w:r>
        <w:rPr>
          <w:color w:val="000000"/>
          <w:spacing w:val="0"/>
          <w:w w:val="100"/>
          <w:position w:val="0"/>
        </w:rPr>
        <w:t>〉</w:t>
      </w:r>
      <w:r>
        <w:rPr>
          <w:color w:val="000000"/>
          <w:spacing w:val="0"/>
          <w:w w:val="100"/>
          <w:position w:val="0"/>
        </w:rPr>
        <w:t>的议案》、《关 于提请股东大会授权董事会办理股权激励相关事宜的议案》。</w:t>
      </w:r>
    </w:p>
    <w:p>
      <w:pPr>
        <w:pStyle w:val="Style13"/>
        <w:keepNext w:val="0"/>
        <w:keepLines w:val="0"/>
        <w:widowControl w:val="0"/>
        <w:shd w:val="clear" w:color="auto" w:fill="auto"/>
        <w:bidi w:val="0"/>
        <w:spacing w:before="0" w:after="100" w:line="326"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年第四次临时会议审议通过了《关于公司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 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13"/>
        <w:keepNext w:val="0"/>
        <w:keepLines w:val="0"/>
        <w:widowControl w:val="0"/>
        <w:shd w:val="clear" w:color="auto" w:fill="auto"/>
        <w:bidi w:val="0"/>
        <w:spacing w:before="0" w:after="100" w:line="331"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日，神州信息召开</w:t>
      </w:r>
      <w:r>
        <w:rPr>
          <w:rFonts w:ascii="Times New Roman" w:eastAsia="Times New Roman" w:hAnsi="Times New Roman" w:cs="Times New Roman"/>
          <w:color w:val="000000"/>
          <w:spacing w:val="0"/>
          <w:w w:val="100"/>
          <w:position w:val="0"/>
        </w:rPr>
        <w:t>2019</w:t>
      </w:r>
      <w:r>
        <w:rPr>
          <w:color w:val="000000"/>
          <w:spacing w:val="0"/>
          <w:w w:val="100"/>
          <w:position w:val="0"/>
        </w:rPr>
        <w:t>年度第三次临时股东大会，审议批准了</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年股票期权与限制性股票激励计划等相 关议案。</w:t>
      </w:r>
    </w:p>
    <w:p>
      <w:pPr>
        <w:pStyle w:val="Style13"/>
        <w:keepNext w:val="0"/>
        <w:keepLines w:val="0"/>
        <w:widowControl w:val="0"/>
        <w:shd w:val="clear" w:color="auto" w:fill="auto"/>
        <w:bidi w:val="0"/>
        <w:spacing w:before="0" w:after="100" w:line="331"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 划激励对象名单、授予权益数量及价格议案》、《关于向激励对象授予股票期权与限制性股票的议案》。</w:t>
      </w:r>
    </w:p>
    <w:p>
      <w:pPr>
        <w:pStyle w:val="Style13"/>
        <w:keepNext w:val="0"/>
        <w:keepLines w:val="0"/>
        <w:widowControl w:val="0"/>
        <w:shd w:val="clear" w:color="auto" w:fill="auto"/>
        <w:bidi w:val="0"/>
        <w:spacing w:before="0" w:after="100" w:line="311"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日，公司第八届董事会第七次会议和第八届监事会第七次会议审议通过了《关于调整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 限制性股票回购价格的议案》，因本公司于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日召开股东大会通过了以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970,381,273</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.39</w:t>
      </w:r>
      <w:r>
        <w:rPr>
          <w:color w:val="000000"/>
          <w:spacing w:val="0"/>
          <w:w w:val="100"/>
          <w:position w:val="0"/>
        </w:rPr>
        <w:t>元（含税），不送红股，不以公积金转增股本的权益分配方案，根据公司《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年股票期权与限制性股票激励计划》的规定对本次尚未解除限售的限制性股票的回购价格进行相应调整。限制性股票的授予 价格由</w:t>
      </w:r>
      <w:r>
        <w:rPr>
          <w:rFonts w:ascii="Times New Roman" w:eastAsia="Times New Roman" w:hAnsi="Times New Roman" w:cs="Times New Roman"/>
          <w:color w:val="000000"/>
          <w:spacing w:val="0"/>
          <w:w w:val="100"/>
          <w:position w:val="0"/>
        </w:rPr>
        <w:t>6.345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6.306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3"/>
        <w:keepNext w:val="0"/>
        <w:keepLines w:val="0"/>
        <w:widowControl w:val="0"/>
        <w:shd w:val="clear" w:color="auto" w:fill="auto"/>
        <w:bidi w:val="0"/>
        <w:spacing w:before="0" w:after="100" w:line="317"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日，公司第八届董事会第七次会议和第八届监事会第七次会议审议通过了《关于注销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 部分股票期权的议案》、《关于回购注销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年股权激励计划部分限制性股票的议案》，对</w:t>
      </w:r>
      <w:r>
        <w:rPr>
          <w:rFonts w:ascii="Times New Roman" w:eastAsia="Times New Roman" w:hAnsi="Times New Roman" w:cs="Times New Roman"/>
          <w:color w:val="000000"/>
          <w:spacing w:val="0"/>
          <w:w w:val="100"/>
          <w:position w:val="0"/>
        </w:rPr>
        <w:t>4</w:t>
      </w:r>
      <w:r>
        <w:rPr>
          <w:color w:val="000000"/>
          <w:spacing w:val="0"/>
          <w:w w:val="100"/>
          <w:position w:val="0"/>
        </w:rPr>
        <w:t>名离职的激励对象已获授但尚 未行权的股票期权共计</w:t>
      </w:r>
      <w:r>
        <w:rPr>
          <w:rFonts w:ascii="Times New Roman" w:eastAsia="Times New Roman" w:hAnsi="Times New Roman" w:cs="Times New Roman"/>
          <w:color w:val="000000"/>
          <w:spacing w:val="0"/>
          <w:w w:val="100"/>
          <w:position w:val="0"/>
        </w:rPr>
        <w:t>95</w:t>
      </w:r>
      <w:r>
        <w:rPr>
          <w:color w:val="000000"/>
          <w:spacing w:val="0"/>
          <w:w w:val="100"/>
          <w:position w:val="0"/>
        </w:rPr>
        <w:t>万份进行注销，对</w:t>
      </w:r>
      <w:r>
        <w:rPr>
          <w:rFonts w:ascii="Times New Roman" w:eastAsia="Times New Roman" w:hAnsi="Times New Roman" w:cs="Times New Roman"/>
          <w:color w:val="000000"/>
          <w:spacing w:val="0"/>
          <w:w w:val="100"/>
          <w:position w:val="0"/>
        </w:rPr>
        <w:t>1</w:t>
      </w:r>
      <w:r>
        <w:rPr>
          <w:color w:val="000000"/>
          <w:spacing w:val="0"/>
          <w:w w:val="100"/>
          <w:position w:val="0"/>
        </w:rPr>
        <w:t>名离职的限制性股票激励对象已获授但尚未解除限售的</w:t>
      </w:r>
      <w:r>
        <w:rPr>
          <w:rFonts w:ascii="Times New Roman" w:eastAsia="Times New Roman" w:hAnsi="Times New Roman" w:cs="Times New Roman"/>
          <w:color w:val="000000"/>
          <w:spacing w:val="0"/>
          <w:w w:val="100"/>
          <w:position w:val="0"/>
        </w:rPr>
        <w:t>30</w:t>
      </w:r>
      <w:r>
        <w:rPr>
          <w:color w:val="000000"/>
          <w:spacing w:val="0"/>
          <w:w w:val="100"/>
          <w:position w:val="0"/>
        </w:rPr>
        <w:t>万股限制性股票进行 回购注销。</w:t>
      </w:r>
    </w:p>
    <w:p>
      <w:pPr>
        <w:pStyle w:val="Style13"/>
        <w:keepNext w:val="0"/>
        <w:keepLines w:val="0"/>
        <w:widowControl w:val="0"/>
        <w:shd w:val="clear" w:color="auto" w:fill="auto"/>
        <w:bidi w:val="0"/>
        <w:spacing w:before="0" w:after="100" w:line="319"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年第二次临时会议和第八届监事会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年第一次临时会议审议通过了《关于注 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年股权激励计划部分股票期权的议案》、《关于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年股票期权与限制性股票激励计划第二个行权期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解除限售期行 权/解除限售条件成就的议案》。</w:t>
      </w:r>
    </w:p>
    <w:p>
      <w:pPr>
        <w:pStyle w:val="Style13"/>
        <w:keepNext w:val="0"/>
        <w:keepLines w:val="0"/>
        <w:widowControl w:val="0"/>
        <w:shd w:val="clear" w:color="auto" w:fill="auto"/>
        <w:bidi w:val="0"/>
        <w:spacing w:before="0" w:after="100" w:line="319" w:lineRule="exact"/>
        <w:ind w:left="0" w:right="0" w:firstLine="460"/>
        <w:jc w:val="both"/>
      </w:pPr>
      <w:r>
        <w:rPr>
          <w:color w:val="000000"/>
          <w:spacing w:val="0"/>
          <w:w w:val="100"/>
          <w:position w:val="0"/>
        </w:rPr>
        <w:t>（一）基本内容</w:t>
      </w:r>
    </w:p>
    <w:p>
      <w:pPr>
        <w:pStyle w:val="Style13"/>
        <w:keepNext w:val="0"/>
        <w:keepLines w:val="0"/>
        <w:widowControl w:val="0"/>
        <w:shd w:val="clear" w:color="auto" w:fill="auto"/>
        <w:tabs>
          <w:tab w:pos="809" w:val="left"/>
        </w:tabs>
        <w:bidi w:val="0"/>
        <w:spacing w:before="0" w:after="100" w:line="312" w:lineRule="exact"/>
        <w:ind w:left="0" w:right="0" w:firstLine="460"/>
        <w:jc w:val="left"/>
      </w:pPr>
      <w:bookmarkStart w:id="1500" w:name="bookmark1500"/>
      <w:r>
        <w:rPr>
          <w:rFonts w:ascii="Times New Roman" w:eastAsia="Times New Roman" w:hAnsi="Times New Roman" w:cs="Times New Roman"/>
          <w:color w:val="000000"/>
          <w:spacing w:val="0"/>
          <w:w w:val="100"/>
          <w:position w:val="0"/>
        </w:rPr>
        <w:t>1</w:t>
      </w:r>
      <w:bookmarkEnd w:id="1500"/>
      <w:r>
        <w:rPr>
          <w:color w:val="000000"/>
          <w:spacing w:val="0"/>
          <w:w w:val="100"/>
          <w:position w:val="0"/>
        </w:rPr>
        <w:t>）</w:t>
        <w:tab/>
        <w:t>股票来源：本激励计划来源为神州信息向激励对象定向发行</w:t>
      </w:r>
      <w:r>
        <w:rPr>
          <w:rFonts w:ascii="Times New Roman" w:eastAsia="Times New Roman" w:hAnsi="Times New Roman" w:cs="Times New Roman"/>
          <w:color w:val="000000"/>
          <w:spacing w:val="0"/>
          <w:w w:val="100"/>
          <w:position w:val="0"/>
        </w:rPr>
        <w:t>A</w:t>
      </w:r>
      <w:r>
        <w:rPr>
          <w:color w:val="000000"/>
          <w:spacing w:val="0"/>
          <w:w w:val="100"/>
          <w:position w:val="0"/>
        </w:rPr>
        <w:t>股普通股股票；</w:t>
      </w:r>
    </w:p>
    <w:p>
      <w:pPr>
        <w:pStyle w:val="Style13"/>
        <w:keepNext w:val="0"/>
        <w:keepLines w:val="0"/>
        <w:widowControl w:val="0"/>
        <w:shd w:val="clear" w:color="auto" w:fill="auto"/>
        <w:tabs>
          <w:tab w:pos="828" w:val="left"/>
        </w:tabs>
        <w:bidi w:val="0"/>
        <w:spacing w:before="0" w:after="100" w:line="312" w:lineRule="exact"/>
        <w:ind w:left="0" w:right="0" w:firstLine="460"/>
        <w:jc w:val="left"/>
      </w:pPr>
      <w:bookmarkStart w:id="1501" w:name="bookmark1501"/>
      <w:r>
        <w:rPr>
          <w:rFonts w:ascii="Times New Roman" w:eastAsia="Times New Roman" w:hAnsi="Times New Roman" w:cs="Times New Roman"/>
          <w:color w:val="000000"/>
          <w:spacing w:val="0"/>
          <w:w w:val="100"/>
          <w:position w:val="0"/>
        </w:rPr>
        <w:t>2</w:t>
      </w:r>
      <w:bookmarkEnd w:id="1501"/>
      <w:r>
        <w:rPr>
          <w:color w:val="000000"/>
          <w:spacing w:val="0"/>
          <w:w w:val="100"/>
          <w:position w:val="0"/>
        </w:rPr>
        <w:t>）</w:t>
        <w:tab/>
        <w:t>授予日：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13"/>
        <w:keepNext w:val="0"/>
        <w:keepLines w:val="0"/>
        <w:widowControl w:val="0"/>
        <w:shd w:val="clear" w:color="auto" w:fill="auto"/>
        <w:tabs>
          <w:tab w:pos="828" w:val="left"/>
        </w:tabs>
        <w:bidi w:val="0"/>
        <w:spacing w:before="0" w:after="100" w:line="312" w:lineRule="exact"/>
        <w:ind w:left="0" w:right="0" w:firstLine="460"/>
        <w:jc w:val="left"/>
      </w:pPr>
      <w:bookmarkStart w:id="1502" w:name="bookmark1502"/>
      <w:r>
        <w:rPr>
          <w:rFonts w:ascii="Times New Roman" w:eastAsia="Times New Roman" w:hAnsi="Times New Roman" w:cs="Times New Roman"/>
          <w:color w:val="000000"/>
          <w:spacing w:val="0"/>
          <w:w w:val="100"/>
          <w:position w:val="0"/>
        </w:rPr>
        <w:t>3</w:t>
      </w:r>
      <w:bookmarkEnd w:id="1502"/>
      <w:r>
        <w:rPr>
          <w:color w:val="000000"/>
          <w:spacing w:val="0"/>
          <w:w w:val="100"/>
          <w:position w:val="0"/>
        </w:rPr>
        <w:t>）</w:t>
        <w:tab/>
        <w:t>行权/授予价格：股票期权的行权价格为</w:t>
      </w:r>
      <w:r>
        <w:rPr>
          <w:rFonts w:ascii="Times New Roman" w:eastAsia="Times New Roman" w:hAnsi="Times New Roman" w:cs="Times New Roman"/>
          <w:color w:val="000000"/>
          <w:spacing w:val="0"/>
          <w:w w:val="100"/>
          <w:position w:val="0"/>
        </w:rPr>
        <w:t>12.76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份，限制性股票的授予价格为</w:t>
      </w:r>
      <w:r>
        <w:rPr>
          <w:rFonts w:ascii="Times New Roman" w:eastAsia="Times New Roman" w:hAnsi="Times New Roman" w:cs="Times New Roman"/>
          <w:color w:val="000000"/>
          <w:spacing w:val="0"/>
          <w:w w:val="100"/>
          <w:position w:val="0"/>
        </w:rPr>
        <w:t>6.345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3"/>
        <w:keepNext w:val="0"/>
        <w:keepLines w:val="0"/>
        <w:widowControl w:val="0"/>
        <w:shd w:val="clear" w:color="auto" w:fill="auto"/>
        <w:tabs>
          <w:tab w:pos="786" w:val="left"/>
        </w:tabs>
        <w:bidi w:val="0"/>
        <w:spacing w:before="0" w:after="100" w:line="312" w:lineRule="exact"/>
        <w:ind w:left="0" w:right="0" w:firstLine="460"/>
        <w:jc w:val="left"/>
      </w:pPr>
      <w:bookmarkStart w:id="1503" w:name="bookmark1503"/>
      <w:r>
        <w:rPr>
          <w:rFonts w:ascii="Times New Roman" w:eastAsia="Times New Roman" w:hAnsi="Times New Roman" w:cs="Times New Roman"/>
          <w:color w:val="000000"/>
          <w:spacing w:val="0"/>
          <w:w w:val="100"/>
          <w:position w:val="0"/>
        </w:rPr>
        <w:t>4</w:t>
      </w:r>
      <w:bookmarkEnd w:id="1503"/>
      <w:r>
        <w:rPr>
          <w:color w:val="000000"/>
          <w:spacing w:val="0"/>
          <w:w w:val="100"/>
          <w:position w:val="0"/>
        </w:rPr>
        <w:t>）</w:t>
        <w:tab/>
        <w:t>授予人数及授予数量：股票期权授予的激励对象共计</w:t>
      </w:r>
      <w:r>
        <w:rPr>
          <w:rFonts w:ascii="Times New Roman" w:eastAsia="Times New Roman" w:hAnsi="Times New Roman" w:cs="Times New Roman"/>
          <w:color w:val="000000"/>
          <w:spacing w:val="0"/>
          <w:w w:val="100"/>
          <w:position w:val="0"/>
        </w:rPr>
        <w:t>104</w:t>
      </w:r>
      <w:r>
        <w:rPr>
          <w:color w:val="000000"/>
          <w:spacing w:val="0"/>
          <w:w w:val="100"/>
          <w:position w:val="0"/>
        </w:rPr>
        <w:t>人，授予数量为</w:t>
      </w:r>
      <w:r>
        <w:rPr>
          <w:rFonts w:ascii="Times New Roman" w:eastAsia="Times New Roman" w:hAnsi="Times New Roman" w:cs="Times New Roman"/>
          <w:color w:val="000000"/>
          <w:spacing w:val="0"/>
          <w:w w:val="100"/>
          <w:position w:val="0"/>
        </w:rPr>
        <w:t>2,247.00</w:t>
      </w:r>
      <w:r>
        <w:rPr>
          <w:color w:val="000000"/>
          <w:spacing w:val="0"/>
          <w:w w:val="100"/>
          <w:position w:val="0"/>
        </w:rPr>
        <w:t>万份，占公司总股本</w:t>
      </w:r>
      <w:r>
        <w:rPr>
          <w:rFonts w:ascii="Times New Roman" w:eastAsia="Times New Roman" w:hAnsi="Times New Roman" w:cs="Times New Roman"/>
          <w:color w:val="000000"/>
          <w:spacing w:val="0"/>
          <w:w w:val="100"/>
          <w:position w:val="0"/>
        </w:rPr>
        <w:t>96,343.13</w:t>
      </w:r>
      <w:r>
        <w:rPr>
          <w:color w:val="000000"/>
          <w:spacing w:val="0"/>
          <w:w w:val="100"/>
          <w:position w:val="0"/>
        </w:rPr>
        <w:t>万股 的</w:t>
      </w:r>
      <w:r>
        <w:rPr>
          <w:rFonts w:ascii="Times New Roman" w:eastAsia="Times New Roman" w:hAnsi="Times New Roman" w:cs="Times New Roman"/>
          <w:color w:val="000000"/>
          <w:spacing w:val="0"/>
          <w:w w:val="100"/>
          <w:position w:val="0"/>
        </w:rPr>
        <w:t>2.33%</w:t>
      </w:r>
      <w:r>
        <w:rPr>
          <w:color w:val="000000"/>
          <w:spacing w:val="0"/>
          <w:w w:val="100"/>
          <w:position w:val="0"/>
        </w:rPr>
        <w:t>。限制性股票授予的激励对象共</w:t>
      </w:r>
      <w:r>
        <w:rPr>
          <w:rFonts w:ascii="Times New Roman" w:eastAsia="Times New Roman" w:hAnsi="Times New Roman" w:cs="Times New Roman"/>
          <w:color w:val="000000"/>
          <w:spacing w:val="0"/>
          <w:w w:val="100"/>
          <w:position w:val="0"/>
        </w:rPr>
        <w:t>16</w:t>
      </w:r>
      <w:r>
        <w:rPr>
          <w:color w:val="000000"/>
          <w:spacing w:val="0"/>
          <w:w w:val="100"/>
          <w:position w:val="0"/>
        </w:rPr>
        <w:t>人，授予数量为</w:t>
      </w:r>
      <w:r>
        <w:rPr>
          <w:rFonts w:ascii="Times New Roman" w:eastAsia="Times New Roman" w:hAnsi="Times New Roman" w:cs="Times New Roman"/>
          <w:color w:val="000000"/>
          <w:spacing w:val="0"/>
          <w:w w:val="100"/>
          <w:position w:val="0"/>
        </w:rPr>
        <w:t>695.00</w:t>
      </w:r>
      <w:r>
        <w:rPr>
          <w:color w:val="000000"/>
          <w:spacing w:val="0"/>
          <w:w w:val="100"/>
          <w:position w:val="0"/>
        </w:rPr>
        <w:t>万股限制性股票，占公司总股本</w:t>
      </w:r>
      <w:r>
        <w:rPr>
          <w:rFonts w:ascii="Times New Roman" w:eastAsia="Times New Roman" w:hAnsi="Times New Roman" w:cs="Times New Roman"/>
          <w:color w:val="000000"/>
          <w:spacing w:val="0"/>
          <w:w w:val="100"/>
          <w:position w:val="0"/>
        </w:rPr>
        <w:t>96,343.13</w:t>
      </w:r>
      <w:r>
        <w:rPr>
          <w:color w:val="000000"/>
          <w:spacing w:val="0"/>
          <w:w w:val="100"/>
          <w:position w:val="0"/>
        </w:rPr>
        <w:t>万股的</w:t>
      </w:r>
      <w:r>
        <w:rPr>
          <w:rFonts w:ascii="Times New Roman" w:eastAsia="Times New Roman" w:hAnsi="Times New Roman" w:cs="Times New Roman"/>
          <w:color w:val="000000"/>
          <w:spacing w:val="0"/>
          <w:w w:val="100"/>
          <w:position w:val="0"/>
        </w:rPr>
        <w:t>0.72%</w:t>
      </w:r>
      <w:r>
        <w:rPr>
          <w:color w:val="000000"/>
          <w:spacing w:val="0"/>
          <w:w w:val="100"/>
          <w:position w:val="0"/>
        </w:rPr>
        <w:t>。</w:t>
      </w:r>
    </w:p>
    <w:p>
      <w:pPr>
        <w:pStyle w:val="Style13"/>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（二）激励计划的有效期、等待</w:t>
      </w:r>
      <w:r>
        <w:rPr>
          <w:rFonts w:ascii="Times New Roman" w:eastAsia="Times New Roman" w:hAnsi="Times New Roman" w:cs="Times New Roman"/>
          <w:color w:val="000000"/>
          <w:spacing w:val="0"/>
          <w:w w:val="100"/>
          <w:position w:val="0"/>
        </w:rPr>
        <w:t>/</w:t>
      </w:r>
      <w:r>
        <w:rPr>
          <w:color w:val="000000"/>
          <w:spacing w:val="0"/>
          <w:w w:val="100"/>
          <w:position w:val="0"/>
        </w:rPr>
        <w:t>限售期、行权/解除限售安排</w:t>
      </w:r>
    </w:p>
    <w:p>
      <w:pPr>
        <w:pStyle w:val="Style13"/>
        <w:keepNext w:val="0"/>
        <w:keepLines w:val="0"/>
        <w:widowControl w:val="0"/>
        <w:shd w:val="clear" w:color="auto" w:fill="auto"/>
        <w:bidi w:val="0"/>
        <w:spacing w:before="0" w:after="100" w:line="312" w:lineRule="exact"/>
        <w:ind w:left="0" w:right="0" w:firstLine="460"/>
        <w:jc w:val="both"/>
      </w:pPr>
      <w:bookmarkStart w:id="1504" w:name="bookmark1504"/>
      <w:r>
        <w:rPr>
          <w:rFonts w:ascii="Times New Roman" w:eastAsia="Times New Roman" w:hAnsi="Times New Roman" w:cs="Times New Roman"/>
          <w:color w:val="000000"/>
          <w:spacing w:val="0"/>
          <w:w w:val="100"/>
          <w:position w:val="0"/>
        </w:rPr>
        <w:t>1</w:t>
      </w:r>
      <w:bookmarkEnd w:id="1504"/>
      <w:r>
        <w:rPr>
          <w:color w:val="000000"/>
          <w:spacing w:val="0"/>
          <w:w w:val="100"/>
          <w:position w:val="0"/>
        </w:rPr>
        <w:t>）股票期权</w:t>
      </w:r>
    </w:p>
    <w:p>
      <w:pPr>
        <w:pStyle w:val="Style13"/>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本激励计划有效期自股票期权授予登记完成之日起至激励对象获授的股票期权全部行权或注销之日止，最长不超过</w:t>
      </w:r>
      <w:r>
        <w:rPr>
          <w:rFonts w:ascii="Times New Roman" w:eastAsia="Times New Roman" w:hAnsi="Times New Roman" w:cs="Times New Roman"/>
          <w:color w:val="000000"/>
          <w:spacing w:val="0"/>
          <w:w w:val="100"/>
          <w:position w:val="0"/>
        </w:rPr>
        <w:t>36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个月。</w:t>
      </w:r>
    </w:p>
    <w:tbl>
      <w:tblPr>
        <w:tblOverlap w:val="never"/>
        <w:jc w:val="center"/>
        <w:tblLayout w:type="fixed"/>
      </w:tblPr>
      <w:tblGrid>
        <w:gridCol w:w="1934"/>
        <w:gridCol w:w="5347"/>
        <w:gridCol w:w="2381"/>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行权安排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行权时间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行权比例</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股票期权第一个行权期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自授予登记完成之日起</w:t>
            </w:r>
            <w:r>
              <w:rPr>
                <w:color w:val="000000"/>
                <w:spacing w:val="0"/>
                <w:w w:val="100"/>
                <w:position w:val="0"/>
              </w:rPr>
              <w:t>12</w:t>
            </w:r>
            <w:r>
              <w:rPr>
                <w:color w:val="000000"/>
                <w:spacing w:val="0"/>
                <w:w w:val="100"/>
                <w:position w:val="0"/>
              </w:rPr>
              <w:t>个月后的首个交易日起至授予登记完成之 日起</w:t>
            </w:r>
            <w:r>
              <w:rPr>
                <w:color w:val="000000"/>
                <w:spacing w:val="0"/>
                <w:w w:val="100"/>
                <w:position w:val="0"/>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w:t>
            </w:r>
          </w:p>
        </w:tc>
      </w:tr>
      <w:tr>
        <w:trPr>
          <w:trHeight w:val="65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股票期权第二个行权期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自授予登记完成之日起</w:t>
            </w:r>
            <w:r>
              <w:rPr>
                <w:color w:val="000000"/>
                <w:spacing w:val="0"/>
                <w:w w:val="100"/>
                <w:position w:val="0"/>
              </w:rPr>
              <w:t>24</w:t>
            </w:r>
            <w:r>
              <w:rPr>
                <w:color w:val="000000"/>
                <w:spacing w:val="0"/>
                <w:w w:val="100"/>
                <w:position w:val="0"/>
              </w:rPr>
              <w:t>个月后的首个交易日起至授予登记完成之 日起</w:t>
            </w:r>
            <w:r>
              <w:rPr>
                <w:color w:val="000000"/>
                <w:spacing w:val="0"/>
                <w:w w:val="100"/>
                <w:position w:val="0"/>
              </w:rPr>
              <w:t>36</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w:t>
            </w:r>
          </w:p>
        </w:tc>
      </w:tr>
    </w:tbl>
    <w:p>
      <w:pPr>
        <w:widowControl w:val="0"/>
        <w:spacing w:after="99" w:line="1" w:lineRule="exact"/>
      </w:pPr>
    </w:p>
    <w:p>
      <w:pPr>
        <w:pStyle w:val="Style13"/>
        <w:keepNext w:val="0"/>
        <w:keepLines w:val="0"/>
        <w:widowControl w:val="0"/>
        <w:shd w:val="clear" w:color="auto" w:fill="auto"/>
        <w:bidi w:val="0"/>
        <w:spacing w:before="0" w:after="200" w:line="240" w:lineRule="auto"/>
        <w:ind w:left="0" w:right="0" w:firstLine="460"/>
        <w:jc w:val="both"/>
      </w:pPr>
      <w:bookmarkStart w:id="1505" w:name="bookmark1505"/>
      <w:r>
        <w:rPr>
          <w:rFonts w:ascii="Times New Roman" w:eastAsia="Times New Roman" w:hAnsi="Times New Roman" w:cs="Times New Roman"/>
          <w:color w:val="000000"/>
          <w:spacing w:val="0"/>
          <w:w w:val="100"/>
          <w:position w:val="0"/>
        </w:rPr>
        <w:t>2</w:t>
      </w:r>
      <w:bookmarkEnd w:id="1505"/>
      <w:r>
        <w:rPr>
          <w:color w:val="000000"/>
          <w:spacing w:val="0"/>
          <w:w w:val="100"/>
          <w:position w:val="0"/>
        </w:rPr>
        <w:t>）限制性股票</w:t>
      </w:r>
    </w:p>
    <w:p>
      <w:pPr>
        <w:pStyle w:val="Style13"/>
        <w:keepNext w:val="0"/>
        <w:keepLines w:val="0"/>
        <w:widowControl w:val="0"/>
        <w:shd w:val="clear" w:color="auto" w:fill="auto"/>
        <w:bidi w:val="0"/>
        <w:spacing w:before="0" w:after="480" w:line="240" w:lineRule="auto"/>
        <w:ind w:left="0" w:right="0" w:firstLine="460"/>
        <w:jc w:val="left"/>
      </w:pPr>
      <w:r>
        <w:rPr>
          <w:color w:val="000000"/>
          <w:spacing w:val="0"/>
          <w:w w:val="100"/>
          <w:position w:val="0"/>
        </w:rPr>
        <w:t>本激励计划授予的限制性股票限售期分别为自激励对象获授的限制性股票登记完成之日起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p>
    <w:tbl>
      <w:tblPr>
        <w:tblOverlap w:val="never"/>
        <w:jc w:val="center"/>
        <w:tblLayout w:type="fixed"/>
      </w:tblPr>
      <w:tblGrid>
        <w:gridCol w:w="1934"/>
        <w:gridCol w:w="5347"/>
        <w:gridCol w:w="2381"/>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行权安排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行权时间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行权比例</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限制性股票第一个解除 限售期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自授予登记完成之日起</w:t>
            </w:r>
            <w:r>
              <w:rPr>
                <w:color w:val="000000"/>
                <w:spacing w:val="0"/>
                <w:w w:val="100"/>
                <w:position w:val="0"/>
              </w:rPr>
              <w:t>12</w:t>
            </w:r>
            <w:r>
              <w:rPr>
                <w:color w:val="000000"/>
                <w:spacing w:val="0"/>
                <w:w w:val="100"/>
                <w:position w:val="0"/>
              </w:rPr>
              <w:t>个月后的首个交易日起至授予登记完成之 日起</w:t>
            </w:r>
            <w:r>
              <w:rPr>
                <w:color w:val="000000"/>
                <w:spacing w:val="0"/>
                <w:w w:val="100"/>
                <w:position w:val="0"/>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w:t>
            </w:r>
          </w:p>
        </w:tc>
      </w:tr>
      <w:tr>
        <w:trPr>
          <w:trHeight w:val="66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限制性股票第二个解除 限售期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自授予登记完成之日起</w:t>
            </w:r>
            <w:r>
              <w:rPr>
                <w:color w:val="000000"/>
                <w:spacing w:val="0"/>
                <w:w w:val="100"/>
                <w:position w:val="0"/>
              </w:rPr>
              <w:t>24</w:t>
            </w:r>
            <w:r>
              <w:rPr>
                <w:color w:val="000000"/>
                <w:spacing w:val="0"/>
                <w:w w:val="100"/>
                <w:position w:val="0"/>
              </w:rPr>
              <w:t>个月后的首个交易日起至授予登记完成之 日起</w:t>
            </w:r>
            <w:r>
              <w:rPr>
                <w:color w:val="000000"/>
                <w:spacing w:val="0"/>
                <w:w w:val="100"/>
                <w:position w:val="0"/>
              </w:rPr>
              <w:t>36</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w:t>
            </w:r>
          </w:p>
        </w:tc>
      </w:tr>
    </w:tbl>
    <w:p>
      <w:pPr>
        <w:widowControl w:val="0"/>
        <w:spacing w:after="199" w:line="1" w:lineRule="exact"/>
      </w:pPr>
    </w:p>
    <w:p>
      <w:pPr>
        <w:pStyle w:val="Style13"/>
        <w:keepNext w:val="0"/>
        <w:keepLines w:val="0"/>
        <w:widowControl w:val="0"/>
        <w:shd w:val="clear" w:color="auto" w:fill="auto"/>
        <w:bidi w:val="0"/>
        <w:spacing w:before="0" w:after="200" w:line="240" w:lineRule="auto"/>
        <w:ind w:left="0" w:right="0" w:firstLine="460"/>
        <w:jc w:val="left"/>
      </w:pPr>
      <w:bookmarkStart w:id="1506" w:name="bookmark1506"/>
      <w:r>
        <w:rPr>
          <w:color w:val="000000"/>
          <w:spacing w:val="0"/>
          <w:w w:val="100"/>
          <w:position w:val="0"/>
        </w:rPr>
        <w:t>（</w:t>
      </w:r>
      <w:bookmarkEnd w:id="1506"/>
      <w:r>
        <w:rPr>
          <w:color w:val="000000"/>
          <w:spacing w:val="0"/>
          <w:w w:val="100"/>
          <w:position w:val="0"/>
        </w:rPr>
        <w:t>三）本次股权激励计划的业绩考核要求</w:t>
      </w:r>
    </w:p>
    <w:p>
      <w:pPr>
        <w:pStyle w:val="Style13"/>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本激励计划的行权考核年度为</w:t>
      </w:r>
      <w:r>
        <w:rPr>
          <w:rFonts w:ascii="Times New Roman" w:eastAsia="Times New Roman" w:hAnsi="Times New Roman" w:cs="Times New Roman"/>
          <w:color w:val="000000"/>
          <w:spacing w:val="0"/>
          <w:w w:val="100"/>
          <w:position w:val="0"/>
        </w:rPr>
        <w:t>2019-2020</w:t>
      </w:r>
      <w:r>
        <w:rPr>
          <w:color w:val="000000"/>
          <w:spacing w:val="0"/>
          <w:w w:val="100"/>
          <w:position w:val="0"/>
        </w:rPr>
        <w:t xml:space="preserve">年两个会计年度，每个会计年度考核一次，以达到业绩考核目标作为行权条件， </w:t>
      </w:r>
      <w:r>
        <w:rPr>
          <w:color w:val="000000"/>
          <w:spacing w:val="0"/>
          <w:w w:val="100"/>
          <w:position w:val="0"/>
        </w:rPr>
        <w:t>股票期权与限制性股票的行权条件一致。</w:t>
      </w:r>
    </w:p>
    <w:p>
      <w:pPr>
        <w:pStyle w:val="Style13"/>
        <w:keepNext w:val="0"/>
        <w:keepLines w:val="0"/>
        <w:widowControl w:val="0"/>
        <w:shd w:val="clear" w:color="auto" w:fill="auto"/>
        <w:bidi w:val="0"/>
        <w:spacing w:before="0" w:after="20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）公司层面业绩考核要求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各年度业绩考核目标如下：</w:t>
      </w:r>
    </w:p>
    <w:tbl>
      <w:tblPr>
        <w:tblOverlap w:val="never"/>
        <w:jc w:val="center"/>
        <w:tblLayout w:type="fixed"/>
      </w:tblPr>
      <w:tblGrid>
        <w:gridCol w:w="4834"/>
        <w:gridCol w:w="4834"/>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行权安排</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行权条件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股票期权第一个行权期/限制性股票第一个解除限售期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2019</w:t>
            </w:r>
            <w:r>
              <w:rPr>
                <w:color w:val="000000"/>
                <w:spacing w:val="0"/>
                <w:w w:val="100"/>
                <w:position w:val="0"/>
              </w:rPr>
              <w:t>年净利润不低于</w:t>
            </w:r>
            <w:r>
              <w:rPr>
                <w:color w:val="000000"/>
                <w:spacing w:val="0"/>
                <w:w w:val="100"/>
                <w:position w:val="0"/>
              </w:rPr>
              <w:t>3.6</w:t>
            </w:r>
            <w:r>
              <w:rPr>
                <w:color w:val="000000"/>
                <w:spacing w:val="0"/>
                <w:w w:val="100"/>
                <w:position w:val="0"/>
              </w:rPr>
              <w:t>亿元</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股票期权第二个行权期/限制性股票第二个解除限售期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2020</w:t>
            </w:r>
            <w:r>
              <w:rPr>
                <w:color w:val="000000"/>
                <w:spacing w:val="0"/>
                <w:w w:val="100"/>
                <w:position w:val="0"/>
              </w:rPr>
              <w:t>年净利润不低于</w:t>
            </w:r>
            <w:r>
              <w:rPr>
                <w:color w:val="000000"/>
                <w:spacing w:val="0"/>
                <w:w w:val="100"/>
                <w:position w:val="0"/>
              </w:rPr>
              <w:t>4.35</w:t>
            </w:r>
            <w:r>
              <w:rPr>
                <w:color w:val="000000"/>
                <w:spacing w:val="0"/>
                <w:w w:val="100"/>
                <w:position w:val="0"/>
              </w:rPr>
              <w:t>亿元</w:t>
            </w:r>
          </w:p>
        </w:tc>
      </w:tr>
    </w:tbl>
    <w:p>
      <w:pPr>
        <w:widowControl w:val="0"/>
        <w:spacing w:after="99" w:line="1" w:lineRule="exact"/>
      </w:pPr>
    </w:p>
    <w:p>
      <w:pPr>
        <w:pStyle w:val="Style13"/>
        <w:keepNext w:val="0"/>
        <w:keepLines w:val="0"/>
        <w:widowControl w:val="0"/>
        <w:shd w:val="clear" w:color="auto" w:fill="auto"/>
        <w:bidi w:val="0"/>
        <w:spacing w:before="0" w:after="100" w:line="310" w:lineRule="exact"/>
        <w:ind w:left="0" w:right="0" w:firstLine="460"/>
        <w:jc w:val="left"/>
      </w:pPr>
      <w:r>
        <w:rPr>
          <w:color w:val="000000"/>
          <w:spacing w:val="0"/>
          <w:w w:val="100"/>
          <w:position w:val="0"/>
        </w:rPr>
        <w:t>2）</w:t>
      </w:r>
      <w:r>
        <w:rPr>
          <w:color w:val="000000"/>
          <w:spacing w:val="0"/>
          <w:w w:val="100"/>
          <w:position w:val="0"/>
        </w:rPr>
        <w:t>个人层面绩效考核要求</w:t>
      </w:r>
    </w:p>
    <w:p>
      <w:pPr>
        <w:pStyle w:val="Style13"/>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薪酬与考核委员会将对激励对象分年度进行考核，并依据考核结果确定其行权的比例，若神州信息层面各年度业绩考 核达标，则激励对象个人当年实际行权额度等于个人层面行权比例乘以个人当年计划行权额度。</w:t>
      </w:r>
    </w:p>
    <w:p>
      <w:pPr>
        <w:pStyle w:val="Style13"/>
        <w:keepNext w:val="0"/>
        <w:keepLines w:val="0"/>
        <w:widowControl w:val="0"/>
        <w:shd w:val="clear" w:color="auto" w:fill="auto"/>
        <w:bidi w:val="0"/>
        <w:spacing w:before="0" w:after="100" w:line="310" w:lineRule="exact"/>
        <w:ind w:left="0" w:right="0" w:firstLine="460"/>
        <w:jc w:val="left"/>
      </w:pPr>
      <w:bookmarkStart w:id="1507" w:name="bookmark1507"/>
      <w:r>
        <w:rPr>
          <w:color w:val="000000"/>
          <w:spacing w:val="0"/>
          <w:w w:val="100"/>
          <w:position w:val="0"/>
        </w:rPr>
        <w:t>（</w:t>
      </w:r>
      <w:bookmarkEnd w:id="1507"/>
      <w:r>
        <w:rPr>
          <w:color w:val="000000"/>
          <w:spacing w:val="0"/>
          <w:w w:val="100"/>
          <w:position w:val="0"/>
        </w:rPr>
        <w:t>四）股权激励模型及参数</w:t>
      </w:r>
    </w:p>
    <w:p>
      <w:pPr>
        <w:pStyle w:val="Style13"/>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公司股票期权与限制性股票都选取按照布莱克-斯科尔斯期权定价模型</w:t>
      </w:r>
      <w:r>
        <w:rPr>
          <w:color w:val="000000"/>
          <w:spacing w:val="0"/>
          <w:w w:val="100"/>
          <w:position w:val="0"/>
        </w:rPr>
        <w:t>（B-S</w:t>
      </w:r>
      <w:r>
        <w:rPr>
          <w:color w:val="000000"/>
          <w:spacing w:val="0"/>
          <w:w w:val="100"/>
          <w:position w:val="0"/>
        </w:rPr>
        <w:t>模型）对期权的价值进行计算，选取的参 数也一致，如下：</w:t>
      </w:r>
    </w:p>
    <w:p>
      <w:pPr>
        <w:pStyle w:val="Style13"/>
        <w:keepNext w:val="0"/>
        <w:keepLines w:val="0"/>
        <w:widowControl w:val="0"/>
        <w:shd w:val="clear" w:color="auto" w:fill="auto"/>
        <w:tabs>
          <w:tab w:pos="809" w:val="left"/>
        </w:tabs>
        <w:bidi w:val="0"/>
        <w:spacing w:before="0" w:after="120" w:line="312" w:lineRule="exact"/>
        <w:ind w:left="0" w:right="0" w:firstLine="460"/>
        <w:jc w:val="both"/>
      </w:pPr>
      <w:bookmarkStart w:id="1508" w:name="bookmark1508"/>
      <w:r>
        <w:rPr>
          <w:color w:val="000000"/>
          <w:spacing w:val="0"/>
          <w:w w:val="100"/>
          <w:position w:val="0"/>
        </w:rPr>
        <w:t>1</w:t>
      </w:r>
      <w:bookmarkEnd w:id="1508"/>
      <w:r>
        <w:rPr>
          <w:color w:val="000000"/>
          <w:spacing w:val="0"/>
          <w:w w:val="100"/>
          <w:position w:val="0"/>
        </w:rPr>
        <w:t>）</w:t>
        <w:tab/>
      </w:r>
      <w:r>
        <w:rPr>
          <w:color w:val="000000"/>
          <w:spacing w:val="0"/>
          <w:w w:val="100"/>
          <w:position w:val="0"/>
        </w:rPr>
        <w:t>授予日：</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日授予；</w:t>
      </w:r>
    </w:p>
    <w:p>
      <w:pPr>
        <w:pStyle w:val="Style13"/>
        <w:keepNext w:val="0"/>
        <w:keepLines w:val="0"/>
        <w:widowControl w:val="0"/>
        <w:shd w:val="clear" w:color="auto" w:fill="auto"/>
        <w:tabs>
          <w:tab w:pos="818" w:val="left"/>
        </w:tabs>
        <w:bidi w:val="0"/>
        <w:spacing w:before="0" w:after="120" w:line="312" w:lineRule="exact"/>
        <w:ind w:left="0" w:right="0" w:firstLine="460"/>
        <w:jc w:val="both"/>
      </w:pPr>
      <w:bookmarkStart w:id="1509" w:name="bookmark1509"/>
      <w:r>
        <w:rPr>
          <w:color w:val="000000"/>
          <w:spacing w:val="0"/>
          <w:w w:val="100"/>
          <w:position w:val="0"/>
        </w:rPr>
        <w:t>2</w:t>
      </w:r>
      <w:bookmarkEnd w:id="1509"/>
      <w:r>
        <w:rPr>
          <w:color w:val="000000"/>
          <w:spacing w:val="0"/>
          <w:w w:val="100"/>
          <w:position w:val="0"/>
        </w:rPr>
        <w:t>）</w:t>
        <w:tab/>
      </w:r>
      <w:r>
        <w:rPr>
          <w:color w:val="000000"/>
          <w:spacing w:val="0"/>
          <w:w w:val="100"/>
          <w:position w:val="0"/>
        </w:rPr>
        <w:t>标的股价：授予日收盘价为</w:t>
      </w:r>
      <w:r>
        <w:rPr>
          <w:color w:val="000000"/>
          <w:spacing w:val="0"/>
          <w:w w:val="100"/>
          <w:position w:val="0"/>
        </w:rPr>
        <w:t>12.16</w:t>
      </w:r>
      <w:r>
        <w:rPr>
          <w:color w:val="000000"/>
          <w:spacing w:val="0"/>
          <w:w w:val="100"/>
          <w:position w:val="0"/>
        </w:rPr>
        <w:t>元/股；</w:t>
      </w:r>
    </w:p>
    <w:p>
      <w:pPr>
        <w:pStyle w:val="Style13"/>
        <w:keepNext w:val="0"/>
        <w:keepLines w:val="0"/>
        <w:widowControl w:val="0"/>
        <w:shd w:val="clear" w:color="auto" w:fill="auto"/>
        <w:tabs>
          <w:tab w:pos="818" w:val="left"/>
        </w:tabs>
        <w:bidi w:val="0"/>
        <w:spacing w:before="0" w:after="120" w:line="312" w:lineRule="exact"/>
        <w:ind w:left="0" w:right="0" w:firstLine="460"/>
        <w:jc w:val="both"/>
      </w:pPr>
      <w:bookmarkStart w:id="1510" w:name="bookmark1510"/>
      <w:r>
        <w:rPr>
          <w:color w:val="000000"/>
          <w:spacing w:val="0"/>
          <w:w w:val="100"/>
          <w:position w:val="0"/>
        </w:rPr>
        <w:t>3</w:t>
      </w:r>
      <w:bookmarkEnd w:id="1510"/>
      <w:r>
        <w:rPr>
          <w:color w:val="000000"/>
          <w:spacing w:val="0"/>
          <w:w w:val="100"/>
          <w:position w:val="0"/>
        </w:rPr>
        <w:t>）</w:t>
        <w:tab/>
      </w:r>
      <w:r>
        <w:rPr>
          <w:color w:val="000000"/>
          <w:spacing w:val="0"/>
          <w:w w:val="100"/>
          <w:position w:val="0"/>
        </w:rPr>
        <w:t>期权的行权价：</w:t>
      </w:r>
      <w:r>
        <w:rPr>
          <w:color w:val="000000"/>
          <w:spacing w:val="0"/>
          <w:w w:val="100"/>
          <w:position w:val="0"/>
        </w:rPr>
        <w:t xml:space="preserve">12. </w:t>
      </w:r>
      <w:r>
        <w:rPr>
          <w:color w:val="000000"/>
          <w:spacing w:val="0"/>
          <w:w w:val="100"/>
          <w:position w:val="0"/>
        </w:rPr>
        <w:t>76</w:t>
      </w:r>
      <w:r>
        <w:rPr>
          <w:color w:val="000000"/>
          <w:spacing w:val="0"/>
          <w:w w:val="100"/>
          <w:position w:val="0"/>
        </w:rPr>
        <w:t>元/股；</w:t>
      </w:r>
    </w:p>
    <w:p>
      <w:pPr>
        <w:pStyle w:val="Style13"/>
        <w:keepNext w:val="0"/>
        <w:keepLines w:val="0"/>
        <w:widowControl w:val="0"/>
        <w:shd w:val="clear" w:color="auto" w:fill="auto"/>
        <w:tabs>
          <w:tab w:pos="823" w:val="left"/>
        </w:tabs>
        <w:bidi w:val="0"/>
        <w:spacing w:before="0" w:after="120" w:line="312" w:lineRule="exact"/>
        <w:ind w:left="0" w:right="0" w:firstLine="460"/>
        <w:jc w:val="both"/>
      </w:pPr>
      <w:bookmarkStart w:id="1511" w:name="bookmark1511"/>
      <w:r>
        <w:rPr>
          <w:color w:val="000000"/>
          <w:spacing w:val="0"/>
          <w:w w:val="100"/>
          <w:position w:val="0"/>
        </w:rPr>
        <w:t>4</w:t>
      </w:r>
      <w:bookmarkEnd w:id="1511"/>
      <w:r>
        <w:rPr>
          <w:color w:val="000000"/>
          <w:spacing w:val="0"/>
          <w:w w:val="100"/>
          <w:position w:val="0"/>
        </w:rPr>
        <w:t>）</w:t>
        <w:tab/>
      </w:r>
      <w:r>
        <w:rPr>
          <w:color w:val="000000"/>
          <w:spacing w:val="0"/>
          <w:w w:val="100"/>
          <w:position w:val="0"/>
        </w:rPr>
        <w:t>有效期分别为：</w:t>
      </w:r>
      <w:r>
        <w:rPr>
          <w:color w:val="000000"/>
          <w:spacing w:val="0"/>
          <w:w w:val="100"/>
          <w:position w:val="0"/>
        </w:rPr>
        <w:t>1</w:t>
      </w:r>
      <w:r>
        <w:rPr>
          <w:color w:val="000000"/>
          <w:spacing w:val="0"/>
          <w:w w:val="100"/>
          <w:position w:val="0"/>
        </w:rPr>
        <w:t>年、</w:t>
      </w:r>
      <w:r>
        <w:rPr>
          <w:color w:val="000000"/>
          <w:spacing w:val="0"/>
          <w:w w:val="100"/>
          <w:position w:val="0"/>
        </w:rPr>
        <w:t>2</w:t>
      </w:r>
      <w:r>
        <w:rPr>
          <w:color w:val="000000"/>
          <w:spacing w:val="0"/>
          <w:w w:val="100"/>
          <w:position w:val="0"/>
        </w:rPr>
        <w:t>年（授予登记完成之日至每期首个行权日的期限）；</w:t>
      </w:r>
    </w:p>
    <w:p>
      <w:pPr>
        <w:pStyle w:val="Style13"/>
        <w:keepNext w:val="0"/>
        <w:keepLines w:val="0"/>
        <w:widowControl w:val="0"/>
        <w:shd w:val="clear" w:color="auto" w:fill="auto"/>
        <w:tabs>
          <w:tab w:pos="823" w:val="left"/>
        </w:tabs>
        <w:bidi w:val="0"/>
        <w:spacing w:before="0" w:after="120" w:line="312" w:lineRule="exact"/>
        <w:ind w:left="0" w:right="0" w:firstLine="460"/>
        <w:jc w:val="both"/>
      </w:pPr>
      <w:bookmarkStart w:id="1512" w:name="bookmark1512"/>
      <w:r>
        <w:rPr>
          <w:color w:val="000000"/>
          <w:spacing w:val="0"/>
          <w:w w:val="100"/>
          <w:position w:val="0"/>
        </w:rPr>
        <w:t>5</w:t>
      </w:r>
      <w:bookmarkEnd w:id="1512"/>
      <w:r>
        <w:rPr>
          <w:color w:val="000000"/>
          <w:spacing w:val="0"/>
          <w:w w:val="100"/>
          <w:position w:val="0"/>
        </w:rPr>
        <w:t>）</w:t>
        <w:tab/>
      </w:r>
      <w:r>
        <w:rPr>
          <w:color w:val="000000"/>
          <w:spacing w:val="0"/>
          <w:w w:val="100"/>
          <w:position w:val="0"/>
        </w:rPr>
        <w:t>历史波动率：</w:t>
      </w:r>
      <w:r>
        <w:rPr>
          <w:color w:val="000000"/>
          <w:spacing w:val="0"/>
          <w:w w:val="100"/>
          <w:position w:val="0"/>
        </w:rPr>
        <w:t xml:space="preserve">26. </w:t>
      </w:r>
      <w:r>
        <w:rPr>
          <w:color w:val="000000"/>
          <w:spacing w:val="0"/>
          <w:w w:val="100"/>
          <w:position w:val="0"/>
        </w:rPr>
        <w:t xml:space="preserve">63%, </w:t>
      </w:r>
      <w:r>
        <w:rPr>
          <w:color w:val="000000"/>
          <w:spacing w:val="0"/>
          <w:w w:val="100"/>
          <w:position w:val="0"/>
        </w:rPr>
        <w:t xml:space="preserve">23. </w:t>
      </w:r>
      <w:r>
        <w:rPr>
          <w:color w:val="000000"/>
          <w:spacing w:val="0"/>
          <w:w w:val="100"/>
          <w:position w:val="0"/>
        </w:rPr>
        <w:t xml:space="preserve">76% </w:t>
      </w:r>
      <w:r>
        <w:rPr>
          <w:color w:val="000000"/>
          <w:spacing w:val="0"/>
          <w:w w:val="100"/>
          <w:position w:val="0"/>
        </w:rPr>
        <w:t>（分别深证成指最近一年、两年的波动率）</w:t>
      </w:r>
      <w:r>
        <w:rPr>
          <w:color w:val="000000"/>
          <w:spacing w:val="0"/>
          <w:w w:val="100"/>
          <w:position w:val="0"/>
        </w:rPr>
        <w:t>；</w:t>
      </w:r>
    </w:p>
    <w:p>
      <w:pPr>
        <w:pStyle w:val="Style13"/>
        <w:keepNext w:val="0"/>
        <w:keepLines w:val="0"/>
        <w:widowControl w:val="0"/>
        <w:shd w:val="clear" w:color="auto" w:fill="auto"/>
        <w:tabs>
          <w:tab w:pos="823" w:val="left"/>
        </w:tabs>
        <w:bidi w:val="0"/>
        <w:spacing w:before="0" w:after="120" w:line="312" w:lineRule="exact"/>
        <w:ind w:left="0" w:right="0" w:firstLine="460"/>
        <w:jc w:val="both"/>
      </w:pPr>
      <w:bookmarkStart w:id="1513" w:name="bookmark1513"/>
      <w:r>
        <w:rPr>
          <w:color w:val="000000"/>
          <w:spacing w:val="0"/>
          <w:w w:val="100"/>
          <w:position w:val="0"/>
        </w:rPr>
        <w:t>6</w:t>
      </w:r>
      <w:bookmarkEnd w:id="1513"/>
      <w:r>
        <w:rPr>
          <w:color w:val="000000"/>
          <w:spacing w:val="0"/>
          <w:w w:val="100"/>
          <w:position w:val="0"/>
        </w:rPr>
        <w:t>）</w:t>
        <w:tab/>
      </w:r>
      <w:r>
        <w:rPr>
          <w:color w:val="000000"/>
          <w:spacing w:val="0"/>
          <w:w w:val="100"/>
          <w:position w:val="0"/>
        </w:rPr>
        <w:t>无风险利率：</w:t>
      </w:r>
      <w:r>
        <w:rPr>
          <w:color w:val="000000"/>
          <w:spacing w:val="0"/>
          <w:w w:val="100"/>
          <w:position w:val="0"/>
        </w:rPr>
        <w:t>1.50%</w:t>
      </w:r>
      <w:r>
        <w:rPr>
          <w:color w:val="000000"/>
          <w:spacing w:val="0"/>
          <w:w w:val="100"/>
          <w:position w:val="0"/>
        </w:rPr>
        <w:t>、</w:t>
      </w:r>
      <w:r>
        <w:rPr>
          <w:color w:val="000000"/>
          <w:spacing w:val="0"/>
          <w:w w:val="100"/>
          <w:position w:val="0"/>
        </w:rPr>
        <w:t xml:space="preserve">2.10% </w:t>
      </w:r>
      <w:r>
        <w:rPr>
          <w:color w:val="000000"/>
          <w:spacing w:val="0"/>
          <w:w w:val="100"/>
          <w:position w:val="0"/>
        </w:rPr>
        <w:t>（分别采用中国人民银行制定的金融机构</w:t>
      </w:r>
      <w:r>
        <w:rPr>
          <w:color w:val="000000"/>
          <w:spacing w:val="0"/>
          <w:w w:val="100"/>
          <w:position w:val="0"/>
        </w:rPr>
        <w:t>1</w:t>
      </w:r>
      <w:r>
        <w:rPr>
          <w:color w:val="000000"/>
          <w:spacing w:val="0"/>
          <w:w w:val="100"/>
          <w:position w:val="0"/>
        </w:rPr>
        <w:t>年期、</w:t>
      </w:r>
      <w:r>
        <w:rPr>
          <w:color w:val="000000"/>
          <w:spacing w:val="0"/>
          <w:w w:val="100"/>
          <w:position w:val="0"/>
        </w:rPr>
        <w:t>2</w:t>
      </w:r>
      <w:r>
        <w:rPr>
          <w:color w:val="000000"/>
          <w:spacing w:val="0"/>
          <w:w w:val="100"/>
          <w:position w:val="0"/>
        </w:rPr>
        <w:t>年期存款基准利率）</w:t>
      </w:r>
      <w:r>
        <w:rPr>
          <w:color w:val="000000"/>
          <w:spacing w:val="0"/>
          <w:w w:val="100"/>
          <w:position w:val="0"/>
        </w:rPr>
        <w:t>；</w:t>
      </w:r>
    </w:p>
    <w:p>
      <w:pPr>
        <w:pStyle w:val="Style13"/>
        <w:keepNext w:val="0"/>
        <w:keepLines w:val="0"/>
        <w:widowControl w:val="0"/>
        <w:shd w:val="clear" w:color="auto" w:fill="auto"/>
        <w:tabs>
          <w:tab w:pos="823" w:val="left"/>
        </w:tabs>
        <w:bidi w:val="0"/>
        <w:spacing w:before="0" w:after="120" w:line="312" w:lineRule="exact"/>
        <w:ind w:left="0" w:right="0" w:firstLine="460"/>
        <w:jc w:val="both"/>
      </w:pPr>
      <w:bookmarkStart w:id="1514" w:name="bookmark1514"/>
      <w:r>
        <w:rPr>
          <w:color w:val="000000"/>
          <w:spacing w:val="0"/>
          <w:w w:val="100"/>
          <w:position w:val="0"/>
        </w:rPr>
        <w:t>7</w:t>
      </w:r>
      <w:bookmarkEnd w:id="1514"/>
      <w:r>
        <w:rPr>
          <w:color w:val="000000"/>
          <w:spacing w:val="0"/>
          <w:w w:val="100"/>
          <w:position w:val="0"/>
        </w:rPr>
        <w:t>）</w:t>
        <w:tab/>
      </w:r>
      <w:r>
        <w:rPr>
          <w:color w:val="000000"/>
          <w:spacing w:val="0"/>
          <w:w w:val="100"/>
          <w:position w:val="0"/>
        </w:rPr>
        <w:t>股息率：</w:t>
      </w:r>
      <w:r>
        <w:rPr>
          <w:color w:val="000000"/>
          <w:spacing w:val="0"/>
          <w:w w:val="100"/>
          <w:position w:val="0"/>
        </w:rPr>
        <w:t>0.3106%</w:t>
      </w:r>
      <w:r>
        <w:rPr>
          <w:color w:val="000000"/>
          <w:spacing w:val="0"/>
          <w:w w:val="100"/>
          <w:position w:val="0"/>
        </w:rPr>
        <w:t>、</w:t>
      </w:r>
      <w:r>
        <w:rPr>
          <w:color w:val="000000"/>
          <w:spacing w:val="0"/>
          <w:w w:val="100"/>
          <w:position w:val="0"/>
        </w:rPr>
        <w:t xml:space="preserve">0. </w:t>
      </w:r>
      <w:r>
        <w:rPr>
          <w:color w:val="000000"/>
          <w:spacing w:val="0"/>
          <w:w w:val="100"/>
          <w:position w:val="0"/>
        </w:rPr>
        <w:t xml:space="preserve">2826% </w:t>
      </w:r>
      <w:r>
        <w:rPr>
          <w:color w:val="000000"/>
          <w:spacing w:val="0"/>
          <w:w w:val="100"/>
          <w:position w:val="0"/>
        </w:rPr>
        <w:t>（取本激励计划授予前公司最近一年、两年的平均股息率）。</w:t>
      </w:r>
    </w:p>
    <w:p>
      <w:pPr>
        <w:pStyle w:val="Style13"/>
        <w:keepNext w:val="0"/>
        <w:keepLines w:val="0"/>
        <w:widowControl w:val="0"/>
        <w:shd w:val="clear" w:color="auto" w:fill="auto"/>
        <w:bidi w:val="0"/>
        <w:spacing w:before="0" w:after="120" w:line="312" w:lineRule="exact"/>
        <w:ind w:left="0" w:right="0" w:firstLine="460"/>
        <w:jc w:val="both"/>
      </w:pPr>
      <w:bookmarkStart w:id="1515" w:name="bookmark1515"/>
      <w:r>
        <w:rPr>
          <w:color w:val="000000"/>
          <w:spacing w:val="0"/>
          <w:w w:val="100"/>
          <w:position w:val="0"/>
        </w:rPr>
        <w:t>（</w:t>
      </w:r>
      <w:bookmarkEnd w:id="1515"/>
      <w:r>
        <w:rPr>
          <w:color w:val="000000"/>
          <w:spacing w:val="0"/>
          <w:w w:val="100"/>
          <w:position w:val="0"/>
        </w:rPr>
        <w:t>五）期权行权、限制性股票解锁及股份回购情况</w:t>
      </w:r>
    </w:p>
    <w:p>
      <w:pPr>
        <w:pStyle w:val="Style13"/>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日，公司第八届董事会</w:t>
      </w:r>
      <w:r>
        <w:rPr>
          <w:color w:val="000000"/>
          <w:spacing w:val="0"/>
          <w:w w:val="100"/>
          <w:position w:val="0"/>
        </w:rPr>
        <w:t>2020</w:t>
      </w:r>
      <w:r>
        <w:rPr>
          <w:color w:val="000000"/>
          <w:spacing w:val="0"/>
          <w:w w:val="100"/>
          <w:position w:val="0"/>
        </w:rPr>
        <w:t>年第五次临时会议和第八届监事会</w:t>
      </w:r>
      <w:r>
        <w:rPr>
          <w:color w:val="000000"/>
          <w:spacing w:val="0"/>
          <w:w w:val="100"/>
          <w:position w:val="0"/>
        </w:rPr>
        <w:t>2020</w:t>
      </w:r>
      <w:r>
        <w:rPr>
          <w:color w:val="000000"/>
          <w:spacing w:val="0"/>
          <w:w w:val="100"/>
          <w:position w:val="0"/>
        </w:rPr>
        <w:t xml:space="preserve">年第一次临时会议审议通过了《关于 </w:t>
      </w:r>
      <w:r>
        <w:rPr>
          <w:color w:val="000000"/>
          <w:spacing w:val="0"/>
          <w:w w:val="100"/>
          <w:position w:val="0"/>
        </w:rPr>
        <w:t>2019</w:t>
      </w:r>
      <w:r>
        <w:rPr>
          <w:color w:val="000000"/>
          <w:spacing w:val="0"/>
          <w:w w:val="100"/>
          <w:position w:val="0"/>
        </w:rPr>
        <w:t>年股票期权与限制性股票激励计划第一个行权期/解除限售期行权/解除限售条件成就的议案》。股票期权第一个行权期 符合行权条件的激励对象人数为</w:t>
      </w:r>
      <w:r>
        <w:rPr>
          <w:color w:val="000000"/>
          <w:spacing w:val="0"/>
          <w:w w:val="100"/>
          <w:position w:val="0"/>
        </w:rPr>
        <w:t>100</w:t>
      </w:r>
      <w:r>
        <w:rPr>
          <w:color w:val="000000"/>
          <w:spacing w:val="0"/>
          <w:w w:val="100"/>
          <w:position w:val="0"/>
        </w:rPr>
        <w:t>人，可行权的股票期权数量为</w:t>
      </w:r>
      <w:r>
        <w:rPr>
          <w:color w:val="000000"/>
          <w:spacing w:val="0"/>
          <w:w w:val="100"/>
          <w:position w:val="0"/>
        </w:rPr>
        <w:t>10,760,000.00</w:t>
      </w:r>
      <w:r>
        <w:rPr>
          <w:color w:val="000000"/>
          <w:spacing w:val="0"/>
          <w:w w:val="100"/>
          <w:position w:val="0"/>
        </w:rPr>
        <w:t>份，行权价格为</w:t>
      </w:r>
      <w:r>
        <w:rPr>
          <w:color w:val="000000"/>
          <w:spacing w:val="0"/>
          <w:w w:val="100"/>
          <w:position w:val="0"/>
        </w:rPr>
        <w:t>12.76</w:t>
      </w:r>
      <w:r>
        <w:rPr>
          <w:color w:val="000000"/>
          <w:spacing w:val="0"/>
          <w:w w:val="100"/>
          <w:position w:val="0"/>
        </w:rPr>
        <w:t>元/股。公司</w:t>
      </w:r>
      <w:r>
        <w:rPr>
          <w:color w:val="000000"/>
          <w:spacing w:val="0"/>
          <w:w w:val="100"/>
          <w:position w:val="0"/>
        </w:rPr>
        <w:t>2019</w:t>
      </w:r>
      <w:r>
        <w:rPr>
          <w:color w:val="000000"/>
          <w:spacing w:val="0"/>
          <w:w w:val="100"/>
          <w:position w:val="0"/>
        </w:rPr>
        <w:t>年股 票期权与限制性股票激励计划授予股票期权共分为</w:t>
      </w:r>
      <w:r>
        <w:rPr>
          <w:color w:val="000000"/>
          <w:spacing w:val="0"/>
          <w:w w:val="100"/>
          <w:position w:val="0"/>
        </w:rPr>
        <w:t>2</w:t>
      </w:r>
      <w:r>
        <w:rPr>
          <w:color w:val="000000"/>
          <w:spacing w:val="0"/>
          <w:w w:val="100"/>
          <w:position w:val="0"/>
        </w:rPr>
        <w:t xml:space="preserve">个行权期，根据业务办理的实际情况，第一个行权期实际可行权期限为 </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日止。截至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日止，行权数量为</w:t>
      </w:r>
      <w:r>
        <w:rPr>
          <w:color w:val="000000"/>
          <w:spacing w:val="0"/>
          <w:w w:val="100"/>
          <w:position w:val="0"/>
        </w:rPr>
        <w:t xml:space="preserve">5, 687, </w:t>
      </w:r>
      <w:r>
        <w:rPr>
          <w:color w:val="000000"/>
          <w:spacing w:val="0"/>
          <w:w w:val="100"/>
          <w:position w:val="0"/>
        </w:rPr>
        <w:t xml:space="preserve">554. </w:t>
      </w:r>
      <w:r>
        <w:rPr>
          <w:color w:val="000000"/>
          <w:spacing w:val="0"/>
          <w:w w:val="100"/>
          <w:position w:val="0"/>
        </w:rPr>
        <w:t>00</w:t>
      </w:r>
      <w:r>
        <w:rPr>
          <w:color w:val="000000"/>
          <w:spacing w:val="0"/>
          <w:w w:val="100"/>
          <w:position w:val="0"/>
        </w:rPr>
        <w:t>份。</w:t>
      </w:r>
    </w:p>
    <w:p>
      <w:pPr>
        <w:pStyle w:val="Style1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2019</w:t>
      </w:r>
      <w:r>
        <w:rPr>
          <w:color w:val="000000"/>
          <w:spacing w:val="0"/>
          <w:w w:val="100"/>
          <w:position w:val="0"/>
        </w:rPr>
        <w:t>年股权激励计划限制性股票第一个解除限售期符合解除限售条件的激励对象为</w:t>
      </w:r>
      <w:r>
        <w:rPr>
          <w:color w:val="000000"/>
          <w:spacing w:val="0"/>
          <w:w w:val="100"/>
          <w:position w:val="0"/>
        </w:rPr>
        <w:t>15</w:t>
      </w:r>
      <w:r>
        <w:rPr>
          <w:color w:val="000000"/>
          <w:spacing w:val="0"/>
          <w:w w:val="100"/>
          <w:position w:val="0"/>
        </w:rPr>
        <w:t>人，可解除限售股份数量为</w:t>
      </w:r>
    </w:p>
    <w:p>
      <w:pPr>
        <w:pStyle w:val="Style13"/>
        <w:keepNext w:val="0"/>
        <w:keepLines w:val="0"/>
        <w:widowControl w:val="0"/>
        <w:numPr>
          <w:ilvl w:val="0"/>
          <w:numId w:val="21"/>
        </w:numPr>
        <w:shd w:val="clear" w:color="auto" w:fill="auto"/>
        <w:tabs>
          <w:tab w:pos="320" w:val="left"/>
        </w:tabs>
        <w:bidi w:val="0"/>
        <w:spacing w:before="0" w:after="120" w:line="312" w:lineRule="exact"/>
        <w:ind w:left="0" w:right="0" w:firstLine="0"/>
        <w:jc w:val="left"/>
      </w:pPr>
      <w:bookmarkStart w:id="1516" w:name="bookmark1516"/>
      <w:bookmarkEnd w:id="1516"/>
      <w:r>
        <w:rPr>
          <w:color w:val="000000"/>
          <w:spacing w:val="0"/>
          <w:w w:val="100"/>
          <w:position w:val="0"/>
        </w:rPr>
        <w:t xml:space="preserve">325, </w:t>
      </w:r>
      <w:r>
        <w:rPr>
          <w:color w:val="000000"/>
          <w:spacing w:val="0"/>
          <w:w w:val="100"/>
          <w:position w:val="0"/>
        </w:rPr>
        <w:t xml:space="preserve">000. </w:t>
      </w:r>
      <w:r>
        <w:rPr>
          <w:color w:val="000000"/>
          <w:spacing w:val="0"/>
          <w:w w:val="100"/>
          <w:position w:val="0"/>
        </w:rPr>
        <w:t>00</w:t>
      </w:r>
      <w:r>
        <w:rPr>
          <w:color w:val="000000"/>
          <w:spacing w:val="0"/>
          <w:w w:val="100"/>
          <w:position w:val="0"/>
        </w:rPr>
        <w:t>股。</w:t>
      </w:r>
    </w:p>
    <w:p>
      <w:pPr>
        <w:pStyle w:val="Style13"/>
        <w:keepNext w:val="0"/>
        <w:keepLines w:val="0"/>
        <w:widowControl w:val="0"/>
        <w:shd w:val="clear" w:color="auto" w:fill="auto"/>
        <w:bidi w:val="0"/>
        <w:spacing w:before="0" w:after="120" w:line="302" w:lineRule="exact"/>
        <w:ind w:left="0" w:right="0" w:firstLine="460"/>
        <w:jc w:val="both"/>
      </w:pPr>
      <w:r>
        <w:rPr>
          <w:color w:val="000000"/>
          <w:spacing w:val="0"/>
          <w:w w:val="100"/>
          <w:position w:val="0"/>
        </w:rPr>
        <w:t xml:space="preserve">股权激励计划中限制性股票激励对象吴冬华离职，公司回购其持有的已获授权但尚未解除限售的限制性股票 </w:t>
      </w:r>
      <w:r>
        <w:rPr>
          <w:color w:val="000000"/>
          <w:spacing w:val="0"/>
          <w:w w:val="100"/>
          <w:position w:val="0"/>
        </w:rPr>
        <w:t xml:space="preserve">300, </w:t>
      </w:r>
      <w:r>
        <w:rPr>
          <w:color w:val="000000"/>
          <w:spacing w:val="0"/>
          <w:w w:val="100"/>
          <w:position w:val="0"/>
        </w:rPr>
        <w:t xml:space="preserve">000. </w:t>
      </w:r>
      <w:r>
        <w:rPr>
          <w:color w:val="000000"/>
          <w:spacing w:val="0"/>
          <w:w w:val="100"/>
          <w:position w:val="0"/>
        </w:rPr>
        <w:t>00</w:t>
      </w:r>
      <w:r>
        <w:rPr>
          <w:color w:val="000000"/>
          <w:spacing w:val="0"/>
          <w:w w:val="100"/>
          <w:position w:val="0"/>
        </w:rPr>
        <w:t>股并注销完成。</w:t>
      </w:r>
    </w:p>
    <w:p>
      <w:pPr>
        <w:pStyle w:val="Style13"/>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日，公司第八届董事会</w:t>
      </w:r>
      <w:r>
        <w:rPr>
          <w:color w:val="000000"/>
          <w:spacing w:val="0"/>
          <w:w w:val="100"/>
          <w:position w:val="0"/>
        </w:rPr>
        <w:t>2021</w:t>
      </w:r>
      <w:r>
        <w:rPr>
          <w:color w:val="000000"/>
          <w:spacing w:val="0"/>
          <w:w w:val="100"/>
          <w:position w:val="0"/>
        </w:rPr>
        <w:t>年第二次临时会议和第八届监事会</w:t>
      </w:r>
      <w:r>
        <w:rPr>
          <w:color w:val="000000"/>
          <w:spacing w:val="0"/>
          <w:w w:val="100"/>
          <w:position w:val="0"/>
        </w:rPr>
        <w:t>2021</w:t>
      </w:r>
      <w:r>
        <w:rPr>
          <w:color w:val="000000"/>
          <w:spacing w:val="0"/>
          <w:w w:val="100"/>
          <w:position w:val="0"/>
        </w:rPr>
        <w:t>年第一次临时会议审议通过了《关于注 销</w:t>
      </w:r>
      <w:r>
        <w:rPr>
          <w:color w:val="000000"/>
          <w:spacing w:val="0"/>
          <w:w w:val="100"/>
          <w:position w:val="0"/>
        </w:rPr>
        <w:t>2019</w:t>
      </w:r>
      <w:r>
        <w:rPr>
          <w:color w:val="000000"/>
          <w:spacing w:val="0"/>
          <w:w w:val="100"/>
          <w:position w:val="0"/>
        </w:rPr>
        <w:t>年股权激励计划部分股票期权的议案》，同意公司对</w:t>
      </w:r>
      <w:r>
        <w:rPr>
          <w:color w:val="000000"/>
          <w:spacing w:val="0"/>
          <w:w w:val="100"/>
          <w:position w:val="0"/>
        </w:rPr>
        <w:t>24</w:t>
      </w:r>
      <w:r>
        <w:rPr>
          <w:color w:val="000000"/>
          <w:spacing w:val="0"/>
          <w:w w:val="100"/>
          <w:position w:val="0"/>
        </w:rPr>
        <w:t>名在第一批次符合行权条件的激励对象未在第一个行权期内全 部行权的</w:t>
      </w:r>
      <w:r>
        <w:rPr>
          <w:color w:val="000000"/>
          <w:spacing w:val="0"/>
          <w:w w:val="100"/>
          <w:position w:val="0"/>
        </w:rPr>
        <w:t xml:space="preserve">1, 096, </w:t>
      </w:r>
      <w:r>
        <w:rPr>
          <w:color w:val="000000"/>
          <w:spacing w:val="0"/>
          <w:w w:val="100"/>
          <w:position w:val="0"/>
        </w:rPr>
        <w:t xml:space="preserve">845. </w:t>
      </w:r>
      <w:r>
        <w:rPr>
          <w:color w:val="000000"/>
          <w:spacing w:val="0"/>
          <w:w w:val="100"/>
          <w:position w:val="0"/>
        </w:rPr>
        <w:t>00</w:t>
      </w:r>
      <w:r>
        <w:rPr>
          <w:color w:val="000000"/>
          <w:spacing w:val="0"/>
          <w:w w:val="100"/>
          <w:position w:val="0"/>
        </w:rPr>
        <w:t>份股票期权以及</w:t>
      </w:r>
      <w:r>
        <w:rPr>
          <w:color w:val="000000"/>
          <w:spacing w:val="0"/>
          <w:w w:val="100"/>
          <w:position w:val="0"/>
        </w:rPr>
        <w:t>7</w:t>
      </w:r>
      <w:r>
        <w:rPr>
          <w:color w:val="000000"/>
          <w:spacing w:val="0"/>
          <w:w w:val="100"/>
          <w:position w:val="0"/>
        </w:rPr>
        <w:t>名在第二批次股票期权等待期内离职的激励对象已获授但尚未行权的</w:t>
      </w:r>
      <w:r>
        <w:rPr>
          <w:color w:val="000000"/>
          <w:spacing w:val="0"/>
          <w:w w:val="100"/>
          <w:position w:val="0"/>
        </w:rPr>
        <w:t xml:space="preserve">650, </w:t>
      </w:r>
      <w:r>
        <w:rPr>
          <w:color w:val="000000"/>
          <w:spacing w:val="0"/>
          <w:w w:val="100"/>
          <w:position w:val="0"/>
        </w:rPr>
        <w:t xml:space="preserve">000. </w:t>
      </w:r>
      <w:r>
        <w:rPr>
          <w:color w:val="000000"/>
          <w:spacing w:val="0"/>
          <w:w w:val="100"/>
          <w:position w:val="0"/>
        </w:rPr>
        <w:t>00</w:t>
      </w:r>
      <w:r>
        <w:rPr>
          <w:color w:val="000000"/>
          <w:spacing w:val="0"/>
          <w:w w:val="100"/>
          <w:position w:val="0"/>
        </w:rPr>
        <w:t>份 股票期权予以注销。经中国证券登记结算有限责任公司深圳分公司审核确认，上述</w:t>
      </w:r>
      <w:r>
        <w:rPr>
          <w:color w:val="000000"/>
          <w:spacing w:val="0"/>
          <w:w w:val="100"/>
          <w:position w:val="0"/>
        </w:rPr>
        <w:t>1,746,845.00</w:t>
      </w:r>
      <w:r>
        <w:rPr>
          <w:color w:val="000000"/>
          <w:spacing w:val="0"/>
          <w:w w:val="100"/>
          <w:position w:val="0"/>
        </w:rPr>
        <w:t xml:space="preserve">份股票期权注销手续已于 </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日办理完成。截至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日，第一个行权期剩余</w:t>
      </w:r>
      <w:r>
        <w:rPr>
          <w:color w:val="000000"/>
          <w:spacing w:val="0"/>
          <w:w w:val="100"/>
          <w:position w:val="0"/>
        </w:rPr>
        <w:t xml:space="preserve">3, 975, </w:t>
      </w:r>
      <w:r>
        <w:rPr>
          <w:color w:val="000000"/>
          <w:spacing w:val="0"/>
          <w:w w:val="100"/>
          <w:position w:val="0"/>
        </w:rPr>
        <w:t>601.00</w:t>
      </w:r>
      <w:r>
        <w:rPr>
          <w:color w:val="000000"/>
          <w:spacing w:val="0"/>
          <w:w w:val="100"/>
          <w:position w:val="0"/>
        </w:rPr>
        <w:t>份股票期权已全部行权，累计自主行权数 量为</w:t>
      </w:r>
      <w:r>
        <w:rPr>
          <w:color w:val="000000"/>
          <w:spacing w:val="0"/>
          <w:w w:val="100"/>
          <w:position w:val="0"/>
        </w:rPr>
        <w:t xml:space="preserve">9, </w:t>
      </w:r>
      <w:r>
        <w:rPr>
          <w:color w:val="000000"/>
          <w:spacing w:val="0"/>
          <w:w w:val="100"/>
          <w:position w:val="0"/>
        </w:rPr>
        <w:t>663,155.00</w:t>
      </w:r>
      <w:r>
        <w:rPr>
          <w:color w:val="000000"/>
          <w:spacing w:val="0"/>
          <w:w w:val="100"/>
          <w:position w:val="0"/>
        </w:rPr>
        <w:t>份。</w:t>
      </w:r>
    </w:p>
    <w:p>
      <w:pPr>
        <w:pStyle w:val="Style13"/>
        <w:keepNext w:val="0"/>
        <w:keepLines w:val="0"/>
        <w:widowControl w:val="0"/>
        <w:shd w:val="clear" w:color="auto" w:fill="auto"/>
        <w:bidi w:val="0"/>
        <w:spacing w:before="0" w:after="360" w:line="310" w:lineRule="exact"/>
        <w:ind w:left="0" w:right="0" w:firstLine="460"/>
        <w:jc w:val="both"/>
      </w:pPr>
      <w:r>
        <w:rPr>
          <w:color w:val="000000"/>
          <w:spacing w:val="0"/>
          <w:w w:val="100"/>
          <w:position w:val="0"/>
        </w:rPr>
        <w:t>上述会议同时通过了《关于</w:t>
      </w:r>
      <w:r>
        <w:rPr>
          <w:color w:val="000000"/>
          <w:spacing w:val="0"/>
          <w:w w:val="100"/>
          <w:position w:val="0"/>
        </w:rPr>
        <w:t>2019</w:t>
      </w:r>
      <w:r>
        <w:rPr>
          <w:color w:val="000000"/>
          <w:spacing w:val="0"/>
          <w:w w:val="100"/>
          <w:position w:val="0"/>
        </w:rPr>
        <w:t>年股票期权与限制性股票激励计划第二个行权期/解除限售期行权/解除限售条件成就 的议案》。股票期权第二个行权期可行权的激励对象共计</w:t>
      </w:r>
      <w:r>
        <w:rPr>
          <w:color w:val="000000"/>
          <w:spacing w:val="0"/>
          <w:w w:val="100"/>
          <w:position w:val="0"/>
        </w:rPr>
        <w:t>93</w:t>
      </w:r>
      <w:r>
        <w:rPr>
          <w:color w:val="000000"/>
          <w:spacing w:val="0"/>
          <w:w w:val="100"/>
          <w:position w:val="0"/>
        </w:rPr>
        <w:t>人，可行权期权数量为</w:t>
      </w:r>
      <w:r>
        <w:rPr>
          <w:color w:val="000000"/>
          <w:spacing w:val="0"/>
          <w:w w:val="100"/>
          <w:position w:val="0"/>
        </w:rPr>
        <w:t>10,110,000.00</w:t>
      </w:r>
      <w:r>
        <w:rPr>
          <w:color w:val="000000"/>
          <w:spacing w:val="0"/>
          <w:w w:val="100"/>
          <w:position w:val="0"/>
        </w:rPr>
        <w:t>份，行权价格为</w:t>
      </w:r>
      <w:r>
        <w:rPr>
          <w:color w:val="000000"/>
          <w:spacing w:val="0"/>
          <w:w w:val="100"/>
          <w:position w:val="0"/>
        </w:rPr>
        <w:t>12.76</w:t>
      </w:r>
      <w:r>
        <w:rPr>
          <w:color w:val="000000"/>
          <w:spacing w:val="0"/>
          <w:w w:val="100"/>
          <w:position w:val="0"/>
        </w:rPr>
        <w:t>元/ 股，第二个行权期实际可行权期限为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日起至</w:t>
      </w:r>
      <w:r>
        <w:rPr>
          <w:color w:val="000000"/>
          <w:spacing w:val="0"/>
          <w:w w:val="100"/>
          <w:position w:val="0"/>
        </w:rPr>
        <w:t>2022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日止。限制性股票第二个解除限售期符合解除限售条 件的激励对象为</w:t>
      </w:r>
      <w:r>
        <w:rPr>
          <w:color w:val="000000"/>
          <w:spacing w:val="0"/>
          <w:w w:val="100"/>
          <w:position w:val="0"/>
        </w:rPr>
        <w:t>15</w:t>
      </w:r>
      <w:r>
        <w:rPr>
          <w:color w:val="000000"/>
          <w:spacing w:val="0"/>
          <w:w w:val="100"/>
          <w:position w:val="0"/>
        </w:rPr>
        <w:t>人，可解除限售股份数量为</w:t>
      </w:r>
      <w:r>
        <w:rPr>
          <w:color w:val="000000"/>
          <w:spacing w:val="0"/>
          <w:w w:val="100"/>
          <w:position w:val="0"/>
        </w:rPr>
        <w:t xml:space="preserve">3, 325, </w:t>
      </w:r>
      <w:r>
        <w:rPr>
          <w:color w:val="000000"/>
          <w:spacing w:val="0"/>
          <w:w w:val="100"/>
          <w:position w:val="0"/>
        </w:rPr>
        <w:t xml:space="preserve">000. </w:t>
      </w:r>
      <w:r>
        <w:rPr>
          <w:color w:val="000000"/>
          <w:spacing w:val="0"/>
          <w:w w:val="100"/>
          <w:position w:val="0"/>
        </w:rPr>
        <w:t>00</w:t>
      </w:r>
      <w:r>
        <w:rPr>
          <w:color w:val="000000"/>
          <w:spacing w:val="0"/>
          <w:w w:val="100"/>
          <w:position w:val="0"/>
        </w:rPr>
        <w:t>股。</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4</w:t>
      </w:r>
      <w:bookmarkEnd w:id="1519"/>
      <w:r>
        <w:rPr>
          <w:color w:val="000000"/>
          <w:spacing w:val="0"/>
          <w:w w:val="100"/>
          <w:position w:val="0"/>
        </w:rPr>
        <w:t>、</w:t>
        <w:tab/>
        <w:t>以现金结算的股份支付情况</w:t>
      </w:r>
      <w:bookmarkEnd w:id="1517"/>
      <w:bookmarkEnd w:id="1518"/>
      <w:bookmarkEnd w:id="1520"/>
    </w:p>
    <w:p>
      <w:pPr>
        <w:pStyle w:val="Style13"/>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1521" w:name="bookmark1521"/>
      <w:bookmarkStart w:id="1522" w:name="bookmark1522"/>
      <w:bookmarkStart w:id="1523" w:name="bookmark1523"/>
      <w:r>
        <w:rPr>
          <w:color w:val="000000"/>
          <w:spacing w:val="0"/>
          <w:w w:val="100"/>
          <w:position w:val="0"/>
          <w:sz w:val="24"/>
          <w:szCs w:val="24"/>
        </w:rPr>
        <w:t>十四、承诺及或有事项</w:t>
      </w:r>
      <w:bookmarkEnd w:id="1521"/>
      <w:bookmarkEnd w:id="1522"/>
      <w:bookmarkEnd w:id="1523"/>
    </w:p>
    <w:p>
      <w:pPr>
        <w:pStyle w:val="Style29"/>
        <w:keepNext/>
        <w:keepLines/>
        <w:widowControl w:val="0"/>
        <w:shd w:val="clear" w:color="auto" w:fill="auto"/>
        <w:bidi w:val="0"/>
        <w:spacing w:before="0" w:after="260" w:line="240" w:lineRule="auto"/>
        <w:ind w:left="0" w:right="0" w:firstLine="0"/>
        <w:jc w:val="left"/>
      </w:pPr>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24"/>
      <w:bookmarkEnd w:id="1525"/>
      <w:bookmarkEnd w:id="1526"/>
    </w:p>
    <w:p>
      <w:pPr>
        <w:pStyle w:val="Style13"/>
        <w:keepNext w:val="0"/>
        <w:keepLines w:val="0"/>
        <w:widowControl w:val="0"/>
        <w:shd w:val="clear" w:color="auto" w:fill="auto"/>
        <w:bidi w:val="0"/>
        <w:spacing w:before="0" w:after="120" w:line="312" w:lineRule="exact"/>
        <w:ind w:left="0" w:right="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日，本集团无需披露的重大承诺事项。</w:t>
      </w:r>
    </w:p>
    <w:p>
      <w:pPr>
        <w:pStyle w:val="Style29"/>
        <w:keepNext/>
        <w:keepLines/>
        <w:widowControl w:val="0"/>
        <w:shd w:val="clear" w:color="auto" w:fill="auto"/>
        <w:bidi w:val="0"/>
        <w:spacing w:before="0" w:after="340" w:line="240" w:lineRule="auto"/>
        <w:ind w:left="0" w:right="0" w:firstLine="0"/>
        <w:jc w:val="left"/>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27"/>
      <w:bookmarkEnd w:id="1528"/>
      <w:bookmarkEnd w:id="1529"/>
    </w:p>
    <w:p>
      <w:pPr>
        <w:pStyle w:val="Style37"/>
        <w:keepNext/>
        <w:keepLines/>
        <w:widowControl w:val="0"/>
        <w:shd w:val="clear" w:color="auto" w:fill="auto"/>
        <w:bidi w:val="0"/>
        <w:spacing w:before="0" w:after="26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30"/>
      <w:bookmarkEnd w:id="1531"/>
      <w:bookmarkEnd w:id="1532"/>
    </w:p>
    <w:p>
      <w:pPr>
        <w:pStyle w:val="Style13"/>
        <w:keepNext w:val="0"/>
        <w:keepLines w:val="0"/>
        <w:widowControl w:val="0"/>
        <w:shd w:val="clear" w:color="auto" w:fill="auto"/>
        <w:tabs>
          <w:tab w:pos="873" w:val="left"/>
        </w:tabs>
        <w:bidi w:val="0"/>
        <w:spacing w:before="0" w:after="0" w:line="313" w:lineRule="exact"/>
        <w:ind w:left="0" w:right="0" w:firstLine="560"/>
        <w:jc w:val="left"/>
      </w:pPr>
      <w:bookmarkStart w:id="1533" w:name="bookmark1533"/>
      <w:r>
        <w:rPr>
          <w:color w:val="000000"/>
          <w:spacing w:val="0"/>
          <w:w w:val="100"/>
          <w:position w:val="0"/>
        </w:rPr>
        <w:t>1</w:t>
      </w:r>
      <w:bookmarkEnd w:id="1533"/>
      <w:r>
        <w:rPr>
          <w:color w:val="000000"/>
          <w:spacing w:val="0"/>
          <w:w w:val="100"/>
          <w:position w:val="0"/>
        </w:rPr>
        <w:t>、</w:t>
        <w:tab/>
        <w:t>本公司诉王宪平、昆山市申昌科技有限公司、陈建明损害公司利益责任纠纷、侵权纠纷案</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因王宪平、深圳市太光科技有限公司、贺炜、陈建明恶意串通，擅自调拨太光电信</w:t>
      </w:r>
      <w:r>
        <w:rPr>
          <w:color w:val="000000"/>
          <w:spacing w:val="0"/>
          <w:w w:val="100"/>
          <w:position w:val="0"/>
        </w:rPr>
        <w:t>25,000,000.0</w:t>
      </w:r>
      <w:r>
        <w:rPr>
          <w:color w:val="000000"/>
          <w:spacing w:val="0"/>
          <w:w w:val="100"/>
          <w:position w:val="0"/>
        </w:rPr>
        <w:t>0</w:t>
      </w:r>
      <w:r>
        <w:rPr>
          <w:color w:val="000000"/>
          <w:spacing w:val="0"/>
          <w:w w:val="100"/>
          <w:position w:val="0"/>
        </w:rPr>
        <w:t>元资金汇入深圳市太 光科技有限公司账户，并被深圳市太光科技有限公司用于生物港公司的注册资金验资，验资后又擅自操纵太光电信账户接收 生物港公司</w:t>
      </w:r>
      <w:r>
        <w:rPr>
          <w:color w:val="000000"/>
          <w:spacing w:val="0"/>
          <w:w w:val="100"/>
          <w:position w:val="0"/>
        </w:rPr>
        <w:t xml:space="preserve">96, 600, </w:t>
      </w:r>
      <w:r>
        <w:rPr>
          <w:color w:val="000000"/>
          <w:spacing w:val="0"/>
          <w:w w:val="100"/>
          <w:position w:val="0"/>
        </w:rPr>
        <w:t xml:space="preserve">000. </w:t>
      </w:r>
      <w:r>
        <w:rPr>
          <w:color w:val="000000"/>
          <w:spacing w:val="0"/>
          <w:w w:val="100"/>
          <w:position w:val="0"/>
        </w:rPr>
        <w:t>00</w:t>
      </w:r>
      <w:r>
        <w:rPr>
          <w:color w:val="000000"/>
          <w:spacing w:val="0"/>
          <w:w w:val="100"/>
          <w:position w:val="0"/>
        </w:rPr>
        <w:t>元验资资金并将其即时转汇给深圳市太光科技有限公司及北京金冠投资有限公司，导致本公司被 法院认定为生物港公司代垫并抽回了</w:t>
      </w:r>
      <w:r>
        <w:rPr>
          <w:color w:val="000000"/>
          <w:spacing w:val="0"/>
          <w:w w:val="100"/>
          <w:position w:val="0"/>
        </w:rPr>
        <w:t xml:space="preserve">25, 000, </w:t>
      </w:r>
      <w:r>
        <w:rPr>
          <w:color w:val="000000"/>
          <w:spacing w:val="0"/>
          <w:w w:val="100"/>
          <w:position w:val="0"/>
        </w:rPr>
        <w:t xml:space="preserve">000. </w:t>
      </w:r>
      <w:r>
        <w:rPr>
          <w:color w:val="000000"/>
          <w:spacing w:val="0"/>
          <w:w w:val="100"/>
          <w:position w:val="0"/>
        </w:rPr>
        <w:t>00</w:t>
      </w:r>
      <w:r>
        <w:rPr>
          <w:color w:val="000000"/>
          <w:spacing w:val="0"/>
          <w:w w:val="100"/>
          <w:position w:val="0"/>
        </w:rPr>
        <w:t>元注册资金，损害了本公司利益，本公司于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 xml:space="preserve">日向深圳市南山 区人民法院提起诉讼，请求判令被告王宪平、昆山市申昌科技有限公司、贺炜、陈建明连带赔偿本公司已经发生的经济损失 </w:t>
      </w:r>
      <w:r>
        <w:rPr>
          <w:color w:val="000000"/>
          <w:spacing w:val="0"/>
          <w:w w:val="100"/>
          <w:position w:val="0"/>
        </w:rPr>
        <w:t xml:space="preserve">15, 000, </w:t>
      </w:r>
      <w:r>
        <w:rPr>
          <w:color w:val="000000"/>
          <w:spacing w:val="0"/>
          <w:w w:val="100"/>
          <w:position w:val="0"/>
        </w:rPr>
        <w:t xml:space="preserve">000. </w:t>
      </w:r>
      <w:r>
        <w:rPr>
          <w:color w:val="000000"/>
          <w:spacing w:val="0"/>
          <w:w w:val="100"/>
          <w:position w:val="0"/>
        </w:rPr>
        <w:t>00</w:t>
      </w:r>
      <w:r>
        <w:rPr>
          <w:color w:val="000000"/>
          <w:spacing w:val="0"/>
          <w:w w:val="100"/>
          <w:position w:val="0"/>
        </w:rPr>
        <w:t>元及其同期银行贷款利息。</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月，本公司向深圳市南山区人民法院请求增加对王宪平、昆山市申昌科技有限公司、贺炜、陈建明损害公司 利益责任纠纷一案的诉讼请求，原《起诉状》的诉讼请求变更如下：判令被告王宪平、昆山市申昌科技有限公司、贺炜、陈 建明连带赔偿原告已经发生的经济损失</w:t>
      </w:r>
      <w:r>
        <w:rPr>
          <w:color w:val="000000"/>
          <w:spacing w:val="0"/>
          <w:w w:val="100"/>
          <w:position w:val="0"/>
        </w:rPr>
        <w:t xml:space="preserve">36, 000, </w:t>
      </w:r>
      <w:r>
        <w:rPr>
          <w:color w:val="000000"/>
          <w:spacing w:val="0"/>
          <w:w w:val="100"/>
          <w:position w:val="0"/>
        </w:rPr>
        <w:t xml:space="preserve">000. </w:t>
      </w:r>
      <w:r>
        <w:rPr>
          <w:color w:val="000000"/>
          <w:spacing w:val="0"/>
          <w:w w:val="100"/>
          <w:position w:val="0"/>
        </w:rPr>
        <w:t>00</w:t>
      </w:r>
      <w:r>
        <w:rPr>
          <w:color w:val="000000"/>
          <w:spacing w:val="0"/>
          <w:w w:val="100"/>
          <w:position w:val="0"/>
        </w:rPr>
        <w:t>元及其同期银行贷款利息。被告王宪平、昆山市申昌科技有限公司、 贺炜、陈建明连带赔偿原告已经支付的北京市第二中级人民法院</w:t>
      </w:r>
      <w:r>
        <w:rPr>
          <w:color w:val="000000"/>
          <w:spacing w:val="0"/>
          <w:w w:val="100"/>
          <w:position w:val="0"/>
        </w:rPr>
        <w:t>（2018）</w:t>
      </w:r>
      <w:r>
        <w:rPr>
          <w:color w:val="000000"/>
          <w:spacing w:val="0"/>
          <w:w w:val="100"/>
          <w:position w:val="0"/>
        </w:rPr>
        <w:t>京</w:t>
      </w:r>
      <w:r>
        <w:rPr>
          <w:color w:val="000000"/>
          <w:spacing w:val="0"/>
          <w:w w:val="100"/>
          <w:position w:val="0"/>
        </w:rPr>
        <w:t>02</w:t>
      </w:r>
      <w:r>
        <w:rPr>
          <w:color w:val="000000"/>
          <w:spacing w:val="0"/>
          <w:w w:val="100"/>
          <w:position w:val="0"/>
        </w:rPr>
        <w:t>民初</w:t>
      </w:r>
      <w:r>
        <w:rPr>
          <w:color w:val="000000"/>
          <w:spacing w:val="0"/>
          <w:w w:val="100"/>
          <w:position w:val="0"/>
        </w:rPr>
        <w:t>344</w:t>
      </w:r>
      <w:r>
        <w:rPr>
          <w:color w:val="000000"/>
          <w:spacing w:val="0"/>
          <w:w w:val="100"/>
          <w:position w:val="0"/>
        </w:rPr>
        <w:t>号案二审诉讼费</w:t>
      </w:r>
      <w:r>
        <w:rPr>
          <w:color w:val="000000"/>
          <w:spacing w:val="0"/>
          <w:w w:val="100"/>
          <w:position w:val="0"/>
        </w:rPr>
        <w:t>217,740.63</w:t>
      </w:r>
      <w:r>
        <w:rPr>
          <w:color w:val="000000"/>
          <w:spacing w:val="0"/>
          <w:w w:val="100"/>
          <w:position w:val="0"/>
        </w:rPr>
        <w:t>元及其利 息。</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16</w:t>
      </w:r>
      <w:r>
        <w:rPr>
          <w:color w:val="000000"/>
          <w:spacing w:val="0"/>
          <w:w w:val="100"/>
          <w:position w:val="0"/>
        </w:rPr>
        <w:t>日，广东省深圳市南山区人民法院出具了</w:t>
      </w:r>
      <w:r>
        <w:rPr>
          <w:color w:val="000000"/>
          <w:spacing w:val="0"/>
          <w:w w:val="100"/>
          <w:position w:val="0"/>
        </w:rPr>
        <w:t>（2020）</w:t>
      </w:r>
      <w:r>
        <w:rPr>
          <w:color w:val="000000"/>
          <w:spacing w:val="0"/>
          <w:w w:val="100"/>
          <w:position w:val="0"/>
        </w:rPr>
        <w:t>粤</w:t>
      </w:r>
      <w:r>
        <w:rPr>
          <w:color w:val="000000"/>
          <w:spacing w:val="0"/>
          <w:w w:val="100"/>
          <w:position w:val="0"/>
        </w:rPr>
        <w:t>0305</w:t>
      </w:r>
      <w:r>
        <w:rPr>
          <w:color w:val="000000"/>
          <w:spacing w:val="0"/>
          <w:w w:val="100"/>
          <w:position w:val="0"/>
        </w:rPr>
        <w:t>民初</w:t>
      </w:r>
      <w:r>
        <w:rPr>
          <w:color w:val="000000"/>
          <w:spacing w:val="0"/>
          <w:w w:val="100"/>
          <w:position w:val="0"/>
        </w:rPr>
        <w:t>21138</w:t>
      </w:r>
      <w:r>
        <w:rPr>
          <w:color w:val="000000"/>
          <w:spacing w:val="0"/>
          <w:w w:val="100"/>
          <w:position w:val="0"/>
        </w:rPr>
        <w:t>号民事判决书，判令被告王宪平、昆 山市申昌科技有限公司、陈建明于判决生效之日起十日内向本公司连带赔偿经济损失</w:t>
      </w:r>
      <w:r>
        <w:rPr>
          <w:color w:val="000000"/>
          <w:spacing w:val="0"/>
          <w:w w:val="100"/>
          <w:position w:val="0"/>
        </w:rPr>
        <w:t xml:space="preserve">36, 000, </w:t>
      </w:r>
      <w:r>
        <w:rPr>
          <w:color w:val="000000"/>
          <w:spacing w:val="0"/>
          <w:w w:val="100"/>
          <w:position w:val="0"/>
        </w:rPr>
        <w:t xml:space="preserve">000. </w:t>
      </w:r>
      <w:r>
        <w:rPr>
          <w:color w:val="000000"/>
          <w:spacing w:val="0"/>
          <w:w w:val="100"/>
          <w:position w:val="0"/>
        </w:rPr>
        <w:t>00</w:t>
      </w:r>
      <w:r>
        <w:rPr>
          <w:color w:val="000000"/>
          <w:spacing w:val="0"/>
          <w:w w:val="100"/>
          <w:position w:val="0"/>
        </w:rPr>
        <w:t>元及利息。对方已提起 上诉，案件目前已开庭但尚未宣判。</w:t>
      </w:r>
    </w:p>
    <w:p>
      <w:pPr>
        <w:pStyle w:val="Style13"/>
        <w:keepNext w:val="0"/>
        <w:keepLines w:val="0"/>
        <w:widowControl w:val="0"/>
        <w:shd w:val="clear" w:color="auto" w:fill="auto"/>
        <w:tabs>
          <w:tab w:pos="882" w:val="left"/>
        </w:tabs>
        <w:bidi w:val="0"/>
        <w:spacing w:before="0" w:after="0" w:line="313" w:lineRule="exact"/>
        <w:ind w:left="0" w:right="0" w:firstLine="560"/>
        <w:jc w:val="left"/>
      </w:pPr>
      <w:bookmarkStart w:id="1534" w:name="bookmark1534"/>
      <w:r>
        <w:rPr>
          <w:color w:val="000000"/>
          <w:spacing w:val="0"/>
          <w:w w:val="100"/>
          <w:position w:val="0"/>
        </w:rPr>
        <w:t>2</w:t>
      </w:r>
      <w:bookmarkEnd w:id="1534"/>
      <w:r>
        <w:rPr>
          <w:color w:val="000000"/>
          <w:spacing w:val="0"/>
          <w:w w:val="100"/>
          <w:position w:val="0"/>
        </w:rPr>
        <w:t>、</w:t>
        <w:tab/>
        <w:t>北京市设备安装工程集团有限公司诉神州数码系统集成服务有限公司“建设工程分包合同纠纷”案</w:t>
      </w:r>
    </w:p>
    <w:p>
      <w:pPr>
        <w:pStyle w:val="Style13"/>
        <w:keepNext w:val="0"/>
        <w:keepLines w:val="0"/>
        <w:widowControl w:val="0"/>
        <w:shd w:val="clear" w:color="auto" w:fill="auto"/>
        <w:bidi w:val="0"/>
        <w:spacing w:before="0" w:after="340" w:line="313" w:lineRule="exact"/>
        <w:ind w:left="0" w:right="0" w:firstLine="460"/>
        <w:jc w:val="both"/>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w:t>
      </w:r>
      <w:r>
        <w:rPr>
          <w:color w:val="000000"/>
          <w:spacing w:val="0"/>
          <w:w w:val="100"/>
          <w:position w:val="0"/>
        </w:rPr>
        <w:t>，</w:t>
      </w:r>
      <w:r>
        <w:rPr>
          <w:color w:val="000000"/>
          <w:spacing w:val="0"/>
          <w:w w:val="100"/>
          <w:position w:val="0"/>
        </w:rPr>
        <w:t>北京市设备安装工程集团有限公司向北京市大兴区人民法院发起诉讼，就神州数码系统集成服务有限 公司未支付工程款为由，要求神州数码系统集成服务有限公司支付工程进度款</w:t>
      </w:r>
      <w:r>
        <w:rPr>
          <w:color w:val="000000"/>
          <w:spacing w:val="0"/>
          <w:w w:val="100"/>
          <w:position w:val="0"/>
        </w:rPr>
        <w:t xml:space="preserve">1, 200, </w:t>
      </w:r>
      <w:r>
        <w:rPr>
          <w:color w:val="000000"/>
          <w:spacing w:val="0"/>
          <w:w w:val="100"/>
          <w:position w:val="0"/>
        </w:rPr>
        <w:t xml:space="preserve">000. </w:t>
      </w:r>
      <w:r>
        <w:rPr>
          <w:color w:val="000000"/>
          <w:spacing w:val="0"/>
          <w:w w:val="100"/>
          <w:position w:val="0"/>
        </w:rPr>
        <w:t>00</w:t>
      </w:r>
      <w:r>
        <w:rPr>
          <w:color w:val="000000"/>
          <w:spacing w:val="0"/>
          <w:w w:val="100"/>
          <w:position w:val="0"/>
        </w:rPr>
        <w:t>元及延期支付工程款的违约金及 利息人民币</w:t>
      </w:r>
      <w:r>
        <w:rPr>
          <w:color w:val="000000"/>
          <w:spacing w:val="0"/>
          <w:w w:val="100"/>
          <w:position w:val="0"/>
        </w:rPr>
        <w:t>22,015.0</w:t>
      </w:r>
      <w:r>
        <w:rPr>
          <w:color w:val="000000"/>
          <w:spacing w:val="0"/>
          <w:w w:val="100"/>
          <w:position w:val="0"/>
        </w:rPr>
        <w:t>0</w:t>
      </w:r>
      <w:r>
        <w:rPr>
          <w:color w:val="000000"/>
          <w:spacing w:val="0"/>
          <w:w w:val="100"/>
          <w:position w:val="0"/>
        </w:rPr>
        <w:t>元，支付合同外工程款人民币</w:t>
      </w:r>
      <w:r>
        <w:rPr>
          <w:color w:val="000000"/>
          <w:spacing w:val="0"/>
          <w:w w:val="100"/>
          <w:position w:val="0"/>
        </w:rPr>
        <w:t xml:space="preserve">1,155, </w:t>
      </w:r>
      <w:r>
        <w:rPr>
          <w:color w:val="000000"/>
          <w:spacing w:val="0"/>
          <w:w w:val="100"/>
          <w:position w:val="0"/>
        </w:rPr>
        <w:t>880.24</w:t>
      </w:r>
      <w:r>
        <w:rPr>
          <w:color w:val="000000"/>
          <w:spacing w:val="0"/>
          <w:w w:val="100"/>
          <w:position w:val="0"/>
        </w:rPr>
        <w:t>元，共计</w:t>
      </w:r>
      <w:r>
        <w:rPr>
          <w:color w:val="000000"/>
          <w:spacing w:val="0"/>
          <w:w w:val="100"/>
          <w:position w:val="0"/>
        </w:rPr>
        <w:t>2,377,895.24</w:t>
      </w:r>
      <w:r>
        <w:rPr>
          <w:color w:val="000000"/>
          <w:spacing w:val="0"/>
          <w:w w:val="100"/>
          <w:position w:val="0"/>
        </w:rPr>
        <w:t>元，并承担全部诉讼费用。</w:t>
      </w:r>
      <w:r>
        <w:rPr>
          <w:color w:val="000000"/>
          <w:spacing w:val="0"/>
          <w:w w:val="100"/>
          <w:position w:val="0"/>
        </w:rPr>
        <w:t>2018</w:t>
      </w:r>
      <w:r>
        <w:rPr>
          <w:color w:val="000000"/>
          <w:spacing w:val="0"/>
          <w:w w:val="100"/>
          <w:position w:val="0"/>
        </w:rPr>
        <w:t>年</w:t>
      </w:r>
      <w:r>
        <w:rPr>
          <w:color w:val="000000"/>
          <w:spacing w:val="0"/>
          <w:w w:val="100"/>
          <w:position w:val="0"/>
        </w:rPr>
        <w:t xml:space="preserve">4 </w:t>
      </w:r>
      <w:r>
        <w:rPr>
          <w:color w:val="000000"/>
          <w:spacing w:val="0"/>
          <w:w w:val="100"/>
          <w:position w:val="0"/>
        </w:rPr>
        <w:t>月第二次开庭，北京市设备安装工程集团有限公司要求追加合同剩余未付工程款、增项工程工程款、合同外工程工程款及截 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日的利息，追加至</w:t>
      </w:r>
      <w:r>
        <w:rPr>
          <w:color w:val="000000"/>
          <w:spacing w:val="0"/>
          <w:w w:val="100"/>
          <w:position w:val="0"/>
        </w:rPr>
        <w:t xml:space="preserve">5,157, </w:t>
      </w:r>
      <w:r>
        <w:rPr>
          <w:color w:val="000000"/>
          <w:spacing w:val="0"/>
          <w:w w:val="100"/>
          <w:position w:val="0"/>
        </w:rPr>
        <w:t>420.34</w:t>
      </w:r>
      <w:r>
        <w:rPr>
          <w:color w:val="000000"/>
          <w:spacing w:val="0"/>
          <w:w w:val="100"/>
          <w:position w:val="0"/>
        </w:rPr>
        <w:t>元。截至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日，该案件处于法庭鉴定阶段。</w:t>
      </w:r>
    </w:p>
    <w:p>
      <w:pPr>
        <w:pStyle w:val="Style25"/>
        <w:keepNext/>
        <w:keepLines/>
        <w:widowControl w:val="0"/>
        <w:shd w:val="clear" w:color="auto" w:fill="auto"/>
        <w:bidi w:val="0"/>
        <w:spacing w:before="0" w:after="340" w:line="240" w:lineRule="auto"/>
        <w:ind w:left="0" w:right="0" w:firstLine="0"/>
        <w:jc w:val="left"/>
      </w:pPr>
      <w:bookmarkStart w:id="1535" w:name="bookmark1535"/>
      <w:bookmarkStart w:id="1536" w:name="bookmark1536"/>
      <w:bookmarkStart w:id="1537" w:name="bookmark1537"/>
      <w:r>
        <w:rPr>
          <w:color w:val="000000"/>
          <w:spacing w:val="0"/>
          <w:w w:val="100"/>
          <w:position w:val="0"/>
          <w:sz w:val="24"/>
          <w:szCs w:val="24"/>
        </w:rPr>
        <w:t>十五、资产负债表日后事项</w:t>
      </w:r>
      <w:bookmarkEnd w:id="1535"/>
      <w:bookmarkEnd w:id="1536"/>
      <w:bookmarkEnd w:id="1537"/>
    </w:p>
    <w:p>
      <w:pPr>
        <w:pStyle w:val="Style29"/>
        <w:keepNext/>
        <w:keepLines/>
        <w:widowControl w:val="0"/>
        <w:shd w:val="clear" w:color="auto" w:fill="auto"/>
        <w:bidi w:val="0"/>
        <w:spacing w:before="0" w:after="260" w:line="240" w:lineRule="auto"/>
        <w:ind w:left="0" w:right="0" w:firstLine="0"/>
        <w:jc w:val="left"/>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38"/>
      <w:bookmarkEnd w:id="1539"/>
      <w:bookmarkEnd w:id="1540"/>
    </w:p>
    <w:p>
      <w:pPr>
        <w:pStyle w:val="Style13"/>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38,829,969.48</w:t>
            </w:r>
          </w:p>
        </w:tc>
      </w:tr>
    </w:tbl>
    <w:p>
      <w:pPr>
        <w:pStyle w:val="Style1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日，本公司召开的第九届董事会第一次会议通过了 </w:t>
      </w:r>
      <w:r>
        <w:rPr>
          <w:rFonts w:ascii="Times New Roman" w:eastAsia="Times New Roman" w:hAnsi="Times New Roman" w:cs="Times New Roman"/>
          <w:color w:val="000000"/>
          <w:spacing w:val="0"/>
          <w:w w:val="100"/>
          <w:position w:val="0"/>
        </w:rPr>
        <w:t>2021</w:t>
      </w:r>
      <w:r>
        <w:rPr>
          <w:color w:val="000000"/>
          <w:spacing w:val="0"/>
          <w:w w:val="100"/>
          <w:position w:val="0"/>
        </w:rPr>
        <w:t>年度公司利润分配预案：以公司目前股份 总数</w:t>
      </w:r>
      <w:r>
        <w:rPr>
          <w:rFonts w:ascii="Times New Roman" w:eastAsia="Times New Roman" w:hAnsi="Times New Roman" w:cs="Times New Roman"/>
          <w:color w:val="000000"/>
          <w:spacing w:val="0"/>
          <w:w w:val="100"/>
          <w:position w:val="0"/>
        </w:rPr>
        <w:t>983,613,713.00</w:t>
      </w:r>
      <w:r>
        <w:rPr>
          <w:color w:val="000000"/>
          <w:spacing w:val="0"/>
          <w:w w:val="100"/>
          <w:position w:val="0"/>
        </w:rPr>
        <w:t>股扣除回购专户持有的</w:t>
      </w:r>
      <w:r>
        <w:rPr>
          <w:rFonts w:ascii="Times New Roman" w:eastAsia="Times New Roman" w:hAnsi="Times New Roman" w:cs="Times New Roman"/>
          <w:color w:val="000000"/>
          <w:spacing w:val="0"/>
          <w:w w:val="100"/>
          <w:position w:val="0"/>
        </w:rPr>
        <w:t>12,864,476</w:t>
      </w:r>
      <w:r>
        <w:rPr>
          <w:color w:val="000000"/>
          <w:spacing w:val="0"/>
          <w:w w:val="100"/>
          <w:position w:val="0"/>
        </w:rPr>
        <w:t>股后的股份数量为基数，公司拟向全体股东每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 金红利人民币</w:t>
      </w:r>
      <w:r>
        <w:rPr>
          <w:rFonts w:ascii="Times New Roman" w:eastAsia="Times New Roman" w:hAnsi="Times New Roman" w:cs="Times New Roman"/>
          <w:color w:val="000000"/>
          <w:spacing w:val="0"/>
          <w:w w:val="100"/>
          <w:position w:val="0"/>
        </w:rPr>
        <w:t>0.40</w:t>
      </w:r>
      <w:r>
        <w:rPr>
          <w:color w:val="000000"/>
          <w:spacing w:val="0"/>
          <w:w w:val="100"/>
          <w:position w:val="0"/>
        </w:rPr>
        <w:t>元（含税），不送红股，不以公积金转增股本，合计拟派发现金红利为人民币</w:t>
      </w:r>
      <w:r>
        <w:rPr>
          <w:rFonts w:ascii="Times New Roman" w:eastAsia="Times New Roman" w:hAnsi="Times New Roman" w:cs="Times New Roman"/>
          <w:color w:val="000000"/>
          <w:spacing w:val="0"/>
          <w:w w:val="100"/>
          <w:position w:val="0"/>
        </w:rPr>
        <w:t>38,829,969.48</w:t>
      </w:r>
      <w:r>
        <w:rPr>
          <w:color w:val="000000"/>
          <w:spacing w:val="0"/>
          <w:w w:val="100"/>
          <w:position w:val="0"/>
        </w:rPr>
        <w:t>元</w:t>
      </w:r>
    </w:p>
    <w:p>
      <w:pPr>
        <w:pStyle w:val="Style1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（含税）。</w:t>
      </w:r>
    </w:p>
    <w:p>
      <w:pPr>
        <w:pStyle w:val="Style25"/>
        <w:keepNext/>
        <w:keepLines/>
        <w:widowControl w:val="0"/>
        <w:shd w:val="clear" w:color="auto" w:fill="auto"/>
        <w:bidi w:val="0"/>
        <w:spacing w:before="0" w:after="260" w:line="240" w:lineRule="auto"/>
        <w:ind w:left="0" w:right="0" w:firstLine="0"/>
        <w:jc w:val="both"/>
      </w:pPr>
      <w:bookmarkStart w:id="1541" w:name="bookmark1541"/>
      <w:bookmarkStart w:id="1542" w:name="bookmark1542"/>
      <w:bookmarkStart w:id="1543" w:name="bookmark1543"/>
      <w:r>
        <w:rPr>
          <w:color w:val="000000"/>
          <w:spacing w:val="0"/>
          <w:w w:val="100"/>
          <w:position w:val="0"/>
          <w:sz w:val="24"/>
          <w:szCs w:val="24"/>
        </w:rPr>
        <w:t>十六、其他重要事项</w:t>
      </w:r>
      <w:bookmarkEnd w:id="1541"/>
      <w:bookmarkEnd w:id="1542"/>
      <w:bookmarkEnd w:id="1543"/>
    </w:p>
    <w:p>
      <w:pPr>
        <w:pStyle w:val="Style13"/>
        <w:keepNext w:val="0"/>
        <w:keepLines w:val="0"/>
        <w:widowControl w:val="0"/>
        <w:shd w:val="clear" w:color="auto" w:fill="auto"/>
        <w:bidi w:val="0"/>
        <w:spacing w:before="0" w:after="30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日，本集团无需披露的其他重要事项。</w:t>
      </w:r>
      <w:r>
        <w:br w:type="page"/>
      </w:r>
    </w:p>
    <w:p>
      <w:pPr>
        <w:pStyle w:val="Style25"/>
        <w:keepNext/>
        <w:keepLines/>
        <w:widowControl w:val="0"/>
        <w:shd w:val="clear" w:color="auto" w:fill="auto"/>
        <w:bidi w:val="0"/>
        <w:spacing w:before="0" w:after="340" w:line="240" w:lineRule="auto"/>
        <w:ind w:left="0" w:right="0" w:firstLine="0"/>
        <w:jc w:val="both"/>
      </w:pPr>
      <w:bookmarkStart w:id="1544" w:name="bookmark1544"/>
      <w:bookmarkStart w:id="1545" w:name="bookmark1545"/>
      <w:bookmarkStart w:id="1546" w:name="bookmark1546"/>
      <w:r>
        <w:rPr>
          <w:color w:val="000000"/>
          <w:spacing w:val="0"/>
          <w:w w:val="100"/>
          <w:position w:val="0"/>
          <w:sz w:val="24"/>
          <w:szCs w:val="24"/>
        </w:rPr>
        <w:t>十七、母公司财务报表主要项目注释</w:t>
      </w:r>
      <w:bookmarkEnd w:id="1544"/>
      <w:bookmarkEnd w:id="1545"/>
      <w:bookmarkEnd w:id="1546"/>
    </w:p>
    <w:p>
      <w:pPr>
        <w:pStyle w:val="Style29"/>
        <w:keepNext/>
        <w:keepLines/>
        <w:widowControl w:val="0"/>
        <w:shd w:val="clear" w:color="auto" w:fill="auto"/>
        <w:bidi w:val="0"/>
        <w:spacing w:before="0" w:after="340" w:line="240" w:lineRule="auto"/>
        <w:ind w:left="0" w:right="0" w:firstLine="0"/>
        <w:jc w:val="both"/>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7"/>
      <w:bookmarkEnd w:id="1548"/>
      <w:bookmarkEnd w:id="1549"/>
    </w:p>
    <w:p>
      <w:pPr>
        <w:pStyle w:val="Style37"/>
        <w:keepNext/>
        <w:keepLines/>
        <w:widowControl w:val="0"/>
        <w:shd w:val="clear" w:color="auto" w:fill="auto"/>
        <w:bidi w:val="0"/>
        <w:spacing w:before="0" w:after="400" w:line="240" w:lineRule="auto"/>
        <w:ind w:left="0" w:right="0" w:firstLine="0"/>
        <w:jc w:val="both"/>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50"/>
      <w:bookmarkEnd w:id="1551"/>
      <w:bookmarkEnd w:id="1552"/>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843"/>
        <w:gridCol w:w="1272"/>
        <w:gridCol w:w="1560"/>
        <w:gridCol w:w="1277"/>
        <w:gridCol w:w="156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32,297,527.95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1,475,854.90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30,821,673.05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32,297,527.95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1,475,854.90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30,821,673.05</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（续上表）</w:t>
      </w:r>
    </w:p>
    <w:p>
      <w:pPr>
        <w:widowControl w:val="0"/>
        <w:spacing w:after="79" w:line="1" w:lineRule="exact"/>
      </w:pPr>
    </w:p>
    <w:tbl>
      <w:tblPr>
        <w:tblOverlap w:val="never"/>
        <w:jc w:val="center"/>
        <w:tblLayout w:type="fixed"/>
      </w:tblPr>
      <w:tblGrid>
        <w:gridCol w:w="1992"/>
        <w:gridCol w:w="1843"/>
        <w:gridCol w:w="1272"/>
        <w:gridCol w:w="1560"/>
        <w:gridCol w:w="1277"/>
        <w:gridCol w:w="1570"/>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83,722,591.40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16,015,576.76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67,707,014.64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83,722,591.40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16,015,576.76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67,707,014.64</w:t>
            </w:r>
          </w:p>
        </w:tc>
      </w:tr>
    </w:tbl>
    <w:p>
      <w:pPr>
        <w:widowControl w:val="0"/>
        <w:spacing w:after="399" w:line="1" w:lineRule="exact"/>
      </w:pPr>
    </w:p>
    <w:p>
      <w:pPr>
        <w:pStyle w:val="Style13"/>
        <w:keepNext w:val="0"/>
        <w:keepLines w:val="0"/>
        <w:widowControl w:val="0"/>
        <w:shd w:val="clear" w:color="auto" w:fill="auto"/>
        <w:bidi w:val="0"/>
        <w:spacing w:before="0" w:after="80" w:line="240" w:lineRule="auto"/>
        <w:ind w:left="0" w:right="0" w:firstLine="0"/>
        <w:jc w:val="both"/>
      </w:pPr>
      <w:r>
        <w:rPr>
          <w:color w:val="000000"/>
          <w:spacing w:val="0"/>
          <w:w w:val="100"/>
          <w:position w:val="0"/>
        </w:rPr>
        <w:t>采用账期组合</w:t>
      </w:r>
      <w:r>
        <w:rPr>
          <w:rFonts w:ascii="Times New Roman" w:eastAsia="Times New Roman" w:hAnsi="Times New Roman" w:cs="Times New Roman"/>
          <w:color w:val="000000"/>
          <w:spacing w:val="0"/>
          <w:w w:val="100"/>
          <w:position w:val="0"/>
        </w:rPr>
        <w:t>II</w:t>
      </w:r>
      <w:r>
        <w:rPr>
          <w:color w:val="000000"/>
          <w:spacing w:val="0"/>
          <w:w w:val="100"/>
          <w:position w:val="0"/>
        </w:rPr>
        <w:t>计提坏账准备的应收账款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30,900,065.95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626,392.90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181-360 </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w:t>
            </w:r>
            <w:r>
              <w:rPr>
                <w:color w:val="000000"/>
                <w:spacing w:val="0"/>
                <w:w w:val="100"/>
                <w:position w:val="0"/>
              </w:rPr>
              <w:t>天以上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712,462.00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712,462.00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32,297,527.95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1,475,854.90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（续上表）</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57,062,020.80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997,659.42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1-180 </w:t>
            </w:r>
            <w:r>
              <w:rPr>
                <w:color w:val="000000"/>
                <w:spacing w:val="0"/>
                <w:w w:val="100"/>
                <w:position w:val="0"/>
              </w:rPr>
              <w:t>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12,518,982.00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876,328.74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w:t>
            </w:r>
            <w:r>
              <w:rPr>
                <w:color w:val="000000"/>
                <w:spacing w:val="0"/>
                <w:w w:val="100"/>
                <w:position w:val="0"/>
              </w:rPr>
              <w:t>天以上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14,141,588.60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14,141,588.60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83,722,591.40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16,015,576.76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30,793,912.83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791,703.82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711,911.30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258,343.30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241,888.00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211,680.00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32,297,527.95</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53"/>
      <w:bookmarkEnd w:id="1554"/>
      <w:bookmarkEnd w:id="1555"/>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16,015,576.76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-1,110,595.26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13,429,126.60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1,475,854.90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16,015,576.76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-1,110,595.26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13,429,126.60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1,475,854.90</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556"/>
      <w:bookmarkEnd w:id="1557"/>
      <w:bookmarkEnd w:id="1559"/>
    </w:p>
    <w:p>
      <w:pPr>
        <w:pStyle w:val="Style13"/>
        <w:keepNext w:val="0"/>
        <w:keepLines w:val="0"/>
        <w:widowControl w:val="0"/>
        <w:shd w:val="clear" w:color="auto" w:fill="auto"/>
        <w:bidi w:val="0"/>
        <w:spacing w:before="0" w:after="380" w:line="302" w:lineRule="exact"/>
        <w:ind w:left="0" w:right="0"/>
        <w:jc w:val="left"/>
      </w:pPr>
      <w:r>
        <w:rPr>
          <w:color w:val="000000"/>
          <w:spacing w:val="0"/>
          <w:w w:val="100"/>
          <w:position w:val="0"/>
        </w:rPr>
        <w:t>按欠款方归集的年末余额前五名的应收账款情况本年按欠款方归集的年末余额前五名应收账款汇总金额</w:t>
      </w:r>
      <w:r>
        <w:rPr>
          <w:rFonts w:ascii="Times New Roman" w:eastAsia="Times New Roman" w:hAnsi="Times New Roman" w:cs="Times New Roman"/>
          <w:color w:val="000000"/>
          <w:spacing w:val="0"/>
          <w:w w:val="100"/>
          <w:position w:val="0"/>
        </w:rPr>
        <w:t xml:space="preserve">32,103,469.42 </w:t>
      </w:r>
      <w:r>
        <w:rPr>
          <w:color w:val="000000"/>
          <w:spacing w:val="0"/>
          <w:w w:val="100"/>
          <w:position w:val="0"/>
        </w:rPr>
        <w:t>元，占应收账款年末余额合计数的比例</w:t>
      </w:r>
      <w:r>
        <w:rPr>
          <w:rFonts w:ascii="Times New Roman" w:eastAsia="Times New Roman" w:hAnsi="Times New Roman" w:cs="Times New Roman"/>
          <w:color w:val="000000"/>
          <w:spacing w:val="0"/>
          <w:w w:val="100"/>
          <w:position w:val="0"/>
        </w:rPr>
        <w:t>99.40%</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rPr>
        <w:t>1,256,135.75</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both"/>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60"/>
      <w:bookmarkEnd w:id="1561"/>
      <w:bookmarkEnd w:id="15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28,132,654.89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17,450,338.26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6,801,899.45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102,041,871.66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34,934,554.34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119,492,209.92</w:t>
            </w:r>
          </w:p>
        </w:tc>
      </w:tr>
    </w:tbl>
    <w:p>
      <w:pPr>
        <w:spacing w:lineRule="exact" w:line="1"/>
        <w:rPr>
          <w:sz w:val="2"/>
          <w:szCs w:val="2"/>
        </w:rPr>
      </w:pPr>
      <w:r>
        <w:br w:type="page"/>
      </w:r>
    </w:p>
    <w:p>
      <w:pPr>
        <w:pStyle w:val="Style37"/>
        <w:keepNext/>
        <w:keepLines/>
        <w:widowControl w:val="0"/>
        <w:shd w:val="clear" w:color="auto" w:fill="auto"/>
        <w:bidi w:val="0"/>
        <w:spacing w:before="0" w:after="340" w:line="240" w:lineRule="auto"/>
        <w:ind w:left="0" w:right="0" w:firstLine="0"/>
        <w:jc w:val="both"/>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563"/>
      <w:bookmarkEnd w:id="1564"/>
      <w:bookmarkEnd w:id="1565"/>
    </w:p>
    <w:p>
      <w:pPr>
        <w:pStyle w:val="Style67"/>
        <w:keepNext/>
        <w:keepLines/>
        <w:widowControl w:val="0"/>
        <w:shd w:val="clear" w:color="auto" w:fill="auto"/>
        <w:bidi w:val="0"/>
        <w:spacing w:before="0" w:line="240" w:lineRule="auto"/>
        <w:ind w:left="0" w:right="0" w:firstLine="0"/>
        <w:jc w:val="both"/>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566"/>
      <w:bookmarkEnd w:id="1567"/>
      <w:bookmarkEnd w:id="15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28,132,654.89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17,450,338.26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28,132,654.89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17,450,338.26</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569" w:name="bookmark1569"/>
      <w:bookmarkStart w:id="1570" w:name="bookmark1570"/>
      <w:bookmarkStart w:id="1571" w:name="bookmark15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69"/>
      <w:bookmarkEnd w:id="1570"/>
      <w:bookmarkEnd w:id="1571"/>
    </w:p>
    <w:p>
      <w:pPr>
        <w:pStyle w:val="Style67"/>
        <w:keepNext/>
        <w:keepLines/>
        <w:widowControl w:val="0"/>
        <w:shd w:val="clear" w:color="auto" w:fill="auto"/>
        <w:bidi w:val="0"/>
        <w:spacing w:before="0" w:line="240" w:lineRule="auto"/>
        <w:ind w:left="0" w:right="0" w:firstLine="0"/>
        <w:jc w:val="both"/>
      </w:pPr>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72"/>
      <w:bookmarkEnd w:id="1573"/>
      <w:bookmarkEnd w:id="15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4,751,710.17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99,458,446.07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53,481.70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559,597.71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878.12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6,801,899.45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102,041,871.66</w:t>
            </w:r>
          </w:p>
        </w:tc>
      </w:tr>
    </w:tbl>
    <w:p>
      <w:pPr>
        <w:widowControl w:val="0"/>
        <w:spacing w:after="339" w:line="1" w:lineRule="exact"/>
      </w:pPr>
    </w:p>
    <w:p>
      <w:pPr>
        <w:pStyle w:val="Style67"/>
        <w:keepNext/>
        <w:keepLines/>
        <w:widowControl w:val="0"/>
        <w:shd w:val="clear" w:color="auto" w:fill="auto"/>
        <w:bidi w:val="0"/>
        <w:spacing w:before="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bookmarkEnd w:id="1577"/>
      <w:r>
        <w:rPr>
          <w:color w:val="000000"/>
          <w:spacing w:val="0"/>
          <w:w w:val="100"/>
          <w:position w:val="0"/>
        </w:rPr>
        <w:t>）坏账准备计提情况</w:t>
      </w:r>
      <w:bookmarkEnd w:id="1575"/>
      <w:bookmarkEnd w:id="1576"/>
      <w:bookmarkEnd w:id="15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478.12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1,614.30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2,414.30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478.12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2,014.30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3,292.42</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1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4,713,262.19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2,067,223.68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24,706.00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23,906.00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6,805,191.87</w:t>
            </w:r>
          </w:p>
        </w:tc>
      </w:tr>
    </w:tbl>
    <w:p>
      <w:pPr>
        <w:widowControl w:val="0"/>
        <w:spacing w:after="299" w:line="1" w:lineRule="exact"/>
      </w:pPr>
    </w:p>
    <w:p>
      <w:pPr>
        <w:pStyle w:val="Style67"/>
        <w:keepNext/>
        <w:keepLines/>
        <w:widowControl w:val="0"/>
        <w:shd w:val="clear" w:color="auto" w:fill="auto"/>
        <w:bidi w:val="0"/>
        <w:spacing w:before="0" w:after="36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color w:val="000000"/>
          <w:spacing w:val="0"/>
          <w:w w:val="100"/>
          <w:position w:val="0"/>
        </w:rPr>
        <w:t>）本期计提、收回或转回的坏账准备情况</w:t>
      </w:r>
      <w:bookmarkEnd w:id="1579"/>
      <w:bookmarkEnd w:id="1580"/>
      <w:bookmarkEnd w:id="1582"/>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7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878.12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2,414.30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3,292.42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878.12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2,414.30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3,292.42</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3</w:t>
      </w:r>
      <w:bookmarkEnd w:id="1585"/>
      <w:r>
        <w:rPr>
          <w:color w:val="000000"/>
          <w:spacing w:val="0"/>
          <w:w w:val="100"/>
          <w:position w:val="0"/>
        </w:rPr>
        <w:t>、长期股权投资</w:t>
      </w:r>
      <w:bookmarkEnd w:id="1583"/>
      <w:bookmarkEnd w:id="1584"/>
      <w:bookmarkEnd w:id="15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2,923,539,150.26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37,926,590.48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2,885,612,559.78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2,821,684,564.31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37,926,590.48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2,783,757,973.83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3,583,642.09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3,583,642.09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5,048,143.54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5,048,143.54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2,927,122,792.35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37,926,590.48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2,889,196,201.87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2,826,732,707.85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37,926,590.48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2,788,806,117.37</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87"/>
      <w:bookmarkEnd w:id="1588"/>
      <w:bookmarkEnd w:id="15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60"/>
        <w:gridCol w:w="1416"/>
        <w:gridCol w:w="566"/>
        <w:gridCol w:w="710"/>
        <w:gridCol w:w="566"/>
        <w:gridCol w:w="1416"/>
        <w:gridCol w:w="135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减值准备期末余 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减少</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神州数码系统集成服务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805,847,588.44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3,582,400.21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809,429,988.65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6,432,881.52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6,432,881.52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37,926,590.48</w:t>
            </w:r>
          </w:p>
        </w:tc>
      </w:tr>
    </w:tbl>
    <w:p>
      <w:pPr>
        <w:spacing w:lineRule="exact" w:line="1"/>
        <w:rPr>
          <w:sz w:val="2"/>
          <w:szCs w:val="2"/>
        </w:rPr>
      </w:pPr>
      <w:r>
        <w:br w:type="page"/>
      </w:r>
    </w:p>
    <w:tbl>
      <w:tblPr>
        <w:tblOverlap w:val="never"/>
        <w:jc w:val="center"/>
        <w:tblLayout w:type="fixed"/>
      </w:tblPr>
      <w:tblGrid>
        <w:gridCol w:w="1992"/>
        <w:gridCol w:w="1560"/>
        <w:gridCol w:w="1416"/>
        <w:gridCol w:w="566"/>
        <w:gridCol w:w="710"/>
        <w:gridCol w:w="566"/>
        <w:gridCol w:w="1416"/>
        <w:gridCol w:w="135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711,931,623.15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95,458,903.46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807,390,526.61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杨凌农业云服务有限公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40,154,932.60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43,642.02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40,198,574.62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华苏科技（注）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1,199,632,428.80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1,199,821,544.26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神州国信（北京）量子科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神州数码融信软件有限 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8,019,211.63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1,192,882.18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9,212,093.81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神州数码信息系统有限 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4,257,230.41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1,179,130.70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5,436,361.11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北京旗硕基业科技股份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169,480.35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87,284.07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256,764.42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新疆神州三宝信息技术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19,396.46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85,588.14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深圳神州数码信息技术 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4,846,405.25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4,846,405.25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上海神州数码信息技术 服务有限公司（注）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58,189.37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58,189.37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北京神州数码方圆科技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43,642.02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43,642.02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2,783,757,973.83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101,854,585.95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2,885,612,559.78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37,926,590.48</w:t>
            </w:r>
          </w:p>
        </w:tc>
      </w:tr>
    </w:tbl>
    <w:p>
      <w:pPr>
        <w:pStyle w:val="Style13"/>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注：本年增加系本公司</w:t>
      </w:r>
      <w:r>
        <w:rPr>
          <w:rFonts w:ascii="Times New Roman" w:eastAsia="Times New Roman" w:hAnsi="Times New Roman" w:cs="Times New Roman"/>
          <w:color w:val="000000"/>
          <w:spacing w:val="0"/>
          <w:w w:val="100"/>
          <w:position w:val="0"/>
        </w:rPr>
        <w:t>2019</w:t>
      </w:r>
      <w:r>
        <w:rPr>
          <w:color w:val="000000"/>
          <w:spacing w:val="0"/>
          <w:w w:val="100"/>
          <w:position w:val="0"/>
        </w:rPr>
        <w:t>年实施了股票期权和限制性股票计划，并于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日首次授予激励对象股票期权 和限制性股票。本公司以自身权益工具结算的股份授予神州数码系统集成服务有限公司、中农信达、杨凌农业云服务有限公 司、华苏科技、神州数码融信软件有限公司、神州数码信息系统有限公司、北京旗硕基业科技股份有限公司以及新疆神州三 宝信息技术有限公司股票期权和限制性股票，本公司按照授予日权益工具的公允价值确认对子公司的长期股权投资。</w:t>
      </w:r>
    </w:p>
    <w:p>
      <w:pPr>
        <w:pStyle w:val="Style37"/>
        <w:keepNext/>
        <w:keepLines/>
        <w:widowControl w:val="0"/>
        <w:shd w:val="clear" w:color="auto" w:fill="auto"/>
        <w:bidi w:val="0"/>
        <w:spacing w:before="0" w:after="36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90"/>
      <w:bookmarkEnd w:id="1591"/>
      <w:bookmarkEnd w:id="15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133"/>
        <w:gridCol w:w="427"/>
        <w:gridCol w:w="490"/>
        <w:gridCol w:w="1210"/>
        <w:gridCol w:w="706"/>
        <w:gridCol w:w="480"/>
        <w:gridCol w:w="797"/>
        <w:gridCol w:w="566"/>
        <w:gridCol w:w="566"/>
        <w:gridCol w:w="1262"/>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追加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合收益</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天津国科量 子科技有限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1,904,588.33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-369,006.72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1,535,581.61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427"/>
        <w:gridCol w:w="490"/>
        <w:gridCol w:w="1210"/>
        <w:gridCol w:w="706"/>
        <w:gridCol w:w="480"/>
        <w:gridCol w:w="797"/>
        <w:gridCol w:w="566"/>
        <w:gridCol w:w="566"/>
        <w:gridCol w:w="1262"/>
        <w:gridCol w:w="802"/>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北京神州邦</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邦技术服务</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3,143,555.21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-1,095,494.73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2,048,060.48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5,048,143.54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-1,464,501.45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3,583,642.09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5,048,143.54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-1,464,501.45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3,583,642.09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color w:val="000000"/>
          <w:spacing w:val="0"/>
          <w:w w:val="100"/>
          <w:position w:val="0"/>
        </w:rPr>
        <w:t>、营业收入和营业成本</w:t>
      </w:r>
      <w:bookmarkEnd w:id="1593"/>
      <w:bookmarkEnd w:id="1594"/>
      <w:bookmarkEnd w:id="15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597,349,665.59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531,917,948.02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518,867,580.97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443,641,131.55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597,349,665.59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531,917,948.02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518,867,580.97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443,641,131.55</w:t>
            </w:r>
          </w:p>
        </w:tc>
      </w:tr>
    </w:tbl>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1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328,642,923.82</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328,642,923.82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p>
    <w:p>
      <w:pPr>
        <w:pStyle w:val="Style29"/>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color w:val="000000"/>
          <w:spacing w:val="0"/>
          <w:w w:val="100"/>
          <w:position w:val="0"/>
        </w:rPr>
        <w:t>、投资收益</w:t>
      </w:r>
      <w:bookmarkEnd w:id="1597"/>
      <w:bookmarkEnd w:id="1598"/>
      <w:bookmarkEnd w:id="16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16"/>
        <w:gridCol w:w="2573"/>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106,682,316.63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17,450,338.26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-1,464,501.45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-636,113.07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2,850,470.23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1,117,025.32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211,291.04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1,109,130.92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5,245,677.58</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bookmarkStart w:id="1601" w:name="bookmark1601"/>
            <w:r>
              <w:rPr>
                <w:color w:val="000000"/>
                <w:spacing w:val="0"/>
                <w:w w:val="100"/>
                <w:position w:val="0"/>
              </w:rPr>
              <w:t>合计</w:t>
            </w:r>
            <w:bookmarkEnd w:id="1601"/>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107,443,971.42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25,121,664.04</w:t>
            </w:r>
          </w:p>
        </w:tc>
      </w:tr>
    </w:tbl>
    <w:p>
      <w:pPr>
        <w:spacing w:lineRule="exact" w:line="1"/>
        <w:rPr>
          <w:sz w:val="2"/>
          <w:szCs w:val="2"/>
        </w:rPr>
      </w:pPr>
      <w:r>
        <w:br w:type="page"/>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十八、补充资料</w:t>
      </w:r>
    </w:p>
    <w:p>
      <w:pPr>
        <w:pStyle w:val="Style29"/>
        <w:keepNext/>
        <w:keepLines/>
        <w:widowControl w:val="0"/>
        <w:shd w:val="clear" w:color="auto" w:fill="auto"/>
        <w:bidi w:val="0"/>
        <w:spacing w:before="0" w:after="340" w:line="240" w:lineRule="auto"/>
        <w:ind w:left="0" w:right="0" w:firstLine="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02"/>
      <w:bookmarkEnd w:id="1603"/>
      <w:bookmarkEnd w:id="1604"/>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57"/>
        <w:gridCol w:w="2107"/>
        <w:gridCol w:w="21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-255,642.69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35,615,795.23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7,306,039.74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13,164,535.39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-6,009,581.25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1,109,130.92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16,173,500.89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4,933,571.04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842,831.36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61,327,375.83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其他符合非经常性损益定义的损益项目的具体情况：</w:t>
      </w:r>
    </w:p>
    <w:p>
      <w:pPr>
        <w:pStyle w:val="Style1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3"/>
        <w:keepNext w:val="0"/>
        <w:keepLines w:val="0"/>
        <w:widowControl w:val="0"/>
        <w:shd w:val="clear" w:color="auto" w:fill="auto"/>
        <w:bidi w:val="0"/>
        <w:spacing w:before="0" w:after="120"/>
        <w:ind w:left="0" w:right="0" w:firstLine="0"/>
        <w:jc w:val="left"/>
        <w:sectPr>
          <w:footnotePr>
            <w:pos w:val="pageBottom"/>
            <w:numFmt w:val="decimal"/>
            <w:numRestart w:val="continuous"/>
          </w:footnotePr>
          <w:pgSz w:w="11900" w:h="16840"/>
          <w:pgMar w:top="1374" w:right="1052" w:bottom="1465" w:left="1056" w:header="0" w:footer="3" w:gutter="0"/>
          <w:cols w:space="720"/>
          <w:noEndnote/>
          <w:rtlGutter w:val="0"/>
          <w:docGrid w:linePitch="360"/>
        </w:sectPr>
      </w:pPr>
      <w:bookmarkStart w:id="1605" w:name="bookmark160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1605"/>
    </w:p>
    <w:p>
      <w:pPr>
        <w:pStyle w:val="Style22"/>
        <w:keepNext w:val="0"/>
        <w:keepLines w:val="0"/>
        <w:widowControl w:val="0"/>
        <w:shd w:val="clear" w:color="auto" w:fill="auto"/>
        <w:bidi w:val="0"/>
        <w:spacing w:before="0" w:after="6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p>
    <w:tbl>
      <w:tblPr>
        <w:tblOverlap w:val="never"/>
        <w:jc w:val="center"/>
        <w:tblLayout w:type="fixed"/>
      </w:tblPr>
      <w:tblGrid>
        <w:gridCol w:w="4459"/>
        <w:gridCol w:w="1291"/>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0.3860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0.3231</w:t>
            </w:r>
          </w:p>
        </w:tc>
      </w:tr>
    </w:tbl>
    <w:p>
      <w:pPr>
        <w:widowControl w:val="0"/>
        <w:spacing w:after="239" w:line="1" w:lineRule="exact"/>
      </w:pPr>
    </w:p>
    <w:p>
      <w:pPr>
        <w:pStyle w:val="Style29"/>
        <w:keepNext/>
        <w:keepLines/>
        <w:widowControl w:val="0"/>
        <w:shd w:val="clear" w:color="auto" w:fill="auto"/>
        <w:bidi w:val="0"/>
        <w:spacing w:before="0" w:after="300" w:line="322" w:lineRule="exact"/>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color w:val="000000"/>
          <w:spacing w:val="0"/>
          <w:w w:val="100"/>
          <w:position w:val="0"/>
        </w:rPr>
        <w:t>、境内外会计准则下会计数据差异</w:t>
      </w:r>
      <w:bookmarkEnd w:id="1606"/>
      <w:bookmarkEnd w:id="1607"/>
      <w:bookmarkEnd w:id="1609"/>
    </w:p>
    <w:p>
      <w:pPr>
        <w:pStyle w:val="Style37"/>
        <w:keepNext/>
        <w:keepLines/>
        <w:widowControl w:val="0"/>
        <w:shd w:val="clear" w:color="auto" w:fill="auto"/>
        <w:tabs>
          <w:tab w:pos="493" w:val="left"/>
        </w:tabs>
        <w:bidi w:val="0"/>
        <w:spacing w:before="0" w:after="360" w:line="322" w:lineRule="exact"/>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10"/>
      <w:bookmarkEnd w:id="1611"/>
      <w:bookmarkEnd w:id="1613"/>
    </w:p>
    <w:p>
      <w:pPr>
        <w:pStyle w:val="Style1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60" w:line="322" w:lineRule="exact"/>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14"/>
      <w:bookmarkEnd w:id="1615"/>
      <w:bookmarkEnd w:id="1617"/>
    </w:p>
    <w:p>
      <w:pPr>
        <w:pStyle w:val="Style1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589" w:val="left"/>
        </w:tabs>
        <w:bidi w:val="0"/>
        <w:spacing w:before="0" w:after="360" w:line="322" w:lineRule="exact"/>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618"/>
      <w:bookmarkEnd w:id="1619"/>
      <w:bookmarkEnd w:id="1621"/>
    </w:p>
    <w:p>
      <w:pPr>
        <w:pStyle w:val="Style13"/>
        <w:keepNext w:val="0"/>
        <w:keepLines w:val="0"/>
        <w:widowControl w:val="0"/>
        <w:shd w:val="clear" w:color="auto" w:fill="auto"/>
        <w:bidi w:val="0"/>
        <w:spacing w:before="0" w:after="8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神州数码信息服务股份有限公司</w:t>
      </w:r>
    </w:p>
    <w:p>
      <w:pPr>
        <w:pStyle w:val="Style1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董事长：郭为</w:t>
      </w:r>
    </w:p>
    <w:p>
      <w:pPr>
        <w:pStyle w:val="Style22"/>
        <w:keepNext w:val="0"/>
        <w:keepLines w:val="0"/>
        <w:widowControl w:val="0"/>
        <w:shd w:val="clear" w:color="auto" w:fill="auto"/>
        <w:bidi w:val="0"/>
        <w:spacing w:before="0" w:after="320" w:line="240" w:lineRule="auto"/>
        <w:ind w:left="0" w:right="0" w:firstLine="0"/>
        <w:jc w:val="righ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sectPr>
      <w:footnotePr>
        <w:pos w:val="pageBottom"/>
        <w:numFmt w:val="decimal"/>
        <w:numRestart w:val="continuous"/>
      </w:footnotePr>
      <w:pgSz w:w="11900" w:h="16840"/>
      <w:pgMar w:top="1714" w:right="1073" w:bottom="1714" w:left="11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_"/>
    <w:basedOn w:val="DefaultParagraphFont"/>
    <w:link w:val="Style13"/>
    <w:rPr>
      <w:rFonts w:ascii="SimSun" w:eastAsia="SimSun" w:hAnsi="SimSun" w:cs="SimSun"/>
      <w:b w:val="0"/>
      <w:bCs w:val="0"/>
      <w:i w:val="0"/>
      <w:iCs w:val="0"/>
      <w:smallCaps w:val="0"/>
      <w:strike w:val="0"/>
      <w:sz w:val="18"/>
      <w:szCs w:val="18"/>
      <w:u w:val="none"/>
      <w:shd w:val="clear" w:color="auto" w:fill="auto"/>
    </w:rPr>
  </w:style>
  <w:style w:type="character" w:customStyle="1" w:styleId="CharStyle17">
    <w:name w:val="Body text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Table of contents_"/>
    <w:basedOn w:val="DefaultParagraphFont"/>
    <w:link w:val="Style18"/>
    <w:rPr>
      <w:rFonts w:ascii="SimSun" w:eastAsia="SimSun" w:hAnsi="SimSun" w:cs="SimSun"/>
      <w:b w:val="0"/>
      <w:bCs w:val="0"/>
      <w:i w:val="0"/>
      <w:iCs w:val="0"/>
      <w:smallCaps w:val="0"/>
      <w:strike w:val="0"/>
      <w:sz w:val="28"/>
      <w:szCs w:val="28"/>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Body text (5)_"/>
    <w:basedOn w:val="DefaultParagraphFont"/>
    <w:link w:val="Style32"/>
    <w:rPr>
      <w:rFonts w:ascii="SimSun" w:eastAsia="SimSun" w:hAnsi="SimSun" w:cs="SimSun"/>
      <w:b/>
      <w:bCs/>
      <w:i w:val="0"/>
      <w:iCs w:val="0"/>
      <w:smallCaps w:val="0"/>
      <w:strike w:val="0"/>
      <w:u w:val="none"/>
      <w:shd w:val="clear" w:color="auto" w:fill="auto"/>
    </w:rPr>
  </w:style>
  <w:style w:type="character" w:customStyle="1" w:styleId="CharStyle38">
    <w:name w:val="Heading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68">
    <w:name w:val="Heading #5_"/>
    <w:basedOn w:val="DefaultParagraphFont"/>
    <w:link w:val="Style67"/>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10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before="390" w:after="8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spacing w:after="4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270" w:after="440"/>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3">
    <w:name w:val="Body text"/>
    <w:basedOn w:val="Normal"/>
    <w:link w:val="CharStyle14"/>
    <w:qFormat/>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16">
    <w:name w:val="Body text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Table of contents"/>
    <w:basedOn w:val="Normal"/>
    <w:link w:val="CharStyle19"/>
    <w:pPr>
      <w:widowControl w:val="0"/>
      <w:shd w:val="clear" w:color="auto" w:fill="auto"/>
      <w:spacing w:after="300"/>
    </w:pPr>
    <w:rPr>
      <w:rFonts w:ascii="SimSun" w:eastAsia="SimSun" w:hAnsi="SimSun" w:cs="SimSun"/>
      <w:b w:val="0"/>
      <w:bCs w:val="0"/>
      <w:i w:val="0"/>
      <w:iCs w:val="0"/>
      <w:smallCaps w:val="0"/>
      <w:strike w:val="0"/>
      <w:sz w:val="28"/>
      <w:szCs w:val="28"/>
      <w:u w:val="none"/>
      <w:shd w:val="clear" w:color="auto" w:fill="auto"/>
    </w:rPr>
  </w:style>
  <w:style w:type="paragraph" w:customStyle="1" w:styleId="Style22">
    <w:name w:val="Other"/>
    <w:basedOn w:val="Normal"/>
    <w:link w:val="CharStyle2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Heading #2"/>
    <w:basedOn w:val="Normal"/>
    <w:link w:val="CharStyle26"/>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Body text (5)"/>
    <w:basedOn w:val="Normal"/>
    <w:link w:val="CharStyle33"/>
    <w:pPr>
      <w:widowControl w:val="0"/>
      <w:shd w:val="clear" w:color="auto" w:fill="auto"/>
      <w:spacing w:after="360"/>
    </w:pPr>
    <w:rPr>
      <w:rFonts w:ascii="SimSun" w:eastAsia="SimSun" w:hAnsi="SimSun" w:cs="SimSun"/>
      <w:b/>
      <w:bCs/>
      <w:i w:val="0"/>
      <w:iCs w:val="0"/>
      <w:smallCaps w:val="0"/>
      <w:strike w:val="0"/>
      <w:u w:val="none"/>
      <w:shd w:val="clear" w:color="auto" w:fill="auto"/>
    </w:rPr>
  </w:style>
  <w:style w:type="paragraph" w:customStyle="1" w:styleId="Style37">
    <w:name w:val="Heading #4"/>
    <w:basedOn w:val="Normal"/>
    <w:link w:val="CharStyle38"/>
    <w:pPr>
      <w:widowControl w:val="0"/>
      <w:shd w:val="clear" w:color="auto" w:fill="auto"/>
      <w:spacing w:after="2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7">
    <w:name w:val="Heading #5"/>
    <w:basedOn w:val="Normal"/>
    <w:link w:val="CharStyle68"/>
    <w:pPr>
      <w:widowControl w:val="0"/>
      <w:shd w:val="clear" w:color="auto" w:fill="auto"/>
      <w:spacing w:after="34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sundyf</dc:creator>
  <cp:keywords/>
</cp:coreProperties>
</file>